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0FAF9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</w:rPr>
      </w:pPr>
    </w:p>
    <w:p w14:paraId="42EF03DB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</w:rPr>
      </w:pPr>
    </w:p>
    <w:p w14:paraId="60CA787F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/>
          <w:b/>
          <w:color w:val="000000"/>
          <w:sz w:val="44"/>
          <w:szCs w:val="44"/>
        </w:rPr>
        <w:t>武汉经济技术开发区智慧生态城管理办公室</w:t>
      </w:r>
      <w:r>
        <w:rPr>
          <w:rFonts w:hint="eastAsia" w:ascii="仿宋" w:hAnsi="仿宋" w:eastAsia="仿宋"/>
          <w:b/>
          <w:bCs/>
          <w:color w:val="000000"/>
          <w:sz w:val="44"/>
          <w:szCs w:val="44"/>
        </w:rPr>
        <w:t>安全生产经费</w:t>
      </w:r>
    </w:p>
    <w:p w14:paraId="4165D603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</w:rPr>
        <w:t>2018年度绩效评价报告</w:t>
      </w:r>
    </w:p>
    <w:p w14:paraId="03D4D012">
      <w:pPr>
        <w:ind w:firstLine="480"/>
      </w:pPr>
    </w:p>
    <w:p w14:paraId="4EB8B313">
      <w:pPr>
        <w:ind w:firstLine="480"/>
      </w:pPr>
    </w:p>
    <w:p w14:paraId="6899EC0A">
      <w:pPr>
        <w:ind w:firstLine="480"/>
      </w:pPr>
    </w:p>
    <w:p w14:paraId="2CA99328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lang w:bidi="he-IL"/>
        </w:rPr>
      </w:pPr>
    </w:p>
    <w:p w14:paraId="4FFB9230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lang w:bidi="he-IL"/>
        </w:rPr>
      </w:pPr>
    </w:p>
    <w:p w14:paraId="65DB94D4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kern w:val="32"/>
          <w:sz w:val="32"/>
          <w:szCs w:val="32"/>
          <w:lang w:bidi="he-IL"/>
        </w:rPr>
      </w:pPr>
      <w:r>
        <w:rPr>
          <w:b/>
          <w:bCs/>
          <w:kern w:val="32"/>
          <w:sz w:val="32"/>
          <w:lang w:bidi="he-IL"/>
        </w:rPr>
        <w:t>项目名称：</w:t>
      </w:r>
      <w:r>
        <w:rPr>
          <w:rFonts w:hint="eastAsia"/>
          <w:b/>
          <w:bCs/>
          <w:sz w:val="32"/>
          <w:szCs w:val="32"/>
        </w:rPr>
        <w:t>安全生产经费</w:t>
      </w:r>
    </w:p>
    <w:p w14:paraId="33F852DE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</w:rPr>
      </w:pPr>
      <w:r>
        <w:rPr>
          <w:b/>
          <w:bCs/>
          <w:kern w:val="32"/>
          <w:sz w:val="32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lang w:bidi="he-IL"/>
        </w:rPr>
        <w:t>武汉经济技术开发区智慧生态城管理办公室</w:t>
      </w:r>
    </w:p>
    <w:p w14:paraId="1FC03A55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lang w:bidi="he-IL"/>
        </w:rPr>
      </w:pPr>
      <w:r>
        <w:rPr>
          <w:b/>
          <w:bCs/>
          <w:kern w:val="32"/>
          <w:sz w:val="32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lang w:bidi="he-IL"/>
        </w:rPr>
        <w:t>武汉经济技术开发区智慧生态城管理办公室</w:t>
      </w:r>
    </w:p>
    <w:p w14:paraId="6D400E26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</w:rPr>
      </w:pPr>
      <w:r>
        <w:rPr>
          <w:b/>
          <w:bCs/>
          <w:kern w:val="32"/>
          <w:sz w:val="32"/>
          <w:lang w:bidi="he-IL"/>
        </w:rPr>
        <w:t>评价机构：</w:t>
      </w:r>
      <w:r>
        <w:rPr>
          <w:rFonts w:hint="eastAsia"/>
          <w:b/>
          <w:bCs/>
          <w:sz w:val="32"/>
          <w:szCs w:val="32"/>
        </w:rPr>
        <w:t>湖北正大会计师事务有限责任公司</w:t>
      </w:r>
    </w:p>
    <w:p w14:paraId="0795982D">
      <w:pPr>
        <w:spacing w:line="800" w:lineRule="exact"/>
        <w:ind w:firstLine="0" w:firstLineChars="0"/>
        <w:rPr>
          <w:b/>
          <w:bCs/>
          <w:sz w:val="32"/>
          <w:szCs w:val="32"/>
        </w:rPr>
      </w:pPr>
    </w:p>
    <w:p w14:paraId="1F94B0BB">
      <w:pPr>
        <w:spacing w:line="800" w:lineRule="exact"/>
        <w:ind w:firstLine="0" w:firstLineChars="0"/>
        <w:rPr>
          <w:b/>
          <w:bCs/>
          <w:sz w:val="32"/>
          <w:szCs w:val="32"/>
        </w:rPr>
      </w:pPr>
    </w:p>
    <w:p w14:paraId="0AFB9A44">
      <w:pPr>
        <w:spacing w:line="800" w:lineRule="exact"/>
        <w:ind w:firstLine="0" w:firstLineChars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二〇</w:t>
      </w:r>
      <w:r>
        <w:rPr>
          <w:rFonts w:hint="eastAsia"/>
          <w:b/>
          <w:bCs/>
          <w:sz w:val="32"/>
          <w:szCs w:val="32"/>
        </w:rPr>
        <w:t>一九</w:t>
      </w:r>
      <w:r>
        <w:rPr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七</w:t>
      </w:r>
      <w:r>
        <w:rPr>
          <w:b/>
          <w:bCs/>
          <w:sz w:val="32"/>
          <w:szCs w:val="32"/>
        </w:rPr>
        <w:t>月</w:t>
      </w:r>
    </w:p>
    <w:p w14:paraId="13811FCD">
      <w:pPr>
        <w:widowControl/>
        <w:spacing w:line="240" w:lineRule="auto"/>
        <w:ind w:firstLine="0" w:firstLineChars="0"/>
        <w:jc w:val="left"/>
        <w:rPr>
          <w:rFonts w:hint="eastAsia" w:ascii="Arial Narrow" w:hAnsi="Arial Narrow" w:cs="Arial Narrow"/>
          <w:b/>
          <w:sz w:val="32"/>
          <w:szCs w:val="32"/>
        </w:rPr>
      </w:pPr>
      <w:r>
        <w:rPr>
          <w:rFonts w:ascii="Arial Narrow" w:hAnsi="Arial Narrow" w:cs="Arial Narrow"/>
          <w:b/>
          <w:sz w:val="32"/>
          <w:szCs w:val="32"/>
        </w:rPr>
        <w:br w:type="page"/>
      </w:r>
    </w:p>
    <w:p w14:paraId="512F0B0B">
      <w:pPr>
        <w:pStyle w:val="38"/>
        <w:ind w:firstLine="480"/>
        <w:jc w:val="center"/>
        <w:rPr>
          <w:rFonts w:ascii="仿宋" w:hAnsi="仿宋" w:eastAsia="仿宋"/>
          <w:color w:val="auto"/>
          <w:sz w:val="44"/>
          <w:szCs w:val="44"/>
        </w:rPr>
      </w:pPr>
      <w:r>
        <w:rPr>
          <w:rFonts w:ascii="仿宋" w:hAnsi="仿宋" w:eastAsia="仿宋"/>
          <w:color w:val="auto"/>
          <w:sz w:val="44"/>
          <w:szCs w:val="44"/>
          <w:lang w:val="zh-CN"/>
        </w:rPr>
        <w:t>目录</w:t>
      </w:r>
    </w:p>
    <w:p w14:paraId="65E701FA">
      <w:pPr>
        <w:pStyle w:val="15"/>
        <w:tabs>
          <w:tab w:val="right" w:leader="dot" w:pos="8693"/>
        </w:tabs>
        <w:spacing w:before="0" w:after="0" w:line="264" w:lineRule="auto"/>
        <w:ind w:firstLine="482"/>
        <w:rPr>
          <w:rFonts w:ascii="仿宋" w:hAnsi="仿宋" w:eastAsia="仿宋" w:cstheme="minorBidi"/>
          <w:bCs w:val="0"/>
          <w:caps w:val="0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TOC \o "1-3" \h \z \u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"_Toc15550390"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摘</w:t>
      </w:r>
      <w:r>
        <w:rPr>
          <w:rStyle w:val="26"/>
          <w:rFonts w:ascii="仿宋" w:hAnsi="仿宋" w:eastAsia="仿宋" w:cs="Arial Narrow"/>
          <w:sz w:val="24"/>
          <w:szCs w:val="24"/>
        </w:rPr>
        <w:t xml:space="preserve">   </w:t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要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PAGEREF _Toc15550390 \h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3538B312">
      <w:pPr>
        <w:pStyle w:val="15"/>
        <w:tabs>
          <w:tab w:val="right" w:leader="dot" w:pos="8693"/>
        </w:tabs>
        <w:spacing w:before="0" w:after="0" w:line="264" w:lineRule="auto"/>
        <w:ind w:firstLine="482"/>
        <w:rPr>
          <w:rFonts w:ascii="仿宋" w:hAnsi="仿宋" w:eastAsia="仿宋" w:cstheme="minorBidi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"_Toc15550391"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一、项目基本情况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PAGEREF _Toc15550391 \h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rPr>
          <w:rFonts w:ascii="仿宋" w:hAnsi="仿宋" w:eastAsia="仿宋"/>
          <w:sz w:val="24"/>
          <w:szCs w:val="24"/>
        </w:rPr>
        <w:t>3</w: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10781EF8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"_Toc15550392"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（一）项目立项背景和依据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_Toc15550392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3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58B683B7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"_Toc15550393"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（二）项目绩效目标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_Toc15550393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3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66B12DD3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"_Toc15550394"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（三）项目经费来源和使用情况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_Toc15550394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3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4325BB43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"_Toc15550395"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（四）项目实施情况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_Toc15550395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3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660EAA0C">
      <w:pPr>
        <w:pStyle w:val="15"/>
        <w:tabs>
          <w:tab w:val="right" w:leader="dot" w:pos="8693"/>
        </w:tabs>
        <w:spacing w:before="0" w:after="0" w:line="264" w:lineRule="auto"/>
        <w:ind w:firstLine="482"/>
        <w:rPr>
          <w:rFonts w:ascii="仿宋" w:hAnsi="仿宋" w:eastAsia="仿宋" w:cstheme="minorBidi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"_Toc15550396"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二、绩效评价工作情况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PAGEREF _Toc15550396 \h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52363402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"_Toc15550397"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bCs/>
          <w:sz w:val="24"/>
          <w:szCs w:val="24"/>
        </w:rPr>
        <w:t>（一）绩效评价目的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_Toc15550397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4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024D08F5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"_Toc15550398"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bCs/>
          <w:sz w:val="24"/>
          <w:szCs w:val="24"/>
        </w:rPr>
        <w:t>（二）绩效评价工作过程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_Toc15550398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4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5BCB4DB0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"_Toc15550399"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（三）绩效评价框架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_Toc15550399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4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63730256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"_Toc15550400"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（四）评价抽样情况概述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_Toc15550400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5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393DD559">
      <w:pPr>
        <w:pStyle w:val="15"/>
        <w:tabs>
          <w:tab w:val="right" w:leader="dot" w:pos="8693"/>
        </w:tabs>
        <w:spacing w:before="0" w:after="0" w:line="264" w:lineRule="auto"/>
        <w:ind w:firstLine="482"/>
        <w:rPr>
          <w:rFonts w:ascii="仿宋" w:hAnsi="仿宋" w:eastAsia="仿宋" w:cstheme="minorBidi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"_Toc15550401"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三、绩效分析及评价结论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PAGEREF _Toc15550401 \h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rPr>
          <w:rFonts w:ascii="仿宋" w:hAnsi="仿宋" w:eastAsia="仿宋"/>
          <w:sz w:val="24"/>
          <w:szCs w:val="24"/>
        </w:rPr>
        <w:t>6</w: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285A9566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"_Toc15550402"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（一）绩效分析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_Toc15550402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6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3DAE2CF5">
      <w:pPr>
        <w:pStyle w:val="9"/>
        <w:tabs>
          <w:tab w:val="right" w:leader="dot" w:pos="8693"/>
        </w:tabs>
        <w:spacing w:line="264" w:lineRule="auto"/>
        <w:ind w:firstLine="229" w:firstLineChars="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"_Toc15550403" </w:instrText>
      </w:r>
      <w:r>
        <w:fldChar w:fldCharType="separate"/>
      </w:r>
      <w:r>
        <w:rPr>
          <w:rStyle w:val="26"/>
          <w:rFonts w:ascii="仿宋" w:hAnsi="仿宋" w:eastAsia="仿宋"/>
          <w:b/>
          <w:sz w:val="24"/>
          <w:szCs w:val="24"/>
        </w:rPr>
        <w:t>1</w:t>
      </w:r>
      <w:r>
        <w:rPr>
          <w:rStyle w:val="26"/>
          <w:rFonts w:hint="eastAsia" w:ascii="仿宋" w:hAnsi="仿宋" w:eastAsia="仿宋"/>
          <w:b/>
          <w:sz w:val="24"/>
          <w:szCs w:val="24"/>
        </w:rPr>
        <w:t>、项目投入（</w:t>
      </w:r>
      <w:r>
        <w:rPr>
          <w:rStyle w:val="26"/>
          <w:rFonts w:ascii="仿宋" w:hAnsi="仿宋" w:eastAsia="仿宋"/>
          <w:b/>
          <w:sz w:val="24"/>
          <w:szCs w:val="24"/>
        </w:rPr>
        <w:t>16</w:t>
      </w:r>
      <w:r>
        <w:rPr>
          <w:rStyle w:val="26"/>
          <w:rFonts w:hint="eastAsia" w:ascii="仿宋" w:hAnsi="仿宋" w:eastAsia="仿宋"/>
          <w:b/>
          <w:sz w:val="24"/>
          <w:szCs w:val="24"/>
        </w:rPr>
        <w:t>分）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_Toc15550403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6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4C5382F6">
      <w:pPr>
        <w:pStyle w:val="9"/>
        <w:tabs>
          <w:tab w:val="right" w:leader="dot" w:pos="8693"/>
        </w:tabs>
        <w:spacing w:line="264" w:lineRule="auto"/>
        <w:ind w:firstLine="229" w:firstLineChars="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"_Toc15550404" </w:instrText>
      </w:r>
      <w:r>
        <w:fldChar w:fldCharType="separate"/>
      </w:r>
      <w:r>
        <w:rPr>
          <w:rStyle w:val="26"/>
          <w:rFonts w:ascii="仿宋" w:hAnsi="仿宋" w:eastAsia="仿宋" w:cs="Arial Narrow"/>
          <w:b/>
          <w:sz w:val="24"/>
          <w:szCs w:val="24"/>
        </w:rPr>
        <w:t>2</w:t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、决策过程（</w:t>
      </w:r>
      <w:r>
        <w:rPr>
          <w:rStyle w:val="26"/>
          <w:rFonts w:ascii="仿宋" w:hAnsi="仿宋" w:eastAsia="仿宋" w:cs="Arial Narrow"/>
          <w:b/>
          <w:sz w:val="24"/>
          <w:szCs w:val="24"/>
        </w:rPr>
        <w:t>24</w:t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分）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_Toc15550404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7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0423FD8C">
      <w:pPr>
        <w:pStyle w:val="9"/>
        <w:tabs>
          <w:tab w:val="right" w:leader="dot" w:pos="8693"/>
        </w:tabs>
        <w:spacing w:line="264" w:lineRule="auto"/>
        <w:ind w:firstLine="229" w:firstLineChars="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"_Toc15550405" </w:instrText>
      </w:r>
      <w:r>
        <w:fldChar w:fldCharType="separate"/>
      </w:r>
      <w:r>
        <w:rPr>
          <w:rStyle w:val="26"/>
          <w:rFonts w:ascii="仿宋" w:hAnsi="仿宋" w:eastAsia="仿宋" w:cs="Arial Narrow"/>
          <w:b/>
          <w:sz w:val="24"/>
          <w:szCs w:val="24"/>
        </w:rPr>
        <w:t>3</w:t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、项目产出（</w:t>
      </w:r>
      <w:r>
        <w:rPr>
          <w:rStyle w:val="26"/>
          <w:rFonts w:ascii="仿宋" w:hAnsi="仿宋" w:eastAsia="仿宋" w:cs="Arial Narrow"/>
          <w:b/>
          <w:sz w:val="24"/>
          <w:szCs w:val="24"/>
        </w:rPr>
        <w:t>28</w:t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分）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_Toc15550405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8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25AF47E4">
      <w:pPr>
        <w:pStyle w:val="9"/>
        <w:tabs>
          <w:tab w:val="right" w:leader="dot" w:pos="8693"/>
        </w:tabs>
        <w:spacing w:line="264" w:lineRule="auto"/>
        <w:ind w:firstLine="229" w:firstLineChars="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"_Toc15550406" </w:instrText>
      </w:r>
      <w:r>
        <w:fldChar w:fldCharType="separate"/>
      </w:r>
      <w:r>
        <w:rPr>
          <w:rStyle w:val="26"/>
          <w:rFonts w:ascii="仿宋" w:hAnsi="仿宋" w:eastAsia="仿宋" w:cs="Arial Narrow"/>
          <w:b/>
          <w:sz w:val="24"/>
          <w:szCs w:val="24"/>
        </w:rPr>
        <w:t>4</w:t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、项目效果（</w:t>
      </w:r>
      <w:r>
        <w:rPr>
          <w:rStyle w:val="26"/>
          <w:rFonts w:ascii="仿宋" w:hAnsi="仿宋" w:eastAsia="仿宋" w:cs="Arial Narrow"/>
          <w:b/>
          <w:sz w:val="24"/>
          <w:szCs w:val="24"/>
        </w:rPr>
        <w:t>32</w:t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分）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_Toc15550406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9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238BB5BE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"_Toc15550407"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（二）评价结论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_Toc15550407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10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7FBC2A28">
      <w:pPr>
        <w:pStyle w:val="15"/>
        <w:tabs>
          <w:tab w:val="right" w:leader="dot" w:pos="8693"/>
        </w:tabs>
        <w:spacing w:before="0" w:after="0" w:line="264" w:lineRule="auto"/>
        <w:ind w:firstLine="482"/>
        <w:rPr>
          <w:rFonts w:ascii="仿宋" w:hAnsi="仿宋" w:eastAsia="仿宋" w:cstheme="minorBidi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"_Toc15550408"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四、主要经验及做法、存在的问题和建议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PAGEREF _Toc15550408 \h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rPr>
          <w:rFonts w:ascii="仿宋" w:hAnsi="仿宋" w:eastAsia="仿宋"/>
          <w:sz w:val="24"/>
          <w:szCs w:val="24"/>
        </w:rPr>
        <w:t>10</w: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1F76FA92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"_Toc15550409"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（一）主要经验及做法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_Toc15550409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10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525B7ABF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fldChar w:fldCharType="begin"/>
      </w:r>
      <w:r>
        <w:instrText xml:space="preserve"> HYPERLINK \l "_Toc15550410"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（二）存在的问题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_Toc15550410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11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412ABABA">
      <w:pPr>
        <w:pStyle w:val="9"/>
        <w:tabs>
          <w:tab w:val="right" w:leader="dot" w:pos="8693"/>
        </w:tabs>
        <w:spacing w:line="264" w:lineRule="auto"/>
        <w:ind w:left="0" w:firstLine="482"/>
        <w:rPr>
          <w:rFonts w:ascii="仿宋" w:hAnsi="仿宋" w:eastAsia="仿宋" w:cstheme="minorBidi"/>
          <w:b/>
          <w:iCs w:val="0"/>
          <w:sz w:val="24"/>
          <w:szCs w:val="24"/>
        </w:rPr>
      </w:pPr>
      <w:r>
        <w:rPr>
          <w:rStyle w:val="26"/>
          <w:rFonts w:ascii="仿宋" w:hAnsi="仿宋" w:eastAsia="仿宋"/>
          <w:b/>
          <w:sz w:val="24"/>
          <w:szCs w:val="24"/>
        </w:rPr>
        <w:fldChar w:fldCharType="begin"/>
      </w:r>
      <w:r>
        <w:rPr>
          <w:rStyle w:val="26"/>
          <w:rFonts w:ascii="仿宋" w:hAnsi="仿宋" w:eastAsia="仿宋"/>
          <w:b/>
          <w:sz w:val="24"/>
          <w:szCs w:val="24"/>
        </w:rPr>
        <w:instrText xml:space="preserve"> </w:instrText>
      </w:r>
      <w:r>
        <w:rPr>
          <w:rFonts w:ascii="仿宋" w:hAnsi="仿宋" w:eastAsia="仿宋"/>
          <w:b/>
          <w:sz w:val="24"/>
          <w:szCs w:val="24"/>
        </w:rPr>
        <w:instrText xml:space="preserve">HYPERLINK \l "_Toc15550411"</w:instrText>
      </w:r>
      <w:r>
        <w:rPr>
          <w:rStyle w:val="26"/>
          <w:rFonts w:ascii="仿宋" w:hAnsi="仿宋" w:eastAsia="仿宋"/>
          <w:b/>
          <w:sz w:val="24"/>
          <w:szCs w:val="24"/>
        </w:rPr>
        <w:instrText xml:space="preserve"> </w:instrText>
      </w:r>
      <w:r>
        <w:rPr>
          <w:rStyle w:val="26"/>
          <w:rFonts w:ascii="仿宋" w:hAnsi="仿宋" w:eastAsia="仿宋"/>
          <w:b/>
          <w:sz w:val="24"/>
          <w:szCs w:val="24"/>
        </w:rP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（三）建议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_Toc15550411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11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Style w:val="26"/>
          <w:rFonts w:ascii="仿宋" w:hAnsi="仿宋" w:eastAsia="仿宋"/>
          <w:b/>
          <w:sz w:val="24"/>
          <w:szCs w:val="24"/>
        </w:rPr>
        <w:fldChar w:fldCharType="end"/>
      </w:r>
    </w:p>
    <w:p w14:paraId="4124AAC5">
      <w:pPr>
        <w:pStyle w:val="15"/>
        <w:tabs>
          <w:tab w:val="right" w:leader="dot" w:pos="8693"/>
        </w:tabs>
        <w:spacing w:before="0" w:after="0" w:line="264" w:lineRule="auto"/>
        <w:ind w:firstLine="482"/>
        <w:rPr>
          <w:rFonts w:ascii="仿宋" w:hAnsi="仿宋" w:eastAsia="仿宋" w:cstheme="minorBidi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"_Toc15550412"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sz w:val="24"/>
          <w:szCs w:val="24"/>
        </w:rPr>
        <w:t>五、其他需说明的问题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PAGEREF _Toc15550412 \h </w:instrText>
      </w:r>
      <w:r>
        <w:rPr>
          <w:rFonts w:ascii="仿宋" w:hAnsi="仿宋" w:eastAsia="仿宋"/>
          <w:sz w:val="24"/>
          <w:szCs w:val="24"/>
        </w:rPr>
        <w:fldChar w:fldCharType="separate"/>
      </w:r>
      <w:r>
        <w:rPr>
          <w:rFonts w:ascii="仿宋" w:hAnsi="仿宋" w:eastAsia="仿宋"/>
          <w:sz w:val="24"/>
          <w:szCs w:val="24"/>
        </w:rPr>
        <w:t>11</w: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0954A0E2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 w:cstheme="minorBidi"/>
          <w:b/>
          <w:smallCaps w:val="0"/>
          <w:sz w:val="24"/>
          <w:szCs w:val="24"/>
        </w:rPr>
      </w:pPr>
      <w:r>
        <w:fldChar w:fldCharType="begin"/>
      </w:r>
      <w:r>
        <w:instrText xml:space="preserve"> HYPERLINK \l "_Toc15550413"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（一）关于评价责任的说明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_Toc15550413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11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629C6F95">
      <w:pPr>
        <w:pStyle w:val="18"/>
        <w:tabs>
          <w:tab w:val="right" w:leader="dot" w:pos="8693"/>
        </w:tabs>
        <w:spacing w:line="264" w:lineRule="auto"/>
        <w:ind w:firstLine="482"/>
        <w:rPr>
          <w:rFonts w:ascii="仿宋" w:hAnsi="仿宋" w:eastAsia="仿宋"/>
          <w:b/>
          <w:sz w:val="24"/>
          <w:szCs w:val="24"/>
        </w:rPr>
      </w:pPr>
      <w:r>
        <w:fldChar w:fldCharType="begin"/>
      </w:r>
      <w:r>
        <w:instrText xml:space="preserve"> HYPERLINK \l "_Toc15550414" </w:instrText>
      </w:r>
      <w:r>
        <w:fldChar w:fldCharType="separate"/>
      </w:r>
      <w:r>
        <w:rPr>
          <w:rStyle w:val="26"/>
          <w:rFonts w:hint="eastAsia" w:ascii="仿宋" w:hAnsi="仿宋" w:eastAsia="仿宋" w:cs="Arial Narrow"/>
          <w:b/>
          <w:sz w:val="24"/>
          <w:szCs w:val="24"/>
        </w:rPr>
        <w:t>（二）关于本项目评价中存在的局限性的说明</w:t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ascii="仿宋" w:hAnsi="仿宋" w:eastAsia="仿宋"/>
          <w:b/>
          <w:sz w:val="24"/>
          <w:szCs w:val="24"/>
        </w:rPr>
        <w:fldChar w:fldCharType="begin"/>
      </w:r>
      <w:r>
        <w:rPr>
          <w:rFonts w:ascii="仿宋" w:hAnsi="仿宋" w:eastAsia="仿宋"/>
          <w:b/>
          <w:sz w:val="24"/>
          <w:szCs w:val="24"/>
        </w:rPr>
        <w:instrText xml:space="preserve"> PAGEREF _Toc15550414 \h </w:instrText>
      </w:r>
      <w:r>
        <w:rPr>
          <w:rFonts w:ascii="仿宋" w:hAnsi="仿宋" w:eastAsia="仿宋"/>
          <w:b/>
          <w:sz w:val="24"/>
          <w:szCs w:val="24"/>
        </w:rPr>
        <w:fldChar w:fldCharType="separate"/>
      </w:r>
      <w:r>
        <w:rPr>
          <w:rFonts w:ascii="仿宋" w:hAnsi="仿宋" w:eastAsia="仿宋"/>
          <w:b/>
          <w:sz w:val="24"/>
          <w:szCs w:val="24"/>
        </w:rPr>
        <w:t>11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ascii="仿宋" w:hAnsi="仿宋" w:eastAsia="仿宋"/>
          <w:b/>
          <w:sz w:val="24"/>
          <w:szCs w:val="24"/>
        </w:rPr>
        <w:fldChar w:fldCharType="end"/>
      </w:r>
    </w:p>
    <w:p w14:paraId="5C66524A">
      <w:pPr>
        <w:pStyle w:val="18"/>
        <w:tabs>
          <w:tab w:val="right" w:leader="dot" w:pos="8693"/>
        </w:tabs>
        <w:spacing w:line="264" w:lineRule="auto"/>
        <w:ind w:left="0" w:leftChars="0" w:firstLine="0" w:firstLineChars="0"/>
        <w:rPr>
          <w:rFonts w:asciiTheme="minorHAnsi" w:hAnsiTheme="minorHAnsi" w:eastAsiaTheme="minorEastAsia" w:cstheme="minorBidi"/>
          <w:smallCaps/>
          <w:sz w:val="21"/>
          <w:szCs w:val="22"/>
        </w:rPr>
      </w:pPr>
      <w:r>
        <w:rPr>
          <w:rFonts w:hint="eastAsia" w:ascii="仿宋" w:hAnsi="仿宋" w:eastAsia="仿宋"/>
          <w:b/>
          <w:bCs/>
          <w:lang w:val="zh-CN" w:eastAsia="zh-CN"/>
        </w:rPr>
        <w:fldChar w:fldCharType="end"/>
      </w:r>
      <w:r>
        <w:rPr>
          <w:rFonts w:hint="eastAsia" w:ascii="仿宋" w:hAnsi="仿宋" w:eastAsia="仿宋"/>
          <w:b/>
          <w:bCs/>
          <w:lang w:val="en-US" w:eastAsia="zh-CN"/>
        </w:rPr>
        <w:t xml:space="preserve">     </w:t>
      </w:r>
      <w:r>
        <w:rPr>
          <w:rFonts w:hint="eastAsia"/>
          <w:b/>
          <w:bCs/>
          <w:sz w:val="24"/>
          <w:szCs w:val="24"/>
          <w:lang w:val="en-US" w:eastAsia="zh-CN"/>
        </w:rPr>
        <w:t>附件</w:t>
      </w:r>
      <w:r>
        <w:fldChar w:fldCharType="begin"/>
      </w:r>
      <w:r>
        <w:instrText xml:space="preserve"> HYPERLINK \l "_Toc15550414" </w:instrText>
      </w:r>
      <w:r>
        <w:fldChar w:fldCharType="separate"/>
      </w:r>
      <w:r>
        <w:rPr>
          <w:rFonts w:ascii="仿宋" w:hAnsi="仿宋" w:eastAsia="仿宋"/>
          <w:b/>
          <w:sz w:val="24"/>
          <w:szCs w:val="24"/>
        </w:rPr>
        <w:tab/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1</w:t>
      </w:r>
      <w:r>
        <w:rPr>
          <w:rFonts w:ascii="仿宋" w:hAnsi="仿宋" w:eastAsia="仿宋"/>
          <w:b/>
          <w:sz w:val="24"/>
          <w:szCs w:val="24"/>
        </w:rPr>
        <w:fldChar w:fldCharType="end"/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</w:t>
      </w:r>
      <w:r>
        <w:rPr>
          <w:rFonts w:hint="eastAsia" w:ascii="仿宋_GB2312" w:hAnsi="Arial Narrow" w:cs="Arial Narrow"/>
          <w:b w:val="0"/>
          <w:szCs w:val="24"/>
        </w:rPr>
        <w:fldChar w:fldCharType="begin"/>
      </w:r>
      <w:r>
        <w:rPr>
          <w:rFonts w:hint="eastAsia" w:ascii="仿宋_GB2312" w:hAnsi="Arial Narrow" w:cs="Arial Narrow"/>
          <w:b w:val="0"/>
          <w:szCs w:val="24"/>
        </w:rPr>
        <w:instrText xml:space="preserve"> TOC \o "1-4" \h \z \u </w:instrText>
      </w:r>
      <w:r>
        <w:rPr>
          <w:rFonts w:hint="eastAsia" w:ascii="仿宋_GB2312" w:hAnsi="Arial Narrow" w:cs="Arial Narrow"/>
          <w:b w:val="0"/>
          <w:szCs w:val="24"/>
        </w:rPr>
        <w:fldChar w:fldCharType="separate"/>
      </w:r>
    </w:p>
    <w:p w14:paraId="21BA8108">
      <w:pPr>
        <w:keepNext w:val="0"/>
        <w:keepLines w:val="0"/>
        <w:pageBreakBefore w:val="0"/>
        <w:widowControl w:val="0"/>
        <w:tabs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asciiTheme="minorHAnsi" w:hAnsiTheme="minorHAnsi" w:eastAsiaTheme="minorEastAsia" w:cstheme="minorBidi"/>
          <w:smallCaps/>
          <w:sz w:val="21"/>
          <w:szCs w:val="22"/>
        </w:rPr>
      </w:pPr>
      <w:r>
        <w:rPr>
          <w:rFonts w:hint="eastAsia" w:ascii="仿宋_GB2312" w:hAnsi="Arial Narrow" w:cs="Arial Narrow"/>
          <w:sz w:val="28"/>
        </w:rPr>
        <w:fldChar w:fldCharType="end"/>
      </w:r>
      <w:r>
        <w:rPr>
          <w:rFonts w:hint="eastAsia" w:ascii="仿宋_GB2312" w:hAnsi="Arial Narrow" w:cs="Arial Narrow"/>
          <w:b w:val="0"/>
          <w:szCs w:val="24"/>
        </w:rPr>
        <w:fldChar w:fldCharType="begin"/>
      </w:r>
      <w:r>
        <w:rPr>
          <w:rFonts w:hint="eastAsia" w:ascii="仿宋_GB2312" w:hAnsi="Arial Narrow" w:cs="Arial Narrow"/>
          <w:b w:val="0"/>
          <w:szCs w:val="24"/>
        </w:rPr>
        <w:instrText xml:space="preserve"> TOC \o "1-4" \h \z \u </w:instrText>
      </w:r>
      <w:r>
        <w:rPr>
          <w:rFonts w:hint="eastAsia" w:ascii="仿宋_GB2312" w:hAnsi="Arial Narrow" w:cs="Arial Narrow"/>
          <w:b w:val="0"/>
          <w:szCs w:val="24"/>
        </w:rPr>
        <w:fldChar w:fldCharType="separate"/>
      </w:r>
    </w:p>
    <w:p w14:paraId="74D54DDC">
      <w:pPr>
        <w:adjustRightInd w:val="0"/>
        <w:snapToGrid w:val="0"/>
        <w:spacing w:line="520" w:lineRule="exact"/>
        <w:ind w:firstLine="0" w:firstLineChars="0"/>
        <w:jc w:val="left"/>
        <w:rPr>
          <w:rFonts w:ascii="仿宋_GB2312" w:hAnsi="Arial Narrow" w:cs="Arial Narrow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1361" w:right="1406" w:bottom="1089" w:left="1797" w:header="1361" w:footer="992" w:gutter="0"/>
          <w:pgNumType w:start="0"/>
          <w:cols w:space="720" w:num="1"/>
          <w:docGrid w:type="lines" w:linePitch="408" w:charSpace="0"/>
        </w:sectPr>
      </w:pPr>
      <w:r>
        <w:rPr>
          <w:rFonts w:hint="eastAsia" w:ascii="仿宋_GB2312" w:hAnsi="Arial Narrow" w:cs="Arial Narrow"/>
          <w:sz w:val="28"/>
        </w:rPr>
        <w:fldChar w:fldCharType="end"/>
      </w:r>
    </w:p>
    <w:p w14:paraId="46C69C60">
      <w:pPr>
        <w:pStyle w:val="2"/>
        <w:jc w:val="center"/>
        <w:rPr>
          <w:rFonts w:ascii="华文宋体" w:hAnsi="华文宋体" w:eastAsia="华文宋体" w:cs="Arial Narrow"/>
          <w:b w:val="0"/>
          <w:sz w:val="36"/>
        </w:rPr>
      </w:pPr>
      <w:bookmarkStart w:id="0" w:name="_Toc15550390"/>
      <w:bookmarkStart w:id="1" w:name="_Toc14165722"/>
      <w:bookmarkStart w:id="2" w:name="_Toc406668024"/>
      <w:bookmarkStart w:id="3" w:name="_Toc406666351"/>
      <w:r>
        <w:rPr>
          <w:rFonts w:hint="eastAsia" w:ascii="华文宋体" w:hAnsi="华文宋体" w:eastAsia="华文宋体" w:cs="Arial Narrow"/>
          <w:sz w:val="36"/>
        </w:rPr>
        <w:t>摘   要</w:t>
      </w:r>
      <w:bookmarkEnd w:id="0"/>
      <w:bookmarkEnd w:id="1"/>
    </w:p>
    <w:p w14:paraId="465F029F">
      <w:pPr>
        <w:pStyle w:val="40"/>
        <w:numPr>
          <w:ilvl w:val="0"/>
          <w:numId w:val="1"/>
        </w:numPr>
        <w:ind w:firstLineChars="0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>基本情况</w:t>
      </w:r>
    </w:p>
    <w:p w14:paraId="0E882862">
      <w:pPr>
        <w:ind w:firstLine="482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 xml:space="preserve">（一）项目基本情况  </w:t>
      </w:r>
    </w:p>
    <w:p w14:paraId="17910B44">
      <w:pPr>
        <w:spacing w:line="288" w:lineRule="auto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1、项目名称：安全生产经费</w:t>
      </w:r>
    </w:p>
    <w:p w14:paraId="4D333A39">
      <w:pPr>
        <w:spacing w:line="288" w:lineRule="auto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2、项目预算金额：</w:t>
      </w:r>
      <w:r>
        <w:rPr>
          <w:rFonts w:ascii="仿宋" w:hAnsi="仿宋" w:eastAsia="仿宋" w:cs="Arial Narrow"/>
        </w:rPr>
        <w:t>10</w:t>
      </w:r>
      <w:r>
        <w:rPr>
          <w:rFonts w:hint="eastAsia" w:ascii="仿宋" w:hAnsi="仿宋" w:eastAsia="仿宋" w:cs="Arial Narrow"/>
        </w:rPr>
        <w:t>0,000.00元</w:t>
      </w:r>
    </w:p>
    <w:p w14:paraId="144EA3CD">
      <w:pPr>
        <w:ind w:firstLine="482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>（二）绩效评价工作情况</w:t>
      </w:r>
    </w:p>
    <w:p w14:paraId="6FD4B114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35D1CD66">
      <w:pPr>
        <w:ind w:firstLine="0" w:firstLineChars="0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 xml:space="preserve">二、  </w:t>
      </w:r>
      <w:r>
        <w:rPr>
          <w:rFonts w:ascii="仿宋" w:hAnsi="仿宋" w:eastAsia="仿宋" w:cs="Arial Narrow"/>
          <w:b/>
        </w:rPr>
        <w:t>绩效评价结</w:t>
      </w:r>
      <w:r>
        <w:rPr>
          <w:rFonts w:hint="eastAsia" w:ascii="仿宋" w:hAnsi="仿宋" w:eastAsia="仿宋" w:cs="Arial Narrow"/>
          <w:b/>
        </w:rPr>
        <w:t>论</w:t>
      </w:r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22869E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00AB0F6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评价准则</w:t>
            </w:r>
          </w:p>
        </w:tc>
        <w:tc>
          <w:tcPr>
            <w:tcW w:w="2132" w:type="dxa"/>
          </w:tcPr>
          <w:p w14:paraId="6D3866DB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准则分值</w:t>
            </w:r>
          </w:p>
        </w:tc>
        <w:tc>
          <w:tcPr>
            <w:tcW w:w="2126" w:type="dxa"/>
          </w:tcPr>
          <w:p w14:paraId="081252B6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评价得分</w:t>
            </w:r>
          </w:p>
        </w:tc>
        <w:tc>
          <w:tcPr>
            <w:tcW w:w="2126" w:type="dxa"/>
          </w:tcPr>
          <w:p w14:paraId="4FFF15C0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评价等级</w:t>
            </w:r>
          </w:p>
        </w:tc>
      </w:tr>
      <w:tr w14:paraId="3797D4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316C5FA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投入</w:t>
            </w:r>
          </w:p>
        </w:tc>
        <w:tc>
          <w:tcPr>
            <w:tcW w:w="2132" w:type="dxa"/>
          </w:tcPr>
          <w:p w14:paraId="5064DA0F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16分</w:t>
            </w:r>
          </w:p>
        </w:tc>
        <w:tc>
          <w:tcPr>
            <w:tcW w:w="2126" w:type="dxa"/>
          </w:tcPr>
          <w:p w14:paraId="714BD782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14分</w:t>
            </w:r>
          </w:p>
        </w:tc>
        <w:tc>
          <w:tcPr>
            <w:tcW w:w="2126" w:type="dxa"/>
          </w:tcPr>
          <w:p w14:paraId="1F4C0945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ascii="仿宋" w:hAnsi="仿宋" w:eastAsia="仿宋" w:cs="Arial Narrow"/>
              </w:rPr>
              <w:t>良</w:t>
            </w:r>
          </w:p>
        </w:tc>
      </w:tr>
      <w:tr w14:paraId="6838BE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F93AE8F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过程</w:t>
            </w:r>
          </w:p>
        </w:tc>
        <w:tc>
          <w:tcPr>
            <w:tcW w:w="2132" w:type="dxa"/>
          </w:tcPr>
          <w:p w14:paraId="693AC9ED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24分</w:t>
            </w:r>
          </w:p>
        </w:tc>
        <w:tc>
          <w:tcPr>
            <w:tcW w:w="2126" w:type="dxa"/>
          </w:tcPr>
          <w:p w14:paraId="72525807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23分</w:t>
            </w:r>
          </w:p>
        </w:tc>
        <w:tc>
          <w:tcPr>
            <w:tcW w:w="2126" w:type="dxa"/>
          </w:tcPr>
          <w:p w14:paraId="175308B3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优</w:t>
            </w:r>
          </w:p>
        </w:tc>
      </w:tr>
      <w:tr w14:paraId="005CBF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E504B22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产出</w:t>
            </w:r>
          </w:p>
        </w:tc>
        <w:tc>
          <w:tcPr>
            <w:tcW w:w="2132" w:type="dxa"/>
          </w:tcPr>
          <w:p w14:paraId="650E6A3A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28分</w:t>
            </w:r>
          </w:p>
        </w:tc>
        <w:tc>
          <w:tcPr>
            <w:tcW w:w="2126" w:type="dxa"/>
          </w:tcPr>
          <w:p w14:paraId="4DF29AE3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24分</w:t>
            </w:r>
          </w:p>
        </w:tc>
        <w:tc>
          <w:tcPr>
            <w:tcW w:w="2126" w:type="dxa"/>
          </w:tcPr>
          <w:p w14:paraId="4CE95E80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良</w:t>
            </w:r>
          </w:p>
        </w:tc>
      </w:tr>
      <w:tr w14:paraId="483DD7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A33D728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效果</w:t>
            </w:r>
          </w:p>
        </w:tc>
        <w:tc>
          <w:tcPr>
            <w:tcW w:w="2132" w:type="dxa"/>
          </w:tcPr>
          <w:p w14:paraId="016DEB64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32分</w:t>
            </w:r>
          </w:p>
        </w:tc>
        <w:tc>
          <w:tcPr>
            <w:tcW w:w="2126" w:type="dxa"/>
          </w:tcPr>
          <w:p w14:paraId="5D07D8E3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31分</w:t>
            </w:r>
          </w:p>
        </w:tc>
        <w:tc>
          <w:tcPr>
            <w:tcW w:w="2126" w:type="dxa"/>
          </w:tcPr>
          <w:p w14:paraId="22C1CFAB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ascii="仿宋" w:hAnsi="仿宋" w:eastAsia="仿宋" w:cs="Arial Narrow"/>
              </w:rPr>
              <w:t>优</w:t>
            </w:r>
          </w:p>
        </w:tc>
      </w:tr>
      <w:tr w14:paraId="717D52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0E49AD7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综合绩效</w:t>
            </w:r>
          </w:p>
        </w:tc>
        <w:tc>
          <w:tcPr>
            <w:tcW w:w="2132" w:type="dxa"/>
          </w:tcPr>
          <w:p w14:paraId="5021DD6B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100分</w:t>
            </w:r>
          </w:p>
        </w:tc>
        <w:tc>
          <w:tcPr>
            <w:tcW w:w="2126" w:type="dxa"/>
          </w:tcPr>
          <w:p w14:paraId="4AC8DA5E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hint="eastAsia" w:ascii="仿宋" w:hAnsi="仿宋" w:eastAsia="仿宋" w:cs="Arial Narrow"/>
              </w:rPr>
              <w:t>92分</w:t>
            </w:r>
          </w:p>
        </w:tc>
        <w:tc>
          <w:tcPr>
            <w:tcW w:w="2126" w:type="dxa"/>
          </w:tcPr>
          <w:p w14:paraId="0287F977">
            <w:pPr>
              <w:ind w:firstLine="0" w:firstLineChars="0"/>
              <w:jc w:val="center"/>
              <w:rPr>
                <w:rFonts w:ascii="仿宋" w:hAnsi="仿宋" w:eastAsia="仿宋" w:cs="Arial Narrow"/>
              </w:rPr>
            </w:pPr>
            <w:r>
              <w:rPr>
                <w:rFonts w:ascii="仿宋" w:hAnsi="仿宋" w:eastAsia="仿宋" w:cs="Arial Narrow"/>
              </w:rPr>
              <w:t>优</w:t>
            </w:r>
          </w:p>
        </w:tc>
      </w:tr>
    </w:tbl>
    <w:p w14:paraId="5CF75FFB">
      <w:pPr>
        <w:ind w:firstLine="0" w:firstLineChars="0"/>
        <w:rPr>
          <w:rFonts w:ascii="仿宋" w:hAnsi="仿宋" w:eastAsia="仿宋" w:cs="Arial Narrow"/>
          <w:b/>
          <w:sz w:val="28"/>
        </w:rPr>
      </w:pPr>
    </w:p>
    <w:p w14:paraId="296FBF3C">
      <w:pPr>
        <w:ind w:firstLine="0" w:firstLineChars="0"/>
        <w:rPr>
          <w:rFonts w:ascii="仿宋" w:hAnsi="仿宋" w:eastAsia="仿宋" w:cs="Arial Narrow"/>
          <w:b/>
        </w:rPr>
      </w:pPr>
      <w:r>
        <w:rPr>
          <w:rFonts w:hint="eastAsia" w:ascii="Arial Narrow" w:hAnsi="Arial Narrow" w:cs="Arial Narrow"/>
          <w:b/>
        </w:rPr>
        <w:t>三、项目经验与问题</w:t>
      </w:r>
    </w:p>
    <w:p w14:paraId="1D39E247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 xml:space="preserve">1、经验  </w:t>
      </w:r>
    </w:p>
    <w:p w14:paraId="797FEEAD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本项目严格执行经费审批流程、经费报销流程、日常经费报销的其他管理规定，确保会计核算按照财政要求，付款申请审批程序到位。</w:t>
      </w:r>
    </w:p>
    <w:p w14:paraId="4314375A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2、问题</w:t>
      </w:r>
    </w:p>
    <w:p w14:paraId="29BAF3A4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项目资金使用率为48.49%，实际项目支出与预算的项目资金量偏差较大。项目实施单位制定绩效指标，但绩效指标不具体、可测性较差，难以利用绩效指标体现绩效目标的完成情况。</w:t>
      </w:r>
    </w:p>
    <w:p w14:paraId="3C685B8A">
      <w:pPr>
        <w:ind w:firstLine="0" w:firstLineChars="0"/>
        <w:rPr>
          <w:rFonts w:ascii="Arial Narrow" w:hAnsi="Arial Narrow" w:cs="Arial Narrow"/>
          <w:b/>
        </w:rPr>
      </w:pPr>
      <w:r>
        <w:rPr>
          <w:rFonts w:hint="eastAsia" w:ascii="Arial Narrow" w:hAnsi="Arial Narrow" w:cs="Arial Narrow"/>
          <w:b/>
        </w:rPr>
        <w:t>四、建议</w:t>
      </w:r>
    </w:p>
    <w:bookmarkEnd w:id="2"/>
    <w:bookmarkEnd w:id="3"/>
    <w:p w14:paraId="7796FEE7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1、项目实施单位可以根据自身资金能力和发展需求，统筹预算安排，充分掌握项目的实际资金需求，制定合理的财务预算明细，做到既能维持项目正常运转，又能兼顾长期发展，提高资金利用率，实现长期、稳定、可持续发展。</w:t>
      </w:r>
    </w:p>
    <w:p w14:paraId="2A850B45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2、做好基础信息的收集和分析工作，为绩效指标值的设置提供有益参考，细化指标体系，使各项指标清晰可测，促进绩效评价工作的规范化。</w:t>
      </w:r>
    </w:p>
    <w:p w14:paraId="52DA1EF6">
      <w:pPr>
        <w:widowControl/>
        <w:spacing w:line="240" w:lineRule="auto"/>
        <w:ind w:firstLine="0" w:firstLineChars="0"/>
        <w:jc w:val="left"/>
        <w:rPr>
          <w:rFonts w:ascii="仿宋_GB2312" w:hAnsi="Arial Narrow" w:cs="Arial Narrow"/>
        </w:rPr>
      </w:pPr>
      <w:r>
        <w:rPr>
          <w:rFonts w:ascii="仿宋_GB2312" w:hAnsi="Arial Narrow" w:cs="Arial Narrow"/>
        </w:rPr>
        <w:br w:type="page"/>
      </w:r>
    </w:p>
    <w:p w14:paraId="56AF67BC">
      <w:pPr>
        <w:snapToGrid w:val="0"/>
        <w:ind w:firstLine="0" w:firstLineChars="0"/>
        <w:outlineLvl w:val="0"/>
        <w:rPr>
          <w:rFonts w:ascii="Arial Narrow" w:hAnsi="Arial Narrow" w:cs="Arial Narrow"/>
          <w:b/>
          <w:bCs/>
        </w:rPr>
      </w:pPr>
      <w:bookmarkStart w:id="4" w:name="_Toc14165723"/>
      <w:bookmarkStart w:id="5" w:name="_Toc15550391"/>
      <w:bookmarkStart w:id="6" w:name="_Toc361304672"/>
      <w:bookmarkStart w:id="7" w:name="_Toc387957799"/>
      <w:bookmarkStart w:id="8" w:name="_Toc387957800"/>
      <w:bookmarkStart w:id="9" w:name="_Toc361304673"/>
      <w:r>
        <w:rPr>
          <w:rFonts w:hint="eastAsia" w:ascii="Arial Narrow" w:hAnsi="Arial Narrow" w:cs="Arial Narrow"/>
          <w:b/>
          <w:bCs/>
        </w:rPr>
        <w:t>一、项目基本情况</w:t>
      </w:r>
      <w:bookmarkEnd w:id="4"/>
      <w:bookmarkEnd w:id="5"/>
    </w:p>
    <w:p w14:paraId="7D3EB5BC">
      <w:pPr>
        <w:pStyle w:val="4"/>
        <w:ind w:firstLine="482" w:firstLineChars="200"/>
        <w:rPr>
          <w:rFonts w:ascii="Arial Narrow" w:hAnsi="Arial Narrow" w:cs="Arial Narrow"/>
          <w:b w:val="0"/>
          <w:bCs w:val="0"/>
        </w:rPr>
      </w:pPr>
      <w:bookmarkStart w:id="10" w:name="_Toc14165724"/>
      <w:bookmarkStart w:id="11" w:name="_Toc15550392"/>
      <w:r>
        <w:rPr>
          <w:rFonts w:hint="eastAsia" w:ascii="Arial Narrow" w:hAnsi="Arial Narrow" w:cs="Arial Narrow"/>
        </w:rPr>
        <w:t>（一）项目立项背景和依据</w:t>
      </w:r>
      <w:bookmarkEnd w:id="10"/>
      <w:bookmarkEnd w:id="11"/>
    </w:p>
    <w:bookmarkEnd w:id="6"/>
    <w:bookmarkEnd w:id="7"/>
    <w:p w14:paraId="6859863E">
      <w:pPr>
        <w:snapToGrid w:val="0"/>
        <w:ind w:firstLine="480"/>
        <w:rPr>
          <w:rFonts w:ascii="仿宋" w:hAnsi="仿宋" w:eastAsia="仿宋" w:cs="Arial Narrow"/>
        </w:rPr>
      </w:pPr>
      <w:bookmarkStart w:id="12" w:name="_Toc14165725"/>
      <w:bookmarkStart w:id="13" w:name="_Toc361304680"/>
      <w:bookmarkStart w:id="14" w:name="_Toc16351"/>
      <w:bookmarkStart w:id="15" w:name="_Toc406666356"/>
      <w:bookmarkStart w:id="16" w:name="_Toc406668030"/>
      <w:r>
        <w:rPr>
          <w:rFonts w:hint="eastAsia" w:ascii="仿宋" w:hAnsi="仿宋" w:eastAsia="仿宋" w:cs="Arial Narrow"/>
        </w:rPr>
        <w:t>1、项目的政策依据：《</w:t>
      </w:r>
      <w:bookmarkStart w:id="114" w:name="_GoBack"/>
      <w:r>
        <w:rPr>
          <w:rFonts w:hint="eastAsia" w:ascii="仿宋" w:hAnsi="仿宋" w:eastAsia="仿宋" w:cs="Arial Narrow"/>
        </w:rPr>
        <w:t>中华人民共和国</w:t>
      </w:r>
      <w:bookmarkEnd w:id="114"/>
      <w:r>
        <w:rPr>
          <w:rFonts w:hint="eastAsia" w:ascii="仿宋" w:hAnsi="仿宋" w:eastAsia="仿宋" w:cs="Arial Narrow"/>
        </w:rPr>
        <w:t>国家安全法》、《中华人民共和国安全生产法》，根据《中华人民共和国安全管理条例》和省市区安全部门的要求。</w:t>
      </w:r>
    </w:p>
    <w:p w14:paraId="41670852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2、项目与部门职能的相关性；用于园区安全生产管理活动的经费。</w:t>
      </w:r>
    </w:p>
    <w:p w14:paraId="78CC6019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3、项目实施的意义；保障园区管辖区域安全生产稳定，完成上级单位制定的安全指标，培养合格园区安全生产管理人员，提高园区安全生产管理人员水平。</w:t>
      </w:r>
    </w:p>
    <w:p w14:paraId="2074B751">
      <w:pPr>
        <w:pStyle w:val="4"/>
        <w:ind w:firstLine="482" w:firstLineChars="200"/>
        <w:rPr>
          <w:rFonts w:ascii="Arial Narrow" w:hAnsi="Arial Narrow" w:cs="Arial Narrow"/>
        </w:rPr>
      </w:pPr>
      <w:bookmarkStart w:id="17" w:name="_Toc15550393"/>
      <w:r>
        <w:rPr>
          <w:rFonts w:hint="eastAsia" w:ascii="Arial Narrow" w:hAnsi="Arial Narrow" w:cs="Arial Narrow"/>
        </w:rPr>
        <w:t>（二）项目绩效目标</w:t>
      </w:r>
      <w:bookmarkEnd w:id="12"/>
      <w:bookmarkEnd w:id="17"/>
    </w:p>
    <w:bookmarkEnd w:id="13"/>
    <w:bookmarkEnd w:id="14"/>
    <w:bookmarkEnd w:id="15"/>
    <w:bookmarkEnd w:id="16"/>
    <w:p w14:paraId="75708B96">
      <w:pPr>
        <w:snapToGrid w:val="0"/>
        <w:ind w:firstLine="480"/>
        <w:rPr>
          <w:rFonts w:ascii="仿宋" w:hAnsi="仿宋" w:eastAsia="仿宋" w:cs="Arial Narrow"/>
        </w:rPr>
      </w:pPr>
      <w:bookmarkStart w:id="18" w:name="_Toc14165726"/>
      <w:r>
        <w:rPr>
          <w:rFonts w:hint="eastAsia" w:ascii="仿宋" w:hAnsi="仿宋" w:eastAsia="仿宋" w:cs="Arial Narrow"/>
        </w:rPr>
        <w:t>采取相应的事故预防和控制措施，避免人员伤害和财产损失的事故发生，保证从业人员的人身安全与健康，设备和设施免受损坏，环境免遭破坏，保证智慧生态城园区正常运营。</w:t>
      </w:r>
    </w:p>
    <w:p w14:paraId="2D862F93">
      <w:pPr>
        <w:pStyle w:val="4"/>
        <w:spacing w:before="204" w:beforeLines="50"/>
        <w:ind w:firstLine="482" w:firstLineChars="200"/>
        <w:rPr>
          <w:rFonts w:ascii="Arial Narrow" w:hAnsi="Arial Narrow" w:cs="Arial Narrow"/>
        </w:rPr>
      </w:pPr>
      <w:bookmarkStart w:id="19" w:name="_Toc15550394"/>
      <w:r>
        <w:rPr>
          <w:rFonts w:hint="eastAsia" w:ascii="Arial Narrow" w:hAnsi="Arial Narrow" w:cs="Arial Narrow"/>
        </w:rPr>
        <w:t>（三）项目经费来源和使用情况</w:t>
      </w:r>
      <w:bookmarkEnd w:id="18"/>
      <w:bookmarkEnd w:id="19"/>
    </w:p>
    <w:p w14:paraId="2F7769B9">
      <w:pPr>
        <w:snapToGrid w:val="0"/>
        <w:spacing w:before="204" w:beforeLines="5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1、项目资金来源</w:t>
      </w:r>
    </w:p>
    <w:p w14:paraId="4144C6B6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根据武汉经济技术开发区（汉南区）财政局文件《开发区（汉南区）财政局关于批复智慧生态城2018年预算的函》（武经开财预[2018]31号）及项目支出预算表，武汉经济技术开发区智慧生态城管理办公室“安全生产经费”项目预算批复的年初预算收支为100,000.00元，均系财政拨款。</w:t>
      </w:r>
    </w:p>
    <w:p w14:paraId="5AA63B11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2、项目资金使用概况</w:t>
      </w:r>
    </w:p>
    <w:p w14:paraId="52C6C701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截止到绩效评价日，项目计划支出100,000.00元，实际支出为</w:t>
      </w:r>
      <w:r>
        <w:rPr>
          <w:rFonts w:ascii="仿宋" w:hAnsi="仿宋" w:eastAsia="仿宋" w:cs="Arial Narrow"/>
        </w:rPr>
        <w:t>48,494.00</w:t>
      </w:r>
      <w:r>
        <w:rPr>
          <w:rFonts w:hint="eastAsia" w:ascii="仿宋" w:hAnsi="仿宋" w:eastAsia="仿宋" w:cs="Arial Narrow"/>
        </w:rPr>
        <w:t>元。包括办公费</w:t>
      </w:r>
      <w:r>
        <w:rPr>
          <w:rFonts w:ascii="仿宋" w:hAnsi="仿宋" w:eastAsia="仿宋" w:cs="Arial Narrow"/>
        </w:rPr>
        <w:t>4,640.00</w:t>
      </w:r>
      <w:r>
        <w:rPr>
          <w:rFonts w:hint="eastAsia" w:ascii="仿宋" w:hAnsi="仿宋" w:eastAsia="仿宋" w:cs="Arial Narrow"/>
        </w:rPr>
        <w:t>元,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Arial Narrow"/>
        </w:rPr>
        <w:t>印刷费</w:t>
      </w:r>
      <w:r>
        <w:rPr>
          <w:rFonts w:ascii="仿宋" w:hAnsi="仿宋" w:eastAsia="仿宋" w:cs="Arial Narrow"/>
        </w:rPr>
        <w:t>7,283.00</w:t>
      </w:r>
      <w:r>
        <w:rPr>
          <w:rFonts w:hint="eastAsia" w:ascii="仿宋" w:hAnsi="仿宋" w:eastAsia="仿宋" w:cs="Arial Narrow"/>
        </w:rPr>
        <w:t>元，培训费</w:t>
      </w:r>
      <w:r>
        <w:rPr>
          <w:rFonts w:ascii="仿宋" w:hAnsi="仿宋" w:eastAsia="仿宋" w:cs="Arial Narrow"/>
        </w:rPr>
        <w:t>2,226.00元</w:t>
      </w:r>
      <w:r>
        <w:rPr>
          <w:rFonts w:hint="eastAsia" w:ascii="仿宋" w:hAnsi="仿宋" w:eastAsia="仿宋" w:cs="Arial Narrow"/>
        </w:rPr>
        <w:t>，委托业务费</w:t>
      </w:r>
      <w:r>
        <w:rPr>
          <w:rFonts w:ascii="仿宋" w:hAnsi="仿宋" w:eastAsia="仿宋" w:cs="Arial Narrow"/>
        </w:rPr>
        <w:t>34,345.00元</w:t>
      </w:r>
      <w:r>
        <w:rPr>
          <w:rFonts w:hint="eastAsia" w:ascii="仿宋" w:hAnsi="仿宋" w:eastAsia="仿宋" w:cs="Arial Narrow"/>
        </w:rPr>
        <w:t>。资金使用率为48.49%。</w:t>
      </w:r>
    </w:p>
    <w:bookmarkEnd w:id="8"/>
    <w:bookmarkEnd w:id="9"/>
    <w:p w14:paraId="62583901">
      <w:pPr>
        <w:pStyle w:val="4"/>
        <w:spacing w:before="204" w:beforeLines="50"/>
        <w:ind w:firstLine="482" w:firstLineChars="200"/>
        <w:rPr>
          <w:rFonts w:ascii="Arial Narrow" w:hAnsi="Arial Narrow" w:cs="Arial Narrow"/>
        </w:rPr>
      </w:pPr>
      <w:bookmarkStart w:id="20" w:name="_Toc14165727"/>
      <w:bookmarkStart w:id="21" w:name="_Toc15550395"/>
      <w:r>
        <w:rPr>
          <w:rFonts w:hint="eastAsia" w:ascii="Arial Narrow" w:hAnsi="Arial Narrow" w:cs="Arial Narrow"/>
        </w:rPr>
        <w:t>（四）项目实施情况</w:t>
      </w:r>
      <w:bookmarkEnd w:id="20"/>
      <w:bookmarkEnd w:id="21"/>
    </w:p>
    <w:p w14:paraId="6303D138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1、项目实施单位：武汉经济技术开发区智慧生态城管理办公室</w:t>
      </w:r>
    </w:p>
    <w:p w14:paraId="341FE921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2、项目主要内容：明确当年申请预算资金的主要投向及工作任务。</w:t>
      </w:r>
    </w:p>
    <w:p w14:paraId="4876F97F">
      <w:pPr>
        <w:snapToGrid w:val="0"/>
        <w:ind w:firstLine="0" w:firstLineChars="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　  ①开展安全生产知识宣传教育活动；②组织安全生产管理培训；③对安全生产情况进行监理、检查、评比；④安全管理人员装备、安全器材设备设施购置。从多个方面维护园区安全生产、稳定发展，保障园区正常运营。</w:t>
      </w:r>
    </w:p>
    <w:p w14:paraId="4C751B5B">
      <w:pPr>
        <w:snapToGrid w:val="0"/>
        <w:spacing w:before="204" w:beforeLines="50"/>
        <w:ind w:firstLine="0" w:firstLineChars="0"/>
        <w:outlineLvl w:val="0"/>
        <w:rPr>
          <w:rFonts w:ascii="仿宋" w:hAnsi="仿宋" w:eastAsia="仿宋" w:cs="Arial Narrow"/>
          <w:b/>
        </w:rPr>
      </w:pPr>
      <w:bookmarkStart w:id="22" w:name="_Toc387957806"/>
      <w:bookmarkStart w:id="23" w:name="_Toc15550396"/>
      <w:bookmarkStart w:id="24" w:name="_Toc14372"/>
      <w:bookmarkStart w:id="25" w:name="_Toc406668031"/>
      <w:bookmarkStart w:id="26" w:name="_Toc14165728"/>
      <w:bookmarkStart w:id="27" w:name="_Toc361304681"/>
      <w:bookmarkStart w:id="28" w:name="_Toc406666357"/>
      <w:r>
        <w:rPr>
          <w:rFonts w:ascii="仿宋" w:hAnsi="仿宋" w:eastAsia="仿宋" w:cs="Arial Narrow"/>
          <w:b/>
        </w:rPr>
        <w:t>二、绩效评价工作情况</w:t>
      </w:r>
      <w:bookmarkEnd w:id="22"/>
      <w:bookmarkEnd w:id="23"/>
      <w:bookmarkEnd w:id="24"/>
      <w:bookmarkEnd w:id="25"/>
      <w:bookmarkEnd w:id="26"/>
      <w:bookmarkEnd w:id="27"/>
      <w:bookmarkEnd w:id="28"/>
      <w:bookmarkStart w:id="29" w:name="_Toc361304682"/>
    </w:p>
    <w:p w14:paraId="3C43100D">
      <w:pPr>
        <w:snapToGrid w:val="0"/>
        <w:ind w:firstLine="482"/>
        <w:outlineLvl w:val="1"/>
        <w:rPr>
          <w:rFonts w:ascii="仿宋" w:hAnsi="仿宋" w:eastAsia="仿宋" w:cs="Arial Narrow"/>
          <w:b/>
          <w:bCs/>
        </w:rPr>
      </w:pPr>
      <w:bookmarkStart w:id="30" w:name="_Toc387957807"/>
      <w:bookmarkStart w:id="31" w:name="_Toc406668032"/>
      <w:bookmarkStart w:id="32" w:name="_Toc15550397"/>
      <w:bookmarkStart w:id="33" w:name="_Toc29064"/>
      <w:bookmarkStart w:id="34" w:name="_Toc14165729"/>
      <w:bookmarkStart w:id="35" w:name="_Toc406666358"/>
      <w:r>
        <w:rPr>
          <w:rFonts w:ascii="仿宋" w:hAnsi="仿宋" w:eastAsia="仿宋" w:cs="Arial Narrow"/>
          <w:b/>
          <w:bCs/>
        </w:rPr>
        <w:t>（一）绩效评价目</w:t>
      </w:r>
      <w:bookmarkEnd w:id="29"/>
      <w:bookmarkEnd w:id="30"/>
      <w:r>
        <w:rPr>
          <w:rFonts w:ascii="仿宋" w:hAnsi="仿宋" w:eastAsia="仿宋" w:cs="Arial Narrow"/>
          <w:b/>
          <w:bCs/>
        </w:rPr>
        <w:t>的</w:t>
      </w:r>
      <w:bookmarkEnd w:id="31"/>
      <w:bookmarkEnd w:id="32"/>
      <w:bookmarkEnd w:id="33"/>
      <w:bookmarkEnd w:id="34"/>
      <w:bookmarkEnd w:id="35"/>
    </w:p>
    <w:p w14:paraId="60E15C43">
      <w:pPr>
        <w:snapToGrid w:val="0"/>
        <w:ind w:firstLine="480"/>
        <w:rPr>
          <w:rFonts w:ascii="仿宋" w:hAnsi="仿宋" w:eastAsia="仿宋" w:cs="Arial Narrow"/>
          <w:b/>
          <w:bCs/>
        </w:rPr>
      </w:pPr>
      <w:r>
        <w:rPr>
          <w:rFonts w:hint="eastAsia" w:ascii="仿宋" w:hAnsi="仿宋" w:eastAsia="仿宋" w:cs="Arial Narrow"/>
        </w:rPr>
        <w:t>本次绩效评价的目的是通过对财政专项资金支出的“追踪问效”，考核、评价财</w:t>
      </w:r>
      <w:r>
        <w:rPr>
          <w:rFonts w:hint="eastAsia" w:ascii="仿宋" w:hAnsi="仿宋" w:eastAsia="仿宋" w:cs="Arial Narrow"/>
          <w:bCs/>
        </w:rPr>
        <w:t>政预算中由武汉经济技术开发区智慧生态城管理办公室承担的“安全生产经费”专项支出的实施和运作情况，检验项目支出是否达到预期目标，以提高部门的绩效意识，为规范预算编制管理，优化支出结构，合理配置资源，提高财政资金使用效率和效益提供参考依据。</w:t>
      </w:r>
    </w:p>
    <w:p w14:paraId="73011162">
      <w:pPr>
        <w:snapToGrid w:val="0"/>
        <w:ind w:firstLine="482"/>
        <w:jc w:val="left"/>
        <w:outlineLvl w:val="1"/>
        <w:rPr>
          <w:rFonts w:ascii="仿宋" w:hAnsi="仿宋" w:eastAsia="仿宋" w:cs="Arial Narrow"/>
          <w:b/>
          <w:bCs/>
        </w:rPr>
      </w:pPr>
      <w:bookmarkStart w:id="36" w:name="_Toc32197"/>
      <w:bookmarkStart w:id="37" w:name="_Toc14165730"/>
      <w:bookmarkStart w:id="38" w:name="_Toc15550398"/>
      <w:bookmarkStart w:id="39" w:name="_Toc387957809"/>
      <w:bookmarkStart w:id="40" w:name="_Toc361304684"/>
      <w:bookmarkStart w:id="41" w:name="_Toc406666359"/>
      <w:bookmarkStart w:id="42" w:name="_Toc406668033"/>
      <w:bookmarkStart w:id="43" w:name="_Toc361302025"/>
      <w:r>
        <w:rPr>
          <w:rFonts w:ascii="仿宋" w:hAnsi="仿宋" w:eastAsia="仿宋" w:cs="Arial Narrow"/>
          <w:b/>
          <w:bCs/>
        </w:rPr>
        <w:t>（二）绩效评价</w:t>
      </w:r>
      <w:r>
        <w:rPr>
          <w:rFonts w:hint="eastAsia" w:ascii="仿宋" w:hAnsi="仿宋" w:eastAsia="仿宋" w:cs="Arial Narrow"/>
          <w:b/>
          <w:bCs/>
        </w:rPr>
        <w:t>工作</w:t>
      </w:r>
      <w:r>
        <w:rPr>
          <w:rFonts w:ascii="仿宋" w:hAnsi="仿宋" w:eastAsia="仿宋" w:cs="Arial Narrow"/>
          <w:b/>
          <w:bCs/>
        </w:rPr>
        <w:t>过程</w:t>
      </w:r>
      <w:bookmarkEnd w:id="36"/>
      <w:bookmarkEnd w:id="37"/>
      <w:bookmarkEnd w:id="38"/>
    </w:p>
    <w:p w14:paraId="6E1C4B50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1、绩效评价准备阶段</w:t>
      </w:r>
    </w:p>
    <w:p w14:paraId="0E94C354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确定评价对象。根据下达的绩效评价通知书，制订绩效评价工作方案。</w:t>
      </w:r>
    </w:p>
    <w:p w14:paraId="59471DF4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2、绩效评价实施阶段</w:t>
      </w:r>
    </w:p>
    <w:p w14:paraId="022D36A8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（1）拟定评价工作方案；</w:t>
      </w:r>
    </w:p>
    <w:p w14:paraId="3709569F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（2）资料审核；</w:t>
      </w:r>
    </w:p>
    <w:p w14:paraId="530ADA0B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（3）撰写绩效报告；</w:t>
      </w:r>
    </w:p>
    <w:p w14:paraId="35400F00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（4）实施绩效评价。</w:t>
      </w:r>
    </w:p>
    <w:p w14:paraId="5D950BF6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3、绩效评价总结阶段</w:t>
      </w:r>
    </w:p>
    <w:p w14:paraId="0870A229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（1）撰写报告；</w:t>
      </w:r>
    </w:p>
    <w:p w14:paraId="79142EDD">
      <w:pPr>
        <w:snapToGrid w:val="0"/>
        <w:ind w:firstLine="480"/>
        <w:jc w:val="left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（2）提交报告。</w:t>
      </w:r>
    </w:p>
    <w:p w14:paraId="62B84052">
      <w:pPr>
        <w:snapToGrid w:val="0"/>
        <w:spacing w:before="204" w:beforeLines="50"/>
        <w:ind w:firstLine="482"/>
        <w:jc w:val="left"/>
        <w:outlineLvl w:val="1"/>
        <w:rPr>
          <w:rFonts w:ascii="仿宋" w:hAnsi="仿宋" w:eastAsia="仿宋" w:cs="Arial Narrow"/>
          <w:b/>
        </w:rPr>
      </w:pPr>
      <w:bookmarkStart w:id="44" w:name="_Toc14165731"/>
      <w:bookmarkStart w:id="45" w:name="_Toc15550399"/>
      <w:r>
        <w:rPr>
          <w:rFonts w:hint="eastAsia" w:ascii="仿宋" w:hAnsi="仿宋" w:eastAsia="仿宋" w:cs="Arial Narrow"/>
          <w:b/>
        </w:rPr>
        <w:t>（三）绩效评价框架</w:t>
      </w:r>
      <w:bookmarkEnd w:id="44"/>
      <w:bookmarkEnd w:id="45"/>
    </w:p>
    <w:p w14:paraId="3A6CE563">
      <w:pPr>
        <w:snapToGrid w:val="0"/>
        <w:ind w:firstLine="482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>1、评价原则</w:t>
      </w:r>
    </w:p>
    <w:p w14:paraId="43126D8E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4FCED3BA">
      <w:pPr>
        <w:snapToGrid w:val="0"/>
        <w:ind w:firstLine="482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>2、评价依据</w:t>
      </w:r>
    </w:p>
    <w:p w14:paraId="6A340F91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（1）《中华人民共和国预算法》；</w:t>
      </w:r>
    </w:p>
    <w:p w14:paraId="67E1B7B9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（2）《财政支出绩效评价管理暂行办法》（财预[2011]285号）；</w:t>
      </w:r>
    </w:p>
    <w:p w14:paraId="60BEDCF4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（3）《财政部关于推进预算绩效管理的指导意见》（财预[2011]416号）；</w:t>
      </w:r>
    </w:p>
    <w:p w14:paraId="483C03FC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（4）《湖北省省级财政项目资金绩效评价实施暂行办法》（鄂财绩发[2012]5号）；</w:t>
      </w:r>
    </w:p>
    <w:p w14:paraId="50C05774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（5）《关于推进预算绩效管理的意见》(武政[2013]95号)；</w:t>
      </w:r>
    </w:p>
    <w:p w14:paraId="24DFA7FC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（6） 武汉市财政局《关于进一步推进预算绩效管理改革工作的通知》；</w:t>
      </w:r>
    </w:p>
    <w:p w14:paraId="7D412E81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（7）《武汉经济技术开发区（汉南区）预算绩效评价管理暂行办法》；</w:t>
      </w:r>
    </w:p>
    <w:p w14:paraId="4D5E2BF1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（8）《中共武汉开发区工委（汉南区委）武汉开发区管委会（汉南区政府）关于全面推进预算绩效管理的实施意见》（武开〔2019〕11号）；</w:t>
      </w:r>
    </w:p>
    <w:p w14:paraId="05191876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（9）《区财政局关于2019年开展预算绩效评价工作的通知》 武经开财〔2019〕29号</w:t>
      </w:r>
    </w:p>
    <w:p w14:paraId="2ED3A10D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（10）项目资金使用明细表、与项目相关的财务账等资料；</w:t>
      </w:r>
    </w:p>
    <w:p w14:paraId="6EF8BDF2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（11）其他与项目评价相关的资料。</w:t>
      </w:r>
    </w:p>
    <w:p w14:paraId="1AC411D6">
      <w:pPr>
        <w:snapToGrid w:val="0"/>
        <w:ind w:firstLine="482"/>
        <w:jc w:val="left"/>
        <w:rPr>
          <w:rFonts w:ascii="仿宋" w:hAnsi="仿宋" w:eastAsia="仿宋" w:cs="Arial Narrow"/>
          <w:b/>
        </w:rPr>
      </w:pPr>
      <w:r>
        <w:rPr>
          <w:rFonts w:hint="eastAsia" w:ascii="仿宋" w:hAnsi="仿宋" w:eastAsia="仿宋" w:cs="Arial Narrow"/>
          <w:b/>
        </w:rPr>
        <w:t>3、评价方法</w:t>
      </w:r>
    </w:p>
    <w:p w14:paraId="5FAA10CC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主要采用成本效益分析法、比较法、因素分析法、最低成本法、公众评判法等。</w:t>
      </w:r>
    </w:p>
    <w:p w14:paraId="09DF3BC0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（1）成本效益分析法。是指将一定时期内的支出与效益进行对比分析，以评价绩效目标实现程度。</w:t>
      </w:r>
    </w:p>
    <w:p w14:paraId="023C576A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（2）比较法。是指通过对绩效目标与实施效果、历史与当期情况、不同部门和地区同类支出的比较，综合分析绩效目标实现程度。</w:t>
      </w:r>
    </w:p>
    <w:p w14:paraId="1E98CC98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（3）因素分析法。是指通过综合分析影响绩效目标实现、实施效果的内外因素，评价绩效目标实现程度。</w:t>
      </w:r>
    </w:p>
    <w:p w14:paraId="3A3325E8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（4）最低成本法。是指对效益确定却不易计量的多个同类对象的实施成本进行比较，评价绩效目标实现程度。</w:t>
      </w:r>
    </w:p>
    <w:p w14:paraId="6E4F91D6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（5）公众评判法。是指通过专家评估、公众问卷及抽样调查等对财政支出效果进行评判，评价绩效目标实现程度。</w:t>
      </w:r>
    </w:p>
    <w:p w14:paraId="685500CB">
      <w:pPr>
        <w:snapToGrid w:val="0"/>
        <w:ind w:firstLine="482"/>
        <w:jc w:val="left"/>
        <w:outlineLvl w:val="1"/>
        <w:rPr>
          <w:rFonts w:ascii="仿宋" w:hAnsi="仿宋" w:eastAsia="仿宋" w:cs="Arial Narrow"/>
          <w:b/>
        </w:rPr>
      </w:pPr>
      <w:bookmarkStart w:id="46" w:name="_Toc14165732"/>
      <w:bookmarkStart w:id="47" w:name="_Toc15550400"/>
      <w:r>
        <w:rPr>
          <w:rFonts w:hint="eastAsia" w:ascii="仿宋" w:hAnsi="仿宋" w:eastAsia="仿宋" w:cs="Arial Narrow"/>
          <w:b/>
        </w:rPr>
        <w:t>（四）评价抽样情况概述</w:t>
      </w:r>
      <w:bookmarkEnd w:id="39"/>
      <w:bookmarkEnd w:id="40"/>
      <w:bookmarkEnd w:id="41"/>
      <w:bookmarkEnd w:id="42"/>
      <w:bookmarkEnd w:id="43"/>
      <w:bookmarkEnd w:id="46"/>
      <w:bookmarkEnd w:id="47"/>
      <w:bookmarkStart w:id="48" w:name="_Toc387957819"/>
      <w:bookmarkStart w:id="49" w:name="_Toc18443"/>
      <w:bookmarkStart w:id="50" w:name="_Toc406666370"/>
      <w:bookmarkStart w:id="51" w:name="_Toc406668044"/>
      <w:bookmarkStart w:id="52" w:name="_Toc361304693"/>
      <w:bookmarkStart w:id="53" w:name="_Toc14165733"/>
    </w:p>
    <w:p w14:paraId="5CE1246C">
      <w:pPr>
        <w:snapToGrid w:val="0"/>
        <w:ind w:firstLine="480"/>
        <w:jc w:val="lef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1A5C586D">
      <w:pPr>
        <w:pStyle w:val="2"/>
        <w:spacing w:line="240" w:lineRule="auto"/>
        <w:rPr>
          <w:rFonts w:ascii="仿宋" w:hAnsi="仿宋" w:eastAsia="仿宋" w:cs="Arial Narrow"/>
          <w:b w:val="0"/>
          <w:sz w:val="24"/>
        </w:rPr>
      </w:pPr>
      <w:bookmarkStart w:id="54" w:name="_Toc15550401"/>
      <w:r>
        <w:rPr>
          <w:rFonts w:ascii="仿宋" w:hAnsi="仿宋" w:eastAsia="仿宋" w:cs="Arial Narrow"/>
          <w:sz w:val="24"/>
        </w:rPr>
        <w:t>三、绩效分析</w:t>
      </w:r>
      <w:bookmarkEnd w:id="48"/>
      <w:bookmarkEnd w:id="49"/>
      <w:bookmarkEnd w:id="50"/>
      <w:bookmarkEnd w:id="51"/>
      <w:bookmarkEnd w:id="52"/>
      <w:r>
        <w:rPr>
          <w:rFonts w:ascii="仿宋" w:hAnsi="仿宋" w:eastAsia="仿宋" w:cs="Arial Narrow"/>
          <w:sz w:val="24"/>
        </w:rPr>
        <w:t>及评价结论</w:t>
      </w:r>
      <w:bookmarkEnd w:id="53"/>
      <w:bookmarkEnd w:id="54"/>
    </w:p>
    <w:p w14:paraId="1D29E375">
      <w:pPr>
        <w:pStyle w:val="3"/>
        <w:spacing w:before="0" w:after="0" w:line="240" w:lineRule="auto"/>
        <w:ind w:firstLine="482"/>
        <w:rPr>
          <w:rFonts w:ascii="仿宋" w:hAnsi="仿宋" w:eastAsia="仿宋" w:cs="Arial Narrow"/>
          <w:b w:val="0"/>
          <w:sz w:val="24"/>
        </w:rPr>
      </w:pPr>
      <w:bookmarkStart w:id="55" w:name="_Toc15550402"/>
      <w:bookmarkStart w:id="56" w:name="_Toc14165734"/>
      <w:r>
        <w:rPr>
          <w:rFonts w:hint="eastAsia" w:ascii="仿宋" w:hAnsi="仿宋" w:eastAsia="仿宋" w:cs="Arial Narrow"/>
          <w:sz w:val="24"/>
        </w:rPr>
        <w:t>（一）</w:t>
      </w:r>
      <w:r>
        <w:rPr>
          <w:rFonts w:ascii="仿宋" w:hAnsi="仿宋" w:eastAsia="仿宋" w:cs="Arial Narrow"/>
          <w:sz w:val="24"/>
        </w:rPr>
        <w:t>绩效分析</w:t>
      </w:r>
      <w:bookmarkEnd w:id="55"/>
      <w:bookmarkEnd w:id="56"/>
    </w:p>
    <w:p w14:paraId="1490003D">
      <w:pPr>
        <w:pStyle w:val="4"/>
        <w:spacing w:line="240" w:lineRule="auto"/>
        <w:ind w:firstLine="482" w:firstLineChars="200"/>
        <w:rPr>
          <w:rFonts w:ascii="仿宋" w:hAnsi="仿宋" w:eastAsia="仿宋"/>
        </w:rPr>
      </w:pPr>
      <w:bookmarkStart w:id="57" w:name="_Toc2992"/>
      <w:bookmarkStart w:id="58" w:name="_Toc15550403"/>
      <w:bookmarkStart w:id="59" w:name="_Toc14165735"/>
      <w:bookmarkStart w:id="60" w:name="_Toc406668047"/>
      <w:bookmarkStart w:id="61" w:name="_Toc387957822"/>
      <w:bookmarkStart w:id="62" w:name="_Toc361304697"/>
      <w:bookmarkStart w:id="63" w:name="_Toc406666373"/>
      <w:bookmarkStart w:id="64" w:name="_Toc361302034"/>
      <w:r>
        <w:rPr>
          <w:rFonts w:hint="eastAsia" w:ascii="仿宋" w:hAnsi="仿宋" w:eastAsia="仿宋"/>
        </w:rPr>
        <w:t>1、</w:t>
      </w:r>
      <w:r>
        <w:rPr>
          <w:rFonts w:ascii="仿宋" w:hAnsi="仿宋" w:eastAsia="仿宋"/>
        </w:rPr>
        <w:t>项目</w:t>
      </w:r>
      <w:bookmarkStart w:id="65" w:name="_Toc394181010"/>
      <w:r>
        <w:rPr>
          <w:rFonts w:hint="eastAsia" w:ascii="仿宋" w:hAnsi="仿宋" w:eastAsia="仿宋"/>
        </w:rPr>
        <w:t>投入</w:t>
      </w:r>
      <w:r>
        <w:rPr>
          <w:rFonts w:ascii="仿宋" w:hAnsi="仿宋" w:eastAsia="仿宋"/>
        </w:rPr>
        <w:t>（</w:t>
      </w:r>
      <w:r>
        <w:rPr>
          <w:rFonts w:hint="eastAsia" w:ascii="仿宋" w:hAnsi="仿宋" w:eastAsia="仿宋"/>
        </w:rPr>
        <w:t>16</w:t>
      </w:r>
      <w:r>
        <w:rPr>
          <w:rFonts w:ascii="仿宋" w:hAnsi="仿宋" w:eastAsia="仿宋"/>
        </w:rPr>
        <w:t>分）</w:t>
      </w:r>
      <w:bookmarkEnd w:id="57"/>
      <w:bookmarkEnd w:id="58"/>
      <w:bookmarkEnd w:id="59"/>
      <w:bookmarkEnd w:id="65"/>
    </w:p>
    <w:p w14:paraId="5467CB26">
      <w:pPr>
        <w:snapToGrid w:val="0"/>
        <w:spacing w:before="204" w:beforeLines="5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经过综合计分，该指标得分为14分，评价等级为良。</w:t>
      </w:r>
    </w:p>
    <w:p w14:paraId="70E6CF6D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①项目立项（8分）</w:t>
      </w:r>
    </w:p>
    <w:p w14:paraId="4A6234C0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6分。</w:t>
      </w:r>
    </w:p>
    <w:p w14:paraId="603F1A30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a.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项目立项规范性，是指项目的申请、设立过程是否符合相关要求，用以反映和考核项目立项的规范情况。通过查阅《开发区（汉南区）财政局关于批复智慧生态城2018年预算的函》（武经开财预[2018]31号），得知项目立项按照程序申请设立，所提交的文件、材料符合相关要求。项目实施之前进行了可行性研究分析，并针对项目可能发生的重大调整问题制定了相应调整手续。得分4分</w:t>
      </w:r>
    </w:p>
    <w:p w14:paraId="7F90C3ED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 xml:space="preserve"> b.绩效目标合理性，是指项目所设定的绩效目标依据是否充分，是否符合客观事实，可以反映和考核项目绩效目标与项目实施的相符情况。项目实施单位设计了项目年度绩效目标和项目绩效指标，指标设定符合目标管理规范。绩效目标与项目年度任务数能够对应，实际项目支出与预算的项目资金量偏差较大。设置了绩效指标，但绩效指标不具体、可测性较差，难以利用绩效指标体现绩效目标的完成情况。得分2分。</w:t>
      </w:r>
    </w:p>
    <w:p w14:paraId="666BFFDB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②资金落实（8分）</w:t>
      </w:r>
    </w:p>
    <w:p w14:paraId="4CB9DC07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资金落实主要评价财政预算资金是否全额发放、资金到位是否及时。该情况主要是通过资金到位率和到位及时率两个指标来反映。经过综合计分，指标评价得分为8分。</w:t>
      </w:r>
    </w:p>
    <w:p w14:paraId="4CA55782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a.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资金到位率，是指实际到位资金与计划投入资金的比率，用以反映和考核资金落实情况对项目实施的总体保障程度。2018年初该项目计划投入资金10.00万元，实际到位资金共10.00万元，资金到位率100%。得分4分。</w:t>
      </w:r>
    </w:p>
    <w:p w14:paraId="71EFC96E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b.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到位及时率，是指项目及时到位资金与应到位资金的比率，用以反映和考核项目资金落实的及时性程度。武汉经济技术开发区（汉南区）财政局下达项目年初预算申报资金10.00万元，下达及时，到位及时率100%。得分4分。</w:t>
      </w:r>
    </w:p>
    <w:p w14:paraId="2B7BFF25">
      <w:pPr>
        <w:pStyle w:val="4"/>
        <w:ind w:firstLine="482" w:firstLineChars="200"/>
        <w:rPr>
          <w:rFonts w:ascii="仿宋" w:hAnsi="仿宋" w:eastAsia="仿宋" w:cs="Arial Narrow"/>
          <w:b w:val="0"/>
          <w:bCs w:val="0"/>
        </w:rPr>
      </w:pPr>
      <w:bookmarkStart w:id="66" w:name="_Toc15550404"/>
      <w:r>
        <w:rPr>
          <w:rFonts w:hint="eastAsia" w:ascii="仿宋" w:hAnsi="仿宋" w:eastAsia="仿宋" w:cs="Arial Narrow"/>
        </w:rPr>
        <w:t>2、</w:t>
      </w:r>
      <w:r>
        <w:rPr>
          <w:rFonts w:ascii="仿宋" w:hAnsi="仿宋" w:eastAsia="仿宋" w:cs="Arial Narrow"/>
        </w:rPr>
        <w:t>决策过程（</w:t>
      </w:r>
      <w:r>
        <w:rPr>
          <w:rFonts w:hint="eastAsia" w:ascii="仿宋" w:hAnsi="仿宋" w:eastAsia="仿宋" w:cs="Arial Narrow"/>
          <w:b w:val="0"/>
          <w:bCs w:val="0"/>
        </w:rPr>
        <w:t>24</w:t>
      </w:r>
      <w:r>
        <w:rPr>
          <w:rFonts w:ascii="仿宋" w:hAnsi="仿宋" w:eastAsia="仿宋" w:cs="Arial Narrow"/>
        </w:rPr>
        <w:t>分）</w:t>
      </w:r>
      <w:bookmarkEnd w:id="66"/>
    </w:p>
    <w:p w14:paraId="2780144C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过程指标主要从项目管理、财务管理两个方面来具体评价；主要考核项目管理制度的健全性、制度执行的有效性和项目质量的可控性，财务制度的健全性、资金使用的合规性及财务监控的有效性。对于该项的评价，评价小组主要采取了卷宗研究、现场访谈的方式进行资料收集、整理、核实和分析，收集了项目具体实施单位的业务管理制度、财务管理制度等相关文件和项目档案资料管理相关文件；对项目管理、资金使用情况进行评价，对项目过程涉及的指标进行打分，并逐级加权计算结果。经过综合计分，该指标得分为23分，评价结果为优。</w:t>
      </w:r>
    </w:p>
    <w:p w14:paraId="7A2A63AE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①项目管理（12分）</w:t>
      </w:r>
    </w:p>
    <w:p w14:paraId="6D32571D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项目管理主要评价管理制度是否健全、制度的执行是否有效、项目的质量是否可控。该指标主要通过管理制度健全性、制度执行有效性、项目质量可控性三个三级指标来反映。经过综合计分，该项指标评价得分为11分。</w:t>
      </w:r>
    </w:p>
    <w:p w14:paraId="02F0A39D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a.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管理制度健全性，是指项目管理制度是否健全，用以反映和考核项目管理制度对项目顺利实施的保障情况。根据《武汉经济技术开发区智慧生态城管理办公室管理工作制度汇编》中督办管理制度得知，项目实施单位已制定相关档案管理制度、安全生产检查制度、安全生产培训制度，并建立了安全生产应急预案。项目业务管理制度合法、合理、健全。得分4分。</w:t>
      </w:r>
    </w:p>
    <w:p w14:paraId="2726C832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b.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制度执行有效性，是指项目实施是否符合相关项目管理规定，用以反映和考核项目管理制度的有效执行情况。通过查阅项目相关资料以及访谈得知，项目实施单位在实施过程中，遵守了国家有关规定，并严格执行了安全管理、检查、培训制度，并定期或不定期的进行安全检查工作，项目实施的人员条件、场地设备、信息支撑等落实到位。得分4分。</w:t>
      </w:r>
    </w:p>
    <w:p w14:paraId="0E7E714A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c.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项目质量可控性，是指项目实施单位是否为达到项目质量要求而采取了必需的措施，用以反映和考核项目实施单位对项目质量的控制情况。项目实施单位制定了安全生产目标考核办法，并按照制度对园区内的安全生产情况进行了考核，对于管委会下发的有针对性安全检查形成相关文件记录，但未对安全生产检查结果形成相关文件。得分3分。</w:t>
      </w:r>
    </w:p>
    <w:p w14:paraId="54B05B3B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②财务管理（12分）</w:t>
      </w:r>
    </w:p>
    <w:p w14:paraId="74AC2FD4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经过综合计分，该项指标评价得分为12分。</w:t>
      </w:r>
    </w:p>
    <w:p w14:paraId="4FD1A1E8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a.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报销及现金管理制度》、公务卡管理办法等一系列相关财务制度，对经费审批程序和各类费用均有所规定，并严格按制度执行，项目经费支出审批齐全，会计核算规范。</w:t>
      </w:r>
    </w:p>
    <w:p w14:paraId="5C98EB59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委托业务费这一费用类别，资金使用符合项目合同规定的用途，不存在截留、挤占、挪用、虚列支出等情况。得分4分。</w:t>
      </w:r>
    </w:p>
    <w:p w14:paraId="17061B24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c.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财务监控有效性，是指项目实施单位是否为保障资金的安全、规范运行而采取了必要的监控措施，用以反映和考核项目实施单位对资金运行的控制情况。项目绩效评价小组通过查阅项目资料、支出凭证，项目实施单位建立了立项申报、审批、询价、政府采购等全过程跟踪管理的质量控制体系，财务监控有效运行。得分4分。</w:t>
      </w:r>
    </w:p>
    <w:p w14:paraId="376A10DA">
      <w:pPr>
        <w:pStyle w:val="4"/>
        <w:ind w:firstLine="482" w:firstLineChars="200"/>
        <w:rPr>
          <w:rFonts w:ascii="仿宋" w:hAnsi="仿宋" w:eastAsia="仿宋" w:cs="Arial Narrow"/>
        </w:rPr>
      </w:pPr>
      <w:bookmarkStart w:id="67" w:name="_Toc15550405"/>
      <w:r>
        <w:rPr>
          <w:rFonts w:hint="eastAsia" w:ascii="仿宋" w:hAnsi="仿宋" w:eastAsia="仿宋" w:cs="Arial Narrow"/>
        </w:rPr>
        <w:t>3、项目产出（28分）</w:t>
      </w:r>
      <w:bookmarkEnd w:id="67"/>
    </w:p>
    <w:p w14:paraId="080277C8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经过综合计分，该指标得分为24分，评价结果为良。</w:t>
      </w:r>
    </w:p>
    <w:p w14:paraId="6A92A93B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①实际完成率（7分），是指项目实施的实际产出数与计划产出数的比率，用以反映和考核项目产出数量目标的实现程度。项目实际产出达到计划产出标准，实际完成率100%。得分7分。</w:t>
      </w:r>
    </w:p>
    <w:p w14:paraId="002EF759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②完成及时率（7分），是指项目实际提前完成时间与计划完成时间的比率，用以反映和考核项目产出时效目标的实现程度。项目在规定时间内如期完成。得分7分。</w:t>
      </w:r>
    </w:p>
    <w:p w14:paraId="5D1A6294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③质量达标率（7分），是指项目完成的质量达标产出数与实际产出数的比率，用以反映和考核项目产出质量目标的实现程度。项目产出质量均已达标。得分7分。</w:t>
      </w:r>
    </w:p>
    <w:p w14:paraId="0E3C392A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④资金使用率（7分），是指项目实际支出与项目到位资金的比率，用以反映和考核项目资金使用情况。通过查看项目预算批复文件和支出明细表以及记账凭证得知，该项目到位资金为100,000元，实际支出为</w:t>
      </w:r>
      <w:r>
        <w:rPr>
          <w:rFonts w:ascii="仿宋" w:hAnsi="仿宋" w:eastAsia="仿宋" w:cs="Arial Narrow"/>
        </w:rPr>
        <w:t>48,494.00</w:t>
      </w:r>
      <w:r>
        <w:rPr>
          <w:rFonts w:hint="eastAsia" w:ascii="仿宋" w:hAnsi="仿宋" w:eastAsia="仿宋" w:cs="Arial Narrow"/>
        </w:rPr>
        <w:t>元，资金使用率为48.49%，资金使用率偏低。得分3分。</w:t>
      </w:r>
    </w:p>
    <w:p w14:paraId="66ADC058">
      <w:pPr>
        <w:pStyle w:val="4"/>
        <w:ind w:firstLine="482" w:firstLineChars="200"/>
        <w:rPr>
          <w:rFonts w:ascii="仿宋" w:hAnsi="仿宋" w:eastAsia="仿宋" w:cs="Arial Narrow"/>
        </w:rPr>
      </w:pPr>
      <w:bookmarkStart w:id="68" w:name="_Toc15550406"/>
      <w:r>
        <w:rPr>
          <w:rFonts w:hint="eastAsia" w:ascii="仿宋" w:hAnsi="仿宋" w:eastAsia="仿宋" w:cs="Arial Narrow"/>
        </w:rPr>
        <w:t>4、项目效果（32分）</w:t>
      </w:r>
      <w:bookmarkEnd w:id="68"/>
    </w:p>
    <w:p w14:paraId="7714F576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查看了项目实施单位的绩效报告，采集相关信息，对项目效果涉及的指标进行打分和评价。经过综合计分，该指标得分为31分，评价结果为优。</w:t>
      </w:r>
    </w:p>
    <w:p w14:paraId="40A2720C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（1）数量指标（8分）</w:t>
      </w:r>
    </w:p>
    <w:p w14:paraId="730A745F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①开展安全生产知识宣传教育活动，开展了安全生产管理、交通安全宣传、综合治理宣传、扫黑除恶宣传等多种宣传教育活动，共计制作了220副宣传条幅；制作了80套安全生产警示牌，包括安全生产规章制度、安全生产警示、交通安全宣传、除非宣传等；制作安全宣传手册、图片等1000余册，安全生产管理书籍300册、易拉宝15套。119消防安全宣传月活动-制作安全牌、条幅等，用于广告电子屏提醒。</w:t>
      </w:r>
      <w:r>
        <w:rPr>
          <w:rFonts w:hint="eastAsia" w:ascii="仿宋" w:hAnsi="仿宋" w:eastAsia="仿宋" w:cs="Arial Narrow"/>
        </w:rPr>
        <w:tab/>
      </w:r>
      <w:r>
        <w:rPr>
          <w:rFonts w:hint="eastAsia" w:ascii="仿宋" w:hAnsi="仿宋" w:eastAsia="仿宋" w:cs="Arial Narrow"/>
        </w:rPr>
        <w:t>②组织安全生产管理培训，组织园区企业、建设单位安全生产相关会议8次、安全生产月安全咨询活动1次、组织到相关安全教育基地参观学习2次。组织了安全教育培训2次、消防演练2次、参加上级相关活动5次。</w:t>
      </w:r>
    </w:p>
    <w:p w14:paraId="1510063E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③对安全生产情况进行监理、检查、评比，开展了常规安全隐患排查、安全的检查、每日一查，夜查等活动。</w:t>
      </w:r>
    </w:p>
    <w:p w14:paraId="209A89EB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④安全管理人员装备、安全器材设备设施购置，购买了200本安全生产书籍；为工作人员购置了安全用品，包括10个安全帽，4个强光手电筒；另外购买了240瓶花露水、400盒风油精、300盒人丹等安全物资，用于高温防暑，得分8分。</w:t>
      </w:r>
    </w:p>
    <w:p w14:paraId="003B40C3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（2）质量指标（6分）</w:t>
      </w:r>
    </w:p>
    <w:p w14:paraId="7E2D3A44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①安全生产事故发生率，是指项目实施后，项目实施单位是否发生安全责任事故，是否降低安全生产事故发生率。通过查阅相关的文件和访谈得知，项目实施单位2018年未发生安全责任事故。</w:t>
      </w:r>
    </w:p>
    <w:p w14:paraId="0C2A41F5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②安全知识普及度，是指项目实施后，项目实施单位服务对象安全知识普及范围是否提升。通过发放20份问卷，有效问卷19份，其中认为安全知识普及程度高的为16人，认为普及较高的为3人，安全意识提升度为90%，普及程度比较广泛。得分6分。</w:t>
      </w:r>
    </w:p>
    <w:p w14:paraId="1078A7D0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3）社会效益指标（6分），项目实施对社会发展所带来的的直接或间接影响情况。通过实施“安全生产经费”项目，提高了人民群众安全生产的防范意识，扩大了安全知识的普及范围，帮助群众掌握安全生产的技巧，降低了人员伤害和财产损失事故的发生。得分6分。</w:t>
      </w:r>
    </w:p>
    <w:p w14:paraId="4930E922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（4）</w:t>
      </w:r>
      <w:r>
        <w:rPr>
          <w:rFonts w:ascii="仿宋" w:hAnsi="仿宋" w:eastAsia="仿宋" w:cs="Arial Narrow"/>
        </w:rPr>
        <w:t>可持续影响</w:t>
      </w:r>
      <w:r>
        <w:rPr>
          <w:rFonts w:hint="eastAsia" w:ascii="仿宋" w:hAnsi="仿宋" w:eastAsia="仿宋" w:cs="Arial Narrow"/>
        </w:rPr>
        <w:t>（6分）</w:t>
      </w:r>
      <w:r>
        <w:rPr>
          <w:rFonts w:ascii="仿宋" w:hAnsi="仿宋" w:eastAsia="仿宋" w:cs="Arial Narrow"/>
        </w:rPr>
        <w:t>，是指项目后续运行及成效发挥的可持续影响情况。项目实施单位</w:t>
      </w:r>
      <w:r>
        <w:rPr>
          <w:rFonts w:hint="eastAsia" w:ascii="仿宋" w:hAnsi="仿宋" w:eastAsia="仿宋" w:cs="Arial Narrow"/>
        </w:rPr>
        <w:t>立项符合政策要求，属于常年性、持续性项目，项目经费有保障，同时配备了人员对单位管理工作进行维护与保障。得分6分。</w:t>
      </w:r>
    </w:p>
    <w:p w14:paraId="2EDC2843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（5）</w:t>
      </w:r>
      <w:r>
        <w:rPr>
          <w:rFonts w:ascii="仿宋" w:hAnsi="仿宋" w:eastAsia="仿宋" w:cs="Arial Narrow"/>
        </w:rPr>
        <w:t>服务对象满意度</w:t>
      </w:r>
      <w:r>
        <w:rPr>
          <w:rFonts w:hint="eastAsia" w:ascii="仿宋" w:hAnsi="仿宋" w:eastAsia="仿宋" w:cs="Arial Narrow"/>
        </w:rPr>
        <w:t>（6分）</w:t>
      </w:r>
      <w:r>
        <w:rPr>
          <w:rFonts w:ascii="仿宋" w:hAnsi="仿宋" w:eastAsia="仿宋" w:cs="Arial Narrow"/>
        </w:rPr>
        <w:t>，是指服务对象对项目实施的满意程度，用以反应和考核项目实施单位的项目实施成果。</w:t>
      </w:r>
      <w:r>
        <w:rPr>
          <w:rFonts w:hint="eastAsia" w:ascii="仿宋" w:hAnsi="仿宋" w:eastAsia="仿宋" w:cs="Arial Narrow"/>
        </w:rPr>
        <w:t>本项目的实施降低了人员伤害和财产损失事故的发生，保证了从业人员的人身安全与健康，同时避免了设备和设施收到损坏，保护了环境，群众的合法权益得到了有效保障，群众满意度高，满意率为95%。得分5分。</w:t>
      </w:r>
      <w:r>
        <w:rPr>
          <w:rFonts w:ascii="仿宋" w:hAnsi="仿宋" w:eastAsia="仿宋" w:cs="Arial Narrow"/>
        </w:rPr>
        <w:t xml:space="preserve"> </w:t>
      </w:r>
    </w:p>
    <w:bookmarkEnd w:id="60"/>
    <w:bookmarkEnd w:id="61"/>
    <w:bookmarkEnd w:id="62"/>
    <w:bookmarkEnd w:id="63"/>
    <w:bookmarkEnd w:id="64"/>
    <w:p w14:paraId="40F34026">
      <w:pPr>
        <w:pStyle w:val="3"/>
        <w:spacing w:before="0" w:after="0" w:line="360" w:lineRule="auto"/>
        <w:ind w:firstLine="480"/>
        <w:rPr>
          <w:rFonts w:ascii="仿宋" w:hAnsi="仿宋" w:eastAsia="仿宋" w:cs="Arial Narrow"/>
          <w:b w:val="0"/>
          <w:bCs w:val="0"/>
          <w:sz w:val="24"/>
        </w:rPr>
      </w:pPr>
      <w:bookmarkStart w:id="69" w:name="_Toc15550407"/>
      <w:bookmarkStart w:id="70" w:name="_Toc406668051"/>
      <w:bookmarkStart w:id="71" w:name="_Toc361302038"/>
      <w:bookmarkStart w:id="72" w:name="_Toc361304701"/>
      <w:bookmarkStart w:id="73" w:name="_Toc387957826"/>
      <w:bookmarkStart w:id="74" w:name="_Toc14165738"/>
      <w:bookmarkStart w:id="75" w:name="_Toc17932"/>
      <w:bookmarkStart w:id="76" w:name="_Toc406666377"/>
      <w:r>
        <w:rPr>
          <w:rFonts w:hint="eastAsia" w:ascii="仿宋" w:hAnsi="仿宋" w:eastAsia="仿宋" w:cs="Arial Narrow"/>
          <w:b w:val="0"/>
          <w:bCs w:val="0"/>
          <w:sz w:val="24"/>
        </w:rPr>
        <w:t>（二）</w:t>
      </w:r>
      <w:r>
        <w:rPr>
          <w:rFonts w:ascii="仿宋" w:hAnsi="仿宋" w:eastAsia="仿宋" w:cs="Arial Narrow"/>
          <w:sz w:val="24"/>
        </w:rPr>
        <w:t>评价结论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Start w:id="77" w:name="_Toc361302039"/>
      <w:bookmarkStart w:id="78" w:name="_Toc361304702"/>
    </w:p>
    <w:bookmarkEnd w:id="77"/>
    <w:bookmarkEnd w:id="78"/>
    <w:p w14:paraId="7427AF82">
      <w:pPr>
        <w:snapToGrid w:val="0"/>
        <w:ind w:firstLine="480"/>
        <w:rPr>
          <w:rFonts w:ascii="仿宋" w:hAnsi="仿宋" w:eastAsia="仿宋" w:cs="Arial Narrow"/>
          <w:bCs/>
        </w:rPr>
      </w:pPr>
      <w:r>
        <w:rPr>
          <w:rFonts w:ascii="仿宋" w:hAnsi="仿宋" w:eastAsia="仿宋" w:cs="Arial Narrow"/>
          <w:bCs/>
        </w:rPr>
        <w:t>1</w:t>
      </w:r>
      <w:r>
        <w:rPr>
          <w:rFonts w:hint="eastAsia" w:ascii="仿宋" w:hAnsi="仿宋" w:eastAsia="仿宋" w:cs="Arial Narrow"/>
          <w:bCs/>
        </w:rPr>
        <w:t>、</w:t>
      </w:r>
      <w:r>
        <w:rPr>
          <w:rFonts w:ascii="仿宋" w:hAnsi="仿宋" w:eastAsia="仿宋" w:cs="Arial Narrow"/>
          <w:bCs/>
        </w:rPr>
        <w:t>评分结果</w:t>
      </w:r>
    </w:p>
    <w:p w14:paraId="4879F969">
      <w:pPr>
        <w:snapToGrid w:val="0"/>
        <w:ind w:firstLine="480"/>
        <w:rPr>
          <w:rFonts w:ascii="仿宋" w:hAnsi="仿宋" w:eastAsia="仿宋" w:cs="Arial Narrow"/>
        </w:rPr>
      </w:pPr>
      <w:bookmarkStart w:id="79" w:name="_Toc406666380"/>
      <w:bookmarkStart w:id="80" w:name="_Toc406668054"/>
      <w:bookmarkStart w:id="81" w:name="_Toc387957829"/>
      <w:bookmarkStart w:id="82" w:name="_Toc361304705"/>
      <w:r>
        <w:rPr>
          <w:rFonts w:hint="eastAsia" w:ascii="仿宋" w:hAnsi="仿宋" w:eastAsia="仿宋" w:cs="Arial Narrow"/>
        </w:rPr>
        <w:t>武汉经济技术开发区智慧生态城管理办公室“安全生产经费”项目绩效评价综合得分为92分，评价结果为优。</w:t>
      </w:r>
    </w:p>
    <w:p w14:paraId="4B28206E">
      <w:pPr>
        <w:snapToGrid w:val="0"/>
        <w:ind w:firstLine="480"/>
        <w:rPr>
          <w:rFonts w:ascii="仿宋" w:hAnsi="仿宋" w:eastAsia="仿宋" w:cs="Arial Narrow"/>
          <w:bCs/>
        </w:rPr>
      </w:pPr>
      <w:r>
        <w:rPr>
          <w:rFonts w:hint="eastAsia" w:ascii="仿宋" w:hAnsi="仿宋" w:eastAsia="仿宋" w:cs="Arial Narrow"/>
          <w:bCs/>
        </w:rPr>
        <w:t>2、主要结论</w:t>
      </w:r>
    </w:p>
    <w:p w14:paraId="578F2436">
      <w:pPr>
        <w:snapToGrid w:val="0"/>
        <w:ind w:firstLine="480"/>
        <w:rPr>
          <w:rFonts w:ascii="仿宋" w:hAnsi="仿宋" w:eastAsia="仿宋" w:cs="Arial Narrow"/>
          <w:bCs/>
        </w:rPr>
      </w:pPr>
      <w:bookmarkStart w:id="83" w:name="_Toc14373"/>
      <w:bookmarkStart w:id="84" w:name="_Toc14165739"/>
      <w:r>
        <w:rPr>
          <w:rFonts w:hint="eastAsia" w:ascii="仿宋" w:hAnsi="仿宋" w:eastAsia="仿宋" w:cs="Arial Narrow"/>
          <w:bCs/>
        </w:rPr>
        <w:t>按照年度工作安排要求，安全生产经费专项绩效已按要求的时间节点展开工作。</w:t>
      </w:r>
    </w:p>
    <w:p w14:paraId="620F24F2">
      <w:pPr>
        <w:pStyle w:val="2"/>
        <w:rPr>
          <w:rFonts w:ascii="仿宋" w:hAnsi="仿宋" w:eastAsia="仿宋" w:cs="Arial Narrow"/>
          <w:sz w:val="24"/>
        </w:rPr>
      </w:pPr>
      <w:bookmarkStart w:id="85" w:name="_Toc15550408"/>
      <w:r>
        <w:rPr>
          <w:rFonts w:hint="eastAsia" w:ascii="仿宋" w:hAnsi="仿宋" w:eastAsia="仿宋" w:cs="Arial Narrow"/>
          <w:sz w:val="24"/>
        </w:rPr>
        <w:t>四</w:t>
      </w:r>
      <w:r>
        <w:rPr>
          <w:rFonts w:ascii="仿宋" w:hAnsi="仿宋" w:eastAsia="仿宋" w:cs="Arial Narrow"/>
          <w:sz w:val="24"/>
        </w:rPr>
        <w:t>、</w:t>
      </w:r>
      <w:bookmarkEnd w:id="79"/>
      <w:bookmarkEnd w:id="80"/>
      <w:bookmarkEnd w:id="81"/>
      <w:bookmarkEnd w:id="82"/>
      <w:r>
        <w:rPr>
          <w:rFonts w:ascii="仿宋" w:hAnsi="仿宋" w:eastAsia="仿宋" w:cs="Arial Narrow"/>
          <w:sz w:val="24"/>
        </w:rPr>
        <w:t>主要</w:t>
      </w:r>
      <w:r>
        <w:rPr>
          <w:rFonts w:hint="eastAsia" w:ascii="仿宋" w:hAnsi="仿宋" w:eastAsia="仿宋" w:cs="Arial Narrow"/>
          <w:sz w:val="24"/>
        </w:rPr>
        <w:t>经验</w:t>
      </w:r>
      <w:r>
        <w:rPr>
          <w:rFonts w:ascii="仿宋" w:hAnsi="仿宋" w:eastAsia="仿宋" w:cs="Arial Narrow"/>
          <w:sz w:val="24"/>
        </w:rPr>
        <w:t>及做法、存在的问题和建议</w:t>
      </w:r>
      <w:bookmarkEnd w:id="83"/>
      <w:bookmarkEnd w:id="84"/>
      <w:bookmarkEnd w:id="85"/>
    </w:p>
    <w:p w14:paraId="48806DCF">
      <w:pPr>
        <w:pStyle w:val="4"/>
        <w:ind w:firstLine="480" w:firstLineChars="200"/>
        <w:rPr>
          <w:rFonts w:ascii="仿宋" w:hAnsi="仿宋" w:eastAsia="仿宋" w:cs="Arial Narrow"/>
          <w:b w:val="0"/>
          <w:bCs w:val="0"/>
        </w:rPr>
      </w:pPr>
      <w:bookmarkStart w:id="86" w:name="_Toc406666381"/>
      <w:bookmarkStart w:id="87" w:name="_Toc15550409"/>
      <w:bookmarkStart w:id="88" w:name="_Toc406668055"/>
      <w:bookmarkStart w:id="89" w:name="_Toc27928"/>
      <w:bookmarkStart w:id="90" w:name="_Toc361304706"/>
      <w:bookmarkStart w:id="91" w:name="_Toc387957830"/>
      <w:bookmarkStart w:id="92" w:name="_Toc14165740"/>
      <w:r>
        <w:rPr>
          <w:rFonts w:hint="eastAsia" w:ascii="仿宋" w:hAnsi="仿宋" w:eastAsia="仿宋" w:cs="Arial Narrow"/>
          <w:b w:val="0"/>
          <w:bCs w:val="0"/>
        </w:rPr>
        <w:t>（一）</w:t>
      </w:r>
      <w:r>
        <w:rPr>
          <w:rFonts w:ascii="仿宋" w:hAnsi="仿宋" w:eastAsia="仿宋" w:cs="Arial Narrow"/>
        </w:rPr>
        <w:t>主要经验及做法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3117391A">
      <w:pPr>
        <w:snapToGrid w:val="0"/>
        <w:ind w:firstLine="480"/>
        <w:rPr>
          <w:rFonts w:ascii="仿宋" w:hAnsi="仿宋" w:eastAsia="仿宋" w:cs="Arial Narrow"/>
        </w:rPr>
      </w:pPr>
      <w:bookmarkStart w:id="93" w:name="_Toc406666382"/>
      <w:bookmarkStart w:id="94" w:name="_Toc406668056"/>
      <w:bookmarkStart w:id="95" w:name="_Toc16696"/>
      <w:bookmarkStart w:id="96" w:name="_Toc387957833"/>
      <w:r>
        <w:rPr>
          <w:rFonts w:hint="eastAsia" w:ascii="仿宋" w:hAnsi="仿宋" w:eastAsia="仿宋" w:cs="Arial Narrow"/>
        </w:rPr>
        <w:t>武汉经济技术开发区智慧生态城管理办公室，开展了安全生产管理、交通安全宣传、综合治理宣传、扫黑除恶宣传等多种宣传教育活动，制作安全生产警示牌、安全宣传手册，组织园区企业、建设单位安全生产相关会议，组织到相关安全教育基地参观学习，进行安全教育培训、消防演练，对安全生产情况进行监理、检查、评比，开展了常规安全隐患排查、安全的检查、每日一查，夜查等活动，进行安全管理人员装备、安全器材设备设施购置。从多个方面维护园区安全生产、稳定发展，保障园区正常运营。人民群众的欢迎和好评。</w:t>
      </w:r>
    </w:p>
    <w:p w14:paraId="7C8D2626">
      <w:pPr>
        <w:pStyle w:val="4"/>
        <w:ind w:firstLine="480" w:firstLineChars="200"/>
        <w:rPr>
          <w:rFonts w:ascii="仿宋" w:hAnsi="仿宋" w:eastAsia="仿宋" w:cs="Arial Narrow"/>
          <w:b w:val="0"/>
          <w:bCs w:val="0"/>
        </w:rPr>
      </w:pPr>
      <w:bookmarkStart w:id="97" w:name="_Toc14165741"/>
      <w:bookmarkStart w:id="98" w:name="_Toc15550410"/>
      <w:r>
        <w:rPr>
          <w:rFonts w:hint="eastAsia" w:ascii="仿宋" w:hAnsi="仿宋" w:eastAsia="仿宋" w:cs="Arial Narrow"/>
          <w:b w:val="0"/>
          <w:bCs w:val="0"/>
        </w:rPr>
        <w:t>（二）</w:t>
      </w:r>
      <w:r>
        <w:rPr>
          <w:rFonts w:ascii="仿宋" w:hAnsi="仿宋" w:eastAsia="仿宋" w:cs="Arial Narrow"/>
        </w:rPr>
        <w:t>存在的问题</w:t>
      </w:r>
      <w:bookmarkEnd w:id="93"/>
      <w:bookmarkEnd w:id="94"/>
      <w:bookmarkEnd w:id="95"/>
      <w:bookmarkEnd w:id="97"/>
      <w:bookmarkEnd w:id="98"/>
    </w:p>
    <w:p w14:paraId="7CA5D7F1">
      <w:pPr>
        <w:snapToGrid w:val="0"/>
        <w:ind w:firstLine="480"/>
        <w:rPr>
          <w:rFonts w:ascii="仿宋" w:hAnsi="仿宋" w:eastAsia="仿宋" w:cs="Arial Narrow"/>
        </w:rPr>
      </w:pPr>
      <w:bookmarkStart w:id="99" w:name="_Toc28128"/>
      <w:r>
        <w:rPr>
          <w:rFonts w:hint="eastAsia" w:ascii="仿宋" w:hAnsi="仿宋" w:eastAsia="仿宋" w:cs="Arial Narrow"/>
        </w:rPr>
        <w:t>项目资金使用率为48.49%，实际项目支出与预算的项目资金量偏差较大。项目实施单位制定绩效指标，但绩效指标不具体、可测性较差，难以利用绩效指标体现绩效目标的完成情况。</w:t>
      </w:r>
    </w:p>
    <w:p w14:paraId="253DBB9C">
      <w:pPr>
        <w:pStyle w:val="4"/>
        <w:ind w:firstLine="480" w:firstLineChars="200"/>
        <w:rPr>
          <w:rFonts w:ascii="仿宋" w:hAnsi="仿宋" w:eastAsia="仿宋" w:cs="Arial Narrow"/>
          <w:b w:val="0"/>
          <w:bCs w:val="0"/>
        </w:rPr>
      </w:pPr>
      <w:bookmarkStart w:id="100" w:name="_Toc14165742"/>
      <w:bookmarkStart w:id="101" w:name="_Toc15550411"/>
      <w:r>
        <w:rPr>
          <w:rFonts w:hint="eastAsia" w:ascii="仿宋" w:hAnsi="仿宋" w:eastAsia="仿宋" w:cs="Arial Narrow"/>
          <w:b w:val="0"/>
          <w:bCs w:val="0"/>
        </w:rPr>
        <w:t>（三）</w:t>
      </w:r>
      <w:r>
        <w:rPr>
          <w:rFonts w:ascii="仿宋" w:hAnsi="仿宋" w:eastAsia="仿宋" w:cs="Arial Narrow"/>
        </w:rPr>
        <w:t>建议</w:t>
      </w:r>
      <w:bookmarkEnd w:id="96"/>
      <w:bookmarkEnd w:id="99"/>
      <w:bookmarkEnd w:id="100"/>
      <w:bookmarkEnd w:id="101"/>
      <w:bookmarkStart w:id="102" w:name="_Toc387957834"/>
    </w:p>
    <w:p w14:paraId="1CFDC1FA">
      <w:pPr>
        <w:snapToGrid w:val="0"/>
        <w:ind w:firstLine="480"/>
        <w:rPr>
          <w:rFonts w:ascii="仿宋" w:hAnsi="仿宋" w:eastAsia="仿宋" w:cs="Arial Narrow"/>
        </w:rPr>
      </w:pPr>
      <w:bookmarkStart w:id="103" w:name="_Toc9981"/>
      <w:r>
        <w:rPr>
          <w:rFonts w:hint="eastAsia" w:ascii="仿宋" w:hAnsi="仿宋" w:eastAsia="仿宋" w:cs="Arial Narrow"/>
        </w:rPr>
        <w:t>（1）项目实施单位可以根据自身资金能力和发展需求，统筹预算安排，充分掌握项目的实际资金需求，制定合理的财务预算明细，做到既能维持项目正常运转，又能兼顾长期发展，提高资金利用率，实现长期、稳定、可持续发展。</w:t>
      </w:r>
    </w:p>
    <w:p w14:paraId="47C4D40D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（2）做好基础信息的收集和分析工作，为绩效指标值的设置提供有益参考，细化指标体系，使各项指标清晰可测，促进绩效评价工作的规范化。</w:t>
      </w:r>
    </w:p>
    <w:p w14:paraId="5E3A8177">
      <w:pPr>
        <w:pStyle w:val="2"/>
        <w:rPr>
          <w:rFonts w:ascii="仿宋" w:hAnsi="仿宋" w:eastAsia="仿宋" w:cs="Arial Narrow"/>
          <w:sz w:val="24"/>
        </w:rPr>
      </w:pPr>
      <w:bookmarkStart w:id="104" w:name="_Toc14165743"/>
      <w:bookmarkStart w:id="105" w:name="_Toc15550412"/>
      <w:r>
        <w:rPr>
          <w:rFonts w:hint="eastAsia" w:ascii="仿宋" w:hAnsi="仿宋" w:eastAsia="仿宋" w:cs="Arial Narrow"/>
          <w:sz w:val="24"/>
        </w:rPr>
        <w:t>五</w:t>
      </w:r>
      <w:r>
        <w:rPr>
          <w:rFonts w:ascii="仿宋" w:hAnsi="仿宋" w:eastAsia="仿宋" w:cs="Arial Narrow"/>
          <w:sz w:val="24"/>
        </w:rPr>
        <w:t>、其他需说明的问题</w:t>
      </w:r>
      <w:bookmarkEnd w:id="103"/>
      <w:bookmarkEnd w:id="104"/>
      <w:bookmarkEnd w:id="105"/>
    </w:p>
    <w:bookmarkEnd w:id="102"/>
    <w:p w14:paraId="7C34B0E6">
      <w:pPr>
        <w:snapToGrid w:val="0"/>
        <w:ind w:firstLine="482"/>
        <w:outlineLvl w:val="1"/>
        <w:rPr>
          <w:rFonts w:ascii="仿宋" w:hAnsi="仿宋" w:eastAsia="仿宋" w:cs="Arial Narrow"/>
          <w:b/>
        </w:rPr>
      </w:pPr>
      <w:bookmarkStart w:id="106" w:name="_Toc14165744"/>
      <w:bookmarkStart w:id="107" w:name="_Toc15550413"/>
      <w:bookmarkStart w:id="108" w:name="_Toc387957836"/>
      <w:bookmarkStart w:id="109" w:name="_Toc406666387"/>
      <w:bookmarkStart w:id="110" w:name="_Toc406668061"/>
      <w:bookmarkStart w:id="111" w:name="_Toc5673"/>
      <w:r>
        <w:rPr>
          <w:rFonts w:hint="eastAsia" w:ascii="仿宋" w:hAnsi="仿宋" w:eastAsia="仿宋" w:cs="Arial Narrow"/>
          <w:b/>
        </w:rPr>
        <w:t>（一）关于评价责任的说明</w:t>
      </w:r>
      <w:bookmarkEnd w:id="106"/>
      <w:bookmarkEnd w:id="107"/>
    </w:p>
    <w:p w14:paraId="077F758C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76FE6CC0">
      <w:pPr>
        <w:snapToGrid w:val="0"/>
        <w:ind w:firstLine="482"/>
        <w:outlineLvl w:val="1"/>
        <w:rPr>
          <w:rFonts w:ascii="仿宋" w:hAnsi="仿宋" w:eastAsia="仿宋" w:cs="Arial Narrow"/>
          <w:b/>
        </w:rPr>
      </w:pPr>
      <w:bookmarkStart w:id="112" w:name="_Toc14165745"/>
      <w:bookmarkStart w:id="113" w:name="_Toc15550414"/>
      <w:r>
        <w:rPr>
          <w:rFonts w:hint="eastAsia" w:ascii="仿宋" w:hAnsi="仿宋" w:eastAsia="仿宋" w:cs="Arial Narrow"/>
          <w:b/>
        </w:rPr>
        <w:t>（二）关于本项目评价中存在的局限性的说明</w:t>
      </w:r>
      <w:bookmarkEnd w:id="112"/>
      <w:bookmarkEnd w:id="113"/>
    </w:p>
    <w:p w14:paraId="087426BF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1、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73086190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2、本项目是经常性的资金使用项目，而且专业性较强。受具体参加本次项目的评价人员的专业能力的影响，对专业指标设定的全面性可能存在一定的局限性。</w:t>
      </w:r>
    </w:p>
    <w:p w14:paraId="11768CCB">
      <w:pPr>
        <w:snapToGrid w:val="0"/>
        <w:ind w:firstLine="0" w:firstLineChars="0"/>
        <w:rPr>
          <w:rFonts w:hint="eastAsia" w:ascii="仿宋" w:hAnsi="仿宋" w:eastAsia="仿宋" w:cs="Arial Narrow"/>
          <w:b/>
          <w:bCs/>
        </w:rPr>
      </w:pPr>
    </w:p>
    <w:p w14:paraId="3B51A338">
      <w:pPr>
        <w:snapToGrid w:val="0"/>
        <w:ind w:firstLine="0" w:firstLineChars="0"/>
        <w:rPr>
          <w:rFonts w:hint="eastAsia" w:ascii="仿宋" w:hAnsi="仿宋" w:eastAsia="仿宋" w:cs="Arial Narrow"/>
          <w:b/>
          <w:bCs/>
        </w:rPr>
      </w:pPr>
    </w:p>
    <w:p w14:paraId="77FF180D">
      <w:pPr>
        <w:snapToGrid w:val="0"/>
        <w:ind w:firstLine="0" w:firstLineChars="0"/>
        <w:rPr>
          <w:rFonts w:hint="eastAsia" w:ascii="仿宋" w:hAnsi="仿宋" w:eastAsia="仿宋" w:cs="Arial Narrow"/>
          <w:b/>
          <w:bCs/>
        </w:rPr>
      </w:pPr>
    </w:p>
    <w:p w14:paraId="6FD01902">
      <w:pPr>
        <w:snapToGrid w:val="0"/>
        <w:ind w:firstLine="0" w:firstLineChars="0"/>
        <w:rPr>
          <w:rFonts w:ascii="仿宋" w:hAnsi="仿宋" w:eastAsia="仿宋" w:cs="Arial Narrow"/>
        </w:rPr>
      </w:pPr>
      <w:r>
        <w:rPr>
          <w:rFonts w:ascii="仿宋" w:hAnsi="仿宋" w:eastAsia="仿宋" w:cs="Arial Narrow"/>
          <w:b/>
          <w:bCs/>
        </w:rPr>
        <w:t>附件</w:t>
      </w:r>
      <w:bookmarkEnd w:id="108"/>
      <w:r>
        <w:rPr>
          <w:rFonts w:ascii="仿宋" w:hAnsi="仿宋" w:eastAsia="仿宋" w:cs="Arial Narrow"/>
          <w:b/>
          <w:bCs/>
        </w:rPr>
        <w:t>：</w:t>
      </w:r>
      <w:bookmarkEnd w:id="109"/>
      <w:bookmarkEnd w:id="110"/>
      <w:bookmarkEnd w:id="111"/>
    </w:p>
    <w:p w14:paraId="624D6142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ascii="仿宋" w:hAnsi="仿宋" w:eastAsia="仿宋" w:cs="Arial Narrow"/>
        </w:rPr>
        <w:t>1：项目绩效评价评分表</w:t>
      </w:r>
      <w:r>
        <w:rPr>
          <w:rFonts w:hint="eastAsia" w:ascii="仿宋" w:hAnsi="仿宋" w:eastAsia="仿宋" w:cs="Arial Narrow"/>
        </w:rPr>
        <w:t>及说明</w:t>
      </w:r>
    </w:p>
    <w:p w14:paraId="76B6CAF0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2：评价机构营业执照（复印件）</w:t>
      </w:r>
    </w:p>
    <w:p w14:paraId="23B4469C">
      <w:pPr>
        <w:snapToGrid w:val="0"/>
        <w:ind w:firstLine="48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3：相关评价人员执业证明文件（复印件）</w:t>
      </w:r>
    </w:p>
    <w:p w14:paraId="06EB1470">
      <w:pPr>
        <w:snapToGrid w:val="0"/>
        <w:ind w:firstLine="480"/>
        <w:rPr>
          <w:rFonts w:ascii="仿宋" w:hAnsi="仿宋" w:eastAsia="仿宋" w:cs="Arial Narrow"/>
        </w:rPr>
      </w:pPr>
    </w:p>
    <w:p w14:paraId="5F2AE7A5">
      <w:pPr>
        <w:snapToGrid w:val="0"/>
        <w:ind w:firstLine="480"/>
        <w:jc w:val="right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湖北正大会计师事务有限责任公司</w:t>
      </w:r>
    </w:p>
    <w:p w14:paraId="74DFF3CE">
      <w:pPr>
        <w:snapToGrid w:val="0"/>
        <w:ind w:firstLine="6000" w:firstLineChars="2500"/>
        <w:rPr>
          <w:rFonts w:ascii="仿宋" w:hAnsi="仿宋" w:eastAsia="仿宋" w:cs="Arial Narrow"/>
        </w:rPr>
      </w:pPr>
      <w:r>
        <w:rPr>
          <w:rFonts w:hint="eastAsia" w:ascii="仿宋" w:hAnsi="仿宋" w:eastAsia="仿宋" w:cs="Arial Narrow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3A8ED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1BC93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40B1F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45B09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1</w:t>
    </w:r>
    <w:r>
      <w:rPr>
        <w:rFonts w:ascii="Arial Narrow" w:hAnsi="Arial Narrow"/>
        <w:sz w:val="21"/>
        <w:szCs w:val="21"/>
      </w:rPr>
      <w:fldChar w:fldCharType="end"/>
    </w:r>
  </w:p>
  <w:p w14:paraId="2FF534E6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9DBAC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50CFD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43F72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BE328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499644E3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C8481A"/>
    <w:multiLevelType w:val="multilevel"/>
    <w:tmpl w:val="79C8481A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A69"/>
    <w:rsid w:val="000107B2"/>
    <w:rsid w:val="00012B09"/>
    <w:rsid w:val="00012B47"/>
    <w:rsid w:val="000153F5"/>
    <w:rsid w:val="00016011"/>
    <w:rsid w:val="00020629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0022"/>
    <w:rsid w:val="00040C4C"/>
    <w:rsid w:val="00041931"/>
    <w:rsid w:val="000435FD"/>
    <w:rsid w:val="000469FC"/>
    <w:rsid w:val="00051092"/>
    <w:rsid w:val="0005129C"/>
    <w:rsid w:val="0005263F"/>
    <w:rsid w:val="00055365"/>
    <w:rsid w:val="000578E1"/>
    <w:rsid w:val="00057BBE"/>
    <w:rsid w:val="00057CAB"/>
    <w:rsid w:val="00060415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0CEC"/>
    <w:rsid w:val="00092652"/>
    <w:rsid w:val="00092834"/>
    <w:rsid w:val="00095860"/>
    <w:rsid w:val="00097F61"/>
    <w:rsid w:val="000A181F"/>
    <w:rsid w:val="000A2B58"/>
    <w:rsid w:val="000A38CF"/>
    <w:rsid w:val="000B0707"/>
    <w:rsid w:val="000B351B"/>
    <w:rsid w:val="000B4666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0F6A19"/>
    <w:rsid w:val="00101AA1"/>
    <w:rsid w:val="0010211E"/>
    <w:rsid w:val="001052EA"/>
    <w:rsid w:val="00107C77"/>
    <w:rsid w:val="00107E2F"/>
    <w:rsid w:val="00115891"/>
    <w:rsid w:val="00116848"/>
    <w:rsid w:val="0011722E"/>
    <w:rsid w:val="00117519"/>
    <w:rsid w:val="0012101B"/>
    <w:rsid w:val="001247D7"/>
    <w:rsid w:val="001309C7"/>
    <w:rsid w:val="001346FF"/>
    <w:rsid w:val="00134F95"/>
    <w:rsid w:val="00136A7E"/>
    <w:rsid w:val="001373D3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5F35"/>
    <w:rsid w:val="001676D8"/>
    <w:rsid w:val="00172A27"/>
    <w:rsid w:val="00173694"/>
    <w:rsid w:val="0017597C"/>
    <w:rsid w:val="0018053D"/>
    <w:rsid w:val="00180C97"/>
    <w:rsid w:val="00182EEA"/>
    <w:rsid w:val="0018363A"/>
    <w:rsid w:val="001871E1"/>
    <w:rsid w:val="0019038A"/>
    <w:rsid w:val="001907A0"/>
    <w:rsid w:val="001907BC"/>
    <w:rsid w:val="0019172C"/>
    <w:rsid w:val="00191FE0"/>
    <w:rsid w:val="00197977"/>
    <w:rsid w:val="001A02C6"/>
    <w:rsid w:val="001A0A70"/>
    <w:rsid w:val="001A4611"/>
    <w:rsid w:val="001A6E1D"/>
    <w:rsid w:val="001A7035"/>
    <w:rsid w:val="001A71D3"/>
    <w:rsid w:val="001A7BCC"/>
    <w:rsid w:val="001B156C"/>
    <w:rsid w:val="001B1B88"/>
    <w:rsid w:val="001B206F"/>
    <w:rsid w:val="001B2C2B"/>
    <w:rsid w:val="001B564E"/>
    <w:rsid w:val="001C1AB0"/>
    <w:rsid w:val="001C410E"/>
    <w:rsid w:val="001C4A11"/>
    <w:rsid w:val="001C6498"/>
    <w:rsid w:val="001C7FC5"/>
    <w:rsid w:val="001D1FE5"/>
    <w:rsid w:val="001D2B8D"/>
    <w:rsid w:val="001D4085"/>
    <w:rsid w:val="001D50A9"/>
    <w:rsid w:val="001D713F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CE8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1A7F"/>
    <w:rsid w:val="00232B92"/>
    <w:rsid w:val="002331CD"/>
    <w:rsid w:val="002336BB"/>
    <w:rsid w:val="0023552C"/>
    <w:rsid w:val="0024100B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5731F"/>
    <w:rsid w:val="002604FB"/>
    <w:rsid w:val="002612E9"/>
    <w:rsid w:val="00263172"/>
    <w:rsid w:val="00263E33"/>
    <w:rsid w:val="00263E5D"/>
    <w:rsid w:val="00264E80"/>
    <w:rsid w:val="00267DA6"/>
    <w:rsid w:val="002706C6"/>
    <w:rsid w:val="0027138F"/>
    <w:rsid w:val="0027180E"/>
    <w:rsid w:val="00273517"/>
    <w:rsid w:val="00273665"/>
    <w:rsid w:val="00274075"/>
    <w:rsid w:val="0027412C"/>
    <w:rsid w:val="00275D0D"/>
    <w:rsid w:val="00280B02"/>
    <w:rsid w:val="0028633D"/>
    <w:rsid w:val="0028764F"/>
    <w:rsid w:val="002911A7"/>
    <w:rsid w:val="00291951"/>
    <w:rsid w:val="002933BC"/>
    <w:rsid w:val="002953EE"/>
    <w:rsid w:val="002A0822"/>
    <w:rsid w:val="002A0862"/>
    <w:rsid w:val="002A731C"/>
    <w:rsid w:val="002A7693"/>
    <w:rsid w:val="002B55AD"/>
    <w:rsid w:val="002B60B2"/>
    <w:rsid w:val="002C012C"/>
    <w:rsid w:val="002C05DC"/>
    <w:rsid w:val="002C21EB"/>
    <w:rsid w:val="002C439E"/>
    <w:rsid w:val="002C4B7E"/>
    <w:rsid w:val="002C4C59"/>
    <w:rsid w:val="002C5757"/>
    <w:rsid w:val="002C5D77"/>
    <w:rsid w:val="002D1D84"/>
    <w:rsid w:val="002E11FA"/>
    <w:rsid w:val="002E21D6"/>
    <w:rsid w:val="002F1C3F"/>
    <w:rsid w:val="002F44AB"/>
    <w:rsid w:val="002F7973"/>
    <w:rsid w:val="00304B06"/>
    <w:rsid w:val="0031024E"/>
    <w:rsid w:val="00312F11"/>
    <w:rsid w:val="003132F6"/>
    <w:rsid w:val="00315284"/>
    <w:rsid w:val="00315407"/>
    <w:rsid w:val="00322C3A"/>
    <w:rsid w:val="00323226"/>
    <w:rsid w:val="003313C3"/>
    <w:rsid w:val="00333EE7"/>
    <w:rsid w:val="003363C3"/>
    <w:rsid w:val="0034018A"/>
    <w:rsid w:val="00343216"/>
    <w:rsid w:val="00344CC3"/>
    <w:rsid w:val="0034515E"/>
    <w:rsid w:val="00346FFD"/>
    <w:rsid w:val="00347514"/>
    <w:rsid w:val="00347FD1"/>
    <w:rsid w:val="003506E6"/>
    <w:rsid w:val="00352DF8"/>
    <w:rsid w:val="00356129"/>
    <w:rsid w:val="00356E00"/>
    <w:rsid w:val="003606CD"/>
    <w:rsid w:val="00361136"/>
    <w:rsid w:val="0036466F"/>
    <w:rsid w:val="003651FB"/>
    <w:rsid w:val="003712A9"/>
    <w:rsid w:val="00372944"/>
    <w:rsid w:val="00374FFF"/>
    <w:rsid w:val="003750CC"/>
    <w:rsid w:val="0037593E"/>
    <w:rsid w:val="00376DC7"/>
    <w:rsid w:val="0038083D"/>
    <w:rsid w:val="00382AB2"/>
    <w:rsid w:val="0038537A"/>
    <w:rsid w:val="003856A0"/>
    <w:rsid w:val="00387964"/>
    <w:rsid w:val="0039007B"/>
    <w:rsid w:val="00390399"/>
    <w:rsid w:val="0039079D"/>
    <w:rsid w:val="003919EC"/>
    <w:rsid w:val="003920BE"/>
    <w:rsid w:val="00392128"/>
    <w:rsid w:val="0039236F"/>
    <w:rsid w:val="00392AA2"/>
    <w:rsid w:val="00392F5E"/>
    <w:rsid w:val="00394FAF"/>
    <w:rsid w:val="0039690B"/>
    <w:rsid w:val="003A377A"/>
    <w:rsid w:val="003B063D"/>
    <w:rsid w:val="003B1278"/>
    <w:rsid w:val="003C0622"/>
    <w:rsid w:val="003C10E7"/>
    <w:rsid w:val="003C49E8"/>
    <w:rsid w:val="003C5736"/>
    <w:rsid w:val="003C6A96"/>
    <w:rsid w:val="003D04ED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466"/>
    <w:rsid w:val="003F2581"/>
    <w:rsid w:val="003F3003"/>
    <w:rsid w:val="003F4A08"/>
    <w:rsid w:val="003F640B"/>
    <w:rsid w:val="003F78E3"/>
    <w:rsid w:val="004016BF"/>
    <w:rsid w:val="00402380"/>
    <w:rsid w:val="00405A7E"/>
    <w:rsid w:val="0040727E"/>
    <w:rsid w:val="004102C2"/>
    <w:rsid w:val="0041072B"/>
    <w:rsid w:val="00412C52"/>
    <w:rsid w:val="0041356F"/>
    <w:rsid w:val="00413A8A"/>
    <w:rsid w:val="00414470"/>
    <w:rsid w:val="004156F2"/>
    <w:rsid w:val="00415D07"/>
    <w:rsid w:val="0041689F"/>
    <w:rsid w:val="00417F32"/>
    <w:rsid w:val="00420912"/>
    <w:rsid w:val="0042114C"/>
    <w:rsid w:val="0042187B"/>
    <w:rsid w:val="00424A8D"/>
    <w:rsid w:val="004251FE"/>
    <w:rsid w:val="004263E2"/>
    <w:rsid w:val="0043060A"/>
    <w:rsid w:val="00432769"/>
    <w:rsid w:val="00436630"/>
    <w:rsid w:val="00436685"/>
    <w:rsid w:val="00436978"/>
    <w:rsid w:val="004372D6"/>
    <w:rsid w:val="00437ABF"/>
    <w:rsid w:val="004406CE"/>
    <w:rsid w:val="004416B6"/>
    <w:rsid w:val="00443DD8"/>
    <w:rsid w:val="00444C92"/>
    <w:rsid w:val="00444F7A"/>
    <w:rsid w:val="00446C56"/>
    <w:rsid w:val="00446E9B"/>
    <w:rsid w:val="00447CE1"/>
    <w:rsid w:val="00461176"/>
    <w:rsid w:val="004637D6"/>
    <w:rsid w:val="00465728"/>
    <w:rsid w:val="004704C8"/>
    <w:rsid w:val="004720AA"/>
    <w:rsid w:val="00475D0F"/>
    <w:rsid w:val="00477022"/>
    <w:rsid w:val="0049123B"/>
    <w:rsid w:val="00493C57"/>
    <w:rsid w:val="00494B90"/>
    <w:rsid w:val="00496736"/>
    <w:rsid w:val="00497DCD"/>
    <w:rsid w:val="004A4024"/>
    <w:rsid w:val="004A4C34"/>
    <w:rsid w:val="004A5982"/>
    <w:rsid w:val="004A5CFE"/>
    <w:rsid w:val="004A5E6A"/>
    <w:rsid w:val="004A62C8"/>
    <w:rsid w:val="004B0A18"/>
    <w:rsid w:val="004B1D26"/>
    <w:rsid w:val="004B2A1B"/>
    <w:rsid w:val="004B2DE5"/>
    <w:rsid w:val="004B331B"/>
    <w:rsid w:val="004B6F05"/>
    <w:rsid w:val="004B6F1C"/>
    <w:rsid w:val="004C16B8"/>
    <w:rsid w:val="004C2F4D"/>
    <w:rsid w:val="004C3638"/>
    <w:rsid w:val="004C39A4"/>
    <w:rsid w:val="004C52FF"/>
    <w:rsid w:val="004D070B"/>
    <w:rsid w:val="004D33DF"/>
    <w:rsid w:val="004D749D"/>
    <w:rsid w:val="004D7DEA"/>
    <w:rsid w:val="004E04DA"/>
    <w:rsid w:val="004E1D06"/>
    <w:rsid w:val="004E1FA4"/>
    <w:rsid w:val="004E20B1"/>
    <w:rsid w:val="004E3DAA"/>
    <w:rsid w:val="004E4EB8"/>
    <w:rsid w:val="004E5F50"/>
    <w:rsid w:val="004E6203"/>
    <w:rsid w:val="004F42A1"/>
    <w:rsid w:val="004F5FA6"/>
    <w:rsid w:val="00500581"/>
    <w:rsid w:val="005041BE"/>
    <w:rsid w:val="00505635"/>
    <w:rsid w:val="00505A9F"/>
    <w:rsid w:val="00507449"/>
    <w:rsid w:val="00507805"/>
    <w:rsid w:val="00507A1C"/>
    <w:rsid w:val="005134B0"/>
    <w:rsid w:val="0051441E"/>
    <w:rsid w:val="005155D3"/>
    <w:rsid w:val="00515F47"/>
    <w:rsid w:val="005204D6"/>
    <w:rsid w:val="0052365D"/>
    <w:rsid w:val="00525692"/>
    <w:rsid w:val="00527E66"/>
    <w:rsid w:val="00532781"/>
    <w:rsid w:val="00534945"/>
    <w:rsid w:val="00535CAA"/>
    <w:rsid w:val="005360A1"/>
    <w:rsid w:val="00537C3E"/>
    <w:rsid w:val="00543555"/>
    <w:rsid w:val="0054431F"/>
    <w:rsid w:val="00544890"/>
    <w:rsid w:val="005477A4"/>
    <w:rsid w:val="00547FC6"/>
    <w:rsid w:val="00552615"/>
    <w:rsid w:val="005567B3"/>
    <w:rsid w:val="005567D2"/>
    <w:rsid w:val="00557DC1"/>
    <w:rsid w:val="005605D4"/>
    <w:rsid w:val="005632D3"/>
    <w:rsid w:val="005655D1"/>
    <w:rsid w:val="005658C9"/>
    <w:rsid w:val="00565929"/>
    <w:rsid w:val="005659EE"/>
    <w:rsid w:val="00565D9A"/>
    <w:rsid w:val="00566498"/>
    <w:rsid w:val="005708E6"/>
    <w:rsid w:val="005725E7"/>
    <w:rsid w:val="00576553"/>
    <w:rsid w:val="005812C2"/>
    <w:rsid w:val="00583F95"/>
    <w:rsid w:val="00584E5A"/>
    <w:rsid w:val="00594592"/>
    <w:rsid w:val="00596AF0"/>
    <w:rsid w:val="00597947"/>
    <w:rsid w:val="005A0AF1"/>
    <w:rsid w:val="005A21FC"/>
    <w:rsid w:val="005B1178"/>
    <w:rsid w:val="005B159F"/>
    <w:rsid w:val="005B4A7D"/>
    <w:rsid w:val="005B4A9B"/>
    <w:rsid w:val="005C7BB8"/>
    <w:rsid w:val="005D0FBF"/>
    <w:rsid w:val="005D24E1"/>
    <w:rsid w:val="005D7826"/>
    <w:rsid w:val="005E016C"/>
    <w:rsid w:val="005E0E0C"/>
    <w:rsid w:val="005E1EC1"/>
    <w:rsid w:val="005E38D2"/>
    <w:rsid w:val="005E4DF6"/>
    <w:rsid w:val="005E6A5B"/>
    <w:rsid w:val="005E7290"/>
    <w:rsid w:val="005F072F"/>
    <w:rsid w:val="005F0A83"/>
    <w:rsid w:val="005F0D41"/>
    <w:rsid w:val="005F1867"/>
    <w:rsid w:val="005F234F"/>
    <w:rsid w:val="005F3C50"/>
    <w:rsid w:val="00601607"/>
    <w:rsid w:val="0060360E"/>
    <w:rsid w:val="006047F8"/>
    <w:rsid w:val="006066A6"/>
    <w:rsid w:val="00606CC4"/>
    <w:rsid w:val="00610BB9"/>
    <w:rsid w:val="00612C3B"/>
    <w:rsid w:val="006138EE"/>
    <w:rsid w:val="0061452E"/>
    <w:rsid w:val="00615D9E"/>
    <w:rsid w:val="0061604D"/>
    <w:rsid w:val="00621643"/>
    <w:rsid w:val="00624274"/>
    <w:rsid w:val="00626CD9"/>
    <w:rsid w:val="00630956"/>
    <w:rsid w:val="006321B7"/>
    <w:rsid w:val="00636115"/>
    <w:rsid w:val="00640016"/>
    <w:rsid w:val="00641EED"/>
    <w:rsid w:val="00642106"/>
    <w:rsid w:val="00644429"/>
    <w:rsid w:val="00644BE4"/>
    <w:rsid w:val="00645853"/>
    <w:rsid w:val="00646876"/>
    <w:rsid w:val="00647079"/>
    <w:rsid w:val="00650DEF"/>
    <w:rsid w:val="00651741"/>
    <w:rsid w:val="00655514"/>
    <w:rsid w:val="00656BC8"/>
    <w:rsid w:val="00660C04"/>
    <w:rsid w:val="0066273D"/>
    <w:rsid w:val="00662D0D"/>
    <w:rsid w:val="006642D3"/>
    <w:rsid w:val="006711A5"/>
    <w:rsid w:val="00676441"/>
    <w:rsid w:val="00677567"/>
    <w:rsid w:val="00682BA7"/>
    <w:rsid w:val="0068427C"/>
    <w:rsid w:val="00687B7B"/>
    <w:rsid w:val="00691499"/>
    <w:rsid w:val="0069179F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B78C3"/>
    <w:rsid w:val="006C076C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3025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1DE7"/>
    <w:rsid w:val="00713599"/>
    <w:rsid w:val="007143B8"/>
    <w:rsid w:val="007148E9"/>
    <w:rsid w:val="007165EC"/>
    <w:rsid w:val="00720884"/>
    <w:rsid w:val="00721201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1895"/>
    <w:rsid w:val="00733038"/>
    <w:rsid w:val="007333AD"/>
    <w:rsid w:val="00733938"/>
    <w:rsid w:val="0073421A"/>
    <w:rsid w:val="0073699F"/>
    <w:rsid w:val="00737E3E"/>
    <w:rsid w:val="00740406"/>
    <w:rsid w:val="00744BE7"/>
    <w:rsid w:val="007455A5"/>
    <w:rsid w:val="00747C3E"/>
    <w:rsid w:val="00750C7B"/>
    <w:rsid w:val="00753FB8"/>
    <w:rsid w:val="00756213"/>
    <w:rsid w:val="00757369"/>
    <w:rsid w:val="00760264"/>
    <w:rsid w:val="007611BE"/>
    <w:rsid w:val="0076125E"/>
    <w:rsid w:val="007614A0"/>
    <w:rsid w:val="00766CC5"/>
    <w:rsid w:val="0076789B"/>
    <w:rsid w:val="00771519"/>
    <w:rsid w:val="0077612D"/>
    <w:rsid w:val="00781B6E"/>
    <w:rsid w:val="0078403F"/>
    <w:rsid w:val="00784977"/>
    <w:rsid w:val="007857C2"/>
    <w:rsid w:val="007951AE"/>
    <w:rsid w:val="007960FC"/>
    <w:rsid w:val="007A1325"/>
    <w:rsid w:val="007A1EA8"/>
    <w:rsid w:val="007A260C"/>
    <w:rsid w:val="007A3D65"/>
    <w:rsid w:val="007A4561"/>
    <w:rsid w:val="007A7EC4"/>
    <w:rsid w:val="007B096A"/>
    <w:rsid w:val="007B4620"/>
    <w:rsid w:val="007B589E"/>
    <w:rsid w:val="007B5BCC"/>
    <w:rsid w:val="007B63BA"/>
    <w:rsid w:val="007C0582"/>
    <w:rsid w:val="007C2929"/>
    <w:rsid w:val="007C48E5"/>
    <w:rsid w:val="007C5815"/>
    <w:rsid w:val="007D0A9C"/>
    <w:rsid w:val="007D12ED"/>
    <w:rsid w:val="007D2E0D"/>
    <w:rsid w:val="007D518A"/>
    <w:rsid w:val="007D6002"/>
    <w:rsid w:val="007D6F8A"/>
    <w:rsid w:val="007E062F"/>
    <w:rsid w:val="007E5FF6"/>
    <w:rsid w:val="007F0647"/>
    <w:rsid w:val="007F0CD4"/>
    <w:rsid w:val="007F15F0"/>
    <w:rsid w:val="007F3EA6"/>
    <w:rsid w:val="007F581B"/>
    <w:rsid w:val="00800E4A"/>
    <w:rsid w:val="008015DF"/>
    <w:rsid w:val="00801640"/>
    <w:rsid w:val="0080288E"/>
    <w:rsid w:val="008053EB"/>
    <w:rsid w:val="00805A0A"/>
    <w:rsid w:val="00810F45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CE4"/>
    <w:rsid w:val="008468CD"/>
    <w:rsid w:val="008471D0"/>
    <w:rsid w:val="00847827"/>
    <w:rsid w:val="0085148F"/>
    <w:rsid w:val="00852C63"/>
    <w:rsid w:val="00854541"/>
    <w:rsid w:val="00860F99"/>
    <w:rsid w:val="008616A6"/>
    <w:rsid w:val="00861E9B"/>
    <w:rsid w:val="00862075"/>
    <w:rsid w:val="00863633"/>
    <w:rsid w:val="008642C8"/>
    <w:rsid w:val="008662A2"/>
    <w:rsid w:val="0087108E"/>
    <w:rsid w:val="00871DE9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C1976"/>
    <w:rsid w:val="008C5857"/>
    <w:rsid w:val="008D0512"/>
    <w:rsid w:val="008D1468"/>
    <w:rsid w:val="008D33D6"/>
    <w:rsid w:val="008D52D2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9B9"/>
    <w:rsid w:val="00903AAF"/>
    <w:rsid w:val="0090416C"/>
    <w:rsid w:val="009043EF"/>
    <w:rsid w:val="00907956"/>
    <w:rsid w:val="0091079F"/>
    <w:rsid w:val="0091172E"/>
    <w:rsid w:val="00913C0F"/>
    <w:rsid w:val="0091422F"/>
    <w:rsid w:val="009153E3"/>
    <w:rsid w:val="0091597F"/>
    <w:rsid w:val="009177D8"/>
    <w:rsid w:val="00921DCF"/>
    <w:rsid w:val="00923D59"/>
    <w:rsid w:val="0092464E"/>
    <w:rsid w:val="00924D12"/>
    <w:rsid w:val="00924F4C"/>
    <w:rsid w:val="009328FB"/>
    <w:rsid w:val="009337F2"/>
    <w:rsid w:val="00934B5A"/>
    <w:rsid w:val="00935AA7"/>
    <w:rsid w:val="00935F6A"/>
    <w:rsid w:val="0093658C"/>
    <w:rsid w:val="0094138A"/>
    <w:rsid w:val="00946554"/>
    <w:rsid w:val="00947067"/>
    <w:rsid w:val="00953385"/>
    <w:rsid w:val="009536E4"/>
    <w:rsid w:val="009553EB"/>
    <w:rsid w:val="0095556A"/>
    <w:rsid w:val="009556E8"/>
    <w:rsid w:val="00955DE1"/>
    <w:rsid w:val="00960332"/>
    <w:rsid w:val="00963C82"/>
    <w:rsid w:val="009709DB"/>
    <w:rsid w:val="00972A3C"/>
    <w:rsid w:val="009754A1"/>
    <w:rsid w:val="00977B6C"/>
    <w:rsid w:val="00981B94"/>
    <w:rsid w:val="009850DD"/>
    <w:rsid w:val="009852EE"/>
    <w:rsid w:val="00987CA0"/>
    <w:rsid w:val="009918A8"/>
    <w:rsid w:val="00995CC6"/>
    <w:rsid w:val="009964F7"/>
    <w:rsid w:val="009A07B6"/>
    <w:rsid w:val="009A2934"/>
    <w:rsid w:val="009A3167"/>
    <w:rsid w:val="009A488C"/>
    <w:rsid w:val="009A6B01"/>
    <w:rsid w:val="009A6F4D"/>
    <w:rsid w:val="009B0E77"/>
    <w:rsid w:val="009B7C3D"/>
    <w:rsid w:val="009C21D3"/>
    <w:rsid w:val="009C3BDF"/>
    <w:rsid w:val="009C5AFE"/>
    <w:rsid w:val="009C5E4D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06EE"/>
    <w:rsid w:val="009E1D0B"/>
    <w:rsid w:val="009E1ED3"/>
    <w:rsid w:val="009E4A95"/>
    <w:rsid w:val="009F0897"/>
    <w:rsid w:val="009F3907"/>
    <w:rsid w:val="009F5345"/>
    <w:rsid w:val="009F53C2"/>
    <w:rsid w:val="009F58A2"/>
    <w:rsid w:val="009F6F50"/>
    <w:rsid w:val="00A00406"/>
    <w:rsid w:val="00A0057C"/>
    <w:rsid w:val="00A0210F"/>
    <w:rsid w:val="00A03CE9"/>
    <w:rsid w:val="00A058CF"/>
    <w:rsid w:val="00A072FE"/>
    <w:rsid w:val="00A07475"/>
    <w:rsid w:val="00A07496"/>
    <w:rsid w:val="00A10865"/>
    <w:rsid w:val="00A10A7F"/>
    <w:rsid w:val="00A10AE4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3351"/>
    <w:rsid w:val="00A34428"/>
    <w:rsid w:val="00A44C1F"/>
    <w:rsid w:val="00A46DAF"/>
    <w:rsid w:val="00A47C58"/>
    <w:rsid w:val="00A47D6D"/>
    <w:rsid w:val="00A529A1"/>
    <w:rsid w:val="00A52BA6"/>
    <w:rsid w:val="00A52F2C"/>
    <w:rsid w:val="00A53BC1"/>
    <w:rsid w:val="00A54B3F"/>
    <w:rsid w:val="00A60500"/>
    <w:rsid w:val="00A61261"/>
    <w:rsid w:val="00A61FD4"/>
    <w:rsid w:val="00A63AA9"/>
    <w:rsid w:val="00A643FA"/>
    <w:rsid w:val="00A669E9"/>
    <w:rsid w:val="00A67D0F"/>
    <w:rsid w:val="00A84D91"/>
    <w:rsid w:val="00A8609D"/>
    <w:rsid w:val="00A86542"/>
    <w:rsid w:val="00A87F7C"/>
    <w:rsid w:val="00A908A5"/>
    <w:rsid w:val="00A91DAE"/>
    <w:rsid w:val="00A9633A"/>
    <w:rsid w:val="00AA46EA"/>
    <w:rsid w:val="00AA559B"/>
    <w:rsid w:val="00AB29C4"/>
    <w:rsid w:val="00AB60C4"/>
    <w:rsid w:val="00AB6F5F"/>
    <w:rsid w:val="00AC14F0"/>
    <w:rsid w:val="00AC2DF7"/>
    <w:rsid w:val="00AC3F02"/>
    <w:rsid w:val="00AC548A"/>
    <w:rsid w:val="00AD5571"/>
    <w:rsid w:val="00AD588A"/>
    <w:rsid w:val="00AD5C59"/>
    <w:rsid w:val="00AD7E84"/>
    <w:rsid w:val="00AE270B"/>
    <w:rsid w:val="00AE5064"/>
    <w:rsid w:val="00AE5365"/>
    <w:rsid w:val="00AE55CB"/>
    <w:rsid w:val="00AE71DB"/>
    <w:rsid w:val="00AF3FDF"/>
    <w:rsid w:val="00AF48DE"/>
    <w:rsid w:val="00AF5069"/>
    <w:rsid w:val="00AF564E"/>
    <w:rsid w:val="00B01326"/>
    <w:rsid w:val="00B0164D"/>
    <w:rsid w:val="00B019F5"/>
    <w:rsid w:val="00B01FF8"/>
    <w:rsid w:val="00B02152"/>
    <w:rsid w:val="00B02452"/>
    <w:rsid w:val="00B02E47"/>
    <w:rsid w:val="00B04CC4"/>
    <w:rsid w:val="00B04F4E"/>
    <w:rsid w:val="00B052BC"/>
    <w:rsid w:val="00B05BCA"/>
    <w:rsid w:val="00B05CB2"/>
    <w:rsid w:val="00B05F14"/>
    <w:rsid w:val="00B133B9"/>
    <w:rsid w:val="00B146C7"/>
    <w:rsid w:val="00B219B8"/>
    <w:rsid w:val="00B222AE"/>
    <w:rsid w:val="00B22D6C"/>
    <w:rsid w:val="00B24F3F"/>
    <w:rsid w:val="00B31B65"/>
    <w:rsid w:val="00B33B98"/>
    <w:rsid w:val="00B349F7"/>
    <w:rsid w:val="00B3578A"/>
    <w:rsid w:val="00B41006"/>
    <w:rsid w:val="00B422E2"/>
    <w:rsid w:val="00B431EF"/>
    <w:rsid w:val="00B44F5E"/>
    <w:rsid w:val="00B51ADD"/>
    <w:rsid w:val="00B52995"/>
    <w:rsid w:val="00B5492B"/>
    <w:rsid w:val="00B553D8"/>
    <w:rsid w:val="00B569AD"/>
    <w:rsid w:val="00B56E34"/>
    <w:rsid w:val="00B57039"/>
    <w:rsid w:val="00B57263"/>
    <w:rsid w:val="00B57D1A"/>
    <w:rsid w:val="00B6093A"/>
    <w:rsid w:val="00B62EAA"/>
    <w:rsid w:val="00B6517A"/>
    <w:rsid w:val="00B668D2"/>
    <w:rsid w:val="00B728A4"/>
    <w:rsid w:val="00B72C1F"/>
    <w:rsid w:val="00B73C5F"/>
    <w:rsid w:val="00B74177"/>
    <w:rsid w:val="00B76D53"/>
    <w:rsid w:val="00B82656"/>
    <w:rsid w:val="00B83704"/>
    <w:rsid w:val="00B90CC2"/>
    <w:rsid w:val="00B92E78"/>
    <w:rsid w:val="00B93330"/>
    <w:rsid w:val="00B96017"/>
    <w:rsid w:val="00B96778"/>
    <w:rsid w:val="00B96EAF"/>
    <w:rsid w:val="00BA1C37"/>
    <w:rsid w:val="00BA2BEC"/>
    <w:rsid w:val="00BA498C"/>
    <w:rsid w:val="00BA4E80"/>
    <w:rsid w:val="00BA56B6"/>
    <w:rsid w:val="00BB4D2B"/>
    <w:rsid w:val="00BB60A8"/>
    <w:rsid w:val="00BC3E88"/>
    <w:rsid w:val="00BC6621"/>
    <w:rsid w:val="00BC7EFD"/>
    <w:rsid w:val="00BD0BA4"/>
    <w:rsid w:val="00BD1F78"/>
    <w:rsid w:val="00BD1FC3"/>
    <w:rsid w:val="00BE1259"/>
    <w:rsid w:val="00BE73A7"/>
    <w:rsid w:val="00BF0647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3B4E"/>
    <w:rsid w:val="00C34157"/>
    <w:rsid w:val="00C348C3"/>
    <w:rsid w:val="00C40A56"/>
    <w:rsid w:val="00C41CE3"/>
    <w:rsid w:val="00C41EAE"/>
    <w:rsid w:val="00C44CDE"/>
    <w:rsid w:val="00C515F8"/>
    <w:rsid w:val="00C5195C"/>
    <w:rsid w:val="00C52063"/>
    <w:rsid w:val="00C52485"/>
    <w:rsid w:val="00C57D7F"/>
    <w:rsid w:val="00C60D35"/>
    <w:rsid w:val="00C61427"/>
    <w:rsid w:val="00C6411B"/>
    <w:rsid w:val="00C66CD2"/>
    <w:rsid w:val="00C72429"/>
    <w:rsid w:val="00C72AF5"/>
    <w:rsid w:val="00C74E46"/>
    <w:rsid w:val="00C75D95"/>
    <w:rsid w:val="00C76049"/>
    <w:rsid w:val="00C764AD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B0887"/>
    <w:rsid w:val="00CB4890"/>
    <w:rsid w:val="00CC1988"/>
    <w:rsid w:val="00CC19AA"/>
    <w:rsid w:val="00CC3865"/>
    <w:rsid w:val="00CC5C28"/>
    <w:rsid w:val="00CC6A6D"/>
    <w:rsid w:val="00CD01A6"/>
    <w:rsid w:val="00CD314C"/>
    <w:rsid w:val="00CD4911"/>
    <w:rsid w:val="00CD4E1A"/>
    <w:rsid w:val="00CD5D7A"/>
    <w:rsid w:val="00CD740C"/>
    <w:rsid w:val="00CE05BD"/>
    <w:rsid w:val="00CE08F9"/>
    <w:rsid w:val="00CE1BE6"/>
    <w:rsid w:val="00CE36B8"/>
    <w:rsid w:val="00CE4D5D"/>
    <w:rsid w:val="00CE6E37"/>
    <w:rsid w:val="00CE7334"/>
    <w:rsid w:val="00CF120A"/>
    <w:rsid w:val="00CF161B"/>
    <w:rsid w:val="00CF4907"/>
    <w:rsid w:val="00CF7BA7"/>
    <w:rsid w:val="00D00EA8"/>
    <w:rsid w:val="00D01135"/>
    <w:rsid w:val="00D015C5"/>
    <w:rsid w:val="00D024AE"/>
    <w:rsid w:val="00D03455"/>
    <w:rsid w:val="00D05BF5"/>
    <w:rsid w:val="00D0705D"/>
    <w:rsid w:val="00D10173"/>
    <w:rsid w:val="00D11238"/>
    <w:rsid w:val="00D13775"/>
    <w:rsid w:val="00D14C73"/>
    <w:rsid w:val="00D21992"/>
    <w:rsid w:val="00D23BBE"/>
    <w:rsid w:val="00D2696C"/>
    <w:rsid w:val="00D27AF2"/>
    <w:rsid w:val="00D27DC8"/>
    <w:rsid w:val="00D32D8D"/>
    <w:rsid w:val="00D331B7"/>
    <w:rsid w:val="00D33266"/>
    <w:rsid w:val="00D33644"/>
    <w:rsid w:val="00D33B6B"/>
    <w:rsid w:val="00D413DB"/>
    <w:rsid w:val="00D41D85"/>
    <w:rsid w:val="00D41E86"/>
    <w:rsid w:val="00D4220E"/>
    <w:rsid w:val="00D42316"/>
    <w:rsid w:val="00D427FC"/>
    <w:rsid w:val="00D42E28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2771"/>
    <w:rsid w:val="00D83991"/>
    <w:rsid w:val="00D83A75"/>
    <w:rsid w:val="00D848FF"/>
    <w:rsid w:val="00D86515"/>
    <w:rsid w:val="00D87E72"/>
    <w:rsid w:val="00D92DBF"/>
    <w:rsid w:val="00D93693"/>
    <w:rsid w:val="00D942F0"/>
    <w:rsid w:val="00D95DA1"/>
    <w:rsid w:val="00D9704A"/>
    <w:rsid w:val="00DA2232"/>
    <w:rsid w:val="00DA2837"/>
    <w:rsid w:val="00DA2C69"/>
    <w:rsid w:val="00DA3DE8"/>
    <w:rsid w:val="00DA4A1F"/>
    <w:rsid w:val="00DB0341"/>
    <w:rsid w:val="00DB1144"/>
    <w:rsid w:val="00DB1A6E"/>
    <w:rsid w:val="00DB2470"/>
    <w:rsid w:val="00DB3373"/>
    <w:rsid w:val="00DB3ACE"/>
    <w:rsid w:val="00DB4415"/>
    <w:rsid w:val="00DB5B17"/>
    <w:rsid w:val="00DB662D"/>
    <w:rsid w:val="00DB6793"/>
    <w:rsid w:val="00DC30E8"/>
    <w:rsid w:val="00DC4310"/>
    <w:rsid w:val="00DC69A7"/>
    <w:rsid w:val="00DC7E56"/>
    <w:rsid w:val="00DD07D3"/>
    <w:rsid w:val="00DD19A1"/>
    <w:rsid w:val="00DD2557"/>
    <w:rsid w:val="00DD39A8"/>
    <w:rsid w:val="00DE0934"/>
    <w:rsid w:val="00DE105F"/>
    <w:rsid w:val="00DE1A5F"/>
    <w:rsid w:val="00DE4941"/>
    <w:rsid w:val="00DE658A"/>
    <w:rsid w:val="00DE6720"/>
    <w:rsid w:val="00DF0BEC"/>
    <w:rsid w:val="00DF32A4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140A4"/>
    <w:rsid w:val="00E20C05"/>
    <w:rsid w:val="00E22B62"/>
    <w:rsid w:val="00E23866"/>
    <w:rsid w:val="00E2632C"/>
    <w:rsid w:val="00E31C4A"/>
    <w:rsid w:val="00E32496"/>
    <w:rsid w:val="00E377AB"/>
    <w:rsid w:val="00E40AE7"/>
    <w:rsid w:val="00E41741"/>
    <w:rsid w:val="00E42612"/>
    <w:rsid w:val="00E464DD"/>
    <w:rsid w:val="00E53A1D"/>
    <w:rsid w:val="00E560DE"/>
    <w:rsid w:val="00E56786"/>
    <w:rsid w:val="00E57B3A"/>
    <w:rsid w:val="00E63C72"/>
    <w:rsid w:val="00E66114"/>
    <w:rsid w:val="00E67CC2"/>
    <w:rsid w:val="00E720E0"/>
    <w:rsid w:val="00E735DF"/>
    <w:rsid w:val="00E7494E"/>
    <w:rsid w:val="00E77782"/>
    <w:rsid w:val="00E77DC4"/>
    <w:rsid w:val="00E84161"/>
    <w:rsid w:val="00E854ED"/>
    <w:rsid w:val="00E8595D"/>
    <w:rsid w:val="00E86E56"/>
    <w:rsid w:val="00E92EA8"/>
    <w:rsid w:val="00E94946"/>
    <w:rsid w:val="00E957DC"/>
    <w:rsid w:val="00E96F22"/>
    <w:rsid w:val="00EA20BE"/>
    <w:rsid w:val="00EA2BEB"/>
    <w:rsid w:val="00EA35ED"/>
    <w:rsid w:val="00EA7259"/>
    <w:rsid w:val="00EA739E"/>
    <w:rsid w:val="00EA7F9E"/>
    <w:rsid w:val="00EB1926"/>
    <w:rsid w:val="00EB2560"/>
    <w:rsid w:val="00EB27AA"/>
    <w:rsid w:val="00EB44D6"/>
    <w:rsid w:val="00EB5268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2F81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406B"/>
    <w:rsid w:val="00F050C5"/>
    <w:rsid w:val="00F105BB"/>
    <w:rsid w:val="00F11D13"/>
    <w:rsid w:val="00F15BC0"/>
    <w:rsid w:val="00F16DDE"/>
    <w:rsid w:val="00F22E11"/>
    <w:rsid w:val="00F2378D"/>
    <w:rsid w:val="00F245AA"/>
    <w:rsid w:val="00F27122"/>
    <w:rsid w:val="00F32201"/>
    <w:rsid w:val="00F33ED9"/>
    <w:rsid w:val="00F346F0"/>
    <w:rsid w:val="00F34780"/>
    <w:rsid w:val="00F35559"/>
    <w:rsid w:val="00F42462"/>
    <w:rsid w:val="00F42C07"/>
    <w:rsid w:val="00F43025"/>
    <w:rsid w:val="00F43CA0"/>
    <w:rsid w:val="00F479AC"/>
    <w:rsid w:val="00F47AC0"/>
    <w:rsid w:val="00F47CDB"/>
    <w:rsid w:val="00F50C5F"/>
    <w:rsid w:val="00F5164A"/>
    <w:rsid w:val="00F537E6"/>
    <w:rsid w:val="00F54C72"/>
    <w:rsid w:val="00F5586D"/>
    <w:rsid w:val="00F56F36"/>
    <w:rsid w:val="00F579C1"/>
    <w:rsid w:val="00F57C3E"/>
    <w:rsid w:val="00F605C6"/>
    <w:rsid w:val="00F61705"/>
    <w:rsid w:val="00F659D3"/>
    <w:rsid w:val="00F659E4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9D4"/>
    <w:rsid w:val="00FD1348"/>
    <w:rsid w:val="00FD282D"/>
    <w:rsid w:val="00FD4B23"/>
    <w:rsid w:val="00FE15C5"/>
    <w:rsid w:val="00FE1DB5"/>
    <w:rsid w:val="00FE1F54"/>
    <w:rsid w:val="00FE4CB5"/>
    <w:rsid w:val="00FE5BA5"/>
    <w:rsid w:val="00FE7174"/>
    <w:rsid w:val="00FF018C"/>
    <w:rsid w:val="00FF0713"/>
    <w:rsid w:val="00FF1DC6"/>
    <w:rsid w:val="00FF2E01"/>
    <w:rsid w:val="00FF6F97"/>
    <w:rsid w:val="00FF7089"/>
    <w:rsid w:val="02572AE5"/>
    <w:rsid w:val="3A2A1B78"/>
    <w:rsid w:val="3AC577F8"/>
    <w:rsid w:val="464D4B6D"/>
    <w:rsid w:val="4A0B47FF"/>
    <w:rsid w:val="4E0C1ED3"/>
    <w:rsid w:val="517E0914"/>
    <w:rsid w:val="70344EA3"/>
    <w:rsid w:val="71C852BA"/>
    <w:rsid w:val="7DDF5E0F"/>
    <w:rsid w:val="7E61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7937</Words>
  <Characters>8205</Characters>
  <Lines>71</Lines>
  <Paragraphs>20</Paragraphs>
  <TotalTime>4</TotalTime>
  <ScaleCrop>false</ScaleCrop>
  <LinksUpToDate>false</LinksUpToDate>
  <CharactersWithSpaces>8265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Administrator</cp:lastModifiedBy>
  <cp:lastPrinted>2015-12-10T09:13:00Z</cp:lastPrinted>
  <dcterms:modified xsi:type="dcterms:W3CDTF">2025-02-12T08:18:02Z</dcterms:modified>
  <dc:title>财政支出绩效评价报告</dc:title>
  <cp:revision>313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CBF05E4BDF4448EEBDCBB84C01DB7E16_12</vt:lpwstr>
  </property>
  <property fmtid="{D5CDD505-2E9C-101B-9397-08002B2CF9AE}" pid="4" name="KSOTemplateDocerSaveRecord">
    <vt:lpwstr>eyJoZGlkIjoiYjhjNmVhOTU5ODM3OWQ1M2MxMjk1OGZlZmIyMzhkOWYifQ==</vt:lpwstr>
  </property>
</Properties>
</file>