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96773">
      <w:pPr>
        <w:ind w:firstLine="883"/>
        <w:jc w:val="center"/>
        <w:rPr>
          <w:rFonts w:ascii="宋体" w:hAnsi="宋体" w:eastAsia="宋体"/>
          <w:b/>
          <w:color w:val="000000"/>
          <w:sz w:val="44"/>
          <w:szCs w:val="44"/>
        </w:rPr>
      </w:pPr>
    </w:p>
    <w:p w14:paraId="7588D5C2">
      <w:pPr>
        <w:ind w:firstLine="883"/>
        <w:jc w:val="center"/>
        <w:rPr>
          <w:rFonts w:ascii="宋体" w:hAnsi="宋体" w:eastAsia="宋体"/>
          <w:b/>
          <w:color w:val="000000"/>
          <w:sz w:val="44"/>
          <w:szCs w:val="44"/>
        </w:rPr>
      </w:pPr>
    </w:p>
    <w:p w14:paraId="1C803F03">
      <w:pPr>
        <w:ind w:firstLine="0" w:firstLineChars="0"/>
        <w:jc w:val="center"/>
        <w:rPr>
          <w:rFonts w:ascii="仿宋" w:hAnsi="仿宋" w:eastAsia="仿宋"/>
          <w:b/>
          <w:bCs/>
          <w:color w:val="000000"/>
          <w:sz w:val="44"/>
          <w:szCs w:val="44"/>
        </w:rPr>
      </w:pPr>
      <w:r>
        <w:rPr>
          <w:rFonts w:hint="eastAsia" w:ascii="仿宋" w:hAnsi="仿宋" w:eastAsia="仿宋"/>
          <w:b/>
          <w:color w:val="000000"/>
          <w:sz w:val="44"/>
          <w:szCs w:val="44"/>
        </w:rPr>
        <w:t>武汉经济技术开发区智慧生态城管理办公室</w:t>
      </w:r>
      <w:r>
        <w:rPr>
          <w:rFonts w:hint="eastAsia" w:ascii="仿宋" w:hAnsi="仿宋" w:eastAsia="仿宋"/>
          <w:b/>
          <w:bCs/>
          <w:color w:val="000000"/>
          <w:sz w:val="44"/>
          <w:szCs w:val="44"/>
        </w:rPr>
        <w:t>宣传经费</w:t>
      </w:r>
    </w:p>
    <w:p w14:paraId="663CEF8D">
      <w:pPr>
        <w:ind w:firstLine="0" w:firstLineChars="0"/>
        <w:jc w:val="center"/>
        <w:rPr>
          <w:rFonts w:ascii="仿宋" w:hAnsi="仿宋" w:eastAsia="仿宋"/>
          <w:b/>
          <w:bCs/>
          <w:color w:val="000000"/>
          <w:sz w:val="44"/>
          <w:szCs w:val="44"/>
        </w:rPr>
      </w:pPr>
      <w:r>
        <w:rPr>
          <w:rFonts w:hint="eastAsia" w:ascii="仿宋" w:hAnsi="仿宋" w:eastAsia="仿宋"/>
          <w:b/>
          <w:bCs/>
          <w:color w:val="000000"/>
          <w:sz w:val="44"/>
          <w:szCs w:val="44"/>
        </w:rPr>
        <w:t>2018年度绩效评价报告</w:t>
      </w:r>
    </w:p>
    <w:p w14:paraId="08B88C20">
      <w:pPr>
        <w:ind w:firstLine="480"/>
      </w:pPr>
    </w:p>
    <w:p w14:paraId="51F14B5B">
      <w:pPr>
        <w:ind w:firstLine="480"/>
      </w:pPr>
    </w:p>
    <w:p w14:paraId="37297459">
      <w:pPr>
        <w:ind w:firstLine="480"/>
      </w:pPr>
    </w:p>
    <w:p w14:paraId="0F3AE5DC">
      <w:pPr>
        <w:widowControl/>
        <w:spacing w:line="800" w:lineRule="exact"/>
        <w:ind w:firstLine="790" w:firstLineChars="246"/>
        <w:jc w:val="left"/>
        <w:rPr>
          <w:b/>
          <w:bCs/>
          <w:kern w:val="32"/>
          <w:sz w:val="32"/>
          <w:lang w:bidi="he-IL"/>
        </w:rPr>
      </w:pPr>
    </w:p>
    <w:p w14:paraId="74F5BC4E">
      <w:pPr>
        <w:widowControl/>
        <w:spacing w:line="800" w:lineRule="exact"/>
        <w:ind w:firstLine="790" w:firstLineChars="246"/>
        <w:jc w:val="left"/>
        <w:rPr>
          <w:b/>
          <w:bCs/>
          <w:kern w:val="32"/>
          <w:sz w:val="32"/>
          <w:lang w:bidi="he-IL"/>
        </w:rPr>
      </w:pPr>
    </w:p>
    <w:p w14:paraId="1189DAF3">
      <w:pPr>
        <w:widowControl/>
        <w:spacing w:line="480" w:lineRule="auto"/>
        <w:ind w:right="-192" w:rightChars="-80" w:firstLine="790" w:firstLineChars="246"/>
        <w:jc w:val="left"/>
        <w:rPr>
          <w:b/>
          <w:bCs/>
          <w:sz w:val="32"/>
          <w:szCs w:val="32"/>
        </w:rPr>
      </w:pPr>
      <w:r>
        <w:rPr>
          <w:b/>
          <w:bCs/>
          <w:kern w:val="32"/>
          <w:sz w:val="32"/>
          <w:lang w:bidi="he-IL"/>
        </w:rPr>
        <w:t>项目名称：</w:t>
      </w:r>
      <w:r>
        <w:rPr>
          <w:rFonts w:hint="eastAsia"/>
          <w:b/>
          <w:bCs/>
          <w:sz w:val="32"/>
          <w:szCs w:val="32"/>
        </w:rPr>
        <w:t>宣传经费</w:t>
      </w:r>
    </w:p>
    <w:p w14:paraId="2FD1C78E">
      <w:pPr>
        <w:widowControl/>
        <w:spacing w:line="480" w:lineRule="auto"/>
        <w:ind w:right="-192" w:rightChars="-80" w:firstLine="790" w:firstLineChars="246"/>
        <w:jc w:val="left"/>
        <w:rPr>
          <w:b/>
          <w:bCs/>
          <w:sz w:val="32"/>
          <w:szCs w:val="32"/>
        </w:rPr>
      </w:pPr>
      <w:r>
        <w:rPr>
          <w:b/>
          <w:bCs/>
          <w:kern w:val="32"/>
          <w:sz w:val="32"/>
          <w:lang w:bidi="he-IL"/>
        </w:rPr>
        <w:t>项目单位：</w:t>
      </w:r>
      <w:r>
        <w:rPr>
          <w:rFonts w:hint="eastAsia"/>
          <w:b/>
          <w:bCs/>
          <w:kern w:val="32"/>
          <w:sz w:val="32"/>
          <w:lang w:bidi="he-IL"/>
        </w:rPr>
        <w:t>武汉经济技术开发区智慧生态城管理办公室</w:t>
      </w:r>
    </w:p>
    <w:p w14:paraId="5AC98861">
      <w:pPr>
        <w:widowControl/>
        <w:spacing w:line="480" w:lineRule="auto"/>
        <w:ind w:firstLine="790" w:firstLineChars="246"/>
        <w:jc w:val="left"/>
        <w:rPr>
          <w:b/>
          <w:bCs/>
          <w:kern w:val="32"/>
          <w:sz w:val="32"/>
          <w:lang w:bidi="he-IL"/>
        </w:rPr>
      </w:pPr>
      <w:r>
        <w:rPr>
          <w:b/>
          <w:bCs/>
          <w:kern w:val="32"/>
          <w:sz w:val="32"/>
          <w:lang w:bidi="he-IL"/>
        </w:rPr>
        <w:t>主管部门：</w:t>
      </w:r>
      <w:r>
        <w:rPr>
          <w:rFonts w:hint="eastAsia"/>
          <w:b/>
          <w:bCs/>
          <w:kern w:val="32"/>
          <w:sz w:val="32"/>
          <w:lang w:bidi="he-IL"/>
        </w:rPr>
        <w:t>武汉经济技术开发区智慧生态城管理办公室</w:t>
      </w:r>
    </w:p>
    <w:p w14:paraId="3555619A">
      <w:pPr>
        <w:widowControl/>
        <w:spacing w:line="480" w:lineRule="auto"/>
        <w:ind w:firstLine="790" w:firstLineChars="246"/>
        <w:jc w:val="left"/>
        <w:rPr>
          <w:b/>
          <w:bCs/>
          <w:sz w:val="32"/>
          <w:szCs w:val="32"/>
        </w:rPr>
      </w:pPr>
      <w:r>
        <w:rPr>
          <w:b/>
          <w:bCs/>
          <w:kern w:val="32"/>
          <w:sz w:val="32"/>
          <w:lang w:bidi="he-IL"/>
        </w:rPr>
        <w:t>评价机构：</w:t>
      </w:r>
      <w:r>
        <w:rPr>
          <w:rFonts w:hint="eastAsia"/>
          <w:b/>
          <w:bCs/>
          <w:sz w:val="32"/>
          <w:szCs w:val="32"/>
        </w:rPr>
        <w:t>湖北正大会计师事务有限责任公司</w:t>
      </w:r>
    </w:p>
    <w:p w14:paraId="10B78E6B">
      <w:pPr>
        <w:spacing w:line="800" w:lineRule="exact"/>
        <w:ind w:firstLine="0" w:firstLineChars="0"/>
        <w:rPr>
          <w:b/>
          <w:bCs/>
          <w:sz w:val="32"/>
          <w:szCs w:val="32"/>
        </w:rPr>
      </w:pPr>
    </w:p>
    <w:p w14:paraId="7FF8189E">
      <w:pPr>
        <w:spacing w:line="800" w:lineRule="exact"/>
        <w:ind w:firstLine="0" w:firstLineChars="0"/>
        <w:rPr>
          <w:b/>
          <w:bCs/>
          <w:sz w:val="32"/>
          <w:szCs w:val="32"/>
        </w:rPr>
      </w:pPr>
    </w:p>
    <w:p w14:paraId="3EBFE129">
      <w:pPr>
        <w:spacing w:line="800" w:lineRule="exact"/>
        <w:ind w:firstLine="0" w:firstLineChars="0"/>
        <w:jc w:val="center"/>
        <w:rPr>
          <w:b/>
          <w:bCs/>
          <w:sz w:val="32"/>
          <w:szCs w:val="32"/>
        </w:rPr>
      </w:pPr>
      <w:r>
        <w:rPr>
          <w:b/>
          <w:bCs/>
          <w:sz w:val="32"/>
          <w:szCs w:val="32"/>
        </w:rPr>
        <w:t>二〇</w:t>
      </w:r>
      <w:r>
        <w:rPr>
          <w:rFonts w:hint="eastAsia"/>
          <w:b/>
          <w:bCs/>
          <w:sz w:val="32"/>
          <w:szCs w:val="32"/>
        </w:rPr>
        <w:t>一九</w:t>
      </w:r>
      <w:r>
        <w:rPr>
          <w:b/>
          <w:bCs/>
          <w:sz w:val="32"/>
          <w:szCs w:val="32"/>
        </w:rPr>
        <w:t>年</w:t>
      </w:r>
      <w:r>
        <w:rPr>
          <w:rFonts w:hint="eastAsia"/>
          <w:b/>
          <w:bCs/>
          <w:sz w:val="32"/>
          <w:szCs w:val="32"/>
        </w:rPr>
        <w:t>七</w:t>
      </w:r>
      <w:r>
        <w:rPr>
          <w:b/>
          <w:bCs/>
          <w:sz w:val="32"/>
          <w:szCs w:val="32"/>
        </w:rPr>
        <w:t>月</w:t>
      </w:r>
    </w:p>
    <w:p w14:paraId="673FA903">
      <w:pPr>
        <w:widowControl/>
        <w:spacing w:line="240" w:lineRule="auto"/>
        <w:ind w:firstLine="0" w:firstLineChars="0"/>
        <w:jc w:val="left"/>
        <w:rPr>
          <w:rFonts w:ascii="Arial Narrow" w:hAnsi="Arial Narrow" w:cs="Arial Narrow"/>
          <w:b/>
          <w:sz w:val="32"/>
          <w:szCs w:val="32"/>
        </w:rPr>
      </w:pPr>
      <w:r>
        <w:rPr>
          <w:rFonts w:ascii="Arial Narrow" w:hAnsi="Arial Narrow" w:cs="Arial Narrow"/>
          <w:b/>
          <w:sz w:val="32"/>
          <w:szCs w:val="32"/>
        </w:rPr>
        <w:br w:type="page"/>
      </w:r>
    </w:p>
    <w:sdt>
      <w:sdtPr>
        <w:rPr>
          <w:rFonts w:ascii="Times New Roman" w:hAnsi="Times New Roman" w:eastAsia="仿宋_GB2312"/>
          <w:b w:val="0"/>
          <w:bCs w:val="0"/>
          <w:color w:val="auto"/>
          <w:kern w:val="2"/>
          <w:sz w:val="44"/>
          <w:szCs w:val="44"/>
          <w:lang w:val="zh-CN"/>
        </w:rPr>
        <w:id w:val="-1391262497"/>
        <w:docPartObj>
          <w:docPartGallery w:val="Table of Contents"/>
          <w:docPartUnique/>
        </w:docPartObj>
      </w:sdtPr>
      <w:sdtEndPr>
        <w:rPr>
          <w:rFonts w:ascii="Times New Roman" w:hAnsi="Times New Roman" w:eastAsia="仿宋_GB2312"/>
          <w:b/>
          <w:bCs/>
          <w:color w:val="auto"/>
          <w:kern w:val="2"/>
          <w:sz w:val="24"/>
          <w:szCs w:val="24"/>
          <w:lang w:val="zh-CN"/>
        </w:rPr>
      </w:sdtEndPr>
      <w:sdtContent>
        <w:p w14:paraId="55069F9F">
          <w:pPr>
            <w:pStyle w:val="38"/>
            <w:spacing w:before="0" w:line="264" w:lineRule="auto"/>
            <w:ind w:firstLine="480"/>
            <w:jc w:val="center"/>
            <w:rPr>
              <w:rFonts w:ascii="仿宋" w:hAnsi="仿宋" w:eastAsia="仿宋"/>
              <w:color w:val="auto"/>
              <w:sz w:val="44"/>
              <w:szCs w:val="44"/>
            </w:rPr>
          </w:pPr>
          <w:r>
            <w:rPr>
              <w:rFonts w:ascii="仿宋" w:hAnsi="仿宋" w:eastAsia="仿宋"/>
              <w:color w:val="auto"/>
              <w:sz w:val="44"/>
              <w:szCs w:val="44"/>
              <w:lang w:val="zh-CN"/>
            </w:rPr>
            <w:t>目录</w:t>
          </w:r>
        </w:p>
        <w:p w14:paraId="0F54B912">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摘   要</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w:t>
          </w:r>
        </w:p>
        <w:p w14:paraId="5FE9EE01">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一、项目基本情况</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3</w:t>
          </w:r>
        </w:p>
        <w:p w14:paraId="627EEE48">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（一）项目立项背景和依据</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3</w:t>
          </w:r>
        </w:p>
        <w:p w14:paraId="6D3A3DD8">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（二）项目绩效目标</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3</w:t>
          </w:r>
        </w:p>
        <w:p w14:paraId="2434836A">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（三）项目经费来源和使用情况</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3</w:t>
          </w:r>
        </w:p>
        <w:p w14:paraId="28D2AE7A">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（四）项目实施情况</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4</w:t>
          </w:r>
        </w:p>
        <w:p w14:paraId="2F9B48C3">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二、绩效评价工作情况</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4</w:t>
          </w:r>
        </w:p>
        <w:p w14:paraId="794A2EF4">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（一）绩效评价目的</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4</w:t>
          </w:r>
        </w:p>
        <w:p w14:paraId="5ACCA49F">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（二）绩效评价工作过程</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4</w:t>
          </w:r>
        </w:p>
        <w:p w14:paraId="0AE1F2DD">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（三）绩效评价框架</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4</w:t>
          </w:r>
        </w:p>
        <w:p w14:paraId="79AC8334">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（四）评价抽样情况概述</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6</w:t>
          </w:r>
        </w:p>
        <w:p w14:paraId="1C30BF0B">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三、绩效分析及评价结论</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6</w:t>
          </w:r>
        </w:p>
        <w:p w14:paraId="10310607">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（一）绩效分析</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6</w:t>
          </w:r>
        </w:p>
        <w:p w14:paraId="43425EB7">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1、项目投入（16分）</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6</w:t>
          </w:r>
        </w:p>
        <w:p w14:paraId="4B311B6E">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2、决策过程（24分）</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7</w:t>
          </w:r>
        </w:p>
        <w:p w14:paraId="0E22B597">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3、项目产出（28分）</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9</w:t>
          </w:r>
        </w:p>
        <w:p w14:paraId="113B4AC4">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4、项目效果（32分）</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9</w:t>
          </w:r>
        </w:p>
        <w:p w14:paraId="6C1CC576">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（二）评价结论</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10</w:t>
          </w:r>
        </w:p>
        <w:p w14:paraId="1DD1F3CF">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四、主要经验及做法、存在的问题和建议</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11</w:t>
          </w:r>
        </w:p>
        <w:p w14:paraId="324D337F">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（一）主要经验及做法</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11</w:t>
          </w:r>
        </w:p>
        <w:p w14:paraId="39B23314">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（二）存在的问题</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11</w:t>
          </w:r>
        </w:p>
        <w:p w14:paraId="00AF3B6A">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（三）建议</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11</w:t>
          </w:r>
        </w:p>
        <w:p w14:paraId="7249656A">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五、其他需说明的问题</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11</w:t>
          </w:r>
        </w:p>
        <w:p w14:paraId="6973A362">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rPr>
          </w:pPr>
          <w:r>
            <w:rPr>
              <w:rFonts w:hint="eastAsia" w:ascii="Times New Roman" w:hAnsi="Times New Roman" w:eastAsia="仿宋_GB2312"/>
              <w:b/>
              <w:bCs/>
              <w:color w:val="auto"/>
              <w:kern w:val="2"/>
              <w:sz w:val="24"/>
              <w:szCs w:val="24"/>
              <w:lang w:val="zh-CN"/>
            </w:rPr>
            <w:t>（一）关于评价责任的说明</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11</w:t>
          </w:r>
        </w:p>
        <w:p w14:paraId="67611DEB">
          <w:pPr>
            <w:pStyle w:val="15"/>
            <w:tabs>
              <w:tab w:val="right" w:leader="dot" w:pos="8693"/>
            </w:tabs>
            <w:spacing w:before="0" w:after="0" w:line="264" w:lineRule="auto"/>
            <w:ind w:firstLine="482" w:firstLineChars="200"/>
            <w:rPr>
              <w:rFonts w:hint="default" w:ascii="Times New Roman" w:hAnsi="Times New Roman" w:eastAsia="仿宋_GB2312"/>
              <w:b/>
              <w:bCs/>
              <w:color w:val="auto"/>
              <w:kern w:val="2"/>
              <w:sz w:val="24"/>
              <w:szCs w:val="24"/>
              <w:lang w:val="en-US" w:eastAsia="zh-CN"/>
            </w:rPr>
          </w:pPr>
          <w:r>
            <w:rPr>
              <w:rFonts w:hint="eastAsia" w:ascii="Times New Roman" w:hAnsi="Times New Roman" w:eastAsia="仿宋_GB2312"/>
              <w:b/>
              <w:bCs/>
              <w:color w:val="auto"/>
              <w:kern w:val="2"/>
              <w:sz w:val="24"/>
              <w:szCs w:val="24"/>
              <w:lang w:val="zh-CN"/>
            </w:rPr>
            <w:t>（二）关于本项目评价中存在的局限性的说明</w:t>
          </w:r>
          <w:r>
            <w:rPr>
              <w:rFonts w:hint="eastAsia" w:ascii="Times New Roman" w:hAnsi="Times New Roman" w:eastAsia="仿宋_GB2312"/>
              <w:b/>
              <w:bCs/>
              <w:color w:val="auto"/>
              <w:kern w:val="2"/>
              <w:sz w:val="24"/>
              <w:szCs w:val="24"/>
              <w:lang w:val="zh-CN"/>
            </w:rPr>
            <w:tab/>
          </w:r>
          <w:r>
            <w:rPr>
              <w:rFonts w:hint="eastAsia"/>
              <w:b/>
              <w:bCs/>
              <w:color w:val="auto"/>
              <w:kern w:val="2"/>
              <w:sz w:val="24"/>
              <w:szCs w:val="24"/>
              <w:lang w:val="en-US" w:eastAsia="zh-CN"/>
            </w:rPr>
            <w:t>11</w:t>
          </w:r>
        </w:p>
        <w:p w14:paraId="27835D1F">
          <w:pPr>
            <w:pStyle w:val="15"/>
            <w:tabs>
              <w:tab w:val="right" w:leader="dot" w:pos="8693"/>
            </w:tabs>
            <w:spacing w:before="0" w:after="0" w:line="264" w:lineRule="auto"/>
            <w:ind w:firstLine="482" w:firstLineChars="200"/>
            <w:rPr>
              <w:rFonts w:hint="eastAsia" w:ascii="Times New Roman" w:hAnsi="Times New Roman" w:eastAsia="仿宋_GB2312"/>
              <w:b/>
              <w:bCs/>
              <w:color w:val="auto"/>
              <w:kern w:val="2"/>
              <w:sz w:val="24"/>
              <w:szCs w:val="24"/>
              <w:lang w:val="zh-CN" w:eastAsia="zh-CN"/>
            </w:rPr>
          </w:pPr>
          <w:r>
            <w:rPr>
              <w:rFonts w:hint="eastAsia"/>
              <w:b/>
              <w:bCs/>
              <w:color w:val="auto"/>
              <w:kern w:val="2"/>
              <w:sz w:val="24"/>
              <w:szCs w:val="24"/>
              <w:lang w:val="en-US" w:eastAsia="zh-CN"/>
            </w:rPr>
            <w:t>附件</w:t>
          </w:r>
          <w:r>
            <w:rPr>
              <w:rFonts w:hint="eastAsia" w:ascii="Times New Roman" w:hAnsi="Times New Roman" w:eastAsia="仿宋_GB2312"/>
              <w:b/>
              <w:bCs/>
              <w:color w:val="auto"/>
              <w:kern w:val="2"/>
              <w:sz w:val="24"/>
              <w:szCs w:val="24"/>
              <w:lang w:val="zh-CN"/>
            </w:rPr>
            <w:tab/>
          </w:r>
          <w:r>
            <w:rPr>
              <w:rFonts w:hint="eastAsia" w:ascii="Times New Roman" w:hAnsi="Times New Roman" w:eastAsia="仿宋_GB2312"/>
              <w:b/>
              <w:bCs/>
              <w:color w:val="auto"/>
              <w:kern w:val="2"/>
              <w:sz w:val="24"/>
              <w:szCs w:val="24"/>
              <w:lang w:val="zh-CN"/>
            </w:rPr>
            <w:t>1</w:t>
          </w:r>
          <w:r>
            <w:rPr>
              <w:rFonts w:hint="eastAsia"/>
              <w:b/>
              <w:bCs/>
              <w:color w:val="auto"/>
              <w:kern w:val="2"/>
              <w:sz w:val="24"/>
              <w:szCs w:val="24"/>
              <w:lang w:val="en-US" w:eastAsia="zh-CN"/>
            </w:rPr>
            <w:t>2</w:t>
          </w:r>
        </w:p>
        <w:p w14:paraId="03E827C4">
          <w:pPr>
            <w:pStyle w:val="15"/>
            <w:tabs>
              <w:tab w:val="right" w:leader="dot" w:pos="8693"/>
            </w:tabs>
            <w:spacing w:before="0" w:after="0" w:line="264" w:lineRule="auto"/>
            <w:ind w:firstLine="482" w:firstLineChars="200"/>
            <w:rPr>
              <w:b/>
              <w:bCs/>
            </w:rPr>
          </w:pPr>
        </w:p>
      </w:sdtContent>
    </w:sdt>
    <w:p w14:paraId="071DB4C5">
      <w:pPr>
        <w:pStyle w:val="15"/>
        <w:tabs>
          <w:tab w:val="right" w:leader="dot" w:pos="8693"/>
        </w:tabs>
        <w:ind w:firstLine="560"/>
        <w:rPr>
          <w:rFonts w:asciiTheme="minorHAnsi" w:hAnsiTheme="minorHAnsi" w:eastAsiaTheme="minorEastAsia" w:cstheme="minorBidi"/>
          <w:smallCaps/>
          <w:sz w:val="21"/>
          <w:szCs w:val="22"/>
        </w:rPr>
      </w:pPr>
      <w:r>
        <w:rPr>
          <w:rFonts w:hint="eastAsia" w:ascii="仿宋_GB2312" w:hAnsi="Arial Narrow" w:cs="Arial Narrow"/>
          <w:b w:val="0"/>
          <w:szCs w:val="24"/>
        </w:rPr>
        <w:fldChar w:fldCharType="begin"/>
      </w:r>
      <w:r>
        <w:rPr>
          <w:rFonts w:hint="eastAsia" w:ascii="仿宋_GB2312" w:hAnsi="Arial Narrow" w:cs="Arial Narrow"/>
          <w:b w:val="0"/>
          <w:szCs w:val="24"/>
        </w:rPr>
        <w:instrText xml:space="preserve"> TOC \o "1-4" \h \z \u </w:instrText>
      </w:r>
      <w:r>
        <w:rPr>
          <w:rFonts w:hint="eastAsia" w:ascii="仿宋_GB2312" w:hAnsi="Arial Narrow" w:cs="Arial Narrow"/>
          <w:b w:val="0"/>
          <w:szCs w:val="24"/>
        </w:rPr>
        <w:fldChar w:fldCharType="separate"/>
      </w:r>
    </w:p>
    <w:p w14:paraId="42E79134">
      <w:pPr>
        <w:adjustRightInd w:val="0"/>
        <w:snapToGrid w:val="0"/>
        <w:spacing w:line="520" w:lineRule="exact"/>
        <w:ind w:firstLine="0" w:firstLineChars="0"/>
        <w:jc w:val="left"/>
        <w:rPr>
          <w:rFonts w:ascii="仿宋_GB2312" w:hAnsi="Arial Narrow" w:cs="Arial Narrow"/>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361" w:right="1406" w:bottom="1089" w:left="1797" w:header="1361" w:footer="992" w:gutter="0"/>
          <w:pgNumType w:start="0"/>
          <w:cols w:space="720" w:num="1"/>
          <w:docGrid w:type="lines" w:linePitch="408" w:charSpace="0"/>
        </w:sectPr>
      </w:pPr>
      <w:r>
        <w:rPr>
          <w:rFonts w:hint="eastAsia" w:ascii="仿宋_GB2312" w:hAnsi="Arial Narrow" w:cs="Arial Narrow"/>
          <w:sz w:val="28"/>
        </w:rPr>
        <w:fldChar w:fldCharType="end"/>
      </w:r>
    </w:p>
    <w:p w14:paraId="164044A7">
      <w:pPr>
        <w:ind w:firstLine="0" w:firstLineChars="0"/>
        <w:rPr>
          <w:rFonts w:ascii="Arial Narrow" w:hAnsi="Arial Narrow" w:cs="Arial Narrow"/>
          <w:b/>
          <w:sz w:val="32"/>
          <w:szCs w:val="32"/>
        </w:rPr>
      </w:pPr>
      <w:bookmarkStart w:id="0" w:name="_Toc406666351"/>
      <w:bookmarkStart w:id="1" w:name="_Toc406668024"/>
    </w:p>
    <w:p w14:paraId="6D67C543">
      <w:pPr>
        <w:pStyle w:val="2"/>
        <w:jc w:val="center"/>
        <w:rPr>
          <w:rFonts w:ascii="华文宋体" w:hAnsi="华文宋体" w:eastAsia="华文宋体" w:cs="Arial Narrow"/>
          <w:b w:val="0"/>
          <w:sz w:val="36"/>
        </w:rPr>
      </w:pPr>
      <w:bookmarkStart w:id="2" w:name="_Toc15732363"/>
      <w:bookmarkStart w:id="3" w:name="_Toc14165722"/>
      <w:r>
        <w:rPr>
          <w:rFonts w:hint="eastAsia" w:ascii="华文宋体" w:hAnsi="华文宋体" w:eastAsia="华文宋体" w:cs="Arial Narrow"/>
          <w:sz w:val="36"/>
        </w:rPr>
        <w:t>摘   要</w:t>
      </w:r>
      <w:bookmarkEnd w:id="2"/>
      <w:bookmarkEnd w:id="3"/>
    </w:p>
    <w:p w14:paraId="57ABE798">
      <w:pPr>
        <w:pStyle w:val="40"/>
        <w:numPr>
          <w:ilvl w:val="0"/>
          <w:numId w:val="1"/>
        </w:numPr>
        <w:ind w:firstLineChars="0"/>
        <w:jc w:val="left"/>
        <w:rPr>
          <w:rFonts w:ascii="仿宋" w:hAnsi="仿宋" w:eastAsia="仿宋" w:cs="Arial Narrow"/>
          <w:b/>
        </w:rPr>
      </w:pPr>
      <w:r>
        <w:rPr>
          <w:rFonts w:hint="eastAsia" w:ascii="仿宋" w:hAnsi="仿宋" w:eastAsia="仿宋" w:cs="Arial Narrow"/>
          <w:b/>
        </w:rPr>
        <w:t>基本情况</w:t>
      </w:r>
    </w:p>
    <w:p w14:paraId="7D780124">
      <w:pPr>
        <w:ind w:firstLine="482"/>
        <w:jc w:val="left"/>
        <w:rPr>
          <w:rFonts w:ascii="仿宋" w:hAnsi="仿宋" w:eastAsia="仿宋" w:cs="Arial Narrow"/>
          <w:b/>
        </w:rPr>
      </w:pPr>
      <w:r>
        <w:rPr>
          <w:rFonts w:hint="eastAsia" w:ascii="仿宋" w:hAnsi="仿宋" w:eastAsia="仿宋" w:cs="Arial Narrow"/>
          <w:b/>
        </w:rPr>
        <w:t xml:space="preserve">（一）项目基本情况  </w:t>
      </w:r>
    </w:p>
    <w:p w14:paraId="4A95F8AA">
      <w:pPr>
        <w:spacing w:line="288" w:lineRule="auto"/>
        <w:ind w:firstLine="480"/>
        <w:jc w:val="left"/>
        <w:rPr>
          <w:rFonts w:ascii="仿宋_GB2312" w:hAnsi="Arial Narrow" w:cs="Arial Narrow"/>
        </w:rPr>
      </w:pPr>
      <w:r>
        <w:rPr>
          <w:rFonts w:hint="eastAsia" w:ascii="仿宋_GB2312" w:hAnsi="Arial Narrow" w:cs="Arial Narrow"/>
        </w:rPr>
        <w:t>1、项目名称：宣传经费</w:t>
      </w:r>
    </w:p>
    <w:p w14:paraId="7BC9A615">
      <w:pPr>
        <w:spacing w:line="288" w:lineRule="auto"/>
        <w:ind w:firstLine="480"/>
        <w:jc w:val="left"/>
        <w:rPr>
          <w:rFonts w:ascii="仿宋_GB2312" w:hAnsi="Arial Narrow" w:cs="Arial Narrow"/>
        </w:rPr>
      </w:pPr>
      <w:r>
        <w:rPr>
          <w:rFonts w:hint="eastAsia" w:ascii="仿宋_GB2312" w:hAnsi="Arial Narrow" w:cs="Arial Narrow"/>
        </w:rPr>
        <w:t>2、项目预算金额：500,000.00元</w:t>
      </w:r>
    </w:p>
    <w:p w14:paraId="6D6D43C3">
      <w:pPr>
        <w:ind w:firstLine="482"/>
        <w:jc w:val="left"/>
        <w:rPr>
          <w:rFonts w:ascii="仿宋" w:hAnsi="仿宋" w:eastAsia="仿宋" w:cs="Arial Narrow"/>
          <w:b/>
        </w:rPr>
      </w:pPr>
      <w:r>
        <w:rPr>
          <w:rFonts w:hint="eastAsia" w:ascii="仿宋" w:hAnsi="仿宋" w:eastAsia="仿宋" w:cs="Arial Narrow"/>
          <w:b/>
        </w:rPr>
        <w:t>（二）绩效评价工作情况</w:t>
      </w:r>
    </w:p>
    <w:p w14:paraId="19717962">
      <w:pPr>
        <w:snapToGrid w:val="0"/>
        <w:ind w:firstLine="439" w:firstLineChars="183"/>
        <w:jc w:val="left"/>
        <w:rPr>
          <w:rFonts w:ascii="仿宋_GB2312" w:hAnsi="Arial Narrow" w:cs="Arial Narrow"/>
        </w:rPr>
      </w:pPr>
      <w:r>
        <w:rPr>
          <w:rFonts w:hint="eastAsia" w:ascii="仿宋_GB2312" w:hAnsi="Arial Narrow" w:cs="Arial Narrow"/>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法、比较法、因素分析法、最低成本法、公评判法及其他评价方法等。</w:t>
      </w:r>
    </w:p>
    <w:p w14:paraId="1FDC29D0">
      <w:pPr>
        <w:ind w:firstLine="0" w:firstLineChars="0"/>
        <w:jc w:val="left"/>
        <w:rPr>
          <w:rFonts w:ascii="仿宋" w:hAnsi="仿宋" w:eastAsia="仿宋" w:cs="Arial Narrow"/>
          <w:b/>
        </w:rPr>
      </w:pPr>
      <w:r>
        <w:rPr>
          <w:rFonts w:hint="eastAsia" w:ascii="仿宋" w:hAnsi="仿宋" w:eastAsia="仿宋" w:cs="Arial Narrow"/>
          <w:b/>
        </w:rPr>
        <w:t xml:space="preserve">二、  </w:t>
      </w:r>
      <w:r>
        <w:rPr>
          <w:rFonts w:ascii="仿宋" w:hAnsi="仿宋" w:eastAsia="仿宋" w:cs="Arial Narrow"/>
          <w:b/>
        </w:rPr>
        <w:t>绩效评价结</w:t>
      </w:r>
      <w:r>
        <w:rPr>
          <w:rFonts w:hint="eastAsia" w:ascii="仿宋" w:hAnsi="仿宋" w:eastAsia="仿宋" w:cs="Arial Narrow"/>
          <w:b/>
        </w:rPr>
        <w:t>论</w:t>
      </w:r>
    </w:p>
    <w:tbl>
      <w:tblPr>
        <w:tblStyle w:val="23"/>
        <w:tblW w:w="8017"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97"/>
        <w:gridCol w:w="2044"/>
        <w:gridCol w:w="2038"/>
        <w:gridCol w:w="2038"/>
      </w:tblGrid>
      <w:tr w14:paraId="0C0ABB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437AD77D">
            <w:pPr>
              <w:ind w:firstLine="0" w:firstLineChars="0"/>
              <w:jc w:val="center"/>
              <w:rPr>
                <w:rFonts w:ascii="仿宋" w:hAnsi="仿宋" w:eastAsia="仿宋" w:cs="Arial Narrow"/>
              </w:rPr>
            </w:pPr>
            <w:r>
              <w:rPr>
                <w:rFonts w:hint="eastAsia" w:ascii="仿宋" w:hAnsi="仿宋" w:eastAsia="仿宋" w:cs="Arial Narrow"/>
              </w:rPr>
              <w:t>评价准则</w:t>
            </w:r>
          </w:p>
        </w:tc>
        <w:tc>
          <w:tcPr>
            <w:tcW w:w="2044" w:type="dxa"/>
          </w:tcPr>
          <w:p w14:paraId="1C954049">
            <w:pPr>
              <w:ind w:firstLine="0" w:firstLineChars="0"/>
              <w:jc w:val="center"/>
              <w:rPr>
                <w:rFonts w:ascii="仿宋" w:hAnsi="仿宋" w:eastAsia="仿宋" w:cs="Arial Narrow"/>
              </w:rPr>
            </w:pPr>
            <w:r>
              <w:rPr>
                <w:rFonts w:hint="eastAsia" w:ascii="仿宋" w:hAnsi="仿宋" w:eastAsia="仿宋" w:cs="Arial Narrow"/>
              </w:rPr>
              <w:t>准则分值</w:t>
            </w:r>
          </w:p>
        </w:tc>
        <w:tc>
          <w:tcPr>
            <w:tcW w:w="2038" w:type="dxa"/>
          </w:tcPr>
          <w:p w14:paraId="6EC0031C">
            <w:pPr>
              <w:ind w:firstLine="0" w:firstLineChars="0"/>
              <w:jc w:val="center"/>
              <w:rPr>
                <w:rFonts w:ascii="仿宋" w:hAnsi="仿宋" w:eastAsia="仿宋" w:cs="Arial Narrow"/>
              </w:rPr>
            </w:pPr>
            <w:r>
              <w:rPr>
                <w:rFonts w:hint="eastAsia" w:ascii="仿宋" w:hAnsi="仿宋" w:eastAsia="仿宋" w:cs="Arial Narrow"/>
              </w:rPr>
              <w:t>评价得分</w:t>
            </w:r>
          </w:p>
        </w:tc>
        <w:tc>
          <w:tcPr>
            <w:tcW w:w="2038" w:type="dxa"/>
          </w:tcPr>
          <w:p w14:paraId="13F2FD53">
            <w:pPr>
              <w:ind w:firstLine="0" w:firstLineChars="0"/>
              <w:jc w:val="center"/>
              <w:rPr>
                <w:rFonts w:ascii="仿宋" w:hAnsi="仿宋" w:eastAsia="仿宋" w:cs="Arial Narrow"/>
              </w:rPr>
            </w:pPr>
            <w:r>
              <w:rPr>
                <w:rFonts w:hint="eastAsia" w:ascii="仿宋" w:hAnsi="仿宋" w:eastAsia="仿宋" w:cs="Arial Narrow"/>
              </w:rPr>
              <w:t>评价等级</w:t>
            </w:r>
          </w:p>
        </w:tc>
      </w:tr>
      <w:tr w14:paraId="439A95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2" w:hRule="atLeast"/>
        </w:trPr>
        <w:tc>
          <w:tcPr>
            <w:tcW w:w="1897" w:type="dxa"/>
          </w:tcPr>
          <w:p w14:paraId="12ED98EE">
            <w:pPr>
              <w:ind w:firstLine="0" w:firstLineChars="0"/>
              <w:jc w:val="center"/>
              <w:rPr>
                <w:rFonts w:ascii="仿宋" w:hAnsi="仿宋" w:eastAsia="仿宋" w:cs="Arial Narrow"/>
              </w:rPr>
            </w:pPr>
            <w:r>
              <w:rPr>
                <w:rFonts w:hint="eastAsia" w:ascii="仿宋" w:hAnsi="仿宋" w:eastAsia="仿宋" w:cs="Arial Narrow"/>
              </w:rPr>
              <w:t>投入</w:t>
            </w:r>
          </w:p>
        </w:tc>
        <w:tc>
          <w:tcPr>
            <w:tcW w:w="2044" w:type="dxa"/>
          </w:tcPr>
          <w:p w14:paraId="63E70C5F">
            <w:pPr>
              <w:ind w:firstLine="0" w:firstLineChars="0"/>
              <w:jc w:val="center"/>
              <w:rPr>
                <w:rFonts w:ascii="仿宋" w:hAnsi="仿宋" w:eastAsia="仿宋" w:cs="Arial Narrow"/>
              </w:rPr>
            </w:pPr>
            <w:r>
              <w:rPr>
                <w:rFonts w:hint="eastAsia" w:ascii="仿宋" w:hAnsi="仿宋" w:eastAsia="仿宋" w:cs="Arial Narrow"/>
              </w:rPr>
              <w:t>16分</w:t>
            </w:r>
          </w:p>
        </w:tc>
        <w:tc>
          <w:tcPr>
            <w:tcW w:w="2038" w:type="dxa"/>
          </w:tcPr>
          <w:p w14:paraId="7B6B1AFC">
            <w:pPr>
              <w:ind w:firstLine="0" w:firstLineChars="0"/>
              <w:jc w:val="center"/>
              <w:rPr>
                <w:rFonts w:ascii="仿宋" w:hAnsi="仿宋" w:eastAsia="仿宋" w:cs="Arial Narrow"/>
              </w:rPr>
            </w:pPr>
            <w:r>
              <w:rPr>
                <w:rFonts w:hint="eastAsia" w:ascii="仿宋" w:hAnsi="仿宋" w:eastAsia="仿宋" w:cs="Arial Narrow"/>
              </w:rPr>
              <w:t>16分</w:t>
            </w:r>
          </w:p>
        </w:tc>
        <w:tc>
          <w:tcPr>
            <w:tcW w:w="2038" w:type="dxa"/>
          </w:tcPr>
          <w:p w14:paraId="46261095">
            <w:pPr>
              <w:ind w:firstLine="0" w:firstLineChars="0"/>
              <w:jc w:val="center"/>
              <w:rPr>
                <w:rFonts w:ascii="仿宋" w:hAnsi="仿宋" w:eastAsia="仿宋" w:cs="Arial Narrow"/>
              </w:rPr>
            </w:pPr>
            <w:r>
              <w:rPr>
                <w:rFonts w:ascii="仿宋" w:hAnsi="仿宋" w:eastAsia="仿宋" w:cs="Arial Narrow"/>
              </w:rPr>
              <w:t>优</w:t>
            </w:r>
          </w:p>
        </w:tc>
      </w:tr>
      <w:tr w14:paraId="747A76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trPr>
        <w:tc>
          <w:tcPr>
            <w:tcW w:w="1897" w:type="dxa"/>
          </w:tcPr>
          <w:p w14:paraId="783999B8">
            <w:pPr>
              <w:ind w:firstLine="0" w:firstLineChars="0"/>
              <w:jc w:val="center"/>
              <w:rPr>
                <w:rFonts w:ascii="仿宋" w:hAnsi="仿宋" w:eastAsia="仿宋" w:cs="Arial Narrow"/>
              </w:rPr>
            </w:pPr>
            <w:r>
              <w:rPr>
                <w:rFonts w:hint="eastAsia" w:ascii="仿宋" w:hAnsi="仿宋" w:eastAsia="仿宋" w:cs="Arial Narrow"/>
              </w:rPr>
              <w:t>过程</w:t>
            </w:r>
          </w:p>
        </w:tc>
        <w:tc>
          <w:tcPr>
            <w:tcW w:w="2044" w:type="dxa"/>
          </w:tcPr>
          <w:p w14:paraId="06E4C5F3">
            <w:pPr>
              <w:ind w:firstLine="0" w:firstLineChars="0"/>
              <w:jc w:val="center"/>
              <w:rPr>
                <w:rFonts w:ascii="仿宋" w:hAnsi="仿宋" w:eastAsia="仿宋" w:cs="Arial Narrow"/>
              </w:rPr>
            </w:pPr>
            <w:r>
              <w:rPr>
                <w:rFonts w:hint="eastAsia" w:ascii="仿宋" w:hAnsi="仿宋" w:eastAsia="仿宋" w:cs="Arial Narrow"/>
              </w:rPr>
              <w:t>24分</w:t>
            </w:r>
          </w:p>
        </w:tc>
        <w:tc>
          <w:tcPr>
            <w:tcW w:w="2038" w:type="dxa"/>
          </w:tcPr>
          <w:p w14:paraId="783A888F">
            <w:pPr>
              <w:ind w:firstLine="0" w:firstLineChars="0"/>
              <w:jc w:val="center"/>
              <w:rPr>
                <w:rFonts w:ascii="仿宋" w:hAnsi="仿宋" w:eastAsia="仿宋" w:cs="Arial Narrow"/>
              </w:rPr>
            </w:pPr>
            <w:r>
              <w:rPr>
                <w:rFonts w:hint="eastAsia" w:ascii="仿宋" w:hAnsi="仿宋" w:eastAsia="仿宋" w:cs="Arial Narrow"/>
              </w:rPr>
              <w:t>24分</w:t>
            </w:r>
          </w:p>
        </w:tc>
        <w:tc>
          <w:tcPr>
            <w:tcW w:w="2038" w:type="dxa"/>
          </w:tcPr>
          <w:p w14:paraId="4B003854">
            <w:pPr>
              <w:ind w:firstLine="0" w:firstLineChars="0"/>
              <w:jc w:val="center"/>
              <w:rPr>
                <w:rFonts w:ascii="仿宋" w:hAnsi="仿宋" w:eastAsia="仿宋" w:cs="Arial Narrow"/>
              </w:rPr>
            </w:pPr>
            <w:r>
              <w:rPr>
                <w:rFonts w:ascii="仿宋" w:hAnsi="仿宋" w:eastAsia="仿宋" w:cs="Arial Narrow"/>
              </w:rPr>
              <w:t>优</w:t>
            </w:r>
          </w:p>
        </w:tc>
      </w:tr>
      <w:tr w14:paraId="1FBC8C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298EF6F7">
            <w:pPr>
              <w:ind w:firstLine="0" w:firstLineChars="0"/>
              <w:jc w:val="center"/>
              <w:rPr>
                <w:rFonts w:ascii="仿宋" w:hAnsi="仿宋" w:eastAsia="仿宋" w:cs="Arial Narrow"/>
              </w:rPr>
            </w:pPr>
            <w:r>
              <w:rPr>
                <w:rFonts w:hint="eastAsia" w:ascii="仿宋" w:hAnsi="仿宋" w:eastAsia="仿宋" w:cs="Arial Narrow"/>
              </w:rPr>
              <w:t>产出</w:t>
            </w:r>
          </w:p>
        </w:tc>
        <w:tc>
          <w:tcPr>
            <w:tcW w:w="2044" w:type="dxa"/>
          </w:tcPr>
          <w:p w14:paraId="4CD753F3">
            <w:pPr>
              <w:ind w:firstLine="0" w:firstLineChars="0"/>
              <w:jc w:val="center"/>
              <w:rPr>
                <w:rFonts w:ascii="仿宋" w:hAnsi="仿宋" w:eastAsia="仿宋" w:cs="Arial Narrow"/>
              </w:rPr>
            </w:pPr>
            <w:r>
              <w:rPr>
                <w:rFonts w:hint="eastAsia" w:ascii="仿宋" w:hAnsi="仿宋" w:eastAsia="仿宋" w:cs="Arial Narrow"/>
              </w:rPr>
              <w:t>28分</w:t>
            </w:r>
          </w:p>
        </w:tc>
        <w:tc>
          <w:tcPr>
            <w:tcW w:w="2038" w:type="dxa"/>
          </w:tcPr>
          <w:p w14:paraId="19F073B3">
            <w:pPr>
              <w:ind w:firstLine="0" w:firstLineChars="0"/>
              <w:jc w:val="center"/>
              <w:rPr>
                <w:rFonts w:ascii="仿宋" w:hAnsi="仿宋" w:eastAsia="仿宋" w:cs="Arial Narrow"/>
              </w:rPr>
            </w:pPr>
            <w:r>
              <w:rPr>
                <w:rFonts w:hint="eastAsia" w:ascii="仿宋" w:hAnsi="仿宋" w:eastAsia="仿宋" w:cs="Arial Narrow"/>
              </w:rPr>
              <w:t>24分</w:t>
            </w:r>
          </w:p>
        </w:tc>
        <w:tc>
          <w:tcPr>
            <w:tcW w:w="2038" w:type="dxa"/>
          </w:tcPr>
          <w:p w14:paraId="10648395">
            <w:pPr>
              <w:ind w:firstLine="0" w:firstLineChars="0"/>
              <w:jc w:val="center"/>
              <w:rPr>
                <w:rFonts w:ascii="仿宋" w:hAnsi="仿宋" w:eastAsia="仿宋" w:cs="Arial Narrow"/>
              </w:rPr>
            </w:pPr>
            <w:r>
              <w:rPr>
                <w:rFonts w:ascii="仿宋" w:hAnsi="仿宋" w:eastAsia="仿宋" w:cs="Arial Narrow"/>
              </w:rPr>
              <w:t>良</w:t>
            </w:r>
          </w:p>
        </w:tc>
      </w:tr>
      <w:tr w14:paraId="4CA52E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3077BA4D">
            <w:pPr>
              <w:ind w:firstLine="0" w:firstLineChars="0"/>
              <w:jc w:val="center"/>
              <w:rPr>
                <w:rFonts w:ascii="仿宋" w:hAnsi="仿宋" w:eastAsia="仿宋" w:cs="Arial Narrow"/>
              </w:rPr>
            </w:pPr>
            <w:r>
              <w:rPr>
                <w:rFonts w:hint="eastAsia" w:ascii="仿宋" w:hAnsi="仿宋" w:eastAsia="仿宋" w:cs="Arial Narrow"/>
              </w:rPr>
              <w:t>效果</w:t>
            </w:r>
          </w:p>
        </w:tc>
        <w:tc>
          <w:tcPr>
            <w:tcW w:w="2044" w:type="dxa"/>
          </w:tcPr>
          <w:p w14:paraId="5FA61734">
            <w:pPr>
              <w:ind w:firstLine="0" w:firstLineChars="0"/>
              <w:jc w:val="center"/>
              <w:rPr>
                <w:rFonts w:ascii="仿宋" w:hAnsi="仿宋" w:eastAsia="仿宋" w:cs="Arial Narrow"/>
              </w:rPr>
            </w:pPr>
            <w:r>
              <w:rPr>
                <w:rFonts w:hint="eastAsia" w:ascii="仿宋" w:hAnsi="仿宋" w:eastAsia="仿宋" w:cs="Arial Narrow"/>
              </w:rPr>
              <w:t>32分</w:t>
            </w:r>
          </w:p>
        </w:tc>
        <w:tc>
          <w:tcPr>
            <w:tcW w:w="2038" w:type="dxa"/>
          </w:tcPr>
          <w:p w14:paraId="5216B602">
            <w:pPr>
              <w:ind w:firstLine="0" w:firstLineChars="0"/>
              <w:jc w:val="center"/>
              <w:rPr>
                <w:rFonts w:ascii="仿宋" w:hAnsi="仿宋" w:eastAsia="仿宋" w:cs="Arial Narrow"/>
              </w:rPr>
            </w:pPr>
            <w:r>
              <w:rPr>
                <w:rFonts w:hint="eastAsia" w:ascii="仿宋" w:hAnsi="仿宋" w:eastAsia="仿宋" w:cs="Arial Narrow"/>
              </w:rPr>
              <w:t>28分</w:t>
            </w:r>
          </w:p>
        </w:tc>
        <w:tc>
          <w:tcPr>
            <w:tcW w:w="2038" w:type="dxa"/>
          </w:tcPr>
          <w:p w14:paraId="06A4FC09">
            <w:pPr>
              <w:ind w:firstLine="0" w:firstLineChars="0"/>
              <w:jc w:val="center"/>
              <w:rPr>
                <w:rFonts w:ascii="仿宋" w:hAnsi="仿宋" w:eastAsia="仿宋" w:cs="Arial Narrow"/>
              </w:rPr>
            </w:pPr>
            <w:r>
              <w:rPr>
                <w:rFonts w:hint="eastAsia" w:ascii="仿宋" w:hAnsi="仿宋" w:eastAsia="仿宋" w:cs="Arial Narrow"/>
              </w:rPr>
              <w:t>良</w:t>
            </w:r>
          </w:p>
        </w:tc>
      </w:tr>
      <w:tr w14:paraId="4EE814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38154927">
            <w:pPr>
              <w:ind w:firstLine="0" w:firstLineChars="0"/>
              <w:jc w:val="center"/>
              <w:rPr>
                <w:rFonts w:ascii="仿宋" w:hAnsi="仿宋" w:eastAsia="仿宋" w:cs="Arial Narrow"/>
              </w:rPr>
            </w:pPr>
            <w:r>
              <w:rPr>
                <w:rFonts w:hint="eastAsia" w:ascii="仿宋" w:hAnsi="仿宋" w:eastAsia="仿宋" w:cs="Arial Narrow"/>
              </w:rPr>
              <w:t>综合绩效</w:t>
            </w:r>
          </w:p>
        </w:tc>
        <w:tc>
          <w:tcPr>
            <w:tcW w:w="2044" w:type="dxa"/>
          </w:tcPr>
          <w:p w14:paraId="1FC556F4">
            <w:pPr>
              <w:ind w:firstLine="0" w:firstLineChars="0"/>
              <w:jc w:val="center"/>
              <w:rPr>
                <w:rFonts w:ascii="仿宋" w:hAnsi="仿宋" w:eastAsia="仿宋" w:cs="Arial Narrow"/>
              </w:rPr>
            </w:pPr>
            <w:r>
              <w:rPr>
                <w:rFonts w:hint="eastAsia" w:ascii="仿宋" w:hAnsi="仿宋" w:eastAsia="仿宋" w:cs="Arial Narrow"/>
              </w:rPr>
              <w:t>100分</w:t>
            </w:r>
          </w:p>
        </w:tc>
        <w:tc>
          <w:tcPr>
            <w:tcW w:w="2038" w:type="dxa"/>
          </w:tcPr>
          <w:p w14:paraId="3807F21A">
            <w:pPr>
              <w:ind w:firstLine="0" w:firstLineChars="0"/>
              <w:jc w:val="center"/>
              <w:rPr>
                <w:rFonts w:ascii="仿宋" w:hAnsi="仿宋" w:eastAsia="仿宋" w:cs="Arial Narrow"/>
              </w:rPr>
            </w:pPr>
            <w:r>
              <w:rPr>
                <w:rFonts w:hint="eastAsia" w:ascii="仿宋" w:hAnsi="仿宋" w:eastAsia="仿宋" w:cs="Arial Narrow"/>
              </w:rPr>
              <w:t>92分</w:t>
            </w:r>
          </w:p>
        </w:tc>
        <w:tc>
          <w:tcPr>
            <w:tcW w:w="2038" w:type="dxa"/>
          </w:tcPr>
          <w:p w14:paraId="03094742">
            <w:pPr>
              <w:ind w:firstLine="0" w:firstLineChars="0"/>
              <w:jc w:val="center"/>
              <w:rPr>
                <w:rFonts w:ascii="仿宋" w:hAnsi="仿宋" w:eastAsia="仿宋" w:cs="Arial Narrow"/>
              </w:rPr>
            </w:pPr>
            <w:r>
              <w:rPr>
                <w:rFonts w:ascii="仿宋" w:hAnsi="仿宋" w:eastAsia="仿宋" w:cs="Arial Narrow"/>
              </w:rPr>
              <w:t>优</w:t>
            </w:r>
          </w:p>
        </w:tc>
      </w:tr>
    </w:tbl>
    <w:p w14:paraId="273F0649">
      <w:pPr>
        <w:ind w:firstLine="0" w:firstLineChars="0"/>
        <w:jc w:val="left"/>
        <w:rPr>
          <w:rFonts w:ascii="仿宋" w:hAnsi="仿宋" w:eastAsia="仿宋" w:cs="Arial Narrow"/>
          <w:b/>
          <w:sz w:val="28"/>
        </w:rPr>
      </w:pPr>
    </w:p>
    <w:p w14:paraId="30F7E814">
      <w:pPr>
        <w:ind w:firstLine="0" w:firstLineChars="0"/>
        <w:rPr>
          <w:rFonts w:ascii="仿宋" w:hAnsi="仿宋" w:eastAsia="仿宋" w:cs="Arial Narrow"/>
          <w:b/>
        </w:rPr>
      </w:pPr>
      <w:r>
        <w:rPr>
          <w:rFonts w:hint="eastAsia" w:ascii="Arial Narrow" w:hAnsi="Arial Narrow" w:cs="Arial Narrow"/>
          <w:b/>
        </w:rPr>
        <w:t>三、项目经验与问题</w:t>
      </w:r>
    </w:p>
    <w:p w14:paraId="14FFAB9E">
      <w:pPr>
        <w:snapToGrid w:val="0"/>
        <w:ind w:firstLine="439" w:firstLineChars="183"/>
        <w:jc w:val="left"/>
        <w:rPr>
          <w:rFonts w:ascii="仿宋_GB2312" w:hAnsi="Arial Narrow" w:cs="Arial Narrow"/>
        </w:rPr>
      </w:pPr>
      <w:r>
        <w:rPr>
          <w:rFonts w:hint="eastAsia" w:ascii="仿宋_GB2312" w:hAnsi="Arial Narrow" w:cs="Arial Narrow"/>
        </w:rPr>
        <w:t xml:space="preserve">1、经验  </w:t>
      </w:r>
    </w:p>
    <w:p w14:paraId="4C244A49">
      <w:pPr>
        <w:snapToGrid w:val="0"/>
        <w:ind w:firstLine="439" w:firstLineChars="183"/>
        <w:jc w:val="left"/>
        <w:rPr>
          <w:rFonts w:ascii="仿宋_GB2312" w:hAnsi="Arial Narrow" w:cs="Arial Narrow"/>
        </w:rPr>
      </w:pPr>
      <w:r>
        <w:rPr>
          <w:rFonts w:hint="eastAsia" w:ascii="仿宋_GB2312" w:hAnsi="Arial Narrow" w:cs="Arial Narrow"/>
        </w:rPr>
        <w:t>园区发展环境不断提升。加快推进园区内部基础设施建设，营造良好发展环境，园区已基本形成干支相连的骨干路网体系，水、电、气等市政公用及配套设施跟进建设，其中川江池一路、硃山路（通顺大道-两军西路）、汉洪东路（檀军公路-枫林七路）已达通车条件，川江池三路污水主管网、川江池路南明渠已完工。大力支持区城建城管环保工作，积极配合“四水共治”工作，做好生态文明建设，开展“清美喜”活动，完成园区新能源汽车充电桩建设前期工作，园区环境质量日益改善。</w:t>
      </w:r>
    </w:p>
    <w:p w14:paraId="39B0547F">
      <w:pPr>
        <w:snapToGrid w:val="0"/>
        <w:ind w:firstLine="439" w:firstLineChars="183"/>
        <w:jc w:val="left"/>
        <w:rPr>
          <w:rFonts w:ascii="仿宋_GB2312" w:hAnsi="Arial Narrow" w:cs="Arial Narrow"/>
        </w:rPr>
      </w:pPr>
      <w:r>
        <w:rPr>
          <w:rFonts w:hint="eastAsia" w:ascii="仿宋_GB2312" w:hAnsi="Arial Narrow" w:cs="Arial Narrow"/>
        </w:rPr>
        <w:t>2、问题</w:t>
      </w:r>
    </w:p>
    <w:p w14:paraId="1EAFF0F4">
      <w:pPr>
        <w:snapToGrid w:val="0"/>
        <w:ind w:firstLine="439" w:firstLineChars="183"/>
        <w:jc w:val="left"/>
        <w:rPr>
          <w:rFonts w:ascii="仿宋_GB2312" w:hAnsi="Arial Narrow" w:cs="Arial Narrow"/>
        </w:rPr>
      </w:pPr>
      <w:r>
        <w:rPr>
          <w:rFonts w:hint="eastAsia" w:ascii="仿宋_GB2312" w:hAnsi="Arial Narrow" w:cs="Arial Narrow"/>
        </w:rPr>
        <w:t>项目资金使用率偏低。评价小组通过查阅资料和现场访谈了解到，项目计划使用资金500，000.00元，实际支出为222,714.20元，资金使用率为44.54%，资金使用率偏低。</w:t>
      </w:r>
    </w:p>
    <w:p w14:paraId="4BA7698F">
      <w:pPr>
        <w:ind w:firstLine="0" w:firstLineChars="0"/>
        <w:rPr>
          <w:rFonts w:ascii="Arial Narrow" w:hAnsi="Arial Narrow" w:cs="Arial Narrow"/>
          <w:b/>
        </w:rPr>
      </w:pPr>
      <w:r>
        <w:rPr>
          <w:rFonts w:hint="eastAsia" w:ascii="Arial Narrow" w:hAnsi="Arial Narrow" w:cs="Arial Narrow"/>
          <w:b/>
        </w:rPr>
        <w:t>四、建议</w:t>
      </w:r>
    </w:p>
    <w:bookmarkEnd w:id="0"/>
    <w:bookmarkEnd w:id="1"/>
    <w:p w14:paraId="35224CD7">
      <w:pPr>
        <w:snapToGrid w:val="0"/>
        <w:ind w:firstLine="439" w:firstLineChars="183"/>
        <w:jc w:val="left"/>
        <w:rPr>
          <w:rFonts w:ascii="仿宋_GB2312" w:hAnsi="Arial Narrow" w:cs="Arial Narrow"/>
        </w:rPr>
      </w:pPr>
      <w:r>
        <w:rPr>
          <w:rFonts w:hint="eastAsia" w:ascii="仿宋_GB2312" w:hAnsi="Arial Narrow" w:cs="Arial Narrow"/>
        </w:rPr>
        <w:t>提高预算执行率。在建立多渠道工作平台基础上，及时掌握项目落地发展动态，积极组织协调相关部门，做好协调配合，推进落实措施、及时跟踪反馈，切实创造企业发展良好外部环境；对于宣传经费项目，由责任单位督促项目尽快实施，加快宣传经费的使用，提高宣传经费预算的资金执行率。</w:t>
      </w:r>
    </w:p>
    <w:p w14:paraId="272580AF">
      <w:pPr>
        <w:widowControl/>
        <w:spacing w:line="240" w:lineRule="auto"/>
        <w:ind w:firstLine="0" w:firstLineChars="0"/>
        <w:jc w:val="left"/>
        <w:rPr>
          <w:rFonts w:ascii="仿宋_GB2312" w:hAnsi="Arial Narrow" w:cs="Arial Narrow"/>
        </w:rPr>
      </w:pPr>
      <w:r>
        <w:rPr>
          <w:rFonts w:ascii="仿宋_GB2312" w:hAnsi="Arial Narrow" w:cs="Arial Narrow"/>
        </w:rPr>
        <w:br w:type="page"/>
      </w:r>
    </w:p>
    <w:p w14:paraId="1E63697E">
      <w:pPr>
        <w:snapToGrid w:val="0"/>
        <w:ind w:firstLine="0" w:firstLineChars="0"/>
        <w:outlineLvl w:val="0"/>
        <w:rPr>
          <w:rFonts w:ascii="Arial Narrow" w:hAnsi="Arial Narrow" w:cs="Arial Narrow"/>
          <w:b/>
          <w:bCs/>
        </w:rPr>
      </w:pPr>
      <w:bookmarkStart w:id="4" w:name="_Toc14165723"/>
      <w:bookmarkStart w:id="5" w:name="_Toc15732364"/>
      <w:bookmarkStart w:id="6" w:name="_Toc387957799"/>
      <w:bookmarkStart w:id="7" w:name="_Toc361304672"/>
      <w:bookmarkStart w:id="8" w:name="_Toc387957800"/>
      <w:bookmarkStart w:id="9" w:name="_Toc361304673"/>
      <w:r>
        <w:rPr>
          <w:rFonts w:hint="eastAsia" w:ascii="Arial Narrow" w:hAnsi="Arial Narrow" w:cs="Arial Narrow"/>
          <w:b/>
          <w:bCs/>
        </w:rPr>
        <w:t>一、项目基本情况</w:t>
      </w:r>
      <w:bookmarkEnd w:id="4"/>
      <w:bookmarkEnd w:id="5"/>
    </w:p>
    <w:p w14:paraId="7B2C1240">
      <w:pPr>
        <w:pStyle w:val="4"/>
        <w:rPr>
          <w:rFonts w:ascii="Arial Narrow" w:hAnsi="Arial Narrow" w:cs="Arial Narrow"/>
          <w:b w:val="0"/>
          <w:bCs w:val="0"/>
        </w:rPr>
      </w:pPr>
      <w:bookmarkStart w:id="10" w:name="_Toc14165724"/>
      <w:bookmarkStart w:id="11" w:name="_Toc15732365"/>
      <w:r>
        <w:rPr>
          <w:rFonts w:hint="eastAsia" w:ascii="Arial Narrow" w:hAnsi="Arial Narrow" w:cs="Arial Narrow"/>
        </w:rPr>
        <w:t>（一）项目立项背景和依据</w:t>
      </w:r>
      <w:bookmarkEnd w:id="10"/>
      <w:bookmarkEnd w:id="11"/>
    </w:p>
    <w:bookmarkEnd w:id="6"/>
    <w:bookmarkEnd w:id="7"/>
    <w:p w14:paraId="46838373">
      <w:pPr>
        <w:snapToGrid w:val="0"/>
        <w:ind w:firstLine="480"/>
        <w:rPr>
          <w:rFonts w:hint="eastAsia" w:ascii="仿宋" w:hAnsi="仿宋" w:eastAsia="仿宋" w:cs="Arial Narrow"/>
          <w:bCs/>
        </w:rPr>
      </w:pPr>
      <w:bookmarkStart w:id="12" w:name="_Toc14165725"/>
      <w:bookmarkStart w:id="13" w:name="_Toc361304680"/>
      <w:bookmarkStart w:id="14" w:name="_Toc406666356"/>
      <w:bookmarkStart w:id="15" w:name="_Toc406668030"/>
      <w:bookmarkStart w:id="16" w:name="_Toc16351"/>
      <w:r>
        <w:rPr>
          <w:rFonts w:hint="eastAsia" w:ascii="仿宋" w:hAnsi="仿宋" w:eastAsia="仿宋" w:cs="Arial Narrow"/>
          <w:bCs/>
        </w:rPr>
        <w:t>宣传经费项目属于公共服务业。该项目是为了加强智慧生态园的知名度，进一步提升招商引资效率，强化党建活动的宣传力度，强化安全生产的企业意识而设立的专门经费，通过在全市范围内的道路广告牌、地铁广告牌、大型展板及电视台等投放宣传广告，增进市民及企业对园区的了解，扩大园区知名度。</w:t>
      </w:r>
    </w:p>
    <w:p w14:paraId="3EADD50D">
      <w:pPr>
        <w:pStyle w:val="4"/>
        <w:rPr>
          <w:rFonts w:ascii="Arial Narrow" w:hAnsi="Arial Narrow" w:cs="Arial Narrow"/>
          <w:b w:val="0"/>
          <w:bCs w:val="0"/>
        </w:rPr>
      </w:pPr>
      <w:bookmarkStart w:id="17" w:name="_Toc15732366"/>
      <w:r>
        <w:rPr>
          <w:rFonts w:hint="eastAsia" w:ascii="Arial Narrow" w:hAnsi="Arial Narrow" w:cs="Arial Narrow"/>
        </w:rPr>
        <w:t>（二）项目绩效目标</w:t>
      </w:r>
      <w:bookmarkEnd w:id="12"/>
      <w:bookmarkEnd w:id="17"/>
    </w:p>
    <w:bookmarkEnd w:id="13"/>
    <w:bookmarkEnd w:id="14"/>
    <w:bookmarkEnd w:id="15"/>
    <w:bookmarkEnd w:id="16"/>
    <w:p w14:paraId="49BEB47C">
      <w:pPr>
        <w:snapToGrid w:val="0"/>
        <w:ind w:firstLine="480"/>
        <w:rPr>
          <w:rFonts w:ascii="仿宋" w:hAnsi="仿宋" w:eastAsia="仿宋" w:cs="Arial Narrow"/>
          <w:bCs/>
        </w:rPr>
      </w:pPr>
      <w:bookmarkStart w:id="18" w:name="_Toc14165726"/>
      <w:r>
        <w:rPr>
          <w:rFonts w:hint="eastAsia" w:ascii="仿宋" w:hAnsi="仿宋" w:eastAsia="仿宋" w:cs="Arial Narrow"/>
          <w:bCs/>
        </w:rPr>
        <w:t>1、在高速公路设置户外广告牌，展示智慧生态城形象。</w:t>
      </w:r>
    </w:p>
    <w:p w14:paraId="6869B9A5">
      <w:pPr>
        <w:snapToGrid w:val="0"/>
        <w:ind w:left="240" w:leftChars="100" w:firstLine="240" w:firstLineChars="100"/>
        <w:rPr>
          <w:rFonts w:ascii="仿宋" w:hAnsi="仿宋" w:eastAsia="仿宋" w:cs="Arial Narrow"/>
          <w:bCs/>
        </w:rPr>
      </w:pPr>
      <w:r>
        <w:rPr>
          <w:rFonts w:hint="eastAsia" w:ascii="仿宋" w:hAnsi="仿宋" w:eastAsia="仿宋" w:cs="Arial Narrow"/>
          <w:bCs/>
        </w:rPr>
        <w:t>2、在各级各类媒体开展宣传，反应智慧生态城建设进展与成就，促进招商引资。</w:t>
      </w:r>
    </w:p>
    <w:p w14:paraId="1F8F7FDB">
      <w:pPr>
        <w:snapToGrid w:val="0"/>
        <w:ind w:left="240" w:leftChars="100" w:firstLine="240" w:firstLineChars="100"/>
        <w:rPr>
          <w:rFonts w:ascii="仿宋" w:hAnsi="仿宋" w:eastAsia="仿宋" w:cs="Arial Narrow"/>
          <w:bCs/>
        </w:rPr>
      </w:pPr>
      <w:r>
        <w:rPr>
          <w:rFonts w:hint="eastAsia" w:ascii="仿宋" w:hAnsi="仿宋" w:eastAsia="仿宋" w:cs="Arial Narrow"/>
          <w:bCs/>
        </w:rPr>
        <w:t>3、在各类平台设置智慧生态城宣传广告，扩大智慧生态城知名度与美誉度。</w:t>
      </w:r>
    </w:p>
    <w:p w14:paraId="46D0972D">
      <w:pPr>
        <w:snapToGrid w:val="0"/>
        <w:ind w:left="240" w:leftChars="100" w:firstLine="240" w:firstLineChars="100"/>
        <w:rPr>
          <w:rFonts w:hint="eastAsia" w:ascii="仿宋" w:hAnsi="仿宋" w:eastAsia="仿宋" w:cs="Arial Narrow"/>
          <w:bCs/>
        </w:rPr>
      </w:pPr>
      <w:r>
        <w:rPr>
          <w:rFonts w:hint="eastAsia" w:ascii="仿宋" w:hAnsi="仿宋" w:eastAsia="仿宋" w:cs="Arial Narrow"/>
          <w:bCs/>
        </w:rPr>
        <w:t>4、制作智慧生态城介绍画册、视屏，用于推广宣传。</w:t>
      </w:r>
    </w:p>
    <w:p w14:paraId="0FDC992A">
      <w:pPr>
        <w:snapToGrid w:val="0"/>
        <w:ind w:left="240" w:leftChars="100" w:firstLine="240" w:firstLineChars="100"/>
        <w:rPr>
          <w:rFonts w:ascii="仿宋" w:hAnsi="仿宋" w:eastAsia="仿宋" w:cs="Arial Narrow"/>
          <w:bCs/>
        </w:rPr>
      </w:pPr>
      <w:r>
        <w:rPr>
          <w:rFonts w:hint="eastAsia" w:ascii="仿宋" w:hAnsi="仿宋" w:eastAsia="仿宋" w:cs="Arial Narrow"/>
          <w:bCs/>
        </w:rPr>
        <w:t>5、完成智慧生态城党委交办的其他相关工作。</w:t>
      </w:r>
    </w:p>
    <w:p w14:paraId="4B30D636">
      <w:pPr>
        <w:pStyle w:val="4"/>
        <w:rPr>
          <w:rFonts w:ascii="仿宋" w:hAnsi="仿宋" w:eastAsia="仿宋" w:cs="Arial Narrow"/>
          <w:b w:val="0"/>
          <w:sz w:val="22"/>
        </w:rPr>
      </w:pPr>
      <w:bookmarkStart w:id="19" w:name="_Toc15732367"/>
      <w:r>
        <w:rPr>
          <w:rFonts w:hint="eastAsia" w:ascii="仿宋" w:hAnsi="仿宋" w:eastAsia="仿宋" w:cs="Arial Narrow"/>
          <w:b w:val="0"/>
          <w:sz w:val="22"/>
        </w:rPr>
        <w:t>（三）</w:t>
      </w:r>
      <w:r>
        <w:rPr>
          <w:rFonts w:hint="eastAsia" w:ascii="仿宋" w:hAnsi="仿宋" w:eastAsia="仿宋" w:cs="Arial Narrow"/>
          <w:sz w:val="22"/>
        </w:rPr>
        <w:t>项目经费来源和使用情况</w:t>
      </w:r>
      <w:bookmarkEnd w:id="18"/>
      <w:bookmarkEnd w:id="19"/>
    </w:p>
    <w:p w14:paraId="28494A0C">
      <w:pPr>
        <w:snapToGrid w:val="0"/>
        <w:ind w:firstLine="480"/>
        <w:rPr>
          <w:rFonts w:ascii="仿宋" w:hAnsi="仿宋" w:eastAsia="仿宋" w:cs="Arial Narrow"/>
        </w:rPr>
      </w:pPr>
      <w:r>
        <w:rPr>
          <w:rFonts w:hint="eastAsia" w:ascii="仿宋" w:hAnsi="仿宋" w:eastAsia="仿宋" w:cs="Arial Narrow"/>
        </w:rPr>
        <w:t>1、项目资金来源</w:t>
      </w:r>
    </w:p>
    <w:p w14:paraId="6148D463">
      <w:pPr>
        <w:snapToGrid w:val="0"/>
        <w:ind w:firstLine="480"/>
        <w:rPr>
          <w:rFonts w:ascii="仿宋" w:hAnsi="仿宋" w:eastAsia="仿宋" w:cs="Arial Narrow"/>
        </w:rPr>
      </w:pPr>
      <w:r>
        <w:rPr>
          <w:rFonts w:hint="eastAsia" w:ascii="仿宋" w:hAnsi="仿宋" w:eastAsia="仿宋" w:cs="Arial Narrow"/>
        </w:rPr>
        <w:t>根据武汉经济技术开发区（汉南区）财政局文件《开发区（汉南区）财政局关于批复智慧生态城2018年预算的函》（武经开财预[2018]31号）及项目支出预算表，武汉经济技术开发区智慧生态城管理办公室“宣传经费”项目预算批复的年初预算收支为500，000.00元，均系财政拨款。</w:t>
      </w:r>
    </w:p>
    <w:p w14:paraId="1530A961">
      <w:pPr>
        <w:snapToGrid w:val="0"/>
        <w:ind w:firstLine="480"/>
        <w:rPr>
          <w:rFonts w:ascii="仿宋" w:hAnsi="仿宋" w:eastAsia="仿宋" w:cs="Arial Narrow"/>
        </w:rPr>
      </w:pPr>
      <w:r>
        <w:rPr>
          <w:rFonts w:hint="eastAsia" w:ascii="仿宋" w:hAnsi="仿宋" w:eastAsia="仿宋" w:cs="Arial Narrow"/>
        </w:rPr>
        <w:t>2、项目资金使用概况</w:t>
      </w:r>
    </w:p>
    <w:p w14:paraId="12FD88D9">
      <w:pPr>
        <w:snapToGrid w:val="0"/>
        <w:ind w:firstLine="480"/>
        <w:rPr>
          <w:rFonts w:ascii="仿宋" w:hAnsi="仿宋" w:eastAsia="仿宋" w:cs="Arial Narrow"/>
        </w:rPr>
      </w:pPr>
      <w:r>
        <w:rPr>
          <w:rFonts w:hint="eastAsia" w:ascii="仿宋" w:hAnsi="仿宋" w:eastAsia="仿宋" w:cs="Arial Narrow"/>
        </w:rPr>
        <w:t>截止到绩效评价日，项目计划支出500，000.00元，实际支出为</w:t>
      </w:r>
      <w:r>
        <w:rPr>
          <w:rFonts w:ascii="仿宋" w:hAnsi="仿宋" w:eastAsia="仿宋" w:cs="Arial Narrow"/>
        </w:rPr>
        <w:t>222,714.20</w:t>
      </w:r>
      <w:r>
        <w:rPr>
          <w:rFonts w:hint="eastAsia" w:ascii="仿宋" w:hAnsi="仿宋" w:eastAsia="仿宋" w:cs="Arial Narrow"/>
        </w:rPr>
        <w:t>元。委托业务费</w:t>
      </w:r>
      <w:r>
        <w:rPr>
          <w:rFonts w:ascii="仿宋" w:hAnsi="仿宋" w:eastAsia="仿宋" w:cs="Arial Narrow"/>
        </w:rPr>
        <w:t>222,714.20</w:t>
      </w:r>
      <w:r>
        <w:rPr>
          <w:rFonts w:hint="eastAsia" w:ascii="仿宋" w:hAnsi="仿宋" w:eastAsia="仿宋" w:cs="Arial Narrow"/>
        </w:rPr>
        <w:t>元，资金使用率为44.54%。</w:t>
      </w:r>
    </w:p>
    <w:bookmarkEnd w:id="8"/>
    <w:bookmarkEnd w:id="9"/>
    <w:p w14:paraId="0847F1EA">
      <w:pPr>
        <w:pStyle w:val="4"/>
        <w:rPr>
          <w:rFonts w:ascii="仿宋" w:hAnsi="仿宋" w:eastAsia="仿宋" w:cs="Arial Narrow"/>
          <w:b w:val="0"/>
          <w:sz w:val="22"/>
        </w:rPr>
      </w:pPr>
      <w:bookmarkStart w:id="20" w:name="_Toc14165727"/>
      <w:bookmarkStart w:id="21" w:name="_Toc15732368"/>
      <w:r>
        <w:rPr>
          <w:rFonts w:hint="eastAsia" w:ascii="仿宋" w:hAnsi="仿宋" w:eastAsia="仿宋" w:cs="Arial Narrow"/>
          <w:b w:val="0"/>
          <w:sz w:val="22"/>
        </w:rPr>
        <w:t>（四）项目实施情况</w:t>
      </w:r>
      <w:bookmarkEnd w:id="20"/>
      <w:bookmarkEnd w:id="21"/>
    </w:p>
    <w:p w14:paraId="18A24CE1">
      <w:pPr>
        <w:snapToGrid w:val="0"/>
        <w:ind w:firstLine="480"/>
        <w:rPr>
          <w:rFonts w:ascii="仿宋" w:hAnsi="仿宋" w:eastAsia="仿宋" w:cs="Arial Narrow"/>
        </w:rPr>
      </w:pPr>
      <w:r>
        <w:rPr>
          <w:rFonts w:hint="eastAsia" w:ascii="仿宋" w:hAnsi="仿宋" w:eastAsia="仿宋" w:cs="Arial Narrow"/>
        </w:rPr>
        <w:t>1、项目实施单位：武汉经济技术开发区智慧生态城管理办公室</w:t>
      </w:r>
    </w:p>
    <w:p w14:paraId="2A8F64CC">
      <w:pPr>
        <w:snapToGrid w:val="0"/>
        <w:ind w:firstLine="480"/>
        <w:rPr>
          <w:rFonts w:ascii="仿宋" w:hAnsi="仿宋" w:eastAsia="仿宋" w:cs="Arial Narrow"/>
        </w:rPr>
      </w:pPr>
      <w:r>
        <w:rPr>
          <w:rFonts w:hint="eastAsia" w:ascii="仿宋" w:hAnsi="仿宋" w:eastAsia="仿宋" w:cs="Arial Narrow"/>
        </w:rPr>
        <w:t>2、项目主要内容：用于户外大型广告牌租赁以及投放媒体宣传视屏、广告等费用。</w:t>
      </w:r>
    </w:p>
    <w:p w14:paraId="3FBE0842">
      <w:pPr>
        <w:snapToGrid w:val="0"/>
        <w:ind w:firstLine="0" w:firstLineChars="0"/>
        <w:outlineLvl w:val="0"/>
        <w:rPr>
          <w:rFonts w:ascii="仿宋" w:hAnsi="仿宋" w:eastAsia="仿宋" w:cs="Arial Narrow"/>
          <w:b/>
        </w:rPr>
      </w:pPr>
      <w:bookmarkStart w:id="22" w:name="_Toc15732369"/>
      <w:bookmarkStart w:id="23" w:name="_Toc387957806"/>
      <w:bookmarkStart w:id="24" w:name="_Toc406666357"/>
      <w:bookmarkStart w:id="25" w:name="_Toc14165728"/>
      <w:bookmarkStart w:id="26" w:name="_Toc406668031"/>
      <w:bookmarkStart w:id="27" w:name="_Toc14372"/>
      <w:bookmarkStart w:id="28" w:name="_Toc361304681"/>
      <w:r>
        <w:rPr>
          <w:rFonts w:ascii="仿宋" w:hAnsi="仿宋" w:eastAsia="仿宋" w:cs="Arial Narrow"/>
          <w:b/>
        </w:rPr>
        <w:t>二、绩效评价工作情况</w:t>
      </w:r>
      <w:bookmarkEnd w:id="22"/>
      <w:bookmarkEnd w:id="23"/>
      <w:bookmarkEnd w:id="24"/>
      <w:bookmarkEnd w:id="25"/>
      <w:bookmarkEnd w:id="26"/>
      <w:bookmarkEnd w:id="27"/>
      <w:bookmarkEnd w:id="28"/>
      <w:bookmarkStart w:id="29" w:name="_Toc361304682"/>
    </w:p>
    <w:p w14:paraId="419A4029">
      <w:pPr>
        <w:snapToGrid w:val="0"/>
        <w:ind w:firstLine="482"/>
        <w:outlineLvl w:val="1"/>
        <w:rPr>
          <w:rFonts w:ascii="仿宋" w:hAnsi="仿宋" w:eastAsia="仿宋" w:cs="Arial Narrow"/>
          <w:b/>
          <w:bCs/>
        </w:rPr>
      </w:pPr>
      <w:bookmarkStart w:id="30" w:name="_Toc387957807"/>
      <w:bookmarkStart w:id="31" w:name="_Toc15732370"/>
      <w:bookmarkStart w:id="32" w:name="_Toc14165729"/>
      <w:bookmarkStart w:id="33" w:name="_Toc29064"/>
      <w:bookmarkStart w:id="34" w:name="_Toc406666358"/>
      <w:bookmarkStart w:id="35" w:name="_Toc406668032"/>
      <w:r>
        <w:rPr>
          <w:rFonts w:ascii="仿宋" w:hAnsi="仿宋" w:eastAsia="仿宋" w:cs="Arial Narrow"/>
          <w:b/>
          <w:bCs/>
        </w:rPr>
        <w:t>（一）绩效评价目</w:t>
      </w:r>
      <w:bookmarkEnd w:id="29"/>
      <w:bookmarkEnd w:id="30"/>
      <w:r>
        <w:rPr>
          <w:rFonts w:ascii="仿宋" w:hAnsi="仿宋" w:eastAsia="仿宋" w:cs="Arial Narrow"/>
          <w:b/>
          <w:bCs/>
        </w:rPr>
        <w:t>的</w:t>
      </w:r>
      <w:bookmarkEnd w:id="31"/>
      <w:bookmarkEnd w:id="32"/>
      <w:bookmarkEnd w:id="33"/>
      <w:bookmarkEnd w:id="34"/>
      <w:bookmarkEnd w:id="35"/>
    </w:p>
    <w:p w14:paraId="09983956">
      <w:pPr>
        <w:snapToGrid w:val="0"/>
        <w:ind w:firstLine="480"/>
        <w:rPr>
          <w:rFonts w:ascii="仿宋" w:hAnsi="仿宋" w:eastAsia="仿宋" w:cs="Arial Narrow"/>
          <w:bCs/>
        </w:rPr>
      </w:pPr>
      <w:r>
        <w:rPr>
          <w:rFonts w:hint="eastAsia" w:ascii="仿宋" w:hAnsi="仿宋" w:eastAsia="仿宋" w:cs="Arial Narrow"/>
          <w:bCs/>
        </w:rPr>
        <w:t>本次绩效评价的目的是通过对财政专项资金支出的“追踪问效”，考核、评价财政预算中由智慧生态城管理办公室承担的“宣传经费”专项支出的实施和运作情况，检验项目支出是否达到预期目标，以提高部门的绩效意识，为规范预算编制管理，优化支出结构，合理配置资源，提高财政资金使用效率和效益提供参考依据。</w:t>
      </w:r>
    </w:p>
    <w:p w14:paraId="692AD51D">
      <w:pPr>
        <w:snapToGrid w:val="0"/>
        <w:ind w:firstLine="482"/>
        <w:jc w:val="left"/>
        <w:outlineLvl w:val="1"/>
        <w:rPr>
          <w:rFonts w:ascii="仿宋" w:hAnsi="仿宋" w:eastAsia="仿宋" w:cs="Arial Narrow"/>
          <w:b/>
          <w:bCs/>
        </w:rPr>
      </w:pPr>
      <w:bookmarkStart w:id="36" w:name="_Toc32197"/>
      <w:bookmarkStart w:id="37" w:name="_Toc14165730"/>
      <w:bookmarkStart w:id="38" w:name="_Toc15732371"/>
      <w:bookmarkStart w:id="39" w:name="_Toc406668033"/>
      <w:bookmarkStart w:id="40" w:name="_Toc406666359"/>
      <w:bookmarkStart w:id="41" w:name="_Toc361304684"/>
      <w:bookmarkStart w:id="42" w:name="_Toc361302025"/>
      <w:bookmarkStart w:id="43" w:name="_Toc387957809"/>
      <w:r>
        <w:rPr>
          <w:rFonts w:ascii="仿宋" w:hAnsi="仿宋" w:eastAsia="仿宋" w:cs="Arial Narrow"/>
          <w:b/>
          <w:bCs/>
        </w:rPr>
        <w:t>（二）绩效评价</w:t>
      </w:r>
      <w:r>
        <w:rPr>
          <w:rFonts w:hint="eastAsia" w:ascii="仿宋" w:hAnsi="仿宋" w:eastAsia="仿宋" w:cs="Arial Narrow"/>
          <w:b/>
          <w:bCs/>
        </w:rPr>
        <w:t>工作</w:t>
      </w:r>
      <w:r>
        <w:rPr>
          <w:rFonts w:ascii="仿宋" w:hAnsi="仿宋" w:eastAsia="仿宋" w:cs="Arial Narrow"/>
          <w:b/>
          <w:bCs/>
        </w:rPr>
        <w:t>过程</w:t>
      </w:r>
      <w:bookmarkEnd w:id="36"/>
      <w:bookmarkEnd w:id="37"/>
      <w:bookmarkEnd w:id="38"/>
    </w:p>
    <w:p w14:paraId="222F044E">
      <w:pPr>
        <w:snapToGrid w:val="0"/>
        <w:ind w:firstLine="480"/>
        <w:jc w:val="left"/>
        <w:rPr>
          <w:rFonts w:ascii="仿宋" w:hAnsi="仿宋" w:eastAsia="仿宋" w:cs="Arial Narrow"/>
          <w:bCs/>
        </w:rPr>
      </w:pPr>
      <w:r>
        <w:rPr>
          <w:rFonts w:hint="eastAsia" w:ascii="仿宋" w:hAnsi="仿宋" w:eastAsia="仿宋" w:cs="Arial Narrow"/>
          <w:bCs/>
        </w:rPr>
        <w:t>1、绩效评价准备阶段</w:t>
      </w:r>
    </w:p>
    <w:p w14:paraId="66CA5F21">
      <w:pPr>
        <w:snapToGrid w:val="0"/>
        <w:ind w:firstLine="480"/>
        <w:jc w:val="left"/>
        <w:rPr>
          <w:rFonts w:ascii="仿宋" w:hAnsi="仿宋" w:eastAsia="仿宋" w:cs="Arial Narrow"/>
          <w:bCs/>
        </w:rPr>
      </w:pPr>
      <w:r>
        <w:rPr>
          <w:rFonts w:hint="eastAsia" w:ascii="仿宋" w:hAnsi="仿宋" w:eastAsia="仿宋" w:cs="Arial Narrow"/>
          <w:bCs/>
        </w:rPr>
        <w:t>确定评价对象。根据下达的绩效评价通知书，制订绩效评价工作方案。</w:t>
      </w:r>
    </w:p>
    <w:p w14:paraId="7849FA2C">
      <w:pPr>
        <w:snapToGrid w:val="0"/>
        <w:ind w:firstLine="480"/>
        <w:jc w:val="left"/>
        <w:rPr>
          <w:rFonts w:ascii="仿宋" w:hAnsi="仿宋" w:eastAsia="仿宋" w:cs="Arial Narrow"/>
          <w:bCs/>
        </w:rPr>
      </w:pPr>
      <w:r>
        <w:rPr>
          <w:rFonts w:hint="eastAsia" w:ascii="仿宋" w:hAnsi="仿宋" w:eastAsia="仿宋" w:cs="Arial Narrow"/>
          <w:bCs/>
        </w:rPr>
        <w:t>2、绩效评价实施阶段</w:t>
      </w:r>
    </w:p>
    <w:p w14:paraId="51875331">
      <w:pPr>
        <w:snapToGrid w:val="0"/>
        <w:ind w:firstLine="480"/>
        <w:jc w:val="left"/>
        <w:rPr>
          <w:rFonts w:ascii="仿宋" w:hAnsi="仿宋" w:eastAsia="仿宋" w:cs="Arial Narrow"/>
          <w:bCs/>
        </w:rPr>
      </w:pPr>
      <w:r>
        <w:rPr>
          <w:rFonts w:hint="eastAsia" w:ascii="仿宋" w:hAnsi="仿宋" w:eastAsia="仿宋" w:cs="Arial Narrow"/>
          <w:bCs/>
        </w:rPr>
        <w:t>（1）拟定评价工作方案；</w:t>
      </w:r>
    </w:p>
    <w:p w14:paraId="40DAC2AC">
      <w:pPr>
        <w:snapToGrid w:val="0"/>
        <w:ind w:firstLine="480"/>
        <w:jc w:val="left"/>
        <w:rPr>
          <w:rFonts w:ascii="仿宋" w:hAnsi="仿宋" w:eastAsia="仿宋" w:cs="Arial Narrow"/>
          <w:bCs/>
        </w:rPr>
      </w:pPr>
      <w:r>
        <w:rPr>
          <w:rFonts w:hint="eastAsia" w:ascii="仿宋" w:hAnsi="仿宋" w:eastAsia="仿宋" w:cs="Arial Narrow"/>
          <w:bCs/>
        </w:rPr>
        <w:t>（2）资料审核；</w:t>
      </w:r>
    </w:p>
    <w:p w14:paraId="50AC8699">
      <w:pPr>
        <w:snapToGrid w:val="0"/>
        <w:ind w:firstLine="480"/>
        <w:jc w:val="left"/>
        <w:rPr>
          <w:rFonts w:ascii="仿宋" w:hAnsi="仿宋" w:eastAsia="仿宋" w:cs="Arial Narrow"/>
          <w:bCs/>
        </w:rPr>
      </w:pPr>
      <w:r>
        <w:rPr>
          <w:rFonts w:hint="eastAsia" w:ascii="仿宋" w:hAnsi="仿宋" w:eastAsia="仿宋" w:cs="Arial Narrow"/>
          <w:bCs/>
        </w:rPr>
        <w:t>（3）撰写绩效报告；</w:t>
      </w:r>
    </w:p>
    <w:p w14:paraId="48A87204">
      <w:pPr>
        <w:snapToGrid w:val="0"/>
        <w:ind w:firstLine="480"/>
        <w:jc w:val="left"/>
        <w:rPr>
          <w:rFonts w:ascii="仿宋" w:hAnsi="仿宋" w:eastAsia="仿宋" w:cs="Arial Narrow"/>
          <w:bCs/>
        </w:rPr>
      </w:pPr>
      <w:r>
        <w:rPr>
          <w:rFonts w:hint="eastAsia" w:ascii="仿宋" w:hAnsi="仿宋" w:eastAsia="仿宋" w:cs="Arial Narrow"/>
          <w:bCs/>
        </w:rPr>
        <w:t>（4）实施绩效评价。</w:t>
      </w:r>
    </w:p>
    <w:p w14:paraId="246AD3A2">
      <w:pPr>
        <w:snapToGrid w:val="0"/>
        <w:ind w:firstLine="480"/>
        <w:jc w:val="left"/>
        <w:rPr>
          <w:rFonts w:ascii="仿宋" w:hAnsi="仿宋" w:eastAsia="仿宋" w:cs="Arial Narrow"/>
          <w:bCs/>
        </w:rPr>
      </w:pPr>
      <w:r>
        <w:rPr>
          <w:rFonts w:hint="eastAsia" w:ascii="仿宋" w:hAnsi="仿宋" w:eastAsia="仿宋" w:cs="Arial Narrow"/>
          <w:bCs/>
        </w:rPr>
        <w:t>3、绩效评价总结阶段</w:t>
      </w:r>
    </w:p>
    <w:p w14:paraId="487AF7B7">
      <w:pPr>
        <w:snapToGrid w:val="0"/>
        <w:ind w:firstLine="480"/>
        <w:jc w:val="left"/>
        <w:rPr>
          <w:rFonts w:ascii="仿宋" w:hAnsi="仿宋" w:eastAsia="仿宋" w:cs="Arial Narrow"/>
          <w:bCs/>
        </w:rPr>
      </w:pPr>
      <w:r>
        <w:rPr>
          <w:rFonts w:hint="eastAsia" w:ascii="仿宋" w:hAnsi="仿宋" w:eastAsia="仿宋" w:cs="Arial Narrow"/>
          <w:bCs/>
        </w:rPr>
        <w:t>（1）撰写报告；</w:t>
      </w:r>
    </w:p>
    <w:p w14:paraId="56BB32A1">
      <w:pPr>
        <w:snapToGrid w:val="0"/>
        <w:ind w:firstLine="480"/>
        <w:jc w:val="left"/>
        <w:rPr>
          <w:rFonts w:ascii="仿宋" w:hAnsi="仿宋" w:eastAsia="仿宋" w:cs="Arial Narrow"/>
          <w:bCs/>
        </w:rPr>
      </w:pPr>
      <w:r>
        <w:rPr>
          <w:rFonts w:hint="eastAsia" w:ascii="仿宋" w:hAnsi="仿宋" w:eastAsia="仿宋" w:cs="Arial Narrow"/>
          <w:bCs/>
        </w:rPr>
        <w:t>（2）提交报告。</w:t>
      </w:r>
    </w:p>
    <w:p w14:paraId="25F803A4">
      <w:pPr>
        <w:snapToGrid w:val="0"/>
        <w:ind w:firstLine="482"/>
        <w:jc w:val="left"/>
        <w:outlineLvl w:val="1"/>
        <w:rPr>
          <w:rFonts w:ascii="仿宋" w:hAnsi="仿宋" w:eastAsia="仿宋" w:cs="Arial Narrow"/>
          <w:b/>
        </w:rPr>
      </w:pPr>
      <w:bookmarkStart w:id="44" w:name="_Toc14165731"/>
      <w:bookmarkStart w:id="45" w:name="_Toc15732372"/>
      <w:r>
        <w:rPr>
          <w:rFonts w:hint="eastAsia" w:ascii="仿宋" w:hAnsi="仿宋" w:eastAsia="仿宋" w:cs="Arial Narrow"/>
          <w:b/>
        </w:rPr>
        <w:t>（三）绩效评价框架</w:t>
      </w:r>
      <w:bookmarkEnd w:id="44"/>
      <w:bookmarkEnd w:id="45"/>
    </w:p>
    <w:p w14:paraId="5556ECF7">
      <w:pPr>
        <w:snapToGrid w:val="0"/>
        <w:ind w:firstLine="482"/>
        <w:jc w:val="left"/>
        <w:rPr>
          <w:rFonts w:ascii="仿宋" w:hAnsi="仿宋" w:eastAsia="仿宋" w:cs="Arial Narrow"/>
          <w:b/>
        </w:rPr>
      </w:pPr>
      <w:r>
        <w:rPr>
          <w:rFonts w:hint="eastAsia" w:ascii="仿宋" w:hAnsi="仿宋" w:eastAsia="仿宋" w:cs="Arial Narrow"/>
          <w:b/>
        </w:rPr>
        <w:t>1、评价原则</w:t>
      </w:r>
    </w:p>
    <w:p w14:paraId="46FF3B42">
      <w:pPr>
        <w:snapToGrid w:val="0"/>
        <w:ind w:firstLine="480"/>
        <w:jc w:val="left"/>
        <w:rPr>
          <w:rFonts w:ascii="仿宋" w:hAnsi="仿宋" w:eastAsia="仿宋" w:cs="Arial Narrow"/>
        </w:rPr>
      </w:pPr>
      <w:r>
        <w:rPr>
          <w:rFonts w:hint="eastAsia" w:ascii="仿宋" w:hAnsi="仿宋" w:eastAsia="仿宋" w:cs="Arial Narrow"/>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14:paraId="3F461CCA">
      <w:pPr>
        <w:snapToGrid w:val="0"/>
        <w:ind w:firstLine="482"/>
        <w:jc w:val="left"/>
        <w:rPr>
          <w:rFonts w:ascii="仿宋" w:hAnsi="仿宋" w:eastAsia="仿宋" w:cs="Arial Narrow"/>
          <w:b/>
        </w:rPr>
      </w:pPr>
      <w:r>
        <w:rPr>
          <w:rFonts w:hint="eastAsia" w:ascii="仿宋" w:hAnsi="仿宋" w:eastAsia="仿宋" w:cs="Arial Narrow"/>
          <w:b/>
        </w:rPr>
        <w:t>2、评价依据</w:t>
      </w:r>
    </w:p>
    <w:p w14:paraId="07820147">
      <w:pPr>
        <w:snapToGrid w:val="0"/>
        <w:ind w:firstLine="480"/>
        <w:jc w:val="left"/>
        <w:rPr>
          <w:rFonts w:ascii="仿宋" w:hAnsi="仿宋" w:eastAsia="仿宋" w:cs="Arial Narrow"/>
        </w:rPr>
      </w:pPr>
      <w:r>
        <w:rPr>
          <w:rFonts w:hint="eastAsia" w:ascii="仿宋" w:hAnsi="仿宋" w:eastAsia="仿宋" w:cs="Arial Narrow"/>
        </w:rPr>
        <w:t>（1）《中华人民共和国预算法》；</w:t>
      </w:r>
    </w:p>
    <w:p w14:paraId="5A73C517">
      <w:pPr>
        <w:snapToGrid w:val="0"/>
        <w:ind w:firstLine="480"/>
        <w:jc w:val="left"/>
        <w:rPr>
          <w:rFonts w:ascii="仿宋" w:hAnsi="仿宋" w:eastAsia="仿宋" w:cs="Arial Narrow"/>
        </w:rPr>
      </w:pPr>
      <w:r>
        <w:rPr>
          <w:rFonts w:hint="eastAsia" w:ascii="仿宋" w:hAnsi="仿宋" w:eastAsia="仿宋" w:cs="Arial Narrow"/>
        </w:rPr>
        <w:t>（2）《财政支出绩效评价管理暂行办法》（财预[2011]285号）；</w:t>
      </w:r>
    </w:p>
    <w:p w14:paraId="46329FAA">
      <w:pPr>
        <w:snapToGrid w:val="0"/>
        <w:ind w:firstLine="480"/>
        <w:jc w:val="left"/>
        <w:rPr>
          <w:rFonts w:ascii="仿宋" w:hAnsi="仿宋" w:eastAsia="仿宋" w:cs="Arial Narrow"/>
        </w:rPr>
      </w:pPr>
      <w:r>
        <w:rPr>
          <w:rFonts w:hint="eastAsia" w:ascii="仿宋" w:hAnsi="仿宋" w:eastAsia="仿宋" w:cs="Arial Narrow"/>
        </w:rPr>
        <w:t>（3）《财政部关于推进预算绩效管理的指导意见》（财预[2011]416号）；</w:t>
      </w:r>
    </w:p>
    <w:p w14:paraId="3C9DF59D">
      <w:pPr>
        <w:snapToGrid w:val="0"/>
        <w:ind w:firstLine="480"/>
        <w:jc w:val="left"/>
        <w:rPr>
          <w:rFonts w:ascii="仿宋" w:hAnsi="仿宋" w:eastAsia="仿宋" w:cs="Arial Narrow"/>
        </w:rPr>
      </w:pPr>
      <w:r>
        <w:rPr>
          <w:rFonts w:hint="eastAsia" w:ascii="仿宋" w:hAnsi="仿宋" w:eastAsia="仿宋" w:cs="Arial Narrow"/>
        </w:rPr>
        <w:t>（4）《湖北省省级财政项目资金绩效评价实施暂行办法》（鄂财绩发[2012]5号）；</w:t>
      </w:r>
    </w:p>
    <w:p w14:paraId="6E3D6E16">
      <w:pPr>
        <w:snapToGrid w:val="0"/>
        <w:ind w:firstLine="480"/>
        <w:jc w:val="left"/>
        <w:rPr>
          <w:rFonts w:ascii="仿宋" w:hAnsi="仿宋" w:eastAsia="仿宋" w:cs="Arial Narrow"/>
        </w:rPr>
      </w:pPr>
      <w:r>
        <w:rPr>
          <w:rFonts w:hint="eastAsia" w:ascii="仿宋" w:hAnsi="仿宋" w:eastAsia="仿宋" w:cs="Arial Narrow"/>
        </w:rPr>
        <w:t>（5）《关于推进预算绩效管理的意见》(武政[2013]95号)；</w:t>
      </w:r>
    </w:p>
    <w:p w14:paraId="28FAECE5">
      <w:pPr>
        <w:snapToGrid w:val="0"/>
        <w:ind w:firstLine="480"/>
        <w:jc w:val="left"/>
        <w:rPr>
          <w:rFonts w:ascii="仿宋" w:hAnsi="仿宋" w:eastAsia="仿宋" w:cs="Arial Narrow"/>
        </w:rPr>
      </w:pPr>
      <w:r>
        <w:rPr>
          <w:rFonts w:hint="eastAsia" w:ascii="仿宋" w:hAnsi="仿宋" w:eastAsia="仿宋" w:cs="Arial Narrow"/>
        </w:rPr>
        <w:t>（6） 武汉市财政局《关于进一步推进预算绩效管理改革工作的通知》；</w:t>
      </w:r>
    </w:p>
    <w:p w14:paraId="18459532">
      <w:pPr>
        <w:snapToGrid w:val="0"/>
        <w:ind w:firstLine="480"/>
        <w:jc w:val="left"/>
        <w:rPr>
          <w:rFonts w:ascii="仿宋" w:hAnsi="仿宋" w:eastAsia="仿宋" w:cs="Arial Narrow"/>
        </w:rPr>
      </w:pPr>
      <w:r>
        <w:rPr>
          <w:rFonts w:hint="eastAsia" w:ascii="仿宋" w:hAnsi="仿宋" w:eastAsia="仿宋" w:cs="Arial Narrow"/>
        </w:rPr>
        <w:t>（7）《武汉经济技术开发区（汉南区）预算绩效评价管理暂行办法》；</w:t>
      </w:r>
    </w:p>
    <w:p w14:paraId="49BD981C">
      <w:pPr>
        <w:snapToGrid w:val="0"/>
        <w:ind w:firstLine="480"/>
        <w:jc w:val="left"/>
        <w:rPr>
          <w:rFonts w:ascii="仿宋" w:hAnsi="仿宋" w:eastAsia="仿宋" w:cs="Arial Narrow"/>
        </w:rPr>
      </w:pPr>
      <w:r>
        <w:rPr>
          <w:rFonts w:hint="eastAsia" w:ascii="仿宋" w:hAnsi="仿宋" w:eastAsia="仿宋" w:cs="Arial Narrow"/>
        </w:rPr>
        <w:t>（8）《中共武汉开发区工委（汉南区委）武汉开发区管委会（汉南区政府）关于全面推进预算绩效管理的实施意见》（武开〔2019〕11号）；</w:t>
      </w:r>
    </w:p>
    <w:p w14:paraId="5CCEAA11">
      <w:pPr>
        <w:snapToGrid w:val="0"/>
        <w:ind w:firstLine="480"/>
        <w:jc w:val="left"/>
        <w:rPr>
          <w:rFonts w:ascii="仿宋" w:hAnsi="仿宋" w:eastAsia="仿宋" w:cs="Arial Narrow"/>
        </w:rPr>
      </w:pPr>
      <w:r>
        <w:rPr>
          <w:rFonts w:hint="eastAsia" w:ascii="仿宋" w:hAnsi="仿宋" w:eastAsia="仿宋" w:cs="Arial Narrow"/>
        </w:rPr>
        <w:t>（9）《区财政局关于2019年开展预算绩效评价工作的通知》 武经开财〔2019〕29号</w:t>
      </w:r>
    </w:p>
    <w:p w14:paraId="597CE26F">
      <w:pPr>
        <w:snapToGrid w:val="0"/>
        <w:ind w:firstLine="480"/>
        <w:jc w:val="left"/>
        <w:rPr>
          <w:rFonts w:ascii="仿宋" w:hAnsi="仿宋" w:eastAsia="仿宋" w:cs="Arial Narrow"/>
        </w:rPr>
      </w:pPr>
      <w:r>
        <w:rPr>
          <w:rFonts w:hint="eastAsia" w:ascii="仿宋" w:hAnsi="仿宋" w:eastAsia="仿宋" w:cs="Arial Narrow"/>
        </w:rPr>
        <w:t>（10）项目资金使用明细表、与项目相关的财务账等资料；</w:t>
      </w:r>
    </w:p>
    <w:p w14:paraId="72A0A220">
      <w:pPr>
        <w:snapToGrid w:val="0"/>
        <w:ind w:firstLine="480"/>
        <w:jc w:val="left"/>
        <w:rPr>
          <w:rFonts w:ascii="仿宋" w:hAnsi="仿宋" w:eastAsia="仿宋" w:cs="Arial Narrow"/>
        </w:rPr>
      </w:pPr>
      <w:r>
        <w:rPr>
          <w:rFonts w:hint="eastAsia" w:ascii="仿宋" w:hAnsi="仿宋" w:eastAsia="仿宋" w:cs="Arial Narrow"/>
        </w:rPr>
        <w:t>（11）其他与项目评价相关的资料。</w:t>
      </w:r>
    </w:p>
    <w:p w14:paraId="520FDB7D">
      <w:pPr>
        <w:snapToGrid w:val="0"/>
        <w:ind w:firstLine="482"/>
        <w:jc w:val="left"/>
        <w:rPr>
          <w:rFonts w:ascii="仿宋" w:hAnsi="仿宋" w:eastAsia="仿宋" w:cs="Arial Narrow"/>
          <w:b/>
        </w:rPr>
      </w:pPr>
      <w:r>
        <w:rPr>
          <w:rFonts w:hint="eastAsia" w:ascii="仿宋" w:hAnsi="仿宋" w:eastAsia="仿宋" w:cs="Arial Narrow"/>
          <w:b/>
        </w:rPr>
        <w:t>3、评价方法</w:t>
      </w:r>
    </w:p>
    <w:p w14:paraId="7725D3F7">
      <w:pPr>
        <w:snapToGrid w:val="0"/>
        <w:ind w:firstLine="480"/>
        <w:jc w:val="left"/>
        <w:rPr>
          <w:rFonts w:ascii="仿宋" w:hAnsi="仿宋" w:eastAsia="仿宋" w:cs="Arial Narrow"/>
        </w:rPr>
      </w:pPr>
      <w:r>
        <w:rPr>
          <w:rFonts w:hint="eastAsia" w:ascii="仿宋" w:hAnsi="仿宋" w:eastAsia="仿宋" w:cs="Arial Narrow"/>
        </w:rPr>
        <w:t>主要采用成本效益分析法、比较法、因素分析法、最低成本法、公众评判法等。</w:t>
      </w:r>
    </w:p>
    <w:p w14:paraId="0AF033B5">
      <w:pPr>
        <w:snapToGrid w:val="0"/>
        <w:ind w:firstLine="480"/>
        <w:jc w:val="left"/>
        <w:rPr>
          <w:rFonts w:ascii="仿宋" w:hAnsi="仿宋" w:eastAsia="仿宋" w:cs="Arial Narrow"/>
        </w:rPr>
      </w:pPr>
      <w:r>
        <w:rPr>
          <w:rFonts w:hint="eastAsia" w:ascii="仿宋" w:hAnsi="仿宋" w:eastAsia="仿宋" w:cs="Arial Narrow"/>
        </w:rPr>
        <w:t>（1）成本效益分析法。是指将一定时期内的支出与效益进行对比分析，以评价绩效目标实现程度。</w:t>
      </w:r>
    </w:p>
    <w:p w14:paraId="79A5E791">
      <w:pPr>
        <w:snapToGrid w:val="0"/>
        <w:ind w:firstLine="480"/>
        <w:jc w:val="left"/>
        <w:rPr>
          <w:rFonts w:ascii="仿宋" w:hAnsi="仿宋" w:eastAsia="仿宋" w:cs="Arial Narrow"/>
        </w:rPr>
      </w:pPr>
      <w:r>
        <w:rPr>
          <w:rFonts w:hint="eastAsia" w:ascii="仿宋" w:hAnsi="仿宋" w:eastAsia="仿宋" w:cs="Arial Narrow"/>
        </w:rPr>
        <w:t>（2）比较法。是指通过对绩效目标与实施效果、历史与当期情况、不同部门和地区同类支出的比较，综合分析绩效目标实现程度。</w:t>
      </w:r>
    </w:p>
    <w:p w14:paraId="2A679A80">
      <w:pPr>
        <w:snapToGrid w:val="0"/>
        <w:ind w:firstLine="480"/>
        <w:jc w:val="left"/>
        <w:rPr>
          <w:rFonts w:ascii="仿宋" w:hAnsi="仿宋" w:eastAsia="仿宋" w:cs="Arial Narrow"/>
        </w:rPr>
      </w:pPr>
      <w:r>
        <w:rPr>
          <w:rFonts w:hint="eastAsia" w:ascii="仿宋" w:hAnsi="仿宋" w:eastAsia="仿宋" w:cs="Arial Narrow"/>
        </w:rPr>
        <w:t>（3）因素分析法。是指通过综合分析影响绩效目标实现、实施效果的内外因素，评价绩效目标实现程度。</w:t>
      </w:r>
    </w:p>
    <w:p w14:paraId="6ADA37D8">
      <w:pPr>
        <w:snapToGrid w:val="0"/>
        <w:ind w:firstLine="480"/>
        <w:jc w:val="left"/>
        <w:rPr>
          <w:rFonts w:ascii="仿宋" w:hAnsi="仿宋" w:eastAsia="仿宋" w:cs="Arial Narrow"/>
        </w:rPr>
      </w:pPr>
      <w:r>
        <w:rPr>
          <w:rFonts w:hint="eastAsia" w:ascii="仿宋" w:hAnsi="仿宋" w:eastAsia="仿宋" w:cs="Arial Narrow"/>
        </w:rPr>
        <w:t>（4）最低成本法。是指对效益确定却不易计量的多个同类对象的实施成本进行比较，评价绩效目标实现程度。</w:t>
      </w:r>
    </w:p>
    <w:p w14:paraId="233A81C1">
      <w:pPr>
        <w:snapToGrid w:val="0"/>
        <w:ind w:firstLine="480"/>
        <w:jc w:val="left"/>
        <w:rPr>
          <w:rFonts w:ascii="仿宋" w:hAnsi="仿宋" w:eastAsia="仿宋" w:cs="Arial Narrow"/>
        </w:rPr>
      </w:pPr>
      <w:r>
        <w:rPr>
          <w:rFonts w:hint="eastAsia" w:ascii="仿宋" w:hAnsi="仿宋" w:eastAsia="仿宋" w:cs="Arial Narrow"/>
        </w:rPr>
        <w:t>（5）公众评判法。是指通过专家评估、公众问卷及抽样调查等对财政支出效果进行评判，评价绩效目标实现程度。</w:t>
      </w:r>
    </w:p>
    <w:p w14:paraId="0807F654">
      <w:pPr>
        <w:snapToGrid w:val="0"/>
        <w:ind w:firstLine="482"/>
        <w:jc w:val="left"/>
        <w:outlineLvl w:val="1"/>
        <w:rPr>
          <w:rFonts w:ascii="仿宋" w:hAnsi="仿宋" w:eastAsia="仿宋" w:cs="Arial Narrow"/>
          <w:b/>
        </w:rPr>
      </w:pPr>
      <w:bookmarkStart w:id="46" w:name="_Toc15732373"/>
      <w:bookmarkStart w:id="47" w:name="_Toc14165732"/>
      <w:r>
        <w:rPr>
          <w:rFonts w:hint="eastAsia" w:ascii="仿宋" w:hAnsi="仿宋" w:eastAsia="仿宋" w:cs="Arial Narrow"/>
          <w:b/>
        </w:rPr>
        <w:t>（四）评价抽样情况概述</w:t>
      </w:r>
      <w:bookmarkEnd w:id="39"/>
      <w:bookmarkEnd w:id="40"/>
      <w:bookmarkEnd w:id="41"/>
      <w:bookmarkEnd w:id="42"/>
      <w:bookmarkEnd w:id="43"/>
      <w:bookmarkEnd w:id="46"/>
      <w:bookmarkEnd w:id="47"/>
      <w:bookmarkStart w:id="48" w:name="_Toc18443"/>
      <w:bookmarkStart w:id="49" w:name="_Toc361304693"/>
      <w:bookmarkStart w:id="50" w:name="_Toc406666370"/>
      <w:bookmarkStart w:id="51" w:name="_Toc387957819"/>
      <w:bookmarkStart w:id="52" w:name="_Toc406668044"/>
      <w:bookmarkStart w:id="53" w:name="_Toc14165733"/>
    </w:p>
    <w:p w14:paraId="127E0398">
      <w:pPr>
        <w:snapToGrid w:val="0"/>
        <w:ind w:firstLine="480"/>
        <w:jc w:val="left"/>
        <w:rPr>
          <w:rFonts w:ascii="仿宋" w:hAnsi="仿宋" w:eastAsia="仿宋" w:cs="Arial Narrow"/>
        </w:rPr>
      </w:pPr>
      <w:r>
        <w:rPr>
          <w:rFonts w:hint="eastAsia" w:ascii="仿宋" w:hAnsi="仿宋" w:eastAsia="仿宋" w:cs="Arial Narrow"/>
        </w:rPr>
        <w:t>绩效评价小组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p>
    <w:p w14:paraId="60072167">
      <w:pPr>
        <w:pStyle w:val="2"/>
        <w:rPr>
          <w:rFonts w:ascii="仿宋" w:hAnsi="仿宋" w:eastAsia="仿宋" w:cs="Arial Narrow"/>
          <w:b w:val="0"/>
          <w:sz w:val="24"/>
        </w:rPr>
      </w:pPr>
      <w:bookmarkStart w:id="54" w:name="_Toc15732374"/>
      <w:r>
        <w:rPr>
          <w:rFonts w:ascii="仿宋" w:hAnsi="仿宋" w:eastAsia="仿宋" w:cs="Arial Narrow"/>
          <w:sz w:val="24"/>
        </w:rPr>
        <w:t>三、绩效分析</w:t>
      </w:r>
      <w:bookmarkEnd w:id="48"/>
      <w:bookmarkEnd w:id="49"/>
      <w:bookmarkEnd w:id="50"/>
      <w:bookmarkEnd w:id="51"/>
      <w:bookmarkEnd w:id="52"/>
      <w:r>
        <w:rPr>
          <w:rFonts w:ascii="仿宋" w:hAnsi="仿宋" w:eastAsia="仿宋" w:cs="Arial Narrow"/>
          <w:sz w:val="24"/>
        </w:rPr>
        <w:t>及评价结论</w:t>
      </w:r>
      <w:bookmarkEnd w:id="53"/>
      <w:bookmarkEnd w:id="54"/>
    </w:p>
    <w:p w14:paraId="0C359F1D">
      <w:pPr>
        <w:pStyle w:val="3"/>
        <w:spacing w:before="0" w:after="0" w:line="360" w:lineRule="auto"/>
        <w:ind w:firstLine="0" w:firstLineChars="0"/>
        <w:rPr>
          <w:rFonts w:ascii="仿宋" w:hAnsi="仿宋" w:eastAsia="仿宋" w:cs="Arial Narrow"/>
          <w:b w:val="0"/>
          <w:sz w:val="24"/>
        </w:rPr>
      </w:pPr>
      <w:bookmarkStart w:id="55" w:name="_Toc15732375"/>
      <w:bookmarkStart w:id="56" w:name="_Toc14165734"/>
      <w:r>
        <w:rPr>
          <w:rFonts w:hint="eastAsia" w:ascii="仿宋" w:hAnsi="仿宋" w:eastAsia="仿宋" w:cs="Arial Narrow"/>
          <w:sz w:val="24"/>
        </w:rPr>
        <w:t>（一）</w:t>
      </w:r>
      <w:r>
        <w:rPr>
          <w:rFonts w:ascii="仿宋" w:hAnsi="仿宋" w:eastAsia="仿宋" w:cs="Arial Narrow"/>
          <w:sz w:val="24"/>
        </w:rPr>
        <w:t>绩效分析</w:t>
      </w:r>
      <w:bookmarkEnd w:id="55"/>
      <w:bookmarkEnd w:id="56"/>
    </w:p>
    <w:p w14:paraId="0F8C8240">
      <w:pPr>
        <w:pStyle w:val="4"/>
        <w:rPr>
          <w:rFonts w:ascii="仿宋" w:hAnsi="仿宋" w:eastAsia="仿宋"/>
        </w:rPr>
      </w:pPr>
      <w:bookmarkStart w:id="57" w:name="_Toc2992"/>
      <w:bookmarkStart w:id="58" w:name="_Toc15732376"/>
      <w:bookmarkStart w:id="59" w:name="_Toc14165735"/>
      <w:bookmarkStart w:id="60" w:name="_Toc361302034"/>
      <w:bookmarkStart w:id="61" w:name="_Toc387957822"/>
      <w:bookmarkStart w:id="62" w:name="_Toc406668047"/>
      <w:bookmarkStart w:id="63" w:name="_Toc406666373"/>
      <w:bookmarkStart w:id="64" w:name="_Toc361304697"/>
      <w:r>
        <w:rPr>
          <w:rFonts w:hint="eastAsia" w:ascii="仿宋" w:hAnsi="仿宋" w:eastAsia="仿宋"/>
        </w:rPr>
        <w:t>1、</w:t>
      </w:r>
      <w:r>
        <w:rPr>
          <w:rFonts w:ascii="仿宋" w:hAnsi="仿宋" w:eastAsia="仿宋"/>
        </w:rPr>
        <w:t>项目</w:t>
      </w:r>
      <w:bookmarkStart w:id="65" w:name="_Toc394181010"/>
      <w:r>
        <w:rPr>
          <w:rFonts w:hint="eastAsia" w:ascii="仿宋" w:hAnsi="仿宋" w:eastAsia="仿宋"/>
        </w:rPr>
        <w:t>投入</w:t>
      </w:r>
      <w:r>
        <w:rPr>
          <w:rFonts w:ascii="仿宋" w:hAnsi="仿宋" w:eastAsia="仿宋"/>
        </w:rPr>
        <w:t>（</w:t>
      </w:r>
      <w:r>
        <w:rPr>
          <w:rFonts w:hint="eastAsia" w:ascii="仿宋" w:hAnsi="仿宋" w:eastAsia="仿宋"/>
        </w:rPr>
        <w:t>16</w:t>
      </w:r>
      <w:r>
        <w:rPr>
          <w:rFonts w:ascii="仿宋" w:hAnsi="仿宋" w:eastAsia="仿宋"/>
        </w:rPr>
        <w:t>分）</w:t>
      </w:r>
      <w:bookmarkEnd w:id="57"/>
      <w:bookmarkEnd w:id="58"/>
      <w:bookmarkEnd w:id="59"/>
      <w:bookmarkEnd w:id="65"/>
    </w:p>
    <w:p w14:paraId="16AED994">
      <w:pPr>
        <w:snapToGrid w:val="0"/>
        <w:ind w:firstLine="480"/>
        <w:rPr>
          <w:rFonts w:ascii="仿宋" w:hAnsi="仿宋" w:eastAsia="仿宋" w:cs="Arial Narrow"/>
        </w:rPr>
      </w:pPr>
      <w:r>
        <w:rPr>
          <w:rFonts w:hint="eastAsia" w:ascii="仿宋" w:hAnsi="仿宋" w:eastAsia="仿宋" w:cs="Arial Narrow"/>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经过综合计分，该指标得分为16分，评价等级为优。</w:t>
      </w:r>
    </w:p>
    <w:p w14:paraId="14D50165">
      <w:pPr>
        <w:snapToGrid w:val="0"/>
        <w:ind w:firstLine="480"/>
        <w:rPr>
          <w:rFonts w:ascii="仿宋" w:hAnsi="仿宋" w:eastAsia="仿宋" w:cs="Arial Narrow"/>
        </w:rPr>
      </w:pPr>
      <w:r>
        <w:rPr>
          <w:rFonts w:hint="eastAsia" w:ascii="仿宋" w:hAnsi="仿宋" w:eastAsia="仿宋" w:cs="Arial Narrow"/>
        </w:rPr>
        <w:t>①项目立项（8分）</w:t>
      </w:r>
    </w:p>
    <w:p w14:paraId="3509C315">
      <w:pPr>
        <w:snapToGrid w:val="0"/>
        <w:ind w:firstLine="480"/>
        <w:rPr>
          <w:rFonts w:ascii="仿宋" w:hAnsi="仿宋" w:eastAsia="仿宋" w:cs="Arial Narrow"/>
        </w:rPr>
      </w:pPr>
      <w:r>
        <w:rPr>
          <w:rFonts w:hint="eastAsia" w:ascii="仿宋" w:hAnsi="仿宋" w:eastAsia="仿宋" w:cs="Arial Narrow"/>
        </w:rPr>
        <w:t>项目立项是指项目的设立和设定的绩效目标是否参考相关的依据，并且对项目的具体目标进行细化、量化。项目立项主要通过项目立项规范性和绩效目标合理性两个指标反映。经过综合计分，项目立项指标得分为8分。</w:t>
      </w:r>
    </w:p>
    <w:p w14:paraId="3A37A220">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项目立项规范性，是指项目的申请、设立过程是否符合相关要求，用以反映和考核项目立项的规范情况。该项目依据武汉经济技术开发区（汉南区）财政局文件《开发区（汉南区）财政局关于批复智慧生态城2018年预算的函》（武经开财预[2018]31号）及项目支出预算表 、《2018年开发区部门项目申报及绩效目标表》项目立项按照程序申请设立，所提交的文件、材料符合相关要求。</w:t>
      </w:r>
    </w:p>
    <w:p w14:paraId="7163B755">
      <w:pPr>
        <w:snapToGrid w:val="0"/>
        <w:ind w:firstLine="480"/>
        <w:rPr>
          <w:rFonts w:ascii="仿宋" w:hAnsi="仿宋" w:eastAsia="仿宋" w:cs="Arial Narrow"/>
        </w:rPr>
      </w:pPr>
      <w:r>
        <w:rPr>
          <w:rFonts w:hint="eastAsia" w:ascii="仿宋" w:hAnsi="仿宋" w:eastAsia="仿宋" w:cs="Arial Narrow"/>
        </w:rPr>
        <w:t>b. 绩效目标合理性，是指项目所设定的绩效目标依据是否充分，是否符合客观事实，可以反映和考核项目绩效目标与项目实施的：“宣传经费”相符情况。项目实施单位并对项目预算金额进行了测算分解，对项目的具体执行进行了细化，设定了长期目标、年度目标，目标的设计符合目标管理规范。</w:t>
      </w:r>
    </w:p>
    <w:p w14:paraId="2F82C6B2">
      <w:pPr>
        <w:snapToGrid w:val="0"/>
        <w:ind w:firstLine="480"/>
        <w:rPr>
          <w:rFonts w:ascii="仿宋" w:hAnsi="仿宋" w:eastAsia="仿宋" w:cs="Arial Narrow"/>
        </w:rPr>
      </w:pPr>
      <w:r>
        <w:rPr>
          <w:rFonts w:hint="eastAsia" w:ascii="仿宋" w:hAnsi="仿宋" w:eastAsia="仿宋" w:cs="Arial Narrow"/>
        </w:rPr>
        <w:t>②资金落实（8分）</w:t>
      </w:r>
    </w:p>
    <w:p w14:paraId="33FF0122">
      <w:pPr>
        <w:snapToGrid w:val="0"/>
        <w:ind w:firstLine="480"/>
        <w:rPr>
          <w:rFonts w:ascii="仿宋" w:hAnsi="仿宋" w:eastAsia="仿宋" w:cs="Arial Narrow"/>
        </w:rPr>
      </w:pPr>
      <w:r>
        <w:rPr>
          <w:rFonts w:hint="eastAsia" w:ascii="仿宋" w:hAnsi="仿宋" w:eastAsia="仿宋" w:cs="Arial Narrow"/>
        </w:rPr>
        <w:t>资金落实主要评价财政预算资金是否全额发放、资金到位是否及时。该情况主要是通过资金到位率和到位及时率两个指标来反映。指标评价得分为8分，评价等级为优。</w:t>
      </w:r>
    </w:p>
    <w:p w14:paraId="0F60EE11">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资金到位率，是指实际到位资金与计划投入资金的比率，用以反映和考核资金落实情况对项目实施的总体保障程度。2018年初该项目计划投入资金50万元，实际到位资金共50万元，资金到位率100%。</w:t>
      </w:r>
    </w:p>
    <w:p w14:paraId="00FEE13D">
      <w:pPr>
        <w:snapToGrid w:val="0"/>
        <w:ind w:firstLine="480"/>
        <w:rPr>
          <w:rFonts w:ascii="仿宋" w:hAnsi="仿宋" w:eastAsia="仿宋" w:cs="Arial Narrow"/>
        </w:rPr>
      </w:pPr>
      <w:r>
        <w:rPr>
          <w:rFonts w:hint="eastAsia" w:ascii="仿宋" w:hAnsi="仿宋" w:eastAsia="仿宋" w:cs="Arial Narrow"/>
        </w:rPr>
        <w:t>b.</w:t>
      </w:r>
      <w:r>
        <w:rPr>
          <w:rFonts w:hint="eastAsia" w:ascii="仿宋" w:hAnsi="仿宋" w:eastAsia="仿宋" w:cs="Arial Narrow"/>
        </w:rPr>
        <w:tab/>
      </w:r>
      <w:r>
        <w:rPr>
          <w:rFonts w:hint="eastAsia" w:ascii="仿宋" w:hAnsi="仿宋" w:eastAsia="仿宋" w:cs="Arial Narrow"/>
        </w:rPr>
        <w:t>到位及时率，是指项目及时到位资金与应到位资金的比率，用以反映和考核项目资金落实的及时性程度。武汉经济技术开发区（汉南区）财政局下达项目年初预算申报资金50万元，下达及时，到位及时率100%。</w:t>
      </w:r>
    </w:p>
    <w:p w14:paraId="421B3741">
      <w:pPr>
        <w:pStyle w:val="4"/>
        <w:rPr>
          <w:rFonts w:ascii="仿宋" w:hAnsi="仿宋" w:eastAsia="仿宋" w:cs="Arial Narrow"/>
          <w:b w:val="0"/>
          <w:bCs w:val="0"/>
        </w:rPr>
      </w:pPr>
      <w:bookmarkStart w:id="66" w:name="_Toc15732377"/>
      <w:r>
        <w:rPr>
          <w:rFonts w:hint="eastAsia" w:ascii="仿宋" w:hAnsi="仿宋" w:eastAsia="仿宋" w:cs="Arial Narrow"/>
        </w:rPr>
        <w:t>2、</w:t>
      </w:r>
      <w:r>
        <w:rPr>
          <w:rFonts w:ascii="仿宋" w:hAnsi="仿宋" w:eastAsia="仿宋" w:cs="Arial Narrow"/>
        </w:rPr>
        <w:t>决策过程（</w:t>
      </w:r>
      <w:r>
        <w:rPr>
          <w:rFonts w:hint="eastAsia" w:ascii="仿宋" w:hAnsi="仿宋" w:eastAsia="仿宋" w:cs="Arial Narrow"/>
          <w:bCs w:val="0"/>
        </w:rPr>
        <w:t>24</w:t>
      </w:r>
      <w:r>
        <w:rPr>
          <w:rFonts w:ascii="仿宋" w:hAnsi="仿宋" w:eastAsia="仿宋" w:cs="Arial Narrow"/>
        </w:rPr>
        <w:t>分）</w:t>
      </w:r>
      <w:bookmarkEnd w:id="66"/>
    </w:p>
    <w:p w14:paraId="476EF321">
      <w:pPr>
        <w:snapToGrid w:val="0"/>
        <w:ind w:firstLine="480"/>
        <w:rPr>
          <w:rFonts w:ascii="仿宋" w:hAnsi="仿宋" w:eastAsia="仿宋" w:cs="Arial Narrow"/>
        </w:rPr>
      </w:pPr>
      <w:r>
        <w:rPr>
          <w:rFonts w:hint="eastAsia" w:ascii="仿宋" w:hAnsi="仿宋" w:eastAsia="仿宋" w:cs="Arial Narrow"/>
        </w:rPr>
        <w:t>过程指标主要从项目管理、财务管理两个方面来具体评价；主要考核项目管理制度的健全性、制度执行的有效性和项目质量的可控性，财务制度的健全性、资金使用的合规性及财务监控的有效性。对于该项的评价，评价小组主要采取了卷宗研究、现场访谈的方式进行资料收集、整理、核实和分析，收集了项目具体实施单位的业务管理制度、财务管理制度等相关文件和项目档案资料管理相关文件；对项目管理、资金使用情况进行评价，对项目过程涉及的指标进行打分，并逐级加权计算结果。经过综合计分，该指标得分为24分，评价结果为优。</w:t>
      </w:r>
    </w:p>
    <w:p w14:paraId="17BEE08F">
      <w:pPr>
        <w:snapToGrid w:val="0"/>
        <w:ind w:firstLine="480"/>
        <w:rPr>
          <w:rFonts w:ascii="仿宋" w:hAnsi="仿宋" w:eastAsia="仿宋" w:cs="Arial Narrow"/>
        </w:rPr>
      </w:pPr>
      <w:r>
        <w:rPr>
          <w:rFonts w:hint="eastAsia" w:ascii="仿宋" w:hAnsi="仿宋" w:eastAsia="仿宋" w:cs="Arial Narrow"/>
        </w:rPr>
        <w:t>①项目管理（12分）</w:t>
      </w:r>
    </w:p>
    <w:p w14:paraId="0237E8C8">
      <w:pPr>
        <w:snapToGrid w:val="0"/>
        <w:ind w:firstLine="480"/>
        <w:rPr>
          <w:rFonts w:ascii="仿宋" w:hAnsi="仿宋" w:eastAsia="仿宋" w:cs="Arial Narrow"/>
        </w:rPr>
      </w:pPr>
      <w:r>
        <w:rPr>
          <w:rFonts w:hint="eastAsia" w:ascii="仿宋" w:hAnsi="仿宋" w:eastAsia="仿宋" w:cs="Arial Narrow"/>
        </w:rPr>
        <w:t>项目管理主要评价管理制度是否健全、制度的执行是否有效、项目的质量是否可控。该指标主要通过管理制度健全性、制度执行有效性、项目质量可控性三个三级指标来反映。该项指标评价得分为12分。</w:t>
      </w:r>
    </w:p>
    <w:p w14:paraId="535D8A9D">
      <w:pPr>
        <w:snapToGrid w:val="0"/>
        <w:ind w:firstLine="480"/>
        <w:rPr>
          <w:rFonts w:ascii="仿宋" w:hAnsi="仿宋" w:eastAsia="仿宋" w:cs="Arial Narrow"/>
        </w:rPr>
      </w:pPr>
      <w:r>
        <w:rPr>
          <w:rFonts w:hint="eastAsia" w:ascii="仿宋" w:hAnsi="仿宋" w:eastAsia="仿宋" w:cs="Arial Narrow"/>
        </w:rPr>
        <w:t>a.管理制度健全性，是指项目管理制度是否健全，用以反映和考核项目管理制度对项目顺利实施的保障情况。评价小组根据武汉经济技术开发区智慧生态城管理办公室管理工作制度汇编中督办管理制度得知，项目实施单位已制定相关档案管理制度、考勤管理办法、经济合同管理办法、 绩效考核管理办法，且项目管理制度合法合规。</w:t>
      </w:r>
    </w:p>
    <w:p w14:paraId="5CFA8536">
      <w:pPr>
        <w:snapToGrid w:val="0"/>
        <w:ind w:firstLine="480"/>
        <w:rPr>
          <w:rFonts w:ascii="仿宋" w:hAnsi="仿宋" w:eastAsia="仿宋" w:cs="Arial Narrow"/>
        </w:rPr>
      </w:pPr>
      <w:r>
        <w:rPr>
          <w:rFonts w:hint="eastAsia" w:ascii="仿宋" w:hAnsi="仿宋" w:eastAsia="仿宋" w:cs="Arial Narrow"/>
        </w:rPr>
        <w:t>b.制度执行有效性，是指项目实施是否符合相关项目管理规定，用以反映和考核项目管理制度的有效执行情况。评价小组查阅相关资料得知，项目实施单位严格按照项目管理制度进行管理，严格执行项目管理程序监理制、合同制。项目实施的人员条件、场地设备、信息支撑等落实到位。</w:t>
      </w:r>
    </w:p>
    <w:p w14:paraId="7855BDE5">
      <w:pPr>
        <w:snapToGrid w:val="0"/>
        <w:ind w:firstLine="480"/>
        <w:rPr>
          <w:rFonts w:ascii="仿宋" w:hAnsi="仿宋" w:eastAsia="仿宋" w:cs="Arial Narrow"/>
        </w:rPr>
      </w:pPr>
      <w:r>
        <w:rPr>
          <w:rFonts w:hint="eastAsia" w:ascii="仿宋" w:hAnsi="仿宋" w:eastAsia="仿宋" w:cs="Arial Narrow"/>
        </w:rPr>
        <w:t>c.</w:t>
      </w:r>
      <w:r>
        <w:rPr>
          <w:rFonts w:hint="eastAsia"/>
        </w:rPr>
        <w:t xml:space="preserve"> </w:t>
      </w:r>
      <w:r>
        <w:rPr>
          <w:rFonts w:hint="eastAsia" w:ascii="仿宋" w:hAnsi="仿宋" w:eastAsia="仿宋" w:cs="Arial Narrow"/>
        </w:rPr>
        <w:t>项目质量可控性，是指项目实施单位是否为达到项目质量要求而采取了必需的措施，用以反映和考核项目实施单位对项目质量的控制情况。评价小组查阅相关资料得知，项目实施单位对宣传费用进行三方比价，通过比较选择价低质优的供应商。</w:t>
      </w:r>
    </w:p>
    <w:p w14:paraId="0515437A">
      <w:pPr>
        <w:snapToGrid w:val="0"/>
        <w:ind w:firstLine="480"/>
        <w:rPr>
          <w:rFonts w:ascii="仿宋" w:hAnsi="仿宋" w:eastAsia="仿宋" w:cs="Arial Narrow"/>
        </w:rPr>
      </w:pPr>
      <w:r>
        <w:rPr>
          <w:rFonts w:hint="eastAsia" w:ascii="仿宋" w:hAnsi="仿宋" w:eastAsia="仿宋" w:cs="Arial Narrow"/>
        </w:rPr>
        <w:t>（2）财务管理（12分）</w:t>
      </w:r>
    </w:p>
    <w:p w14:paraId="60CB1225">
      <w:pPr>
        <w:snapToGrid w:val="0"/>
        <w:ind w:firstLine="480"/>
        <w:rPr>
          <w:rFonts w:ascii="仿宋" w:hAnsi="仿宋" w:eastAsia="仿宋" w:cs="Arial Narrow"/>
        </w:rPr>
      </w:pPr>
      <w:r>
        <w:rPr>
          <w:rFonts w:hint="eastAsia" w:ascii="仿宋" w:hAnsi="仿宋" w:eastAsia="仿宋" w:cs="Arial Narrow"/>
        </w:rPr>
        <w:t>财务管理指标主要评价项目实施单位的财务制度情况，资金使用情况以及财务监控措施的实施情况。该指标主要由财务制度健全性、资金使用合规性、财务监控有效性三个三级指标反映。该项指标评价得分为12分。</w:t>
      </w:r>
    </w:p>
    <w:p w14:paraId="237E4DDF">
      <w:pPr>
        <w:snapToGrid w:val="0"/>
        <w:ind w:firstLine="480"/>
        <w:rPr>
          <w:rFonts w:ascii="仿宋" w:hAnsi="仿宋" w:eastAsia="仿宋" w:cs="Arial Narrow"/>
        </w:rPr>
      </w:pPr>
      <w:r>
        <w:rPr>
          <w:rFonts w:hint="eastAsia" w:ascii="仿宋" w:hAnsi="仿宋" w:eastAsia="仿宋" w:cs="Arial Narrow"/>
        </w:rPr>
        <w:t>①</w:t>
      </w:r>
      <w:r>
        <w:rPr>
          <w:rFonts w:ascii="仿宋" w:hAnsi="仿宋" w:eastAsia="仿宋" w:cs="Arial Narrow"/>
        </w:rPr>
        <w:t>财务制度健全性指标</w:t>
      </w:r>
      <w:r>
        <w:rPr>
          <w:rFonts w:hint="eastAsia" w:ascii="仿宋" w:hAnsi="仿宋" w:eastAsia="仿宋" w:cs="Arial Narrow"/>
        </w:rPr>
        <w:t>，</w:t>
      </w:r>
      <w:r>
        <w:rPr>
          <w:rFonts w:ascii="仿宋" w:hAnsi="仿宋" w:eastAsia="仿宋" w:cs="Arial Narrow"/>
        </w:rPr>
        <w:t>是指项目实施单位的资金管理、费用支出等制度是否健全，是否严格执行，会计核算是否规范，用以反映和考核财务管理制度对资金规范、安全运行的保障情况</w:t>
      </w:r>
      <w:r>
        <w:rPr>
          <w:rFonts w:hint="eastAsia" w:ascii="仿宋" w:hAnsi="仿宋" w:eastAsia="仿宋" w:cs="Arial Narrow"/>
        </w:rPr>
        <w:t>。</w:t>
      </w:r>
      <w:r>
        <w:rPr>
          <w:rFonts w:ascii="仿宋" w:hAnsi="仿宋" w:eastAsia="仿宋" w:cs="Arial Narrow"/>
        </w:rPr>
        <w:t>评价小组根据查阅资料得知，项目实施单位制定了相关财务管理制度，且财务管理制度符合相关财务会计制度的规定。</w:t>
      </w:r>
    </w:p>
    <w:p w14:paraId="752D7AC2">
      <w:pPr>
        <w:snapToGrid w:val="0"/>
        <w:ind w:firstLine="480"/>
        <w:rPr>
          <w:rFonts w:ascii="仿宋" w:hAnsi="仿宋" w:eastAsia="仿宋" w:cs="Arial Narrow"/>
        </w:rPr>
      </w:pPr>
      <w:r>
        <w:rPr>
          <w:rFonts w:hint="eastAsia" w:ascii="仿宋" w:hAnsi="仿宋" w:eastAsia="仿宋" w:cs="Arial Narrow"/>
        </w:rPr>
        <w:t>②资金使用合规性指标，是指项目实施单位是否存在支出依据不合规、虚列项目支出的情况；是否存在截留、挤占、挪用项目资金情况；是否存在超标准开支情况，用以反映和考核项目实施单位对项目资金使用的规范情况。评价小组通过查阅辅助明细账，抽查相关支出凭证，了解到项目支出符合国家财经法规和财务管理制度，资金的拨付有完整的审批程序和手续，符合项目预算批复或合同规定的用途，不存在截留、挤占、挪用、虚列支出等情况。</w:t>
      </w:r>
    </w:p>
    <w:p w14:paraId="137D0B76">
      <w:pPr>
        <w:snapToGrid w:val="0"/>
        <w:ind w:firstLine="480"/>
        <w:rPr>
          <w:rFonts w:ascii="仿宋" w:hAnsi="仿宋" w:eastAsia="仿宋" w:cs="Arial Narrow"/>
        </w:rPr>
      </w:pPr>
      <w:r>
        <w:rPr>
          <w:rFonts w:hint="eastAsia" w:ascii="仿宋" w:hAnsi="仿宋" w:eastAsia="仿宋" w:cs="Arial Narrow"/>
        </w:rPr>
        <w:t>③财务监控有效性指标，是项目实施单位是否为保障资金的安全、规范运行而采取了必要的监控措施，用以反映和考核项目实施单位对资金运行的控制情况。评价小组根据查阅资料得知，项目实施单位制定了相关生态城内控手册，严格按照相关财务管理制度执行，对于项目的重大开支，项目实施单位有进行集体决策，资金的拨付有完整的审批程序和手续。</w:t>
      </w:r>
    </w:p>
    <w:p w14:paraId="413D46B7">
      <w:pPr>
        <w:pStyle w:val="4"/>
        <w:rPr>
          <w:rFonts w:ascii="仿宋" w:hAnsi="仿宋" w:eastAsia="仿宋" w:cs="Arial Narrow"/>
        </w:rPr>
      </w:pPr>
      <w:bookmarkStart w:id="67" w:name="_Toc15732378"/>
      <w:r>
        <w:rPr>
          <w:rFonts w:hint="eastAsia" w:ascii="仿宋" w:hAnsi="仿宋" w:eastAsia="仿宋" w:cs="Arial Narrow"/>
        </w:rPr>
        <w:t>3、项目产出（28分）</w:t>
      </w:r>
      <w:bookmarkEnd w:id="67"/>
    </w:p>
    <w:p w14:paraId="04ADB9A4">
      <w:pPr>
        <w:snapToGrid w:val="0"/>
        <w:ind w:firstLine="480"/>
        <w:rPr>
          <w:rFonts w:ascii="仿宋" w:hAnsi="仿宋" w:eastAsia="仿宋" w:cs="Arial Narrow"/>
        </w:rPr>
      </w:pPr>
      <w:r>
        <w:rPr>
          <w:rFonts w:hint="eastAsia" w:ascii="仿宋" w:hAnsi="仿宋" w:eastAsia="仿宋" w:cs="Arial Narrow"/>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24分，评价结果为良。</w:t>
      </w:r>
    </w:p>
    <w:p w14:paraId="18BE0E0F">
      <w:pPr>
        <w:snapToGrid w:val="0"/>
        <w:ind w:firstLine="480"/>
        <w:rPr>
          <w:rFonts w:ascii="仿宋" w:hAnsi="仿宋" w:eastAsia="仿宋" w:cs="Arial Narrow"/>
          <w:highlight w:val="yellow"/>
        </w:rPr>
      </w:pPr>
      <w:r>
        <w:rPr>
          <w:rFonts w:hint="eastAsia" w:ascii="仿宋" w:hAnsi="仿宋" w:eastAsia="仿宋" w:cs="Arial Narrow"/>
        </w:rPr>
        <w:t>①实际完成率（7分），是指项目实施的实际产出数与计划产出数的比率，用以反映和考核项目产出数量目标的实现程度，项目实施的完成率为100%。</w:t>
      </w:r>
      <w:r>
        <w:rPr>
          <w:rFonts w:ascii="仿宋" w:hAnsi="仿宋" w:eastAsia="仿宋" w:cs="Arial Narrow"/>
        </w:rPr>
        <w:t xml:space="preserve"> </w:t>
      </w:r>
    </w:p>
    <w:p w14:paraId="2E57A260">
      <w:pPr>
        <w:snapToGrid w:val="0"/>
        <w:ind w:firstLine="480"/>
        <w:rPr>
          <w:rFonts w:ascii="仿宋" w:hAnsi="仿宋" w:eastAsia="仿宋" w:cs="Arial Narrow"/>
        </w:rPr>
      </w:pPr>
      <w:r>
        <w:rPr>
          <w:rFonts w:hint="eastAsia" w:ascii="仿宋" w:hAnsi="仿宋" w:eastAsia="仿宋" w:cs="Arial Narrow"/>
        </w:rPr>
        <w:t>②完成及时率（7分），是指项目实际提前完成时间与计划完成时间的比率，用以反映和考核项目产出时效目标的实现程度。是指项目实际提前完成时间与计划完成时间的比率，用以反映和考核项目产出时效目标的实现程度。完成及时率，是指项目实际完成时间与计划完成时间的比率，用以反映和考核项目产出时效目标的实现程度。评价小组根据查阅资料得知，项目实施单位计划完成时间为1年，实际完成时间为1年，完成及时率为100%，项目在规定时间基本完成。</w:t>
      </w:r>
    </w:p>
    <w:p w14:paraId="79519C7E">
      <w:pPr>
        <w:snapToGrid w:val="0"/>
        <w:ind w:firstLine="480"/>
        <w:rPr>
          <w:rFonts w:ascii="仿宋" w:hAnsi="仿宋" w:eastAsia="仿宋" w:cs="Arial Narrow"/>
        </w:rPr>
      </w:pPr>
      <w:r>
        <w:rPr>
          <w:rFonts w:hint="eastAsia" w:ascii="仿宋" w:hAnsi="仿宋" w:eastAsia="仿宋" w:cs="Arial Narrow"/>
        </w:rPr>
        <w:t>③质量达标率（7分），是指项目完成的质量达标产出数与实际产出数的比率，用以反映和考核项目产出质量目标的实现程度。</w:t>
      </w:r>
    </w:p>
    <w:p w14:paraId="0F15F1B2">
      <w:pPr>
        <w:snapToGrid w:val="0"/>
        <w:ind w:firstLine="480"/>
        <w:rPr>
          <w:rFonts w:ascii="仿宋" w:hAnsi="仿宋" w:eastAsia="仿宋" w:cs="Arial Narrow"/>
        </w:rPr>
      </w:pPr>
      <w:r>
        <w:rPr>
          <w:rFonts w:hint="eastAsia" w:ascii="仿宋" w:hAnsi="仿宋" w:eastAsia="仿宋" w:cs="Arial Narrow"/>
        </w:rPr>
        <w:t>④资金使用率（7分），是指项目实际支出与项目到位资金的比率，用以反映和考核项目资金使用情况。通过查看项目预算批复文件和支出明细表以及记账凭证得知，该项目到位资金为500，000.00元，实际支出为</w:t>
      </w:r>
      <w:r>
        <w:rPr>
          <w:rFonts w:ascii="仿宋" w:hAnsi="仿宋" w:eastAsia="仿宋" w:cs="Arial Narrow"/>
        </w:rPr>
        <w:t>222,714.20</w:t>
      </w:r>
      <w:r>
        <w:rPr>
          <w:rFonts w:hint="eastAsia" w:ascii="仿宋" w:hAnsi="仿宋" w:eastAsia="仿宋" w:cs="Arial Narrow"/>
        </w:rPr>
        <w:t>元，资金使用率为44.54%。资金使用率偏低，扣4分。</w:t>
      </w:r>
    </w:p>
    <w:p w14:paraId="1C1AE1D1">
      <w:pPr>
        <w:pStyle w:val="4"/>
        <w:rPr>
          <w:rFonts w:ascii="仿宋" w:hAnsi="仿宋" w:eastAsia="仿宋" w:cs="Arial Narrow"/>
        </w:rPr>
      </w:pPr>
      <w:bookmarkStart w:id="68" w:name="_Toc15732379"/>
      <w:r>
        <w:rPr>
          <w:rFonts w:hint="eastAsia" w:ascii="仿宋" w:hAnsi="仿宋" w:eastAsia="仿宋" w:cs="Arial Narrow"/>
        </w:rPr>
        <w:t>4、项目效果（32分）</w:t>
      </w:r>
      <w:bookmarkEnd w:id="68"/>
    </w:p>
    <w:p w14:paraId="390B20E8">
      <w:pPr>
        <w:snapToGrid w:val="0"/>
        <w:ind w:firstLine="480"/>
        <w:rPr>
          <w:rFonts w:ascii="仿宋" w:hAnsi="仿宋" w:eastAsia="仿宋" w:cs="Arial Narrow"/>
        </w:rPr>
      </w:pPr>
      <w:r>
        <w:rPr>
          <w:rFonts w:hint="eastAsia" w:ascii="仿宋" w:hAnsi="仿宋" w:eastAsia="仿宋" w:cs="Arial Narrow"/>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查看了项目实施单位的绩效报告，采集相关信息，对项目效果涉及的指标进行打分和评价。</w:t>
      </w:r>
    </w:p>
    <w:p w14:paraId="7BDE3B7E">
      <w:pPr>
        <w:snapToGrid w:val="0"/>
        <w:ind w:firstLine="480"/>
        <w:rPr>
          <w:rFonts w:ascii="仿宋" w:hAnsi="仿宋" w:eastAsia="仿宋" w:cs="Arial Narrow"/>
        </w:rPr>
      </w:pPr>
      <w:r>
        <w:rPr>
          <w:rFonts w:hint="eastAsia" w:ascii="仿宋" w:hAnsi="仿宋" w:eastAsia="仿宋" w:cs="Arial Narrow"/>
        </w:rPr>
        <w:t>经过综合计分，该指标得分为28分，评价结果为良。</w:t>
      </w:r>
    </w:p>
    <w:p w14:paraId="15895AFD">
      <w:pPr>
        <w:snapToGrid w:val="0"/>
        <w:ind w:firstLine="480"/>
        <w:rPr>
          <w:rFonts w:ascii="仿宋" w:hAnsi="仿宋" w:eastAsia="仿宋" w:cs="Arial Narrow"/>
        </w:rPr>
      </w:pPr>
      <w:r>
        <w:rPr>
          <w:rFonts w:hint="eastAsia" w:ascii="仿宋" w:hAnsi="仿宋" w:eastAsia="仿宋" w:cs="Arial Narrow"/>
        </w:rPr>
        <w:t>（1）数量指标（8分）</w:t>
      </w:r>
    </w:p>
    <w:p w14:paraId="54AFD060">
      <w:pPr>
        <w:snapToGrid w:val="0"/>
        <w:ind w:firstLine="480"/>
        <w:rPr>
          <w:rFonts w:ascii="仿宋" w:hAnsi="仿宋" w:eastAsia="仿宋" w:cs="Arial Narrow"/>
        </w:rPr>
      </w:pPr>
      <w:r>
        <w:rPr>
          <w:rFonts w:hint="eastAsia" w:ascii="仿宋" w:hAnsi="仿宋" w:eastAsia="仿宋" w:cs="Arial Narrow"/>
        </w:rPr>
        <w:t>①推进招商增长率，是指项目实施后，项目实施单位本年度实际招商数量占计划招商数量比率，用以反映和考核推进招商增长率。评价小组根据查阅资料得知，招商引资实际到资额年度目标58亿元，完成59亿元，已完成年度目标（101.7%）。招商引资协议签约额年度目标260亿元，拼搏目标325亿元，完成499.4亿元，已完成年度目标（192.1%）和拼搏目标（153.7%）。</w:t>
      </w:r>
    </w:p>
    <w:p w14:paraId="1666ABCC">
      <w:pPr>
        <w:snapToGrid w:val="0"/>
        <w:ind w:firstLine="480"/>
        <w:rPr>
          <w:rFonts w:ascii="仿宋" w:hAnsi="仿宋" w:eastAsia="仿宋" w:cs="Arial Narrow"/>
        </w:rPr>
      </w:pPr>
      <w:r>
        <w:rPr>
          <w:rFonts w:hint="eastAsia" w:ascii="仿宋" w:hAnsi="仿宋" w:eastAsia="仿宋" w:cs="Arial Narrow"/>
        </w:rPr>
        <w:t>②党建信息广泛度，是指项目实施后，项目实施单位服务对象党建信息普及范围是否提升。把加强党建工作贯穿到招商引资、项目建设全过程，突出基层党组织战斗堡垒和党员先锋模范作用。推动“两新组织”党建工作，实现了非公企业党建全覆盖。党建信息广泛度良好。</w:t>
      </w:r>
    </w:p>
    <w:p w14:paraId="4A1E48A8">
      <w:pPr>
        <w:snapToGrid w:val="0"/>
        <w:ind w:firstLine="480"/>
        <w:rPr>
          <w:rFonts w:ascii="仿宋" w:hAnsi="仿宋" w:eastAsia="仿宋" w:cs="Arial Narrow"/>
        </w:rPr>
      </w:pPr>
      <w:r>
        <w:rPr>
          <w:rFonts w:hint="eastAsia" w:ascii="仿宋" w:hAnsi="仿宋" w:eastAsia="仿宋" w:cs="Arial Narrow"/>
        </w:rPr>
        <w:t>数量指标已经基本达标。但无法量化评价，扣2分。</w:t>
      </w:r>
    </w:p>
    <w:p w14:paraId="07262F86">
      <w:pPr>
        <w:snapToGrid w:val="0"/>
        <w:ind w:firstLine="480"/>
        <w:rPr>
          <w:rFonts w:ascii="仿宋" w:hAnsi="仿宋" w:eastAsia="仿宋" w:cs="Arial Narrow"/>
        </w:rPr>
      </w:pPr>
      <w:r>
        <w:rPr>
          <w:rFonts w:hint="eastAsia" w:ascii="仿宋" w:hAnsi="仿宋" w:eastAsia="仿宋" w:cs="Arial Narrow"/>
        </w:rPr>
        <w:t>（2）质量指标（6分）</w:t>
      </w:r>
    </w:p>
    <w:p w14:paraId="01E0A31F">
      <w:pPr>
        <w:snapToGrid w:val="0"/>
        <w:ind w:firstLine="480"/>
        <w:rPr>
          <w:rFonts w:ascii="仿宋" w:hAnsi="仿宋" w:eastAsia="仿宋" w:cs="Arial Narrow"/>
        </w:rPr>
      </w:pPr>
      <w:r>
        <w:rPr>
          <w:rFonts w:hint="eastAsia" w:ascii="仿宋" w:hAnsi="仿宋" w:eastAsia="仿宋" w:cs="Arial Narrow"/>
        </w:rPr>
        <w:t xml:space="preserve"> “双招双引”取得成效。累计签署投资（合作）协议项目10个，总投资额499.4亿元。会同武汉新能源汽车工业技术研究、中建三局绿色产业投资有限公司引进两院院士3名，英国皇家工程院院士1名。积极参加“长风计划”高层次人才对接会、全英学联高层次人才江城行活动、环渤海高端人才专场对接会等各项活动，大力推进了大学生安居工程，计6分。</w:t>
      </w:r>
    </w:p>
    <w:p w14:paraId="31D8FFC6">
      <w:pPr>
        <w:snapToGrid w:val="0"/>
        <w:ind w:firstLine="480"/>
        <w:rPr>
          <w:rFonts w:ascii="仿宋" w:hAnsi="仿宋" w:eastAsia="仿宋" w:cs="Arial Narrow"/>
        </w:rPr>
      </w:pPr>
      <w:r>
        <w:rPr>
          <w:rFonts w:hint="eastAsia" w:ascii="仿宋" w:hAnsi="仿宋" w:eastAsia="仿宋" w:cs="Arial Narrow"/>
        </w:rPr>
        <w:t>（3）社会公众响应度（6分），是指项目在对外进行宣传以后，是否得到了社会公众的积极响应，包括企业及个体户等对园区的关注度，用以反映和考核园区的宣传质量。广告投放以后的效果良好，园区受到了多方关注，宣传得到了积极的响应，有多家以上的内资企业与园区签约，计5分。</w:t>
      </w:r>
    </w:p>
    <w:p w14:paraId="4298F1F3">
      <w:pPr>
        <w:snapToGrid w:val="0"/>
        <w:ind w:firstLine="480"/>
        <w:rPr>
          <w:rFonts w:ascii="仿宋" w:hAnsi="仿宋" w:eastAsia="仿宋" w:cs="Arial Narrow"/>
        </w:rPr>
      </w:pPr>
      <w:r>
        <w:rPr>
          <w:rFonts w:hint="eastAsia" w:ascii="仿宋" w:hAnsi="仿宋" w:eastAsia="仿宋" w:cs="Arial Narrow"/>
        </w:rPr>
        <w:t>（4）可持续影响性（6分），是指项目实施单位是否有充足的人员配置，用以保障和支持项目的长期运行，用以反映和考核项目的可持续性。评价小组通过查阅《智慧生态城管理办公室关于调整组织构架和工作人员分工的通知》和现场访谈了解到，项目实施单位已经配备充足的人员，并对项目进行后续跟踪监督，计6分。</w:t>
      </w:r>
    </w:p>
    <w:p w14:paraId="11A2A02A">
      <w:pPr>
        <w:snapToGrid w:val="0"/>
        <w:ind w:firstLine="480"/>
        <w:rPr>
          <w:rFonts w:ascii="仿宋" w:hAnsi="仿宋" w:eastAsia="仿宋" w:cs="Arial Narrow"/>
        </w:rPr>
      </w:pPr>
      <w:r>
        <w:rPr>
          <w:rFonts w:hint="eastAsia" w:ascii="仿宋" w:hAnsi="仿宋" w:eastAsia="仿宋" w:cs="Arial Narrow"/>
        </w:rPr>
        <w:t>（5）服务对象满意度（6分），</w:t>
      </w:r>
      <w:bookmarkEnd w:id="60"/>
      <w:bookmarkEnd w:id="61"/>
      <w:bookmarkEnd w:id="62"/>
      <w:bookmarkEnd w:id="63"/>
      <w:bookmarkEnd w:id="64"/>
      <w:bookmarkStart w:id="69" w:name="_Toc387957826"/>
      <w:bookmarkStart w:id="70" w:name="_Toc361304701"/>
      <w:bookmarkStart w:id="71" w:name="_Toc361302038"/>
      <w:bookmarkStart w:id="72" w:name="_Toc17932"/>
      <w:bookmarkStart w:id="73" w:name="_Toc406666377"/>
      <w:bookmarkStart w:id="74" w:name="_Toc406668051"/>
      <w:bookmarkStart w:id="75" w:name="_Toc14165738"/>
      <w:r>
        <w:rPr>
          <w:rFonts w:ascii="仿宋" w:hAnsi="仿宋" w:eastAsia="仿宋" w:cs="Arial Narrow"/>
        </w:rPr>
        <w:t>是指服务对象对项目实施效果的满意程度。评价小组共发放了20份调查问卷，其中满意为19份，服务对象满意度为9</w:t>
      </w:r>
      <w:r>
        <w:rPr>
          <w:rFonts w:hint="eastAsia" w:ascii="仿宋" w:hAnsi="仿宋" w:eastAsia="仿宋" w:cs="Arial Narrow"/>
        </w:rPr>
        <w:t>5</w:t>
      </w:r>
      <w:r>
        <w:rPr>
          <w:rFonts w:ascii="仿宋" w:hAnsi="仿宋" w:eastAsia="仿宋" w:cs="Arial Narrow"/>
        </w:rPr>
        <w:t>%，满意度较高</w:t>
      </w:r>
      <w:r>
        <w:rPr>
          <w:rFonts w:hint="eastAsia" w:ascii="仿宋" w:hAnsi="仿宋" w:eastAsia="仿宋" w:cs="Arial Narrow"/>
        </w:rPr>
        <w:t>，</w:t>
      </w:r>
      <w:r>
        <w:rPr>
          <w:rFonts w:ascii="仿宋" w:hAnsi="仿宋" w:eastAsia="仿宋" w:cs="Arial Narrow"/>
        </w:rPr>
        <w:t>计</w:t>
      </w:r>
      <w:r>
        <w:rPr>
          <w:rFonts w:hint="eastAsia" w:ascii="仿宋" w:hAnsi="仿宋" w:eastAsia="仿宋" w:cs="Arial Narrow"/>
        </w:rPr>
        <w:t>5分。</w:t>
      </w:r>
    </w:p>
    <w:p w14:paraId="60298703">
      <w:pPr>
        <w:pStyle w:val="3"/>
        <w:spacing w:before="0" w:after="0" w:line="360" w:lineRule="auto"/>
        <w:ind w:firstLine="0" w:firstLineChars="0"/>
        <w:rPr>
          <w:rFonts w:ascii="仿宋" w:hAnsi="仿宋" w:eastAsia="仿宋" w:cs="Arial Narrow"/>
          <w:sz w:val="24"/>
        </w:rPr>
      </w:pPr>
      <w:bookmarkStart w:id="76" w:name="_Toc15732380"/>
      <w:r>
        <w:rPr>
          <w:rFonts w:hint="eastAsia" w:ascii="仿宋" w:hAnsi="仿宋" w:eastAsia="仿宋" w:cs="Arial Narrow"/>
          <w:sz w:val="24"/>
        </w:rPr>
        <w:t>（二）</w:t>
      </w:r>
      <w:r>
        <w:rPr>
          <w:rFonts w:ascii="仿宋" w:hAnsi="仿宋" w:eastAsia="仿宋" w:cs="Arial Narrow"/>
          <w:sz w:val="24"/>
        </w:rPr>
        <w:t>评价结论</w:t>
      </w:r>
      <w:bookmarkEnd w:id="69"/>
      <w:bookmarkEnd w:id="70"/>
      <w:bookmarkEnd w:id="71"/>
      <w:bookmarkEnd w:id="72"/>
      <w:bookmarkEnd w:id="73"/>
      <w:bookmarkEnd w:id="74"/>
      <w:bookmarkEnd w:id="75"/>
      <w:bookmarkEnd w:id="76"/>
      <w:bookmarkStart w:id="77" w:name="_Toc361304702"/>
      <w:bookmarkStart w:id="78" w:name="_Toc361302039"/>
    </w:p>
    <w:bookmarkEnd w:id="77"/>
    <w:bookmarkEnd w:id="78"/>
    <w:p w14:paraId="5963346F">
      <w:pPr>
        <w:snapToGrid w:val="0"/>
        <w:ind w:firstLine="480"/>
        <w:rPr>
          <w:rFonts w:ascii="仿宋" w:hAnsi="仿宋" w:eastAsia="仿宋" w:cs="Arial Narrow"/>
          <w:bCs/>
        </w:rPr>
      </w:pPr>
      <w:r>
        <w:rPr>
          <w:rFonts w:ascii="仿宋" w:hAnsi="仿宋" w:eastAsia="仿宋" w:cs="Arial Narrow"/>
          <w:bCs/>
        </w:rPr>
        <w:t>1</w:t>
      </w:r>
      <w:r>
        <w:rPr>
          <w:rFonts w:hint="eastAsia" w:ascii="仿宋" w:hAnsi="仿宋" w:eastAsia="仿宋" w:cs="Arial Narrow"/>
          <w:bCs/>
        </w:rPr>
        <w:t>、</w:t>
      </w:r>
      <w:r>
        <w:rPr>
          <w:rFonts w:ascii="仿宋" w:hAnsi="仿宋" w:eastAsia="仿宋" w:cs="Arial Narrow"/>
          <w:bCs/>
        </w:rPr>
        <w:t>评分结果</w:t>
      </w:r>
    </w:p>
    <w:p w14:paraId="7E72366F">
      <w:pPr>
        <w:snapToGrid w:val="0"/>
        <w:ind w:firstLine="480"/>
        <w:rPr>
          <w:rFonts w:ascii="仿宋" w:hAnsi="仿宋" w:eastAsia="仿宋" w:cs="Arial Narrow"/>
        </w:rPr>
      </w:pPr>
      <w:bookmarkStart w:id="79" w:name="_Toc406668054"/>
      <w:bookmarkStart w:id="80" w:name="_Toc406666380"/>
      <w:bookmarkStart w:id="81" w:name="_Toc361304705"/>
      <w:bookmarkStart w:id="82" w:name="_Toc387957829"/>
      <w:r>
        <w:rPr>
          <w:rFonts w:hint="eastAsia" w:ascii="仿宋" w:hAnsi="仿宋" w:eastAsia="仿宋" w:cs="Arial Narrow"/>
        </w:rPr>
        <w:t>武汉经济技术开发区智慧生态城管理办公室“宣传经费”项目绩效评价综合得分为92分，评价结果为优。</w:t>
      </w:r>
    </w:p>
    <w:p w14:paraId="5900CAD3">
      <w:pPr>
        <w:snapToGrid w:val="0"/>
        <w:ind w:firstLine="480"/>
        <w:rPr>
          <w:rFonts w:ascii="仿宋" w:hAnsi="仿宋" w:eastAsia="仿宋" w:cs="Arial Narrow"/>
          <w:bCs/>
        </w:rPr>
      </w:pPr>
      <w:r>
        <w:rPr>
          <w:rFonts w:hint="eastAsia" w:ascii="仿宋" w:hAnsi="仿宋" w:eastAsia="仿宋" w:cs="Arial Narrow"/>
          <w:bCs/>
        </w:rPr>
        <w:t>2、主要结论</w:t>
      </w:r>
    </w:p>
    <w:p w14:paraId="3A480EA4">
      <w:pPr>
        <w:snapToGrid w:val="0"/>
        <w:ind w:firstLine="480"/>
        <w:rPr>
          <w:rFonts w:ascii="仿宋" w:hAnsi="仿宋" w:eastAsia="仿宋" w:cs="Arial Narrow"/>
          <w:bCs/>
        </w:rPr>
      </w:pPr>
      <w:bookmarkStart w:id="83" w:name="_Toc14373"/>
      <w:bookmarkStart w:id="84" w:name="_Toc14165739"/>
      <w:r>
        <w:rPr>
          <w:rFonts w:hint="eastAsia" w:ascii="仿宋" w:hAnsi="仿宋" w:eastAsia="仿宋" w:cs="Arial Narrow"/>
          <w:bCs/>
        </w:rPr>
        <w:t>按照年度工作安排要求，</w:t>
      </w:r>
      <w:r>
        <w:rPr>
          <w:rFonts w:hint="eastAsia" w:ascii="仿宋" w:hAnsi="仿宋" w:eastAsia="仿宋" w:cs="Arial Narrow"/>
        </w:rPr>
        <w:t>宣传经费</w:t>
      </w:r>
      <w:r>
        <w:rPr>
          <w:rFonts w:hint="eastAsia" w:ascii="仿宋" w:hAnsi="仿宋" w:eastAsia="仿宋" w:cs="Arial Narrow"/>
          <w:bCs/>
        </w:rPr>
        <w:t>专项绩效已按要求的时间节点展开工作。</w:t>
      </w:r>
    </w:p>
    <w:p w14:paraId="456B357E">
      <w:pPr>
        <w:pStyle w:val="2"/>
        <w:rPr>
          <w:rFonts w:ascii="仿宋" w:hAnsi="仿宋" w:eastAsia="仿宋" w:cs="Arial Narrow"/>
          <w:b w:val="0"/>
        </w:rPr>
      </w:pPr>
      <w:bookmarkStart w:id="85" w:name="_Toc15732381"/>
      <w:r>
        <w:rPr>
          <w:rFonts w:hint="eastAsia" w:ascii="仿宋" w:hAnsi="仿宋" w:eastAsia="仿宋" w:cs="Arial Narrow"/>
          <w:sz w:val="24"/>
        </w:rPr>
        <w:t>四</w:t>
      </w:r>
      <w:r>
        <w:rPr>
          <w:rFonts w:ascii="仿宋" w:hAnsi="仿宋" w:eastAsia="仿宋" w:cs="Arial Narrow"/>
          <w:sz w:val="24"/>
        </w:rPr>
        <w:t>、</w:t>
      </w:r>
      <w:bookmarkEnd w:id="79"/>
      <w:bookmarkEnd w:id="80"/>
      <w:bookmarkEnd w:id="81"/>
      <w:bookmarkEnd w:id="82"/>
      <w:r>
        <w:rPr>
          <w:rFonts w:ascii="仿宋" w:hAnsi="仿宋" w:eastAsia="仿宋" w:cs="Arial Narrow"/>
          <w:sz w:val="24"/>
        </w:rPr>
        <w:t>主要</w:t>
      </w:r>
      <w:r>
        <w:rPr>
          <w:rFonts w:hint="eastAsia" w:ascii="仿宋" w:hAnsi="仿宋" w:eastAsia="仿宋" w:cs="Arial Narrow"/>
          <w:sz w:val="24"/>
        </w:rPr>
        <w:t>经验</w:t>
      </w:r>
      <w:r>
        <w:rPr>
          <w:rFonts w:ascii="仿宋" w:hAnsi="仿宋" w:eastAsia="仿宋" w:cs="Arial Narrow"/>
          <w:sz w:val="24"/>
        </w:rPr>
        <w:t>及做法、存在的问题和建议</w:t>
      </w:r>
      <w:bookmarkEnd w:id="83"/>
      <w:bookmarkEnd w:id="84"/>
      <w:bookmarkEnd w:id="85"/>
    </w:p>
    <w:p w14:paraId="4F4F6EED">
      <w:pPr>
        <w:pStyle w:val="4"/>
        <w:ind w:firstLine="480" w:firstLineChars="200"/>
        <w:rPr>
          <w:rFonts w:ascii="仿宋" w:hAnsi="仿宋" w:eastAsia="仿宋" w:cs="Arial Narrow"/>
          <w:b w:val="0"/>
          <w:bCs w:val="0"/>
        </w:rPr>
      </w:pPr>
      <w:bookmarkStart w:id="86" w:name="_Toc406668055"/>
      <w:bookmarkStart w:id="87" w:name="_Toc406666381"/>
      <w:bookmarkStart w:id="88" w:name="_Toc387957830"/>
      <w:bookmarkStart w:id="89" w:name="_Toc15732382"/>
      <w:bookmarkStart w:id="90" w:name="_Toc14165740"/>
      <w:bookmarkStart w:id="91" w:name="_Toc27928"/>
      <w:bookmarkStart w:id="92" w:name="_Toc361304706"/>
      <w:r>
        <w:rPr>
          <w:rFonts w:hint="eastAsia" w:ascii="仿宋" w:hAnsi="仿宋" w:eastAsia="仿宋" w:cs="Arial Narrow"/>
          <w:b w:val="0"/>
          <w:bCs w:val="0"/>
        </w:rPr>
        <w:t>（一）</w:t>
      </w:r>
      <w:r>
        <w:rPr>
          <w:rFonts w:ascii="仿宋" w:hAnsi="仿宋" w:eastAsia="仿宋" w:cs="Arial Narrow"/>
        </w:rPr>
        <w:t>主要经验及做法</w:t>
      </w:r>
      <w:bookmarkEnd w:id="86"/>
      <w:bookmarkEnd w:id="87"/>
      <w:bookmarkEnd w:id="88"/>
      <w:bookmarkEnd w:id="89"/>
      <w:bookmarkEnd w:id="90"/>
      <w:bookmarkEnd w:id="91"/>
      <w:bookmarkEnd w:id="92"/>
      <w:bookmarkStart w:id="93" w:name="_Toc406666382"/>
      <w:bookmarkStart w:id="94" w:name="_Toc16696"/>
      <w:bookmarkStart w:id="95" w:name="_Toc14165741"/>
      <w:bookmarkStart w:id="96" w:name="_Toc406668056"/>
      <w:bookmarkStart w:id="97" w:name="_Toc387957833"/>
    </w:p>
    <w:p w14:paraId="4315CF38">
      <w:pPr>
        <w:snapToGrid w:val="0"/>
        <w:ind w:firstLine="480"/>
        <w:rPr>
          <w:rFonts w:ascii="仿宋" w:hAnsi="仿宋" w:eastAsia="仿宋" w:cs="Arial Narrow"/>
        </w:rPr>
      </w:pPr>
      <w:r>
        <w:rPr>
          <w:rFonts w:hint="eastAsia" w:ascii="仿宋" w:hAnsi="仿宋" w:eastAsia="仿宋" w:cs="Arial Narrow"/>
        </w:rPr>
        <w:t>园区发展环境不断提升。加快推进园区内部基础设施建设，营造良好发展环境，园区已基本形成干支相连的骨干路网体系，水、电、气等市政公用及配套设施跟进建设，其中川江池一路、硃山路（通顺大道-两军西路）、汉洪东路（檀军公路-枫林七路）已达通车条件，川江池三路污水主管网、川江池路南明渠已完工。大力支持区城建城管环保工作，积极配合“四水共治”工作，做好生态文明建设，开展“清美喜”活动，完成园区新能源汽车充电桩建设前期工作，园区环境质量日益改善。</w:t>
      </w:r>
    </w:p>
    <w:p w14:paraId="09CBE446">
      <w:pPr>
        <w:pStyle w:val="4"/>
        <w:ind w:firstLine="480" w:firstLineChars="200"/>
      </w:pPr>
      <w:bookmarkStart w:id="98" w:name="_Toc15732383"/>
      <w:r>
        <w:rPr>
          <w:rFonts w:hint="eastAsia"/>
          <w:b w:val="0"/>
          <w:bCs w:val="0"/>
        </w:rPr>
        <w:t>（二）</w:t>
      </w:r>
      <w:r>
        <w:t>存在的问题</w:t>
      </w:r>
      <w:bookmarkEnd w:id="93"/>
      <w:bookmarkEnd w:id="94"/>
      <w:bookmarkEnd w:id="95"/>
      <w:bookmarkEnd w:id="96"/>
      <w:bookmarkEnd w:id="98"/>
    </w:p>
    <w:p w14:paraId="60494424">
      <w:pPr>
        <w:snapToGrid w:val="0"/>
        <w:ind w:firstLine="480"/>
        <w:rPr>
          <w:rFonts w:ascii="仿宋" w:hAnsi="仿宋" w:eastAsia="仿宋" w:cs="Arial Narrow"/>
        </w:rPr>
      </w:pPr>
      <w:bookmarkStart w:id="99" w:name="_Toc28128"/>
      <w:bookmarkStart w:id="100" w:name="_Toc14165742"/>
      <w:r>
        <w:rPr>
          <w:rFonts w:hint="eastAsia" w:ascii="仿宋" w:hAnsi="仿宋" w:eastAsia="仿宋" w:cs="Arial Narrow"/>
        </w:rPr>
        <w:t>项目资金使用率偏低。评价小组通过查阅资料和现场访谈了解到，项目计划使用资金500，000.00元，实际支出为222,714.20元，资金使用率为44.54%，资金使用率偏低。</w:t>
      </w:r>
    </w:p>
    <w:p w14:paraId="4E204BEE">
      <w:pPr>
        <w:pStyle w:val="4"/>
        <w:ind w:firstLine="480" w:firstLineChars="200"/>
        <w:rPr>
          <w:rFonts w:ascii="仿宋" w:hAnsi="仿宋" w:eastAsia="仿宋" w:cs="Arial Narrow"/>
        </w:rPr>
      </w:pPr>
      <w:bookmarkStart w:id="101" w:name="_Toc15732384"/>
      <w:r>
        <w:rPr>
          <w:rFonts w:hint="eastAsia" w:ascii="仿宋" w:hAnsi="仿宋" w:eastAsia="仿宋" w:cs="Arial Narrow"/>
          <w:b w:val="0"/>
          <w:bCs w:val="0"/>
        </w:rPr>
        <w:t>（三）</w:t>
      </w:r>
      <w:r>
        <w:rPr>
          <w:rFonts w:ascii="仿宋" w:hAnsi="仿宋" w:eastAsia="仿宋" w:cs="Arial Narrow"/>
        </w:rPr>
        <w:t>建议</w:t>
      </w:r>
      <w:bookmarkEnd w:id="97"/>
      <w:bookmarkEnd w:id="99"/>
      <w:bookmarkEnd w:id="100"/>
      <w:bookmarkEnd w:id="101"/>
      <w:bookmarkStart w:id="102" w:name="_Toc387957834"/>
    </w:p>
    <w:p w14:paraId="72036469">
      <w:pPr>
        <w:snapToGrid w:val="0"/>
        <w:ind w:firstLine="480"/>
        <w:rPr>
          <w:rFonts w:ascii="仿宋" w:hAnsi="仿宋" w:eastAsia="仿宋" w:cs="Arial Narrow"/>
        </w:rPr>
      </w:pPr>
      <w:bookmarkStart w:id="103" w:name="_Toc9981"/>
      <w:bookmarkStart w:id="104" w:name="_Toc14165743"/>
      <w:r>
        <w:rPr>
          <w:rFonts w:hint="eastAsia" w:ascii="仿宋" w:hAnsi="仿宋" w:eastAsia="仿宋" w:cs="Arial Narrow"/>
        </w:rPr>
        <w:t>提高预算执行率。在建立多渠道工作平台基础上，及时掌握项目落地发展动态，积极组织协调相关部门，做好协调配合，推进落实措施</w:t>
      </w:r>
      <w:bookmarkStart w:id="114" w:name="_GoBack"/>
      <w:bookmarkEnd w:id="114"/>
      <w:r>
        <w:rPr>
          <w:rFonts w:hint="eastAsia" w:ascii="仿宋" w:hAnsi="仿宋" w:eastAsia="仿宋" w:cs="Arial Narrow"/>
        </w:rPr>
        <w:t>、及时跟踪反馈，切实创造企业发展良好外部环境；对于宣传经费项目，由责任单位督促项目尽快实施，加快宣传经费的使用，提高宣传经费预算的资金执行率。</w:t>
      </w:r>
    </w:p>
    <w:p w14:paraId="2E113407">
      <w:pPr>
        <w:pStyle w:val="2"/>
        <w:rPr>
          <w:rFonts w:ascii="仿宋" w:hAnsi="仿宋" w:eastAsia="仿宋" w:cs="Arial Narrow"/>
          <w:sz w:val="24"/>
        </w:rPr>
      </w:pPr>
      <w:bookmarkStart w:id="105" w:name="_Toc15732385"/>
      <w:r>
        <w:rPr>
          <w:rFonts w:hint="eastAsia" w:ascii="仿宋" w:hAnsi="仿宋" w:eastAsia="仿宋" w:cs="Arial Narrow"/>
          <w:sz w:val="24"/>
        </w:rPr>
        <w:t>五</w:t>
      </w:r>
      <w:r>
        <w:rPr>
          <w:rFonts w:ascii="仿宋" w:hAnsi="仿宋" w:eastAsia="仿宋" w:cs="Arial Narrow"/>
          <w:sz w:val="24"/>
        </w:rPr>
        <w:t>、其他需说明的问题</w:t>
      </w:r>
      <w:bookmarkEnd w:id="103"/>
      <w:bookmarkEnd w:id="104"/>
      <w:bookmarkEnd w:id="105"/>
    </w:p>
    <w:bookmarkEnd w:id="102"/>
    <w:p w14:paraId="3E7308D3">
      <w:pPr>
        <w:snapToGrid w:val="0"/>
        <w:ind w:firstLine="482"/>
        <w:outlineLvl w:val="1"/>
        <w:rPr>
          <w:rFonts w:ascii="仿宋" w:hAnsi="仿宋" w:eastAsia="仿宋" w:cs="Arial Narrow"/>
          <w:b/>
        </w:rPr>
      </w:pPr>
      <w:bookmarkStart w:id="106" w:name="_Toc14165744"/>
      <w:bookmarkStart w:id="107" w:name="_Toc15732386"/>
      <w:bookmarkStart w:id="108" w:name="_Toc387957836"/>
      <w:bookmarkStart w:id="109" w:name="_Toc406668061"/>
      <w:bookmarkStart w:id="110" w:name="_Toc406666387"/>
      <w:bookmarkStart w:id="111" w:name="_Toc5673"/>
      <w:r>
        <w:rPr>
          <w:rFonts w:hint="eastAsia" w:ascii="仿宋" w:hAnsi="仿宋" w:eastAsia="仿宋" w:cs="Arial Narrow"/>
          <w:b/>
        </w:rPr>
        <w:t>（一）关于评价责任的说明</w:t>
      </w:r>
      <w:bookmarkEnd w:id="106"/>
      <w:bookmarkEnd w:id="107"/>
    </w:p>
    <w:p w14:paraId="2C351EFB">
      <w:pPr>
        <w:snapToGrid w:val="0"/>
        <w:ind w:firstLine="480"/>
        <w:rPr>
          <w:rFonts w:ascii="仿宋" w:hAnsi="仿宋" w:eastAsia="仿宋" w:cs="Arial Narrow"/>
        </w:rPr>
      </w:pPr>
      <w:r>
        <w:rPr>
          <w:rFonts w:hint="eastAsia" w:ascii="仿宋" w:hAnsi="仿宋" w:eastAsia="仿宋"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14:paraId="0E56CB15">
      <w:pPr>
        <w:snapToGrid w:val="0"/>
        <w:ind w:firstLine="482"/>
        <w:outlineLvl w:val="1"/>
        <w:rPr>
          <w:rFonts w:ascii="仿宋" w:hAnsi="仿宋" w:eastAsia="仿宋" w:cs="Arial Narrow"/>
          <w:b/>
        </w:rPr>
      </w:pPr>
      <w:bookmarkStart w:id="112" w:name="_Toc15732387"/>
      <w:bookmarkStart w:id="113" w:name="_Toc14165745"/>
      <w:r>
        <w:rPr>
          <w:rFonts w:hint="eastAsia" w:ascii="仿宋" w:hAnsi="仿宋" w:eastAsia="仿宋" w:cs="Arial Narrow"/>
          <w:b/>
        </w:rPr>
        <w:t>（二）关于本项目评价中存在的局限性的说明</w:t>
      </w:r>
      <w:bookmarkEnd w:id="112"/>
      <w:bookmarkEnd w:id="113"/>
    </w:p>
    <w:p w14:paraId="202A4EBC">
      <w:pPr>
        <w:snapToGrid w:val="0"/>
        <w:ind w:firstLine="480"/>
        <w:rPr>
          <w:rFonts w:ascii="仿宋" w:hAnsi="仿宋" w:eastAsia="仿宋" w:cs="Arial Narrow"/>
        </w:rPr>
      </w:pPr>
      <w:r>
        <w:rPr>
          <w:rFonts w:hint="eastAsia" w:ascii="仿宋" w:hAnsi="仿宋" w:eastAsia="仿宋" w:cs="Arial Narrow"/>
        </w:rPr>
        <w:t>1、评价结论是湖北正大会计师事务有限责任公司出具的，受具体参加本次项目的评价人员的水平和能力的限制。鉴于这种评价工作存在资料的有限性和调查、分析、判断的局限性，评价结论无法考虑影响资金使用的所有因素，评价结论存在一定的局限性。</w:t>
      </w:r>
    </w:p>
    <w:p w14:paraId="6982B7F2">
      <w:pPr>
        <w:snapToGrid w:val="0"/>
        <w:ind w:firstLine="480"/>
        <w:rPr>
          <w:rFonts w:ascii="仿宋" w:hAnsi="仿宋" w:eastAsia="仿宋" w:cs="Arial Narrow"/>
        </w:rPr>
      </w:pPr>
      <w:r>
        <w:rPr>
          <w:rFonts w:hint="eastAsia" w:ascii="仿宋" w:hAnsi="仿宋" w:eastAsia="仿宋" w:cs="Arial Narrow"/>
        </w:rPr>
        <w:t>2、本项目是经常性的资金使用项目，而且专业性较强。受具体参加本次项目的评价人员的专业能力的影响，对专业指标设定的全面性可能存在一定的局限性。</w:t>
      </w:r>
    </w:p>
    <w:p w14:paraId="2FE9CC2D">
      <w:pPr>
        <w:snapToGrid w:val="0"/>
        <w:ind w:firstLine="480"/>
        <w:rPr>
          <w:rFonts w:ascii="仿宋" w:hAnsi="仿宋" w:eastAsia="仿宋" w:cs="Arial Narrow"/>
        </w:rPr>
      </w:pPr>
    </w:p>
    <w:p w14:paraId="6E20E313">
      <w:pPr>
        <w:snapToGrid w:val="0"/>
        <w:ind w:firstLine="482"/>
        <w:rPr>
          <w:rFonts w:ascii="仿宋" w:hAnsi="仿宋" w:eastAsia="仿宋" w:cs="Arial Narrow"/>
          <w:b/>
          <w:bCs/>
        </w:rPr>
      </w:pPr>
    </w:p>
    <w:p w14:paraId="6E48D08D">
      <w:pPr>
        <w:snapToGrid w:val="0"/>
        <w:ind w:firstLine="0" w:firstLineChars="0"/>
        <w:rPr>
          <w:rFonts w:ascii="仿宋" w:hAnsi="仿宋" w:eastAsia="仿宋" w:cs="Arial Narrow"/>
        </w:rPr>
      </w:pPr>
      <w:r>
        <w:rPr>
          <w:rFonts w:ascii="仿宋" w:hAnsi="仿宋" w:eastAsia="仿宋" w:cs="Arial Narrow"/>
          <w:b/>
          <w:bCs/>
        </w:rPr>
        <w:t>附件</w:t>
      </w:r>
      <w:bookmarkEnd w:id="108"/>
      <w:r>
        <w:rPr>
          <w:rFonts w:ascii="仿宋" w:hAnsi="仿宋" w:eastAsia="仿宋" w:cs="Arial Narrow"/>
          <w:b/>
          <w:bCs/>
        </w:rPr>
        <w:t>：</w:t>
      </w:r>
      <w:bookmarkEnd w:id="109"/>
      <w:bookmarkEnd w:id="110"/>
      <w:bookmarkEnd w:id="111"/>
    </w:p>
    <w:p w14:paraId="78C9A879">
      <w:pPr>
        <w:snapToGrid w:val="0"/>
        <w:ind w:firstLine="480"/>
        <w:rPr>
          <w:rFonts w:ascii="仿宋" w:hAnsi="仿宋" w:eastAsia="仿宋" w:cs="Arial Narrow"/>
        </w:rPr>
      </w:pPr>
      <w:r>
        <w:rPr>
          <w:rFonts w:ascii="仿宋" w:hAnsi="仿宋" w:eastAsia="仿宋" w:cs="Arial Narrow"/>
        </w:rPr>
        <w:t>1：项目绩效评价评分表</w:t>
      </w:r>
      <w:r>
        <w:rPr>
          <w:rFonts w:hint="eastAsia" w:ascii="仿宋" w:hAnsi="仿宋" w:eastAsia="仿宋" w:cs="Arial Narrow"/>
        </w:rPr>
        <w:t>及说明</w:t>
      </w:r>
    </w:p>
    <w:p w14:paraId="4F2408D7">
      <w:pPr>
        <w:snapToGrid w:val="0"/>
        <w:ind w:firstLine="480"/>
        <w:rPr>
          <w:rFonts w:ascii="仿宋" w:hAnsi="仿宋" w:eastAsia="仿宋" w:cs="Arial Narrow"/>
        </w:rPr>
      </w:pPr>
      <w:r>
        <w:rPr>
          <w:rFonts w:hint="eastAsia" w:ascii="仿宋" w:hAnsi="仿宋" w:eastAsia="仿宋" w:cs="Arial Narrow"/>
        </w:rPr>
        <w:t>2：评价机构营业执照（复印件）</w:t>
      </w:r>
    </w:p>
    <w:p w14:paraId="4533B38E">
      <w:pPr>
        <w:snapToGrid w:val="0"/>
        <w:ind w:firstLine="480"/>
        <w:rPr>
          <w:rFonts w:ascii="仿宋" w:hAnsi="仿宋" w:eastAsia="仿宋" w:cs="Arial Narrow"/>
        </w:rPr>
      </w:pPr>
      <w:r>
        <w:rPr>
          <w:rFonts w:hint="eastAsia" w:ascii="仿宋" w:hAnsi="仿宋" w:eastAsia="仿宋" w:cs="Arial Narrow"/>
        </w:rPr>
        <w:t>3：相关评价人员执业证明文件（复印件）</w:t>
      </w:r>
    </w:p>
    <w:p w14:paraId="35867579">
      <w:pPr>
        <w:snapToGrid w:val="0"/>
        <w:ind w:firstLine="480"/>
        <w:rPr>
          <w:rFonts w:ascii="仿宋" w:hAnsi="仿宋" w:eastAsia="仿宋" w:cs="Arial Narrow"/>
        </w:rPr>
      </w:pPr>
    </w:p>
    <w:p w14:paraId="1424CA58">
      <w:pPr>
        <w:snapToGrid w:val="0"/>
        <w:ind w:firstLine="480"/>
        <w:jc w:val="right"/>
        <w:rPr>
          <w:rFonts w:ascii="仿宋" w:hAnsi="仿宋" w:eastAsia="仿宋" w:cs="Arial Narrow"/>
        </w:rPr>
      </w:pPr>
      <w:r>
        <w:rPr>
          <w:rFonts w:hint="eastAsia" w:ascii="仿宋" w:hAnsi="仿宋" w:eastAsia="仿宋" w:cs="Arial Narrow"/>
        </w:rPr>
        <w:t>湖北正大会计师事务有限责任公司</w:t>
      </w:r>
    </w:p>
    <w:p w14:paraId="00675A62">
      <w:pPr>
        <w:snapToGrid w:val="0"/>
        <w:ind w:firstLine="6000" w:firstLineChars="2500"/>
        <w:rPr>
          <w:rFonts w:ascii="仿宋" w:hAnsi="仿宋" w:eastAsia="仿宋" w:cs="Arial Narrow"/>
        </w:rPr>
      </w:pPr>
      <w:r>
        <w:rPr>
          <w:rFonts w:hint="eastAsia" w:ascii="仿宋" w:hAnsi="仿宋" w:eastAsia="仿宋" w:cs="Arial Narrow"/>
        </w:rPr>
        <w:t>2019年7月30日</w:t>
      </w:r>
    </w:p>
    <w:sectPr>
      <w:headerReference r:id="rId11" w:type="default"/>
      <w:footerReference r:id="rId12" w:type="default"/>
      <w:pgSz w:w="11906" w:h="16838"/>
      <w:pgMar w:top="1440" w:right="1406" w:bottom="1089" w:left="1800" w:header="1134" w:footer="1134"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华文宋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FAD42">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8B8E2">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D823D">
    <w:pPr>
      <w:ind w:firstLine="480"/>
    </w:pPr>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2E44">
    <w:pPr>
      <w:pStyle w:val="13"/>
      <w:framePr w:wrap="around" w:vAnchor="text" w:hAnchor="margin" w:xAlign="center" w:y="1"/>
      <w:ind w:firstLine="210" w:firstLineChars="100"/>
      <w:jc w:val="center"/>
      <w:rPr>
        <w:rStyle w:val="25"/>
        <w:rFonts w:ascii="Arial Narrow" w:hAnsi="Arial Narrow" w:eastAsia="宋体"/>
        <w:sz w:val="21"/>
        <w:szCs w:val="21"/>
      </w:rPr>
    </w:pPr>
    <w:r>
      <w:rPr>
        <w:rFonts w:ascii="Arial Narrow" w:hAnsi="Arial Narrow"/>
        <w:sz w:val="21"/>
        <w:szCs w:val="21"/>
      </w:rPr>
      <w:fldChar w:fldCharType="begin"/>
    </w:r>
    <w:r>
      <w:rPr>
        <w:rFonts w:ascii="Arial Narrow" w:hAnsi="Arial Narrow"/>
        <w:sz w:val="21"/>
        <w:szCs w:val="21"/>
      </w:rPr>
      <w:instrText xml:space="preserve"> PAGE </w:instrText>
    </w:r>
    <w:r>
      <w:rPr>
        <w:rFonts w:ascii="Arial Narrow" w:hAnsi="Arial Narrow"/>
        <w:sz w:val="21"/>
        <w:szCs w:val="21"/>
      </w:rPr>
      <w:fldChar w:fldCharType="separate"/>
    </w:r>
    <w:r>
      <w:rPr>
        <w:rFonts w:ascii="Arial Narrow" w:hAnsi="Arial Narrow"/>
        <w:sz w:val="21"/>
        <w:szCs w:val="21"/>
      </w:rPr>
      <w:t>11</w:t>
    </w:r>
    <w:r>
      <w:rPr>
        <w:rFonts w:ascii="Arial Narrow" w:hAnsi="Arial Narrow"/>
        <w:sz w:val="21"/>
        <w:szCs w:val="21"/>
      </w:rPr>
      <w:fldChar w:fldCharType="end"/>
    </w:r>
  </w:p>
  <w:p w14:paraId="64870D39">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8F9A6">
    <w:pPr>
      <w:pStyle w:val="14"/>
      <w:pBdr>
        <w:bottom w:val="none" w:color="auto" w:sz="0" w:space="0"/>
      </w:pBdr>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9D41F">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9EA9E">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81BFF">
    <w:pPr>
      <w:pStyle w:val="14"/>
      <w:pBdr>
        <w:bottom w:val="none" w:color="auto" w:sz="0" w:space="0"/>
      </w:pBdr>
      <w:ind w:firstLine="0" w:firstLineChars="0"/>
      <w:jc w:val="both"/>
    </w:pPr>
    <w:r>
      <w:rPr>
        <w:rFonts w:ascii="Calibri" w:hAnsi="Calibri" w:eastAsia="黑体" w:cs="黑体"/>
        <w:b/>
        <w:sz w:val="14"/>
        <w:szCs w:val="14"/>
      </w:rPr>
      <w:pict>
        <v:rect id="文本框 26" o:spid="_x0000_s4097" o:spt="1" style="position:absolute;left:0pt;margin-left:359.05pt;margin-top:39.95pt;height:74.45pt;width:150.15pt;mso-position-horizontal-relative:page;mso-position-vertical-relative:page;z-index:251659264;mso-width-relative:page;mso-height-relative:page;" filled="f" stroked="f" coordsize="21600,21600">
          <v:path/>
          <v:fill on="f" focussize="0,0"/>
          <v:stroke on="f"/>
          <v:imagedata o:title=""/>
          <o:lock v:ext="edit"/>
          <v:textbox>
            <w:txbxContent>
              <w:p w14:paraId="10237E61">
                <w:pPr>
                  <w:ind w:firstLine="280"/>
                  <w:rPr>
                    <w:rFonts w:ascii="Arial Narrow" w:hAnsi="Arial Narrow" w:eastAsia="黑体" w:cs="Arial Narrow"/>
                    <w:sz w:val="14"/>
                    <w:szCs w:val="14"/>
                  </w:rPr>
                </w:pP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8481A"/>
    <w:multiLevelType w:val="multilevel"/>
    <w:tmpl w:val="79C8481A"/>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204"/>
  <w:displayHorizontalDrawingGridEvery w:val="0"/>
  <w:displayVerticalDrawingGridEvery w:val="2"/>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A69"/>
    <w:rsid w:val="000107B2"/>
    <w:rsid w:val="00011E0B"/>
    <w:rsid w:val="00012B09"/>
    <w:rsid w:val="00012B47"/>
    <w:rsid w:val="000147C2"/>
    <w:rsid w:val="000153F5"/>
    <w:rsid w:val="00016011"/>
    <w:rsid w:val="000225A4"/>
    <w:rsid w:val="000231B2"/>
    <w:rsid w:val="000235EA"/>
    <w:rsid w:val="0002369C"/>
    <w:rsid w:val="00027617"/>
    <w:rsid w:val="00030459"/>
    <w:rsid w:val="00034CB1"/>
    <w:rsid w:val="00037160"/>
    <w:rsid w:val="00037FDA"/>
    <w:rsid w:val="00041931"/>
    <w:rsid w:val="000435FD"/>
    <w:rsid w:val="000475B9"/>
    <w:rsid w:val="00051092"/>
    <w:rsid w:val="0005129C"/>
    <w:rsid w:val="0005263F"/>
    <w:rsid w:val="0005778D"/>
    <w:rsid w:val="000578E1"/>
    <w:rsid w:val="00057BBE"/>
    <w:rsid w:val="00060B99"/>
    <w:rsid w:val="00061329"/>
    <w:rsid w:val="000647BB"/>
    <w:rsid w:val="00065443"/>
    <w:rsid w:val="00070099"/>
    <w:rsid w:val="0007044D"/>
    <w:rsid w:val="00071B04"/>
    <w:rsid w:val="00071C74"/>
    <w:rsid w:val="00082AA1"/>
    <w:rsid w:val="000839C4"/>
    <w:rsid w:val="00083F0C"/>
    <w:rsid w:val="000850E9"/>
    <w:rsid w:val="000852E3"/>
    <w:rsid w:val="0008556C"/>
    <w:rsid w:val="00086B6B"/>
    <w:rsid w:val="00092652"/>
    <w:rsid w:val="00092834"/>
    <w:rsid w:val="00095860"/>
    <w:rsid w:val="00097F61"/>
    <w:rsid w:val="000A281C"/>
    <w:rsid w:val="000A2B58"/>
    <w:rsid w:val="000A38CF"/>
    <w:rsid w:val="000B0707"/>
    <w:rsid w:val="000B351B"/>
    <w:rsid w:val="000B67E5"/>
    <w:rsid w:val="000C0AC8"/>
    <w:rsid w:val="000C2C67"/>
    <w:rsid w:val="000C4653"/>
    <w:rsid w:val="000C4C40"/>
    <w:rsid w:val="000C613D"/>
    <w:rsid w:val="000C7932"/>
    <w:rsid w:val="000C793B"/>
    <w:rsid w:val="000D124B"/>
    <w:rsid w:val="000D1F28"/>
    <w:rsid w:val="000D264B"/>
    <w:rsid w:val="000D32E5"/>
    <w:rsid w:val="000D34A6"/>
    <w:rsid w:val="000D37BE"/>
    <w:rsid w:val="000D50DC"/>
    <w:rsid w:val="000D5CCA"/>
    <w:rsid w:val="000D7608"/>
    <w:rsid w:val="000E16BD"/>
    <w:rsid w:val="000E1A4F"/>
    <w:rsid w:val="000E3E46"/>
    <w:rsid w:val="000E5026"/>
    <w:rsid w:val="000E5B9F"/>
    <w:rsid w:val="000E67B0"/>
    <w:rsid w:val="000E7A33"/>
    <w:rsid w:val="000F1F5E"/>
    <w:rsid w:val="000F2AE1"/>
    <w:rsid w:val="000F482F"/>
    <w:rsid w:val="000F62A4"/>
    <w:rsid w:val="00101AA1"/>
    <w:rsid w:val="00107C77"/>
    <w:rsid w:val="00107E2F"/>
    <w:rsid w:val="001115B0"/>
    <w:rsid w:val="00113837"/>
    <w:rsid w:val="00115891"/>
    <w:rsid w:val="00117519"/>
    <w:rsid w:val="001247D7"/>
    <w:rsid w:val="001346FF"/>
    <w:rsid w:val="00134F95"/>
    <w:rsid w:val="001373D3"/>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A27"/>
    <w:rsid w:val="00173694"/>
    <w:rsid w:val="0017597C"/>
    <w:rsid w:val="0018053D"/>
    <w:rsid w:val="00180C97"/>
    <w:rsid w:val="00182EEA"/>
    <w:rsid w:val="0018363A"/>
    <w:rsid w:val="001871E1"/>
    <w:rsid w:val="001907A0"/>
    <w:rsid w:val="001907BC"/>
    <w:rsid w:val="0019172C"/>
    <w:rsid w:val="00191C51"/>
    <w:rsid w:val="00191FE0"/>
    <w:rsid w:val="00197977"/>
    <w:rsid w:val="00197FBB"/>
    <w:rsid w:val="001A02C6"/>
    <w:rsid w:val="001A4611"/>
    <w:rsid w:val="001A6E1D"/>
    <w:rsid w:val="001A7035"/>
    <w:rsid w:val="001A71D3"/>
    <w:rsid w:val="001A7A20"/>
    <w:rsid w:val="001A7BCC"/>
    <w:rsid w:val="001B156C"/>
    <w:rsid w:val="001B206F"/>
    <w:rsid w:val="001B2C2B"/>
    <w:rsid w:val="001B564E"/>
    <w:rsid w:val="001C1AB0"/>
    <w:rsid w:val="001C4A11"/>
    <w:rsid w:val="001C6498"/>
    <w:rsid w:val="001C7FC5"/>
    <w:rsid w:val="001D1C1D"/>
    <w:rsid w:val="001D2B8D"/>
    <w:rsid w:val="001D4085"/>
    <w:rsid w:val="001D50A9"/>
    <w:rsid w:val="001E1192"/>
    <w:rsid w:val="001E3766"/>
    <w:rsid w:val="001E4DD7"/>
    <w:rsid w:val="001E57AC"/>
    <w:rsid w:val="001E63EB"/>
    <w:rsid w:val="001E73FF"/>
    <w:rsid w:val="001F0DE7"/>
    <w:rsid w:val="001F3D0C"/>
    <w:rsid w:val="001F50AE"/>
    <w:rsid w:val="00203E55"/>
    <w:rsid w:val="0020464E"/>
    <w:rsid w:val="00205C37"/>
    <w:rsid w:val="00205C9D"/>
    <w:rsid w:val="002060DB"/>
    <w:rsid w:val="00206B01"/>
    <w:rsid w:val="00206B46"/>
    <w:rsid w:val="0020706B"/>
    <w:rsid w:val="00213953"/>
    <w:rsid w:val="00214270"/>
    <w:rsid w:val="00214BA4"/>
    <w:rsid w:val="00215DB9"/>
    <w:rsid w:val="00217BE1"/>
    <w:rsid w:val="00220AE1"/>
    <w:rsid w:val="00226CA1"/>
    <w:rsid w:val="00227F82"/>
    <w:rsid w:val="002331CD"/>
    <w:rsid w:val="00242395"/>
    <w:rsid w:val="00242589"/>
    <w:rsid w:val="00243172"/>
    <w:rsid w:val="00243D70"/>
    <w:rsid w:val="00244813"/>
    <w:rsid w:val="00246420"/>
    <w:rsid w:val="0024753B"/>
    <w:rsid w:val="0024762E"/>
    <w:rsid w:val="00247BA5"/>
    <w:rsid w:val="00251B7B"/>
    <w:rsid w:val="002520DB"/>
    <w:rsid w:val="002604FB"/>
    <w:rsid w:val="002612E9"/>
    <w:rsid w:val="00263172"/>
    <w:rsid w:val="00263E33"/>
    <w:rsid w:val="00263E5D"/>
    <w:rsid w:val="00264E80"/>
    <w:rsid w:val="00267DA6"/>
    <w:rsid w:val="002706C6"/>
    <w:rsid w:val="00273665"/>
    <w:rsid w:val="0027412C"/>
    <w:rsid w:val="00275D0D"/>
    <w:rsid w:val="00280B02"/>
    <w:rsid w:val="0028633D"/>
    <w:rsid w:val="0028764F"/>
    <w:rsid w:val="002911A7"/>
    <w:rsid w:val="00291951"/>
    <w:rsid w:val="002933BC"/>
    <w:rsid w:val="002953EE"/>
    <w:rsid w:val="002A0822"/>
    <w:rsid w:val="002A0862"/>
    <w:rsid w:val="002A1870"/>
    <w:rsid w:val="002A731C"/>
    <w:rsid w:val="002A75B9"/>
    <w:rsid w:val="002A7693"/>
    <w:rsid w:val="002B3766"/>
    <w:rsid w:val="002B49DE"/>
    <w:rsid w:val="002B55AD"/>
    <w:rsid w:val="002B5984"/>
    <w:rsid w:val="002B60B2"/>
    <w:rsid w:val="002B7D09"/>
    <w:rsid w:val="002C012C"/>
    <w:rsid w:val="002C05DC"/>
    <w:rsid w:val="002C21EB"/>
    <w:rsid w:val="002C439E"/>
    <w:rsid w:val="002C5757"/>
    <w:rsid w:val="002C5D77"/>
    <w:rsid w:val="002D0D13"/>
    <w:rsid w:val="002D1D84"/>
    <w:rsid w:val="002E11FA"/>
    <w:rsid w:val="002E21D6"/>
    <w:rsid w:val="002F1C3F"/>
    <w:rsid w:val="002F44AB"/>
    <w:rsid w:val="002F7973"/>
    <w:rsid w:val="0031024E"/>
    <w:rsid w:val="00312F11"/>
    <w:rsid w:val="003132F6"/>
    <w:rsid w:val="00315015"/>
    <w:rsid w:val="00315407"/>
    <w:rsid w:val="00322C3A"/>
    <w:rsid w:val="003309B7"/>
    <w:rsid w:val="003313C3"/>
    <w:rsid w:val="00333EE7"/>
    <w:rsid w:val="003363C3"/>
    <w:rsid w:val="0034018A"/>
    <w:rsid w:val="00343216"/>
    <w:rsid w:val="0034372C"/>
    <w:rsid w:val="00344CC3"/>
    <w:rsid w:val="0034515E"/>
    <w:rsid w:val="00346EBE"/>
    <w:rsid w:val="00347FD1"/>
    <w:rsid w:val="003506E6"/>
    <w:rsid w:val="00352DF8"/>
    <w:rsid w:val="00356E00"/>
    <w:rsid w:val="00364212"/>
    <w:rsid w:val="0036466F"/>
    <w:rsid w:val="003712A9"/>
    <w:rsid w:val="00372944"/>
    <w:rsid w:val="00374FFF"/>
    <w:rsid w:val="003750CC"/>
    <w:rsid w:val="0037593E"/>
    <w:rsid w:val="00375D8B"/>
    <w:rsid w:val="00376DC7"/>
    <w:rsid w:val="0038083D"/>
    <w:rsid w:val="00386AAC"/>
    <w:rsid w:val="00387964"/>
    <w:rsid w:val="0039007B"/>
    <w:rsid w:val="00390399"/>
    <w:rsid w:val="0039079D"/>
    <w:rsid w:val="00390BD3"/>
    <w:rsid w:val="003919EC"/>
    <w:rsid w:val="003920BE"/>
    <w:rsid w:val="0039236F"/>
    <w:rsid w:val="00392AA2"/>
    <w:rsid w:val="00392F5E"/>
    <w:rsid w:val="00393027"/>
    <w:rsid w:val="00394FAF"/>
    <w:rsid w:val="00395E0E"/>
    <w:rsid w:val="0039690B"/>
    <w:rsid w:val="003A0090"/>
    <w:rsid w:val="003A29E5"/>
    <w:rsid w:val="003A364C"/>
    <w:rsid w:val="003A377A"/>
    <w:rsid w:val="003B1278"/>
    <w:rsid w:val="003C0622"/>
    <w:rsid w:val="003C10E7"/>
    <w:rsid w:val="003C49E8"/>
    <w:rsid w:val="003C5736"/>
    <w:rsid w:val="003D37E8"/>
    <w:rsid w:val="003D3CD8"/>
    <w:rsid w:val="003D5E40"/>
    <w:rsid w:val="003D6BE5"/>
    <w:rsid w:val="003D7EF3"/>
    <w:rsid w:val="003D7FF0"/>
    <w:rsid w:val="003E0D20"/>
    <w:rsid w:val="003E16C4"/>
    <w:rsid w:val="003E2919"/>
    <w:rsid w:val="003E3C53"/>
    <w:rsid w:val="003E6369"/>
    <w:rsid w:val="003E68B6"/>
    <w:rsid w:val="003F0641"/>
    <w:rsid w:val="003F2581"/>
    <w:rsid w:val="003F3003"/>
    <w:rsid w:val="003F4A08"/>
    <w:rsid w:val="003F640B"/>
    <w:rsid w:val="003F77E0"/>
    <w:rsid w:val="003F78E3"/>
    <w:rsid w:val="004016BF"/>
    <w:rsid w:val="00402380"/>
    <w:rsid w:val="0040727E"/>
    <w:rsid w:val="004102C2"/>
    <w:rsid w:val="00412C52"/>
    <w:rsid w:val="0041356F"/>
    <w:rsid w:val="00414470"/>
    <w:rsid w:val="004156F2"/>
    <w:rsid w:val="0041689F"/>
    <w:rsid w:val="00417F32"/>
    <w:rsid w:val="0042114C"/>
    <w:rsid w:val="0042187B"/>
    <w:rsid w:val="00424A8D"/>
    <w:rsid w:val="004251FE"/>
    <w:rsid w:val="00432769"/>
    <w:rsid w:val="00436630"/>
    <w:rsid w:val="00436685"/>
    <w:rsid w:val="00436978"/>
    <w:rsid w:val="00437ABF"/>
    <w:rsid w:val="004406CE"/>
    <w:rsid w:val="004416B6"/>
    <w:rsid w:val="00444C92"/>
    <w:rsid w:val="00444F7A"/>
    <w:rsid w:val="00446C56"/>
    <w:rsid w:val="00446E9B"/>
    <w:rsid w:val="00447CE1"/>
    <w:rsid w:val="00461176"/>
    <w:rsid w:val="004637D6"/>
    <w:rsid w:val="00465728"/>
    <w:rsid w:val="004720AA"/>
    <w:rsid w:val="00475D0F"/>
    <w:rsid w:val="00477022"/>
    <w:rsid w:val="00486E98"/>
    <w:rsid w:val="0049123B"/>
    <w:rsid w:val="004913B9"/>
    <w:rsid w:val="00496736"/>
    <w:rsid w:val="00497DCD"/>
    <w:rsid w:val="004A0E40"/>
    <w:rsid w:val="004A4024"/>
    <w:rsid w:val="004A4C34"/>
    <w:rsid w:val="004A5982"/>
    <w:rsid w:val="004A5CFE"/>
    <w:rsid w:val="004A5E6A"/>
    <w:rsid w:val="004B0A18"/>
    <w:rsid w:val="004B2A1B"/>
    <w:rsid w:val="004B2DE5"/>
    <w:rsid w:val="004B3112"/>
    <w:rsid w:val="004B331B"/>
    <w:rsid w:val="004B47C7"/>
    <w:rsid w:val="004B6F1C"/>
    <w:rsid w:val="004C2F4D"/>
    <w:rsid w:val="004C3638"/>
    <w:rsid w:val="004C39A4"/>
    <w:rsid w:val="004C52FF"/>
    <w:rsid w:val="004C6E0B"/>
    <w:rsid w:val="004D04AF"/>
    <w:rsid w:val="004D070B"/>
    <w:rsid w:val="004D33DF"/>
    <w:rsid w:val="004D4350"/>
    <w:rsid w:val="004D452C"/>
    <w:rsid w:val="004D749D"/>
    <w:rsid w:val="004D7DEA"/>
    <w:rsid w:val="004E04DA"/>
    <w:rsid w:val="004E1D06"/>
    <w:rsid w:val="004E1FA4"/>
    <w:rsid w:val="004E20B1"/>
    <w:rsid w:val="004E3DAA"/>
    <w:rsid w:val="004E4EB8"/>
    <w:rsid w:val="004E6203"/>
    <w:rsid w:val="004F183B"/>
    <w:rsid w:val="004F42A1"/>
    <w:rsid w:val="004F5FA6"/>
    <w:rsid w:val="00500581"/>
    <w:rsid w:val="00501013"/>
    <w:rsid w:val="005041BE"/>
    <w:rsid w:val="00505635"/>
    <w:rsid w:val="00507805"/>
    <w:rsid w:val="005134B0"/>
    <w:rsid w:val="0051441E"/>
    <w:rsid w:val="005155D3"/>
    <w:rsid w:val="005204D6"/>
    <w:rsid w:val="00520795"/>
    <w:rsid w:val="005215DF"/>
    <w:rsid w:val="00525692"/>
    <w:rsid w:val="00527E66"/>
    <w:rsid w:val="00533BB5"/>
    <w:rsid w:val="00534945"/>
    <w:rsid w:val="00534E3A"/>
    <w:rsid w:val="005360A1"/>
    <w:rsid w:val="00537C3E"/>
    <w:rsid w:val="00543555"/>
    <w:rsid w:val="0054431F"/>
    <w:rsid w:val="00544890"/>
    <w:rsid w:val="00547FC6"/>
    <w:rsid w:val="00552615"/>
    <w:rsid w:val="00552BED"/>
    <w:rsid w:val="005567B3"/>
    <w:rsid w:val="00556FE9"/>
    <w:rsid w:val="005632D3"/>
    <w:rsid w:val="005655D1"/>
    <w:rsid w:val="005658C9"/>
    <w:rsid w:val="00565929"/>
    <w:rsid w:val="005659EE"/>
    <w:rsid w:val="00565D9A"/>
    <w:rsid w:val="00566150"/>
    <w:rsid w:val="00566498"/>
    <w:rsid w:val="005708E6"/>
    <w:rsid w:val="00580B1E"/>
    <w:rsid w:val="005812C2"/>
    <w:rsid w:val="00583F95"/>
    <w:rsid w:val="00596AF0"/>
    <w:rsid w:val="00597947"/>
    <w:rsid w:val="005A0AF1"/>
    <w:rsid w:val="005A1BB1"/>
    <w:rsid w:val="005A21FC"/>
    <w:rsid w:val="005B1178"/>
    <w:rsid w:val="005B159F"/>
    <w:rsid w:val="005C6776"/>
    <w:rsid w:val="005C7BB8"/>
    <w:rsid w:val="005D0FBF"/>
    <w:rsid w:val="005D24E1"/>
    <w:rsid w:val="005D761E"/>
    <w:rsid w:val="005D7826"/>
    <w:rsid w:val="005E016C"/>
    <w:rsid w:val="005E0E0C"/>
    <w:rsid w:val="005E0F89"/>
    <w:rsid w:val="005E1EC1"/>
    <w:rsid w:val="005E31A5"/>
    <w:rsid w:val="005E38D2"/>
    <w:rsid w:val="005E415F"/>
    <w:rsid w:val="005E4DF6"/>
    <w:rsid w:val="005E6A5B"/>
    <w:rsid w:val="005E7290"/>
    <w:rsid w:val="005E7504"/>
    <w:rsid w:val="005F072F"/>
    <w:rsid w:val="005F0A83"/>
    <w:rsid w:val="005F0D41"/>
    <w:rsid w:val="005F234F"/>
    <w:rsid w:val="005F3C50"/>
    <w:rsid w:val="00601607"/>
    <w:rsid w:val="006047F8"/>
    <w:rsid w:val="006066A6"/>
    <w:rsid w:val="00606CC4"/>
    <w:rsid w:val="006138EE"/>
    <w:rsid w:val="0061452E"/>
    <w:rsid w:val="00615D9E"/>
    <w:rsid w:val="00621643"/>
    <w:rsid w:val="00624274"/>
    <w:rsid w:val="00626CD9"/>
    <w:rsid w:val="00630956"/>
    <w:rsid w:val="00636115"/>
    <w:rsid w:val="00640016"/>
    <w:rsid w:val="00641EED"/>
    <w:rsid w:val="00642106"/>
    <w:rsid w:val="00644429"/>
    <w:rsid w:val="00646876"/>
    <w:rsid w:val="00647079"/>
    <w:rsid w:val="00650DEF"/>
    <w:rsid w:val="00651741"/>
    <w:rsid w:val="00656BC8"/>
    <w:rsid w:val="006573DA"/>
    <w:rsid w:val="006606A3"/>
    <w:rsid w:val="0066273D"/>
    <w:rsid w:val="00662D0D"/>
    <w:rsid w:val="006642D3"/>
    <w:rsid w:val="006711A5"/>
    <w:rsid w:val="00676441"/>
    <w:rsid w:val="00677567"/>
    <w:rsid w:val="00682BA7"/>
    <w:rsid w:val="00684F54"/>
    <w:rsid w:val="00687B7B"/>
    <w:rsid w:val="00691499"/>
    <w:rsid w:val="00692356"/>
    <w:rsid w:val="0069340D"/>
    <w:rsid w:val="006A71EF"/>
    <w:rsid w:val="006A769A"/>
    <w:rsid w:val="006A7A55"/>
    <w:rsid w:val="006A7DBA"/>
    <w:rsid w:val="006B2DDC"/>
    <w:rsid w:val="006B5939"/>
    <w:rsid w:val="006B6D45"/>
    <w:rsid w:val="006B776D"/>
    <w:rsid w:val="006C0C87"/>
    <w:rsid w:val="006C2D83"/>
    <w:rsid w:val="006C3F2E"/>
    <w:rsid w:val="006C4D9E"/>
    <w:rsid w:val="006D10DC"/>
    <w:rsid w:val="006D22CB"/>
    <w:rsid w:val="006D281E"/>
    <w:rsid w:val="006D3823"/>
    <w:rsid w:val="006D3E5C"/>
    <w:rsid w:val="006D41F1"/>
    <w:rsid w:val="006D431A"/>
    <w:rsid w:val="006D6DB9"/>
    <w:rsid w:val="006E149F"/>
    <w:rsid w:val="006E4514"/>
    <w:rsid w:val="006E5C42"/>
    <w:rsid w:val="006F2B5C"/>
    <w:rsid w:val="006F2F3E"/>
    <w:rsid w:val="006F581B"/>
    <w:rsid w:val="006F74F7"/>
    <w:rsid w:val="006F7E68"/>
    <w:rsid w:val="00702AE3"/>
    <w:rsid w:val="0070567E"/>
    <w:rsid w:val="00705ADC"/>
    <w:rsid w:val="0070659F"/>
    <w:rsid w:val="007078C7"/>
    <w:rsid w:val="007148E9"/>
    <w:rsid w:val="00716258"/>
    <w:rsid w:val="007165EC"/>
    <w:rsid w:val="00721C9B"/>
    <w:rsid w:val="0072285B"/>
    <w:rsid w:val="00722909"/>
    <w:rsid w:val="00723249"/>
    <w:rsid w:val="007260DC"/>
    <w:rsid w:val="00726E74"/>
    <w:rsid w:val="00727EF2"/>
    <w:rsid w:val="007309B9"/>
    <w:rsid w:val="00731661"/>
    <w:rsid w:val="00733038"/>
    <w:rsid w:val="0073421A"/>
    <w:rsid w:val="00737E3E"/>
    <w:rsid w:val="00744BE7"/>
    <w:rsid w:val="007455A5"/>
    <w:rsid w:val="00747C3E"/>
    <w:rsid w:val="00750C7B"/>
    <w:rsid w:val="00751783"/>
    <w:rsid w:val="00753FB8"/>
    <w:rsid w:val="00756213"/>
    <w:rsid w:val="00757369"/>
    <w:rsid w:val="00760264"/>
    <w:rsid w:val="0076125E"/>
    <w:rsid w:val="007614A0"/>
    <w:rsid w:val="00764579"/>
    <w:rsid w:val="00766CC5"/>
    <w:rsid w:val="0076789B"/>
    <w:rsid w:val="00771519"/>
    <w:rsid w:val="0077612D"/>
    <w:rsid w:val="0078403F"/>
    <w:rsid w:val="00784977"/>
    <w:rsid w:val="007857C2"/>
    <w:rsid w:val="007951AE"/>
    <w:rsid w:val="007960FC"/>
    <w:rsid w:val="007A1325"/>
    <w:rsid w:val="007A260C"/>
    <w:rsid w:val="007A33FE"/>
    <w:rsid w:val="007A3D65"/>
    <w:rsid w:val="007A4561"/>
    <w:rsid w:val="007A7FFA"/>
    <w:rsid w:val="007B096A"/>
    <w:rsid w:val="007B2702"/>
    <w:rsid w:val="007B5BCC"/>
    <w:rsid w:val="007B63BA"/>
    <w:rsid w:val="007C0054"/>
    <w:rsid w:val="007C0582"/>
    <w:rsid w:val="007C2929"/>
    <w:rsid w:val="007C5815"/>
    <w:rsid w:val="007D08CF"/>
    <w:rsid w:val="007D0A9C"/>
    <w:rsid w:val="007D12ED"/>
    <w:rsid w:val="007D518A"/>
    <w:rsid w:val="007D6002"/>
    <w:rsid w:val="007D6F8A"/>
    <w:rsid w:val="007E062F"/>
    <w:rsid w:val="007E5FF6"/>
    <w:rsid w:val="007F0CD4"/>
    <w:rsid w:val="007F15F0"/>
    <w:rsid w:val="007F3EA6"/>
    <w:rsid w:val="007F581B"/>
    <w:rsid w:val="00800E4A"/>
    <w:rsid w:val="008015DF"/>
    <w:rsid w:val="00801640"/>
    <w:rsid w:val="0080288E"/>
    <w:rsid w:val="008053EB"/>
    <w:rsid w:val="00805A0A"/>
    <w:rsid w:val="0081201D"/>
    <w:rsid w:val="00812ECD"/>
    <w:rsid w:val="0081473D"/>
    <w:rsid w:val="00815623"/>
    <w:rsid w:val="008157AE"/>
    <w:rsid w:val="008167AB"/>
    <w:rsid w:val="00820A25"/>
    <w:rsid w:val="0082440D"/>
    <w:rsid w:val="00825D97"/>
    <w:rsid w:val="008325FA"/>
    <w:rsid w:val="00833B9B"/>
    <w:rsid w:val="00835356"/>
    <w:rsid w:val="00836D67"/>
    <w:rsid w:val="00844F4F"/>
    <w:rsid w:val="008453B8"/>
    <w:rsid w:val="0084547F"/>
    <w:rsid w:val="00845BD8"/>
    <w:rsid w:val="00845CE4"/>
    <w:rsid w:val="008468CD"/>
    <w:rsid w:val="00847827"/>
    <w:rsid w:val="0085148F"/>
    <w:rsid w:val="00852C63"/>
    <w:rsid w:val="00854541"/>
    <w:rsid w:val="00860C1D"/>
    <w:rsid w:val="008616A6"/>
    <w:rsid w:val="00862075"/>
    <w:rsid w:val="008642C8"/>
    <w:rsid w:val="008662A2"/>
    <w:rsid w:val="0087108E"/>
    <w:rsid w:val="00871DE9"/>
    <w:rsid w:val="00872A32"/>
    <w:rsid w:val="00880CA7"/>
    <w:rsid w:val="00885CF7"/>
    <w:rsid w:val="00886E69"/>
    <w:rsid w:val="008934FA"/>
    <w:rsid w:val="008A0F83"/>
    <w:rsid w:val="008A175E"/>
    <w:rsid w:val="008A2E40"/>
    <w:rsid w:val="008B0C24"/>
    <w:rsid w:val="008B15BE"/>
    <w:rsid w:val="008B328C"/>
    <w:rsid w:val="008B7645"/>
    <w:rsid w:val="008C1976"/>
    <w:rsid w:val="008C5857"/>
    <w:rsid w:val="008D0512"/>
    <w:rsid w:val="008D1468"/>
    <w:rsid w:val="008D33D6"/>
    <w:rsid w:val="008D5A00"/>
    <w:rsid w:val="008E0EA8"/>
    <w:rsid w:val="008E573D"/>
    <w:rsid w:val="008E5FB9"/>
    <w:rsid w:val="008F5689"/>
    <w:rsid w:val="008F5B6F"/>
    <w:rsid w:val="008F69BF"/>
    <w:rsid w:val="009003B0"/>
    <w:rsid w:val="009015AD"/>
    <w:rsid w:val="009036DE"/>
    <w:rsid w:val="00903AAF"/>
    <w:rsid w:val="0090416C"/>
    <w:rsid w:val="009043EF"/>
    <w:rsid w:val="00907956"/>
    <w:rsid w:val="0091079F"/>
    <w:rsid w:val="009153E3"/>
    <w:rsid w:val="0091597F"/>
    <w:rsid w:val="009177D8"/>
    <w:rsid w:val="00921DCF"/>
    <w:rsid w:val="00923D59"/>
    <w:rsid w:val="0092464E"/>
    <w:rsid w:val="00924F4C"/>
    <w:rsid w:val="009337F2"/>
    <w:rsid w:val="00934B5A"/>
    <w:rsid w:val="0094138A"/>
    <w:rsid w:val="009428CC"/>
    <w:rsid w:val="00946554"/>
    <w:rsid w:val="00953385"/>
    <w:rsid w:val="009536E4"/>
    <w:rsid w:val="00954CFF"/>
    <w:rsid w:val="009553EB"/>
    <w:rsid w:val="009556E8"/>
    <w:rsid w:val="00956815"/>
    <w:rsid w:val="00960332"/>
    <w:rsid w:val="00963C82"/>
    <w:rsid w:val="009754A1"/>
    <w:rsid w:val="00977B6C"/>
    <w:rsid w:val="00981B94"/>
    <w:rsid w:val="009850DD"/>
    <w:rsid w:val="009852EE"/>
    <w:rsid w:val="009918A8"/>
    <w:rsid w:val="00995CC6"/>
    <w:rsid w:val="009964F7"/>
    <w:rsid w:val="009A07B6"/>
    <w:rsid w:val="009A2934"/>
    <w:rsid w:val="009A3167"/>
    <w:rsid w:val="009A46D2"/>
    <w:rsid w:val="009A488C"/>
    <w:rsid w:val="009A6B01"/>
    <w:rsid w:val="009B0E77"/>
    <w:rsid w:val="009B7C3D"/>
    <w:rsid w:val="009C21D3"/>
    <w:rsid w:val="009C3BDF"/>
    <w:rsid w:val="009C41C0"/>
    <w:rsid w:val="009C6399"/>
    <w:rsid w:val="009C700D"/>
    <w:rsid w:val="009D117E"/>
    <w:rsid w:val="009D2C81"/>
    <w:rsid w:val="009D3BCE"/>
    <w:rsid w:val="009D4762"/>
    <w:rsid w:val="009D61D3"/>
    <w:rsid w:val="009D63C3"/>
    <w:rsid w:val="009D6FD8"/>
    <w:rsid w:val="009D7E0C"/>
    <w:rsid w:val="009E0181"/>
    <w:rsid w:val="009E1ED3"/>
    <w:rsid w:val="009E37ED"/>
    <w:rsid w:val="009E4A95"/>
    <w:rsid w:val="009E6004"/>
    <w:rsid w:val="009F0897"/>
    <w:rsid w:val="009F5345"/>
    <w:rsid w:val="009F53C2"/>
    <w:rsid w:val="009F58A2"/>
    <w:rsid w:val="009F6F50"/>
    <w:rsid w:val="00A00406"/>
    <w:rsid w:val="00A0057C"/>
    <w:rsid w:val="00A0210F"/>
    <w:rsid w:val="00A058CF"/>
    <w:rsid w:val="00A072FE"/>
    <w:rsid w:val="00A073DA"/>
    <w:rsid w:val="00A07475"/>
    <w:rsid w:val="00A07496"/>
    <w:rsid w:val="00A10865"/>
    <w:rsid w:val="00A11537"/>
    <w:rsid w:val="00A11A7A"/>
    <w:rsid w:val="00A128C5"/>
    <w:rsid w:val="00A20055"/>
    <w:rsid w:val="00A210A1"/>
    <w:rsid w:val="00A22D6C"/>
    <w:rsid w:val="00A231F8"/>
    <w:rsid w:val="00A23336"/>
    <w:rsid w:val="00A24CA1"/>
    <w:rsid w:val="00A25163"/>
    <w:rsid w:val="00A269A7"/>
    <w:rsid w:val="00A31277"/>
    <w:rsid w:val="00A33350"/>
    <w:rsid w:val="00A34428"/>
    <w:rsid w:val="00A44C1F"/>
    <w:rsid w:val="00A46DAF"/>
    <w:rsid w:val="00A47C58"/>
    <w:rsid w:val="00A529A1"/>
    <w:rsid w:val="00A52BA6"/>
    <w:rsid w:val="00A52F2C"/>
    <w:rsid w:val="00A53E50"/>
    <w:rsid w:val="00A54B3F"/>
    <w:rsid w:val="00A56692"/>
    <w:rsid w:val="00A60500"/>
    <w:rsid w:val="00A61261"/>
    <w:rsid w:val="00A61FD4"/>
    <w:rsid w:val="00A63AA9"/>
    <w:rsid w:val="00A669E9"/>
    <w:rsid w:val="00A67D0F"/>
    <w:rsid w:val="00A8609D"/>
    <w:rsid w:val="00A86542"/>
    <w:rsid w:val="00A87F7C"/>
    <w:rsid w:val="00A908A5"/>
    <w:rsid w:val="00A91DAE"/>
    <w:rsid w:val="00A9633A"/>
    <w:rsid w:val="00AA099E"/>
    <w:rsid w:val="00AA46EA"/>
    <w:rsid w:val="00AA559B"/>
    <w:rsid w:val="00AB29C4"/>
    <w:rsid w:val="00AB60C4"/>
    <w:rsid w:val="00AC14F0"/>
    <w:rsid w:val="00AC2DF7"/>
    <w:rsid w:val="00AC548A"/>
    <w:rsid w:val="00AD35A4"/>
    <w:rsid w:val="00AD5C59"/>
    <w:rsid w:val="00AE270B"/>
    <w:rsid w:val="00AE5064"/>
    <w:rsid w:val="00AE5365"/>
    <w:rsid w:val="00AE55CB"/>
    <w:rsid w:val="00AE71DB"/>
    <w:rsid w:val="00AF0CB9"/>
    <w:rsid w:val="00AF3FDF"/>
    <w:rsid w:val="00AF5069"/>
    <w:rsid w:val="00AF564E"/>
    <w:rsid w:val="00B01326"/>
    <w:rsid w:val="00B0164D"/>
    <w:rsid w:val="00B019F5"/>
    <w:rsid w:val="00B02152"/>
    <w:rsid w:val="00B04CC4"/>
    <w:rsid w:val="00B04F4E"/>
    <w:rsid w:val="00B052BC"/>
    <w:rsid w:val="00B05BCA"/>
    <w:rsid w:val="00B05CB2"/>
    <w:rsid w:val="00B05F14"/>
    <w:rsid w:val="00B146C7"/>
    <w:rsid w:val="00B222AE"/>
    <w:rsid w:val="00B22D6C"/>
    <w:rsid w:val="00B31B65"/>
    <w:rsid w:val="00B33B98"/>
    <w:rsid w:val="00B349F7"/>
    <w:rsid w:val="00B3578A"/>
    <w:rsid w:val="00B422E2"/>
    <w:rsid w:val="00B431EF"/>
    <w:rsid w:val="00B46A16"/>
    <w:rsid w:val="00B51ADD"/>
    <w:rsid w:val="00B553D8"/>
    <w:rsid w:val="00B569AD"/>
    <w:rsid w:val="00B56E34"/>
    <w:rsid w:val="00B57039"/>
    <w:rsid w:val="00B57263"/>
    <w:rsid w:val="00B6093A"/>
    <w:rsid w:val="00B62EAA"/>
    <w:rsid w:val="00B668D2"/>
    <w:rsid w:val="00B72C1F"/>
    <w:rsid w:val="00B73C5F"/>
    <w:rsid w:val="00B74177"/>
    <w:rsid w:val="00B76D53"/>
    <w:rsid w:val="00B82656"/>
    <w:rsid w:val="00B83704"/>
    <w:rsid w:val="00B86D61"/>
    <w:rsid w:val="00B90CC2"/>
    <w:rsid w:val="00B92D04"/>
    <w:rsid w:val="00B93330"/>
    <w:rsid w:val="00B96017"/>
    <w:rsid w:val="00B96778"/>
    <w:rsid w:val="00BA2BEC"/>
    <w:rsid w:val="00BA498C"/>
    <w:rsid w:val="00BA4E80"/>
    <w:rsid w:val="00BA56B6"/>
    <w:rsid w:val="00BB60A8"/>
    <w:rsid w:val="00BB6C33"/>
    <w:rsid w:val="00BC3E88"/>
    <w:rsid w:val="00BC7EFD"/>
    <w:rsid w:val="00BD0BA4"/>
    <w:rsid w:val="00BD1F78"/>
    <w:rsid w:val="00BD1FC3"/>
    <w:rsid w:val="00BE1259"/>
    <w:rsid w:val="00BE73A7"/>
    <w:rsid w:val="00BF0647"/>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3653A"/>
    <w:rsid w:val="00C41CE3"/>
    <w:rsid w:val="00C41EAE"/>
    <w:rsid w:val="00C44CDE"/>
    <w:rsid w:val="00C47FC2"/>
    <w:rsid w:val="00C515F8"/>
    <w:rsid w:val="00C5195C"/>
    <w:rsid w:val="00C52063"/>
    <w:rsid w:val="00C55F06"/>
    <w:rsid w:val="00C60D35"/>
    <w:rsid w:val="00C61427"/>
    <w:rsid w:val="00C6411B"/>
    <w:rsid w:val="00C66CD2"/>
    <w:rsid w:val="00C72429"/>
    <w:rsid w:val="00C75D95"/>
    <w:rsid w:val="00C76049"/>
    <w:rsid w:val="00C770CC"/>
    <w:rsid w:val="00C770DB"/>
    <w:rsid w:val="00C80786"/>
    <w:rsid w:val="00C807F9"/>
    <w:rsid w:val="00C81852"/>
    <w:rsid w:val="00C81D03"/>
    <w:rsid w:val="00C830AA"/>
    <w:rsid w:val="00C83E2E"/>
    <w:rsid w:val="00C853F1"/>
    <w:rsid w:val="00C8640F"/>
    <w:rsid w:val="00C90C57"/>
    <w:rsid w:val="00C927C0"/>
    <w:rsid w:val="00C92A41"/>
    <w:rsid w:val="00CB0887"/>
    <w:rsid w:val="00CC1988"/>
    <w:rsid w:val="00CC19AA"/>
    <w:rsid w:val="00CC3865"/>
    <w:rsid w:val="00CC5C28"/>
    <w:rsid w:val="00CC6A6D"/>
    <w:rsid w:val="00CD01A6"/>
    <w:rsid w:val="00CD314C"/>
    <w:rsid w:val="00CD4E1A"/>
    <w:rsid w:val="00CD5D7A"/>
    <w:rsid w:val="00CD740C"/>
    <w:rsid w:val="00CE1BE6"/>
    <w:rsid w:val="00CE36B8"/>
    <w:rsid w:val="00CE4D5D"/>
    <w:rsid w:val="00CE6E37"/>
    <w:rsid w:val="00CE7334"/>
    <w:rsid w:val="00CF161B"/>
    <w:rsid w:val="00CF4907"/>
    <w:rsid w:val="00CF7BA7"/>
    <w:rsid w:val="00D00EA8"/>
    <w:rsid w:val="00D01135"/>
    <w:rsid w:val="00D015C5"/>
    <w:rsid w:val="00D03455"/>
    <w:rsid w:val="00D05BF5"/>
    <w:rsid w:val="00D0705D"/>
    <w:rsid w:val="00D10173"/>
    <w:rsid w:val="00D14C73"/>
    <w:rsid w:val="00D23BBE"/>
    <w:rsid w:val="00D27AF2"/>
    <w:rsid w:val="00D27DC8"/>
    <w:rsid w:val="00D32D8D"/>
    <w:rsid w:val="00D33266"/>
    <w:rsid w:val="00D33644"/>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60680"/>
    <w:rsid w:val="00D61B4E"/>
    <w:rsid w:val="00D726C9"/>
    <w:rsid w:val="00D740C4"/>
    <w:rsid w:val="00D76146"/>
    <w:rsid w:val="00D77B55"/>
    <w:rsid w:val="00D77F22"/>
    <w:rsid w:val="00D800EA"/>
    <w:rsid w:val="00D83991"/>
    <w:rsid w:val="00D83A75"/>
    <w:rsid w:val="00D848FF"/>
    <w:rsid w:val="00D86515"/>
    <w:rsid w:val="00D9107E"/>
    <w:rsid w:val="00D92DBF"/>
    <w:rsid w:val="00D942F0"/>
    <w:rsid w:val="00D95DA1"/>
    <w:rsid w:val="00D9704A"/>
    <w:rsid w:val="00DA2837"/>
    <w:rsid w:val="00DA2C69"/>
    <w:rsid w:val="00DA3DE8"/>
    <w:rsid w:val="00DA4A1F"/>
    <w:rsid w:val="00DB0341"/>
    <w:rsid w:val="00DB1144"/>
    <w:rsid w:val="00DB1A6E"/>
    <w:rsid w:val="00DB3373"/>
    <w:rsid w:val="00DB3ACE"/>
    <w:rsid w:val="00DB4415"/>
    <w:rsid w:val="00DB5555"/>
    <w:rsid w:val="00DB662D"/>
    <w:rsid w:val="00DB6793"/>
    <w:rsid w:val="00DC4310"/>
    <w:rsid w:val="00DC69A7"/>
    <w:rsid w:val="00DC7E56"/>
    <w:rsid w:val="00DD027C"/>
    <w:rsid w:val="00DD07D3"/>
    <w:rsid w:val="00DD19A1"/>
    <w:rsid w:val="00DD2557"/>
    <w:rsid w:val="00DE0934"/>
    <w:rsid w:val="00DE105F"/>
    <w:rsid w:val="00DE658A"/>
    <w:rsid w:val="00DE6720"/>
    <w:rsid w:val="00DF0BEC"/>
    <w:rsid w:val="00DF47DD"/>
    <w:rsid w:val="00DF6599"/>
    <w:rsid w:val="00DF73FE"/>
    <w:rsid w:val="00DF7AC0"/>
    <w:rsid w:val="00E01478"/>
    <w:rsid w:val="00E01655"/>
    <w:rsid w:val="00E01E5D"/>
    <w:rsid w:val="00E04274"/>
    <w:rsid w:val="00E11DC5"/>
    <w:rsid w:val="00E12295"/>
    <w:rsid w:val="00E14C42"/>
    <w:rsid w:val="00E20C05"/>
    <w:rsid w:val="00E22B62"/>
    <w:rsid w:val="00E2632C"/>
    <w:rsid w:val="00E31C4A"/>
    <w:rsid w:val="00E3239D"/>
    <w:rsid w:val="00E377AB"/>
    <w:rsid w:val="00E40AE7"/>
    <w:rsid w:val="00E40B90"/>
    <w:rsid w:val="00E41741"/>
    <w:rsid w:val="00E42612"/>
    <w:rsid w:val="00E46B49"/>
    <w:rsid w:val="00E53A1D"/>
    <w:rsid w:val="00E560DE"/>
    <w:rsid w:val="00E56786"/>
    <w:rsid w:val="00E63C72"/>
    <w:rsid w:val="00E66114"/>
    <w:rsid w:val="00E67CC2"/>
    <w:rsid w:val="00E720E0"/>
    <w:rsid w:val="00E735DF"/>
    <w:rsid w:val="00E77782"/>
    <w:rsid w:val="00E77DC4"/>
    <w:rsid w:val="00E84161"/>
    <w:rsid w:val="00E854ED"/>
    <w:rsid w:val="00E8595D"/>
    <w:rsid w:val="00E94946"/>
    <w:rsid w:val="00E957DC"/>
    <w:rsid w:val="00E96F22"/>
    <w:rsid w:val="00EA2BEB"/>
    <w:rsid w:val="00EA35ED"/>
    <w:rsid w:val="00EA7259"/>
    <w:rsid w:val="00EA7F9E"/>
    <w:rsid w:val="00EB1926"/>
    <w:rsid w:val="00EB2560"/>
    <w:rsid w:val="00EB44D6"/>
    <w:rsid w:val="00EB5268"/>
    <w:rsid w:val="00EB5CE9"/>
    <w:rsid w:val="00EB69EC"/>
    <w:rsid w:val="00EB7D02"/>
    <w:rsid w:val="00EC0D33"/>
    <w:rsid w:val="00EC243C"/>
    <w:rsid w:val="00EC3D5E"/>
    <w:rsid w:val="00EC5C8F"/>
    <w:rsid w:val="00EC7F43"/>
    <w:rsid w:val="00ED082C"/>
    <w:rsid w:val="00ED3252"/>
    <w:rsid w:val="00ED625C"/>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BC0"/>
    <w:rsid w:val="00F22E11"/>
    <w:rsid w:val="00F245AA"/>
    <w:rsid w:val="00F32201"/>
    <w:rsid w:val="00F346F0"/>
    <w:rsid w:val="00F34780"/>
    <w:rsid w:val="00F40082"/>
    <w:rsid w:val="00F42462"/>
    <w:rsid w:val="00F42C07"/>
    <w:rsid w:val="00F43025"/>
    <w:rsid w:val="00F43CA0"/>
    <w:rsid w:val="00F45F12"/>
    <w:rsid w:val="00F474C1"/>
    <w:rsid w:val="00F479AC"/>
    <w:rsid w:val="00F47AC0"/>
    <w:rsid w:val="00F50C5F"/>
    <w:rsid w:val="00F537E6"/>
    <w:rsid w:val="00F54322"/>
    <w:rsid w:val="00F54C72"/>
    <w:rsid w:val="00F5586D"/>
    <w:rsid w:val="00F56F36"/>
    <w:rsid w:val="00F579C1"/>
    <w:rsid w:val="00F605C6"/>
    <w:rsid w:val="00F61705"/>
    <w:rsid w:val="00F75A94"/>
    <w:rsid w:val="00F7643C"/>
    <w:rsid w:val="00F76B89"/>
    <w:rsid w:val="00F866DF"/>
    <w:rsid w:val="00F875C5"/>
    <w:rsid w:val="00F87BB1"/>
    <w:rsid w:val="00F91449"/>
    <w:rsid w:val="00F91525"/>
    <w:rsid w:val="00F93A2D"/>
    <w:rsid w:val="00F945F2"/>
    <w:rsid w:val="00F9606C"/>
    <w:rsid w:val="00F96E1E"/>
    <w:rsid w:val="00F973C9"/>
    <w:rsid w:val="00FA017F"/>
    <w:rsid w:val="00FA0B81"/>
    <w:rsid w:val="00FA5652"/>
    <w:rsid w:val="00FA614A"/>
    <w:rsid w:val="00FA66DE"/>
    <w:rsid w:val="00FB1DF1"/>
    <w:rsid w:val="00FB2DEF"/>
    <w:rsid w:val="00FB4149"/>
    <w:rsid w:val="00FB57F6"/>
    <w:rsid w:val="00FB7D78"/>
    <w:rsid w:val="00FC429A"/>
    <w:rsid w:val="00FC451B"/>
    <w:rsid w:val="00FC4EB6"/>
    <w:rsid w:val="00FC52B0"/>
    <w:rsid w:val="00FC69D4"/>
    <w:rsid w:val="00FD1348"/>
    <w:rsid w:val="00FD4B23"/>
    <w:rsid w:val="00FD7C3B"/>
    <w:rsid w:val="00FE15C5"/>
    <w:rsid w:val="00FE1DB5"/>
    <w:rsid w:val="00FE1F54"/>
    <w:rsid w:val="00FE5BA5"/>
    <w:rsid w:val="00FE7174"/>
    <w:rsid w:val="00FF018C"/>
    <w:rsid w:val="00FF0713"/>
    <w:rsid w:val="00FF10E6"/>
    <w:rsid w:val="00FF1DC6"/>
    <w:rsid w:val="00FF6F97"/>
    <w:rsid w:val="00FF7089"/>
    <w:rsid w:val="02572AE5"/>
    <w:rsid w:val="1CCE5002"/>
    <w:rsid w:val="2A873DA0"/>
    <w:rsid w:val="360274C8"/>
    <w:rsid w:val="3A2A1B78"/>
    <w:rsid w:val="3AC577F8"/>
    <w:rsid w:val="45686389"/>
    <w:rsid w:val="4E0C1ED3"/>
    <w:rsid w:val="517E0914"/>
    <w:rsid w:val="70344EA3"/>
    <w:rsid w:val="71C852BA"/>
    <w:rsid w:val="7DD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basedOn w:val="1"/>
    <w:next w:val="1"/>
    <w:qFormat/>
    <w:uiPriority w:val="0"/>
    <w:pPr>
      <w:keepNext/>
      <w:keepLines/>
      <w:ind w:firstLine="0" w:firstLineChars="0"/>
      <w:jc w:val="left"/>
      <w:outlineLvl w:val="0"/>
    </w:pPr>
    <w:rPr>
      <w:b/>
      <w:bCs/>
      <w:kern w:val="44"/>
      <w:sz w:val="28"/>
      <w:szCs w:val="44"/>
    </w:rPr>
  </w:style>
  <w:style w:type="paragraph" w:styleId="3">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ind w:firstLine="0" w:firstLineChars="0"/>
      <w:jc w:val="left"/>
      <w:outlineLvl w:val="2"/>
    </w:pPr>
    <w:rPr>
      <w:b/>
      <w:bCs/>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1800"/>
      <w:jc w:val="left"/>
    </w:pPr>
    <w:rPr>
      <w:sz w:val="18"/>
      <w:szCs w:val="18"/>
    </w:rPr>
  </w:style>
  <w:style w:type="paragraph" w:styleId="6">
    <w:name w:val="Document Map"/>
    <w:basedOn w:val="1"/>
    <w:link w:val="35"/>
    <w:unhideWhenUsed/>
    <w:qFormat/>
    <w:uiPriority w:val="99"/>
    <w:rPr>
      <w:rFonts w:ascii="宋体" w:eastAsia="宋体"/>
      <w:sz w:val="18"/>
      <w:szCs w:val="18"/>
    </w:rPr>
  </w:style>
  <w:style w:type="paragraph" w:styleId="7">
    <w:name w:val="annotation text"/>
    <w:basedOn w:val="1"/>
    <w:link w:val="32"/>
    <w:unhideWhenUsed/>
    <w:qFormat/>
    <w:uiPriority w:val="99"/>
    <w:pPr>
      <w:jc w:val="left"/>
    </w:pPr>
  </w:style>
  <w:style w:type="paragraph" w:styleId="8">
    <w:name w:val="toc 5"/>
    <w:basedOn w:val="1"/>
    <w:next w:val="1"/>
    <w:qFormat/>
    <w:uiPriority w:val="39"/>
    <w:pPr>
      <w:ind w:left="1200"/>
      <w:jc w:val="left"/>
    </w:pPr>
    <w:rPr>
      <w:sz w:val="18"/>
      <w:szCs w:val="18"/>
    </w:rPr>
  </w:style>
  <w:style w:type="paragraph" w:styleId="9">
    <w:name w:val="toc 3"/>
    <w:basedOn w:val="1"/>
    <w:next w:val="1"/>
    <w:qFormat/>
    <w:uiPriority w:val="39"/>
    <w:pPr>
      <w:spacing w:line="300" w:lineRule="exact"/>
      <w:ind w:left="567"/>
      <w:jc w:val="left"/>
    </w:pPr>
    <w:rPr>
      <w:iCs/>
      <w:sz w:val="28"/>
      <w:szCs w:val="20"/>
    </w:rPr>
  </w:style>
  <w:style w:type="paragraph" w:styleId="10">
    <w:name w:val="toc 8"/>
    <w:basedOn w:val="1"/>
    <w:next w:val="1"/>
    <w:qFormat/>
    <w:uiPriority w:val="39"/>
    <w:pPr>
      <w:ind w:left="2100"/>
      <w:jc w:val="left"/>
    </w:pPr>
    <w:rPr>
      <w:sz w:val="18"/>
      <w:szCs w:val="18"/>
    </w:rPr>
  </w:style>
  <w:style w:type="paragraph" w:styleId="11">
    <w:name w:val="Date"/>
    <w:basedOn w:val="1"/>
    <w:next w:val="1"/>
    <w:qFormat/>
    <w:uiPriority w:val="0"/>
    <w:pPr>
      <w:ind w:left="100" w:leftChars="2500"/>
    </w:pPr>
    <w:rPr>
      <w:rFonts w:eastAsia="宋体"/>
      <w:sz w:val="21"/>
    </w:rPr>
  </w:style>
  <w:style w:type="paragraph" w:styleId="12">
    <w:name w:val="Balloon Text"/>
    <w:basedOn w:val="1"/>
    <w:link w:val="29"/>
    <w:qFormat/>
    <w:uiPriority w:val="0"/>
    <w:rPr>
      <w:sz w:val="18"/>
      <w:szCs w:val="18"/>
    </w:rPr>
  </w:style>
  <w:style w:type="paragraph" w:styleId="13">
    <w:name w:val="footer"/>
    <w:basedOn w:val="1"/>
    <w:link w:val="30"/>
    <w:qFormat/>
    <w:uiPriority w:val="99"/>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b/>
      <w:bCs/>
      <w:caps/>
      <w:sz w:val="28"/>
      <w:szCs w:val="20"/>
    </w:rPr>
  </w:style>
  <w:style w:type="paragraph" w:styleId="16">
    <w:name w:val="toc 4"/>
    <w:basedOn w:val="1"/>
    <w:next w:val="1"/>
    <w:qFormat/>
    <w:uiPriority w:val="39"/>
    <w:pPr>
      <w:tabs>
        <w:tab w:val="right" w:leader="dot" w:pos="8693"/>
      </w:tabs>
      <w:spacing w:line="300" w:lineRule="exact"/>
      <w:ind w:left="902"/>
      <w:jc w:val="left"/>
    </w:pPr>
    <w:rPr>
      <w:sz w:val="28"/>
      <w:szCs w:val="18"/>
    </w:rPr>
  </w:style>
  <w:style w:type="paragraph" w:styleId="17">
    <w:name w:val="toc 6"/>
    <w:basedOn w:val="1"/>
    <w:next w:val="1"/>
    <w:qFormat/>
    <w:uiPriority w:val="39"/>
    <w:pPr>
      <w:ind w:left="1500"/>
      <w:jc w:val="left"/>
    </w:pPr>
    <w:rPr>
      <w:sz w:val="18"/>
      <w:szCs w:val="18"/>
    </w:rPr>
  </w:style>
  <w:style w:type="paragraph" w:styleId="18">
    <w:name w:val="toc 2"/>
    <w:basedOn w:val="1"/>
    <w:next w:val="1"/>
    <w:qFormat/>
    <w:uiPriority w:val="39"/>
    <w:pPr>
      <w:spacing w:line="300" w:lineRule="exact"/>
      <w:jc w:val="left"/>
    </w:pPr>
    <w:rPr>
      <w:smallCaps/>
      <w:sz w:val="28"/>
      <w:szCs w:val="20"/>
    </w:rPr>
  </w:style>
  <w:style w:type="paragraph" w:styleId="19">
    <w:name w:val="toc 9"/>
    <w:basedOn w:val="1"/>
    <w:next w:val="1"/>
    <w:qFormat/>
    <w:uiPriority w:val="39"/>
    <w:pPr>
      <w:ind w:left="2400"/>
      <w:jc w:val="left"/>
    </w:pPr>
    <w:rPr>
      <w:sz w:val="18"/>
      <w:szCs w:val="18"/>
    </w:rPr>
  </w:style>
  <w:style w:type="paragraph" w:styleId="20">
    <w:name w:val="Title"/>
    <w:basedOn w:val="1"/>
    <w:next w:val="1"/>
    <w:link w:val="28"/>
    <w:qFormat/>
    <w:uiPriority w:val="10"/>
    <w:pPr>
      <w:jc w:val="left"/>
      <w:outlineLvl w:val="3"/>
    </w:pPr>
    <w:rPr>
      <w:rFonts w:ascii="Cambria" w:hAnsi="Cambria"/>
      <w:bCs/>
      <w:szCs w:val="32"/>
    </w:rPr>
  </w:style>
  <w:style w:type="paragraph" w:styleId="21">
    <w:name w:val="annotation subject"/>
    <w:basedOn w:val="7"/>
    <w:next w:val="7"/>
    <w:link w:val="34"/>
    <w:unhideWhenUsed/>
    <w:qFormat/>
    <w:uiPriority w:val="99"/>
    <w:rPr>
      <w:b/>
      <w:bCs/>
    </w:rPr>
  </w:style>
  <w:style w:type="table" w:styleId="23">
    <w:name w:val="Table Grid"/>
    <w:basedOn w:val="2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unhideWhenUsed/>
    <w:qFormat/>
    <w:uiPriority w:val="99"/>
    <w:rPr>
      <w:sz w:val="21"/>
      <w:szCs w:val="21"/>
    </w:rPr>
  </w:style>
  <w:style w:type="character" w:customStyle="1" w:styleId="28">
    <w:name w:val="标题 Char"/>
    <w:basedOn w:val="24"/>
    <w:link w:val="20"/>
    <w:qFormat/>
    <w:uiPriority w:val="10"/>
    <w:rPr>
      <w:rFonts w:ascii="Cambria" w:hAnsi="Cambria" w:eastAsia="仿宋_GB2312" w:cs="Times New Roman"/>
      <w:bCs/>
      <w:kern w:val="2"/>
      <w:sz w:val="24"/>
      <w:szCs w:val="32"/>
    </w:rPr>
  </w:style>
  <w:style w:type="character" w:customStyle="1" w:styleId="29">
    <w:name w:val="批注框文本 Char"/>
    <w:link w:val="12"/>
    <w:qFormat/>
    <w:uiPriority w:val="0"/>
    <w:rPr>
      <w:rFonts w:eastAsia="仿宋_GB2312"/>
      <w:kern w:val="2"/>
      <w:sz w:val="18"/>
      <w:szCs w:val="18"/>
    </w:rPr>
  </w:style>
  <w:style w:type="character" w:customStyle="1" w:styleId="30">
    <w:name w:val="页脚 Char"/>
    <w:link w:val="13"/>
    <w:qFormat/>
    <w:uiPriority w:val="99"/>
    <w:rPr>
      <w:rFonts w:eastAsia="仿宋_GB2312"/>
      <w:kern w:val="2"/>
      <w:sz w:val="18"/>
      <w:szCs w:val="18"/>
    </w:rPr>
  </w:style>
  <w:style w:type="character" w:customStyle="1" w:styleId="31">
    <w:name w:val="apple-converted-space"/>
    <w:basedOn w:val="24"/>
    <w:qFormat/>
    <w:uiPriority w:val="0"/>
  </w:style>
  <w:style w:type="character" w:customStyle="1" w:styleId="32">
    <w:name w:val="批注文字 Char"/>
    <w:basedOn w:val="24"/>
    <w:link w:val="7"/>
    <w:semiHidden/>
    <w:qFormat/>
    <w:uiPriority w:val="99"/>
    <w:rPr>
      <w:rFonts w:eastAsia="仿宋_GB2312"/>
      <w:kern w:val="2"/>
      <w:sz w:val="24"/>
      <w:szCs w:val="24"/>
    </w:rPr>
  </w:style>
  <w:style w:type="character" w:customStyle="1" w:styleId="33">
    <w:name w:val="页眉 Char"/>
    <w:link w:val="14"/>
    <w:qFormat/>
    <w:uiPriority w:val="0"/>
    <w:rPr>
      <w:rFonts w:eastAsia="仿宋_GB2312"/>
      <w:kern w:val="2"/>
      <w:sz w:val="18"/>
      <w:szCs w:val="18"/>
    </w:rPr>
  </w:style>
  <w:style w:type="character" w:customStyle="1" w:styleId="34">
    <w:name w:val="批注主题 Char"/>
    <w:basedOn w:val="32"/>
    <w:link w:val="21"/>
    <w:semiHidden/>
    <w:qFormat/>
    <w:uiPriority w:val="99"/>
    <w:rPr>
      <w:rFonts w:eastAsia="仿宋_GB2312"/>
      <w:b/>
      <w:bCs/>
      <w:kern w:val="2"/>
      <w:sz w:val="24"/>
      <w:szCs w:val="24"/>
    </w:rPr>
  </w:style>
  <w:style w:type="character" w:customStyle="1" w:styleId="35">
    <w:name w:val="文档结构图 Char"/>
    <w:basedOn w:val="24"/>
    <w:link w:val="6"/>
    <w:semiHidden/>
    <w:qFormat/>
    <w:uiPriority w:val="99"/>
    <w:rPr>
      <w:rFonts w:ascii="宋体"/>
      <w:kern w:val="2"/>
      <w:sz w:val="18"/>
      <w:szCs w:val="18"/>
    </w:rPr>
  </w:style>
  <w:style w:type="paragraph" w:customStyle="1" w:styleId="36">
    <w:name w:val="_Style 1"/>
    <w:basedOn w:val="1"/>
    <w:qFormat/>
    <w:uiPriority w:val="0"/>
    <w:rPr>
      <w:rFonts w:eastAsia="宋体"/>
      <w:sz w:val="21"/>
    </w:rPr>
  </w:style>
  <w:style w:type="paragraph" w:styleId="37">
    <w:name w:val="No Spacing"/>
    <w:qFormat/>
    <w:uiPriority w:val="1"/>
    <w:pPr>
      <w:widowControl w:val="0"/>
      <w:spacing w:line="360" w:lineRule="auto"/>
      <w:ind w:firstLine="200" w:firstLineChars="200"/>
      <w:outlineLvl w:val="2"/>
    </w:pPr>
    <w:rPr>
      <w:rFonts w:ascii="Times New Roman" w:hAnsi="Times New Roman" w:eastAsia="仿宋_GB2312" w:cs="Times New Roman"/>
      <w:kern w:val="2"/>
      <w:sz w:val="24"/>
      <w:szCs w:val="24"/>
      <w:lang w:val="en-US" w:eastAsia="zh-CN" w:bidi="ar-SA"/>
    </w:rPr>
  </w:style>
  <w:style w:type="paragraph" w:customStyle="1" w:styleId="38">
    <w:name w:val="TOC Heading"/>
    <w:basedOn w:val="2"/>
    <w:next w:val="1"/>
    <w:qFormat/>
    <w:uiPriority w:val="39"/>
    <w:pPr>
      <w:widowControl/>
      <w:spacing w:before="480" w:line="276" w:lineRule="auto"/>
      <w:outlineLvl w:val="9"/>
    </w:pPr>
    <w:rPr>
      <w:rFonts w:ascii="Cambria" w:hAnsi="Cambria" w:eastAsia="宋体"/>
      <w:color w:val="365F91"/>
      <w:kern w:val="0"/>
      <w:szCs w:val="28"/>
    </w:rPr>
  </w:style>
  <w:style w:type="paragraph" w:customStyle="1" w:styleId="39">
    <w:name w:val="列出段落1"/>
    <w:basedOn w:val="1"/>
    <w:qFormat/>
    <w:uiPriority w:val="34"/>
    <w:pPr>
      <w:ind w:firstLine="420"/>
    </w:pPr>
  </w:style>
  <w:style w:type="paragraph" w:styleId="40">
    <w:name w:val="List Paragraph"/>
    <w:basedOn w:val="1"/>
    <w:qFormat/>
    <w:uiPriority w:val="34"/>
    <w:pPr>
      <w:ind w:firstLine="420"/>
    </w:pPr>
  </w:style>
  <w:style w:type="paragraph" w:customStyle="1" w:styleId="41">
    <w:name w:val="Revision"/>
    <w:semiHidden/>
    <w:qFormat/>
    <w:uiPriority w:val="99"/>
    <w:rPr>
      <w:rFonts w:ascii="Times New Roman" w:hAnsi="Times New Roman" w:eastAsia="仿宋_GB2312" w:cs="Times New Roman"/>
      <w:kern w:val="2"/>
      <w:sz w:val="24"/>
      <w:szCs w:val="24"/>
      <w:lang w:val="en-US" w:eastAsia="zh-CN" w:bidi="ar-SA"/>
    </w:rPr>
  </w:style>
  <w:style w:type="character" w:customStyle="1" w:styleId="42">
    <w:name w:val="标题 2 Char"/>
    <w:basedOn w:val="24"/>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7651</Words>
  <Characters>7928</Characters>
  <Lines>69</Lines>
  <Paragraphs>19</Paragraphs>
  <TotalTime>0</TotalTime>
  <ScaleCrop>false</ScaleCrop>
  <LinksUpToDate>false</LinksUpToDate>
  <CharactersWithSpaces>8029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2017-03-14T02:32:00Z</dcterms:created>
  <dc:creator>lhn</dc:creator>
  <cp:lastModifiedBy>Administrator</cp:lastModifiedBy>
  <cp:lastPrinted>2015-12-10T09:13:00Z</cp:lastPrinted>
  <dcterms:modified xsi:type="dcterms:W3CDTF">2025-02-12T08:16:31Z</dcterms:modified>
  <dc:title>财政支出绩效评价报告</dc:title>
  <cp:revision>276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44A279BD988A49B8815332B040844615_12</vt:lpwstr>
  </property>
  <property fmtid="{D5CDD505-2E9C-101B-9397-08002B2CF9AE}" pid="4" name="KSOTemplateDocerSaveRecord">
    <vt:lpwstr>eyJoZGlkIjoiYjhjNmVhOTU5ODM3OWQ1M2MxMjk1OGZlZmIyMzhkOWYifQ==</vt:lpwstr>
  </property>
</Properties>
</file>