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C40A1E">
      <w:pPr>
        <w:ind w:firstLine="883"/>
        <w:jc w:val="center"/>
        <w:rPr>
          <w:rFonts w:ascii="宋体" w:hAnsi="宋体" w:eastAsia="宋体"/>
          <w:b/>
          <w:color w:val="000000"/>
          <w:sz w:val="44"/>
          <w:szCs w:val="44"/>
        </w:rPr>
      </w:pPr>
    </w:p>
    <w:p w14:paraId="04B69E16">
      <w:pPr>
        <w:ind w:firstLine="883"/>
        <w:jc w:val="center"/>
        <w:rPr>
          <w:rFonts w:ascii="宋体" w:hAnsi="宋体" w:eastAsia="宋体"/>
          <w:b/>
          <w:color w:val="000000"/>
          <w:sz w:val="44"/>
          <w:szCs w:val="44"/>
        </w:rPr>
      </w:pPr>
    </w:p>
    <w:p w14:paraId="2823FC32">
      <w:pPr>
        <w:ind w:firstLine="0" w:firstLineChars="0"/>
        <w:jc w:val="center"/>
        <w:rPr>
          <w:rFonts w:ascii="仿宋" w:hAnsi="仿宋" w:eastAsia="仿宋"/>
          <w:b/>
          <w:bCs/>
          <w:color w:val="000000"/>
          <w:sz w:val="44"/>
          <w:szCs w:val="44"/>
        </w:rPr>
      </w:pPr>
      <w:r>
        <w:rPr>
          <w:rFonts w:hint="eastAsia" w:ascii="仿宋" w:hAnsi="仿宋" w:eastAsia="仿宋"/>
          <w:b/>
          <w:color w:val="000000"/>
          <w:sz w:val="44"/>
          <w:szCs w:val="44"/>
        </w:rPr>
        <w:t>武汉经济技术开发区智慧生态城管理办公室</w:t>
      </w:r>
      <w:r>
        <w:rPr>
          <w:rFonts w:hint="eastAsia" w:ascii="仿宋" w:hAnsi="仿宋" w:eastAsia="仿宋"/>
          <w:b/>
          <w:bCs/>
          <w:color w:val="000000"/>
          <w:sz w:val="44"/>
          <w:szCs w:val="44"/>
        </w:rPr>
        <w:t>招商经费</w:t>
      </w:r>
    </w:p>
    <w:p w14:paraId="53492002">
      <w:pPr>
        <w:ind w:firstLine="0" w:firstLineChars="0"/>
        <w:jc w:val="center"/>
        <w:rPr>
          <w:rFonts w:ascii="仿宋" w:hAnsi="仿宋" w:eastAsia="仿宋"/>
          <w:b/>
          <w:bCs/>
          <w:color w:val="000000"/>
          <w:sz w:val="44"/>
          <w:szCs w:val="44"/>
        </w:rPr>
      </w:pPr>
      <w:r>
        <w:rPr>
          <w:rFonts w:hint="eastAsia" w:ascii="仿宋" w:hAnsi="仿宋" w:eastAsia="仿宋"/>
          <w:b/>
          <w:bCs/>
          <w:color w:val="000000"/>
          <w:sz w:val="44"/>
          <w:szCs w:val="44"/>
        </w:rPr>
        <w:t>2018年度绩效评价报告</w:t>
      </w:r>
    </w:p>
    <w:p w14:paraId="2D680407">
      <w:pPr>
        <w:ind w:firstLine="480"/>
      </w:pPr>
    </w:p>
    <w:p w14:paraId="40347F30">
      <w:pPr>
        <w:ind w:firstLine="480"/>
      </w:pPr>
    </w:p>
    <w:p w14:paraId="49EEC77A">
      <w:pPr>
        <w:ind w:firstLine="480"/>
      </w:pPr>
    </w:p>
    <w:p w14:paraId="5AEE100D">
      <w:pPr>
        <w:widowControl/>
        <w:spacing w:line="800" w:lineRule="exact"/>
        <w:ind w:firstLine="790" w:firstLineChars="246"/>
        <w:jc w:val="left"/>
        <w:rPr>
          <w:b/>
          <w:bCs/>
          <w:kern w:val="32"/>
          <w:sz w:val="32"/>
          <w:lang w:bidi="he-IL"/>
        </w:rPr>
      </w:pPr>
    </w:p>
    <w:p w14:paraId="7CC4A996">
      <w:pPr>
        <w:widowControl/>
        <w:spacing w:line="800" w:lineRule="exact"/>
        <w:ind w:firstLine="790" w:firstLineChars="246"/>
        <w:jc w:val="left"/>
        <w:rPr>
          <w:b/>
          <w:bCs/>
          <w:kern w:val="32"/>
          <w:sz w:val="32"/>
          <w:lang w:bidi="he-IL"/>
        </w:rPr>
      </w:pPr>
    </w:p>
    <w:p w14:paraId="1E9674F2">
      <w:pPr>
        <w:widowControl/>
        <w:spacing w:line="480" w:lineRule="auto"/>
        <w:ind w:right="-192" w:rightChars="-80" w:firstLine="790" w:firstLineChars="246"/>
        <w:jc w:val="left"/>
        <w:rPr>
          <w:b/>
          <w:bCs/>
          <w:sz w:val="32"/>
          <w:szCs w:val="32"/>
        </w:rPr>
      </w:pPr>
      <w:r>
        <w:rPr>
          <w:b/>
          <w:bCs/>
          <w:kern w:val="32"/>
          <w:sz w:val="32"/>
          <w:lang w:bidi="he-IL"/>
        </w:rPr>
        <w:t>项目名称：</w:t>
      </w:r>
      <w:r>
        <w:rPr>
          <w:rFonts w:hint="eastAsia"/>
          <w:b/>
          <w:bCs/>
          <w:sz w:val="32"/>
          <w:szCs w:val="32"/>
        </w:rPr>
        <w:t>招商经费</w:t>
      </w:r>
    </w:p>
    <w:p w14:paraId="4D0410DE">
      <w:pPr>
        <w:widowControl/>
        <w:spacing w:line="480" w:lineRule="auto"/>
        <w:ind w:right="-192" w:rightChars="-80" w:firstLine="790" w:firstLineChars="246"/>
        <w:jc w:val="left"/>
        <w:rPr>
          <w:b/>
          <w:bCs/>
          <w:sz w:val="32"/>
          <w:szCs w:val="32"/>
        </w:rPr>
      </w:pPr>
      <w:r>
        <w:rPr>
          <w:b/>
          <w:bCs/>
          <w:kern w:val="32"/>
          <w:sz w:val="32"/>
          <w:lang w:bidi="he-IL"/>
        </w:rPr>
        <w:t>项目单位：</w:t>
      </w:r>
      <w:r>
        <w:rPr>
          <w:rFonts w:hint="eastAsia"/>
          <w:b/>
          <w:bCs/>
          <w:kern w:val="32"/>
          <w:sz w:val="32"/>
          <w:lang w:bidi="he-IL"/>
        </w:rPr>
        <w:t>武汉经济技术开发区智慧生态城管理办公室</w:t>
      </w:r>
    </w:p>
    <w:p w14:paraId="603FD6DF">
      <w:pPr>
        <w:widowControl/>
        <w:spacing w:line="480" w:lineRule="auto"/>
        <w:ind w:firstLine="790" w:firstLineChars="246"/>
        <w:jc w:val="left"/>
        <w:rPr>
          <w:b/>
          <w:bCs/>
          <w:kern w:val="32"/>
          <w:sz w:val="32"/>
          <w:lang w:bidi="he-IL"/>
        </w:rPr>
      </w:pPr>
      <w:r>
        <w:rPr>
          <w:b/>
          <w:bCs/>
          <w:kern w:val="32"/>
          <w:sz w:val="32"/>
          <w:lang w:bidi="he-IL"/>
        </w:rPr>
        <w:t>主管部门：</w:t>
      </w:r>
      <w:r>
        <w:rPr>
          <w:rFonts w:hint="eastAsia"/>
          <w:b/>
          <w:bCs/>
          <w:kern w:val="32"/>
          <w:sz w:val="32"/>
          <w:lang w:bidi="he-IL"/>
        </w:rPr>
        <w:t>武汉经济技术开发区智慧生态城管理办公室</w:t>
      </w:r>
    </w:p>
    <w:p w14:paraId="7F75B7DD">
      <w:pPr>
        <w:widowControl/>
        <w:spacing w:line="480" w:lineRule="auto"/>
        <w:ind w:firstLine="790" w:firstLineChars="246"/>
        <w:jc w:val="left"/>
        <w:rPr>
          <w:b/>
          <w:bCs/>
          <w:sz w:val="32"/>
          <w:szCs w:val="32"/>
        </w:rPr>
      </w:pPr>
      <w:r>
        <w:rPr>
          <w:b/>
          <w:bCs/>
          <w:kern w:val="32"/>
          <w:sz w:val="32"/>
          <w:lang w:bidi="he-IL"/>
        </w:rPr>
        <w:t>评价机构：</w:t>
      </w:r>
      <w:r>
        <w:rPr>
          <w:rFonts w:hint="eastAsia"/>
          <w:b/>
          <w:bCs/>
          <w:sz w:val="32"/>
          <w:szCs w:val="32"/>
        </w:rPr>
        <w:t>湖北正大会计师事务有限责任公司</w:t>
      </w:r>
    </w:p>
    <w:p w14:paraId="3D76B7A9">
      <w:pPr>
        <w:spacing w:line="800" w:lineRule="exact"/>
        <w:ind w:firstLine="0" w:firstLineChars="0"/>
        <w:rPr>
          <w:b/>
          <w:bCs/>
          <w:sz w:val="32"/>
          <w:szCs w:val="32"/>
        </w:rPr>
      </w:pPr>
    </w:p>
    <w:p w14:paraId="175A2085">
      <w:pPr>
        <w:spacing w:line="800" w:lineRule="exact"/>
        <w:ind w:firstLine="0" w:firstLineChars="0"/>
        <w:rPr>
          <w:b/>
          <w:bCs/>
          <w:sz w:val="32"/>
          <w:szCs w:val="32"/>
        </w:rPr>
      </w:pPr>
    </w:p>
    <w:p w14:paraId="4CDFF35F">
      <w:pPr>
        <w:spacing w:line="800" w:lineRule="exact"/>
        <w:ind w:firstLine="0" w:firstLineChars="0"/>
        <w:jc w:val="center"/>
        <w:rPr>
          <w:b/>
          <w:bCs/>
          <w:sz w:val="32"/>
          <w:szCs w:val="32"/>
        </w:rPr>
      </w:pPr>
      <w:r>
        <w:rPr>
          <w:b/>
          <w:bCs/>
          <w:sz w:val="32"/>
          <w:szCs w:val="32"/>
        </w:rPr>
        <w:t>二〇</w:t>
      </w:r>
      <w:r>
        <w:rPr>
          <w:rFonts w:hint="eastAsia"/>
          <w:b/>
          <w:bCs/>
          <w:sz w:val="32"/>
          <w:szCs w:val="32"/>
        </w:rPr>
        <w:t>一九</w:t>
      </w:r>
      <w:r>
        <w:rPr>
          <w:b/>
          <w:bCs/>
          <w:sz w:val="32"/>
          <w:szCs w:val="32"/>
        </w:rPr>
        <w:t>年</w:t>
      </w:r>
      <w:r>
        <w:rPr>
          <w:rFonts w:hint="eastAsia"/>
          <w:b/>
          <w:bCs/>
          <w:sz w:val="32"/>
          <w:szCs w:val="32"/>
        </w:rPr>
        <w:t>七</w:t>
      </w:r>
      <w:r>
        <w:rPr>
          <w:b/>
          <w:bCs/>
          <w:sz w:val="32"/>
          <w:szCs w:val="32"/>
        </w:rPr>
        <w:t>月</w:t>
      </w:r>
    </w:p>
    <w:p w14:paraId="02E31A46">
      <w:pPr>
        <w:widowControl/>
        <w:spacing w:line="240" w:lineRule="auto"/>
        <w:ind w:firstLine="0" w:firstLineChars="0"/>
        <w:jc w:val="left"/>
        <w:rPr>
          <w:rFonts w:ascii="Arial Narrow" w:hAnsi="Arial Narrow" w:cs="Arial Narrow"/>
          <w:b/>
          <w:sz w:val="32"/>
          <w:szCs w:val="32"/>
        </w:rPr>
      </w:pPr>
      <w:r>
        <w:rPr>
          <w:rFonts w:ascii="Arial Narrow" w:hAnsi="Arial Narrow" w:cs="Arial Narrow"/>
          <w:b/>
          <w:sz w:val="32"/>
          <w:szCs w:val="32"/>
        </w:rPr>
        <w:br w:type="page"/>
      </w:r>
    </w:p>
    <w:p w14:paraId="0E96E614">
      <w:pPr>
        <w:pStyle w:val="38"/>
        <w:ind w:firstLine="480"/>
        <w:jc w:val="center"/>
        <w:rPr>
          <w:rFonts w:ascii="仿宋" w:hAnsi="仿宋" w:eastAsia="仿宋"/>
          <w:color w:val="auto"/>
          <w:sz w:val="44"/>
          <w:szCs w:val="44"/>
        </w:rPr>
      </w:pPr>
      <w:r>
        <w:rPr>
          <w:rFonts w:ascii="仿宋" w:hAnsi="仿宋" w:eastAsia="仿宋"/>
          <w:color w:val="auto"/>
          <w:sz w:val="44"/>
          <w:szCs w:val="44"/>
          <w:lang w:val="zh-CN"/>
        </w:rPr>
        <w:t>目录</w:t>
      </w:r>
    </w:p>
    <w:p w14:paraId="2AB4B643">
      <w:pPr>
        <w:pStyle w:val="15"/>
        <w:tabs>
          <w:tab w:val="right" w:leader="dot" w:pos="8693"/>
        </w:tabs>
        <w:spacing w:before="0" w:after="0" w:line="264" w:lineRule="auto"/>
        <w:ind w:firstLine="482"/>
        <w:rPr>
          <w:rFonts w:ascii="仿宋" w:hAnsi="仿宋" w:eastAsia="仿宋" w:cstheme="minorBidi"/>
          <w:bCs w:val="0"/>
          <w:caps w:val="0"/>
          <w:sz w:val="24"/>
          <w:szCs w:val="24"/>
        </w:rPr>
      </w:pPr>
      <w:r>
        <w:rPr>
          <w:rFonts w:ascii="仿宋" w:hAnsi="仿宋" w:eastAsia="仿宋"/>
          <w:sz w:val="24"/>
          <w:szCs w:val="24"/>
        </w:rPr>
        <w:fldChar w:fldCharType="begin"/>
      </w:r>
      <w:r>
        <w:rPr>
          <w:rFonts w:ascii="仿宋" w:hAnsi="仿宋" w:eastAsia="仿宋"/>
          <w:sz w:val="24"/>
          <w:szCs w:val="24"/>
        </w:rPr>
        <w:instrText xml:space="preserve"> TOC \o "1-3" \h \z \u </w:instrText>
      </w:r>
      <w:r>
        <w:rPr>
          <w:rFonts w:ascii="仿宋" w:hAnsi="仿宋" w:eastAsia="仿宋"/>
          <w:sz w:val="24"/>
          <w:szCs w:val="24"/>
        </w:rPr>
        <w:fldChar w:fldCharType="separate"/>
      </w:r>
      <w:r>
        <w:fldChar w:fldCharType="begin"/>
      </w:r>
      <w:r>
        <w:instrText xml:space="preserve"> HYPERLINK \l "_Toc15549359" </w:instrText>
      </w:r>
      <w:r>
        <w:fldChar w:fldCharType="separate"/>
      </w:r>
      <w:r>
        <w:rPr>
          <w:rStyle w:val="26"/>
          <w:rFonts w:hint="eastAsia" w:ascii="仿宋" w:hAnsi="仿宋" w:eastAsia="仿宋" w:cs="Arial Narrow"/>
          <w:sz w:val="24"/>
          <w:szCs w:val="24"/>
        </w:rPr>
        <w:t>摘</w:t>
      </w:r>
      <w:r>
        <w:rPr>
          <w:rStyle w:val="26"/>
          <w:rFonts w:ascii="仿宋" w:hAnsi="仿宋" w:eastAsia="仿宋" w:cs="Arial Narrow"/>
          <w:sz w:val="24"/>
          <w:szCs w:val="24"/>
        </w:rPr>
        <w:t xml:space="preserve">   </w:t>
      </w:r>
      <w:r>
        <w:rPr>
          <w:rStyle w:val="26"/>
          <w:rFonts w:hint="eastAsia" w:ascii="仿宋" w:hAnsi="仿宋" w:eastAsia="仿宋" w:cs="Arial Narrow"/>
          <w:sz w:val="24"/>
          <w:szCs w:val="24"/>
        </w:rPr>
        <w:t>要</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_Toc15549359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14:paraId="41D66E49">
      <w:pPr>
        <w:pStyle w:val="15"/>
        <w:tabs>
          <w:tab w:val="right" w:leader="dot" w:pos="8693"/>
        </w:tabs>
        <w:spacing w:before="0" w:after="0" w:line="264" w:lineRule="auto"/>
        <w:ind w:firstLine="482"/>
        <w:rPr>
          <w:rFonts w:ascii="仿宋" w:hAnsi="仿宋" w:eastAsia="仿宋" w:cstheme="minorBidi"/>
          <w:bCs w:val="0"/>
          <w:caps w:val="0"/>
          <w:sz w:val="24"/>
          <w:szCs w:val="24"/>
        </w:rPr>
      </w:pPr>
      <w:r>
        <w:fldChar w:fldCharType="begin"/>
      </w:r>
      <w:r>
        <w:instrText xml:space="preserve"> HYPERLINK \l "_Toc15549360" </w:instrText>
      </w:r>
      <w:r>
        <w:fldChar w:fldCharType="separate"/>
      </w:r>
      <w:r>
        <w:rPr>
          <w:rStyle w:val="26"/>
          <w:rFonts w:hint="eastAsia" w:ascii="仿宋" w:hAnsi="仿宋" w:eastAsia="仿宋" w:cs="Arial Narrow"/>
          <w:sz w:val="24"/>
          <w:szCs w:val="24"/>
        </w:rPr>
        <w:t>一、项目基本情况</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_Toc15549360 \h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fldChar w:fldCharType="end"/>
      </w:r>
    </w:p>
    <w:p w14:paraId="35E2ECF6">
      <w:pPr>
        <w:pStyle w:val="9"/>
        <w:tabs>
          <w:tab w:val="right" w:leader="dot" w:pos="8693"/>
        </w:tabs>
        <w:spacing w:line="264" w:lineRule="auto"/>
        <w:ind w:left="0" w:firstLine="482"/>
        <w:rPr>
          <w:rFonts w:ascii="仿宋" w:hAnsi="仿宋" w:eastAsia="仿宋" w:cstheme="minorBidi"/>
          <w:b/>
          <w:iCs w:val="0"/>
          <w:sz w:val="24"/>
          <w:szCs w:val="24"/>
        </w:rPr>
      </w:pPr>
      <w:r>
        <w:fldChar w:fldCharType="begin"/>
      </w:r>
      <w:r>
        <w:instrText xml:space="preserve"> HYPERLINK \l "_Toc15549361" </w:instrText>
      </w:r>
      <w:r>
        <w:fldChar w:fldCharType="separate"/>
      </w:r>
      <w:r>
        <w:rPr>
          <w:rStyle w:val="26"/>
          <w:rFonts w:hint="eastAsia" w:ascii="仿宋" w:hAnsi="仿宋" w:eastAsia="仿宋" w:cs="Arial Narrow"/>
          <w:b/>
          <w:sz w:val="24"/>
          <w:szCs w:val="24"/>
        </w:rPr>
        <w:t>（一）项目立项背景和依据</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_Toc15549361 \h </w:instrText>
      </w:r>
      <w:r>
        <w:rPr>
          <w:rFonts w:ascii="仿宋" w:hAnsi="仿宋" w:eastAsia="仿宋"/>
          <w:b/>
          <w:sz w:val="24"/>
          <w:szCs w:val="24"/>
        </w:rPr>
        <w:fldChar w:fldCharType="separate"/>
      </w:r>
      <w:r>
        <w:rPr>
          <w:rFonts w:ascii="仿宋" w:hAnsi="仿宋" w:eastAsia="仿宋"/>
          <w:b/>
          <w:sz w:val="24"/>
          <w:szCs w:val="24"/>
        </w:rPr>
        <w:t>3</w:t>
      </w:r>
      <w:r>
        <w:rPr>
          <w:rFonts w:ascii="仿宋" w:hAnsi="仿宋" w:eastAsia="仿宋"/>
          <w:b/>
          <w:sz w:val="24"/>
          <w:szCs w:val="24"/>
        </w:rPr>
        <w:fldChar w:fldCharType="end"/>
      </w:r>
      <w:r>
        <w:rPr>
          <w:rFonts w:ascii="仿宋" w:hAnsi="仿宋" w:eastAsia="仿宋"/>
          <w:b/>
          <w:sz w:val="24"/>
          <w:szCs w:val="24"/>
        </w:rPr>
        <w:fldChar w:fldCharType="end"/>
      </w:r>
    </w:p>
    <w:p w14:paraId="2CD6DC1B">
      <w:pPr>
        <w:pStyle w:val="9"/>
        <w:tabs>
          <w:tab w:val="right" w:leader="dot" w:pos="8693"/>
        </w:tabs>
        <w:spacing w:line="264" w:lineRule="auto"/>
        <w:ind w:left="0" w:firstLine="482"/>
        <w:rPr>
          <w:rFonts w:ascii="仿宋" w:hAnsi="仿宋" w:eastAsia="仿宋" w:cstheme="minorBidi"/>
          <w:b/>
          <w:iCs w:val="0"/>
          <w:sz w:val="24"/>
          <w:szCs w:val="24"/>
        </w:rPr>
      </w:pPr>
      <w:r>
        <w:fldChar w:fldCharType="begin"/>
      </w:r>
      <w:r>
        <w:instrText xml:space="preserve"> HYPERLINK \l "_Toc15549362" </w:instrText>
      </w:r>
      <w:r>
        <w:fldChar w:fldCharType="separate"/>
      </w:r>
      <w:r>
        <w:rPr>
          <w:rStyle w:val="26"/>
          <w:rFonts w:hint="eastAsia" w:ascii="仿宋" w:hAnsi="仿宋" w:eastAsia="仿宋" w:cs="Arial Narrow"/>
          <w:b/>
          <w:sz w:val="24"/>
          <w:szCs w:val="24"/>
        </w:rPr>
        <w:t>（二）项目绩效目标</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_Toc15549362 \h </w:instrText>
      </w:r>
      <w:r>
        <w:rPr>
          <w:rFonts w:ascii="仿宋" w:hAnsi="仿宋" w:eastAsia="仿宋"/>
          <w:b/>
          <w:sz w:val="24"/>
          <w:szCs w:val="24"/>
        </w:rPr>
        <w:fldChar w:fldCharType="separate"/>
      </w:r>
      <w:r>
        <w:rPr>
          <w:rFonts w:ascii="仿宋" w:hAnsi="仿宋" w:eastAsia="仿宋"/>
          <w:b/>
          <w:sz w:val="24"/>
          <w:szCs w:val="24"/>
        </w:rPr>
        <w:t>3</w:t>
      </w:r>
      <w:r>
        <w:rPr>
          <w:rFonts w:ascii="仿宋" w:hAnsi="仿宋" w:eastAsia="仿宋"/>
          <w:b/>
          <w:sz w:val="24"/>
          <w:szCs w:val="24"/>
        </w:rPr>
        <w:fldChar w:fldCharType="end"/>
      </w:r>
      <w:r>
        <w:rPr>
          <w:rFonts w:ascii="仿宋" w:hAnsi="仿宋" w:eastAsia="仿宋"/>
          <w:b/>
          <w:sz w:val="24"/>
          <w:szCs w:val="24"/>
        </w:rPr>
        <w:fldChar w:fldCharType="end"/>
      </w:r>
    </w:p>
    <w:p w14:paraId="5F6DFD7F">
      <w:pPr>
        <w:pStyle w:val="9"/>
        <w:tabs>
          <w:tab w:val="right" w:leader="dot" w:pos="8693"/>
        </w:tabs>
        <w:spacing w:line="264" w:lineRule="auto"/>
        <w:ind w:left="0" w:firstLine="482"/>
        <w:rPr>
          <w:rFonts w:ascii="仿宋" w:hAnsi="仿宋" w:eastAsia="仿宋" w:cstheme="minorBidi"/>
          <w:b/>
          <w:iCs w:val="0"/>
          <w:sz w:val="24"/>
          <w:szCs w:val="24"/>
        </w:rPr>
      </w:pPr>
      <w:r>
        <w:fldChar w:fldCharType="begin"/>
      </w:r>
      <w:r>
        <w:instrText xml:space="preserve"> HYPERLINK \l "_Toc15549363" </w:instrText>
      </w:r>
      <w:r>
        <w:fldChar w:fldCharType="separate"/>
      </w:r>
      <w:r>
        <w:rPr>
          <w:rStyle w:val="26"/>
          <w:rFonts w:hint="eastAsia" w:ascii="仿宋" w:hAnsi="仿宋" w:eastAsia="仿宋" w:cs="Arial Narrow"/>
          <w:b/>
          <w:sz w:val="24"/>
          <w:szCs w:val="24"/>
        </w:rPr>
        <w:t>（三）项目经费来源和使用情况</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_Toc15549363 \h </w:instrText>
      </w:r>
      <w:r>
        <w:rPr>
          <w:rFonts w:ascii="仿宋" w:hAnsi="仿宋" w:eastAsia="仿宋"/>
          <w:b/>
          <w:sz w:val="24"/>
          <w:szCs w:val="24"/>
        </w:rPr>
        <w:fldChar w:fldCharType="separate"/>
      </w:r>
      <w:r>
        <w:rPr>
          <w:rFonts w:ascii="仿宋" w:hAnsi="仿宋" w:eastAsia="仿宋"/>
          <w:b/>
          <w:sz w:val="24"/>
          <w:szCs w:val="24"/>
        </w:rPr>
        <w:t>3</w:t>
      </w:r>
      <w:r>
        <w:rPr>
          <w:rFonts w:ascii="仿宋" w:hAnsi="仿宋" w:eastAsia="仿宋"/>
          <w:b/>
          <w:sz w:val="24"/>
          <w:szCs w:val="24"/>
        </w:rPr>
        <w:fldChar w:fldCharType="end"/>
      </w:r>
      <w:r>
        <w:rPr>
          <w:rFonts w:ascii="仿宋" w:hAnsi="仿宋" w:eastAsia="仿宋"/>
          <w:b/>
          <w:sz w:val="24"/>
          <w:szCs w:val="24"/>
        </w:rPr>
        <w:fldChar w:fldCharType="end"/>
      </w:r>
    </w:p>
    <w:p w14:paraId="716F7364">
      <w:pPr>
        <w:pStyle w:val="9"/>
        <w:tabs>
          <w:tab w:val="right" w:leader="dot" w:pos="8693"/>
        </w:tabs>
        <w:spacing w:line="264" w:lineRule="auto"/>
        <w:ind w:left="0" w:firstLine="482"/>
        <w:rPr>
          <w:rFonts w:ascii="仿宋" w:hAnsi="仿宋" w:eastAsia="仿宋" w:cstheme="minorBidi"/>
          <w:b/>
          <w:iCs w:val="0"/>
          <w:sz w:val="24"/>
          <w:szCs w:val="24"/>
        </w:rPr>
      </w:pPr>
      <w:r>
        <w:fldChar w:fldCharType="begin"/>
      </w:r>
      <w:r>
        <w:instrText xml:space="preserve"> HYPERLINK \l "_Toc15549364" </w:instrText>
      </w:r>
      <w:r>
        <w:fldChar w:fldCharType="separate"/>
      </w:r>
      <w:r>
        <w:rPr>
          <w:rStyle w:val="26"/>
          <w:rFonts w:hint="eastAsia" w:ascii="仿宋" w:hAnsi="仿宋" w:eastAsia="仿宋" w:cs="Arial Narrow"/>
          <w:b/>
          <w:sz w:val="24"/>
          <w:szCs w:val="24"/>
        </w:rPr>
        <w:t>（四）项目实施情况</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_Toc15549364 \h </w:instrText>
      </w:r>
      <w:r>
        <w:rPr>
          <w:rFonts w:ascii="仿宋" w:hAnsi="仿宋" w:eastAsia="仿宋"/>
          <w:b/>
          <w:sz w:val="24"/>
          <w:szCs w:val="24"/>
        </w:rPr>
        <w:fldChar w:fldCharType="separate"/>
      </w:r>
      <w:r>
        <w:rPr>
          <w:rFonts w:ascii="仿宋" w:hAnsi="仿宋" w:eastAsia="仿宋"/>
          <w:b/>
          <w:sz w:val="24"/>
          <w:szCs w:val="24"/>
        </w:rPr>
        <w:t>4</w:t>
      </w:r>
      <w:r>
        <w:rPr>
          <w:rFonts w:ascii="仿宋" w:hAnsi="仿宋" w:eastAsia="仿宋"/>
          <w:b/>
          <w:sz w:val="24"/>
          <w:szCs w:val="24"/>
        </w:rPr>
        <w:fldChar w:fldCharType="end"/>
      </w:r>
      <w:r>
        <w:rPr>
          <w:rFonts w:ascii="仿宋" w:hAnsi="仿宋" w:eastAsia="仿宋"/>
          <w:b/>
          <w:sz w:val="24"/>
          <w:szCs w:val="24"/>
        </w:rPr>
        <w:fldChar w:fldCharType="end"/>
      </w:r>
    </w:p>
    <w:p w14:paraId="7D00D1FD">
      <w:pPr>
        <w:pStyle w:val="15"/>
        <w:tabs>
          <w:tab w:val="right" w:leader="dot" w:pos="8693"/>
        </w:tabs>
        <w:spacing w:before="0" w:after="0" w:line="264" w:lineRule="auto"/>
        <w:ind w:firstLine="482"/>
        <w:rPr>
          <w:rFonts w:ascii="仿宋" w:hAnsi="仿宋" w:eastAsia="仿宋" w:cstheme="minorBidi"/>
          <w:bCs w:val="0"/>
          <w:caps w:val="0"/>
          <w:sz w:val="24"/>
          <w:szCs w:val="24"/>
        </w:rPr>
      </w:pPr>
      <w:r>
        <w:fldChar w:fldCharType="begin"/>
      </w:r>
      <w:r>
        <w:instrText xml:space="preserve"> HYPERLINK \l "_Toc15549365" </w:instrText>
      </w:r>
      <w:r>
        <w:fldChar w:fldCharType="separate"/>
      </w:r>
      <w:r>
        <w:rPr>
          <w:rStyle w:val="26"/>
          <w:rFonts w:hint="eastAsia" w:ascii="仿宋" w:hAnsi="仿宋" w:eastAsia="仿宋" w:cs="Arial Narrow"/>
          <w:sz w:val="24"/>
          <w:szCs w:val="24"/>
        </w:rPr>
        <w:t>二、绩效评价工作情况</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_Toc15549365 \h </w:instrText>
      </w:r>
      <w:r>
        <w:rPr>
          <w:rFonts w:ascii="仿宋" w:hAnsi="仿宋" w:eastAsia="仿宋"/>
          <w:sz w:val="24"/>
          <w:szCs w:val="24"/>
        </w:rPr>
        <w:fldChar w:fldCharType="separate"/>
      </w:r>
      <w:r>
        <w:rPr>
          <w:rFonts w:ascii="仿宋" w:hAnsi="仿宋" w:eastAsia="仿宋"/>
          <w:sz w:val="24"/>
          <w:szCs w:val="24"/>
        </w:rPr>
        <w:t>4</w:t>
      </w:r>
      <w:r>
        <w:rPr>
          <w:rFonts w:ascii="仿宋" w:hAnsi="仿宋" w:eastAsia="仿宋"/>
          <w:sz w:val="24"/>
          <w:szCs w:val="24"/>
        </w:rPr>
        <w:fldChar w:fldCharType="end"/>
      </w:r>
      <w:r>
        <w:rPr>
          <w:rFonts w:ascii="仿宋" w:hAnsi="仿宋" w:eastAsia="仿宋"/>
          <w:sz w:val="24"/>
          <w:szCs w:val="24"/>
        </w:rPr>
        <w:fldChar w:fldCharType="end"/>
      </w:r>
    </w:p>
    <w:p w14:paraId="39E3F504">
      <w:pPr>
        <w:pStyle w:val="18"/>
        <w:tabs>
          <w:tab w:val="right" w:leader="dot" w:pos="8693"/>
        </w:tabs>
        <w:spacing w:line="264" w:lineRule="auto"/>
        <w:ind w:firstLine="482"/>
        <w:rPr>
          <w:rFonts w:ascii="仿宋" w:hAnsi="仿宋" w:eastAsia="仿宋" w:cstheme="minorBidi"/>
          <w:b/>
          <w:smallCaps w:val="0"/>
          <w:sz w:val="24"/>
          <w:szCs w:val="24"/>
        </w:rPr>
      </w:pPr>
      <w:r>
        <w:fldChar w:fldCharType="begin"/>
      </w:r>
      <w:r>
        <w:instrText xml:space="preserve"> HYPERLINK \l "_Toc15549366" </w:instrText>
      </w:r>
      <w:r>
        <w:fldChar w:fldCharType="separate"/>
      </w:r>
      <w:r>
        <w:rPr>
          <w:rStyle w:val="26"/>
          <w:rFonts w:hint="eastAsia" w:ascii="仿宋" w:hAnsi="仿宋" w:eastAsia="仿宋" w:cs="Arial Narrow"/>
          <w:b/>
          <w:bCs/>
          <w:sz w:val="24"/>
          <w:szCs w:val="24"/>
        </w:rPr>
        <w:t>（一）绩效评价目的</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_Toc15549366 \h </w:instrText>
      </w:r>
      <w:r>
        <w:rPr>
          <w:rFonts w:ascii="仿宋" w:hAnsi="仿宋" w:eastAsia="仿宋"/>
          <w:b/>
          <w:sz w:val="24"/>
          <w:szCs w:val="24"/>
        </w:rPr>
        <w:fldChar w:fldCharType="separate"/>
      </w:r>
      <w:r>
        <w:rPr>
          <w:rFonts w:ascii="仿宋" w:hAnsi="仿宋" w:eastAsia="仿宋"/>
          <w:b/>
          <w:sz w:val="24"/>
          <w:szCs w:val="24"/>
        </w:rPr>
        <w:t>4</w:t>
      </w:r>
      <w:r>
        <w:rPr>
          <w:rFonts w:ascii="仿宋" w:hAnsi="仿宋" w:eastAsia="仿宋"/>
          <w:b/>
          <w:sz w:val="24"/>
          <w:szCs w:val="24"/>
        </w:rPr>
        <w:fldChar w:fldCharType="end"/>
      </w:r>
      <w:r>
        <w:rPr>
          <w:rFonts w:ascii="仿宋" w:hAnsi="仿宋" w:eastAsia="仿宋"/>
          <w:b/>
          <w:sz w:val="24"/>
          <w:szCs w:val="24"/>
        </w:rPr>
        <w:fldChar w:fldCharType="end"/>
      </w:r>
    </w:p>
    <w:p w14:paraId="40F28B04">
      <w:pPr>
        <w:pStyle w:val="18"/>
        <w:tabs>
          <w:tab w:val="right" w:leader="dot" w:pos="8693"/>
        </w:tabs>
        <w:spacing w:line="264" w:lineRule="auto"/>
        <w:ind w:firstLine="482"/>
        <w:rPr>
          <w:rFonts w:ascii="仿宋" w:hAnsi="仿宋" w:eastAsia="仿宋" w:cstheme="minorBidi"/>
          <w:b/>
          <w:smallCaps w:val="0"/>
          <w:sz w:val="24"/>
          <w:szCs w:val="24"/>
        </w:rPr>
      </w:pPr>
      <w:r>
        <w:fldChar w:fldCharType="begin"/>
      </w:r>
      <w:r>
        <w:instrText xml:space="preserve"> HYPERLINK \l "_Toc15549367" </w:instrText>
      </w:r>
      <w:r>
        <w:fldChar w:fldCharType="separate"/>
      </w:r>
      <w:r>
        <w:rPr>
          <w:rStyle w:val="26"/>
          <w:rFonts w:hint="eastAsia" w:ascii="仿宋" w:hAnsi="仿宋" w:eastAsia="仿宋" w:cs="Arial Narrow"/>
          <w:b/>
          <w:bCs/>
          <w:sz w:val="24"/>
          <w:szCs w:val="24"/>
        </w:rPr>
        <w:t>（二）绩效评价工作过程</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_Toc15549367 \h </w:instrText>
      </w:r>
      <w:r>
        <w:rPr>
          <w:rFonts w:ascii="仿宋" w:hAnsi="仿宋" w:eastAsia="仿宋"/>
          <w:b/>
          <w:sz w:val="24"/>
          <w:szCs w:val="24"/>
        </w:rPr>
        <w:fldChar w:fldCharType="separate"/>
      </w:r>
      <w:r>
        <w:rPr>
          <w:rFonts w:ascii="仿宋" w:hAnsi="仿宋" w:eastAsia="仿宋"/>
          <w:b/>
          <w:sz w:val="24"/>
          <w:szCs w:val="24"/>
        </w:rPr>
        <w:t>4</w:t>
      </w:r>
      <w:r>
        <w:rPr>
          <w:rFonts w:ascii="仿宋" w:hAnsi="仿宋" w:eastAsia="仿宋"/>
          <w:b/>
          <w:sz w:val="24"/>
          <w:szCs w:val="24"/>
        </w:rPr>
        <w:fldChar w:fldCharType="end"/>
      </w:r>
      <w:r>
        <w:rPr>
          <w:rFonts w:ascii="仿宋" w:hAnsi="仿宋" w:eastAsia="仿宋"/>
          <w:b/>
          <w:sz w:val="24"/>
          <w:szCs w:val="24"/>
        </w:rPr>
        <w:fldChar w:fldCharType="end"/>
      </w:r>
    </w:p>
    <w:p w14:paraId="627F841F">
      <w:pPr>
        <w:pStyle w:val="18"/>
        <w:tabs>
          <w:tab w:val="right" w:leader="dot" w:pos="8693"/>
        </w:tabs>
        <w:spacing w:line="264" w:lineRule="auto"/>
        <w:ind w:firstLine="482"/>
        <w:rPr>
          <w:rFonts w:ascii="仿宋" w:hAnsi="仿宋" w:eastAsia="仿宋" w:cstheme="minorBidi"/>
          <w:b/>
          <w:smallCaps w:val="0"/>
          <w:sz w:val="24"/>
          <w:szCs w:val="24"/>
        </w:rPr>
      </w:pPr>
      <w:r>
        <w:fldChar w:fldCharType="begin"/>
      </w:r>
      <w:r>
        <w:instrText xml:space="preserve"> HYPERLINK \l "_Toc15549368" </w:instrText>
      </w:r>
      <w:r>
        <w:fldChar w:fldCharType="separate"/>
      </w:r>
      <w:r>
        <w:rPr>
          <w:rStyle w:val="26"/>
          <w:rFonts w:hint="eastAsia" w:ascii="仿宋" w:hAnsi="仿宋" w:eastAsia="仿宋" w:cs="Arial Narrow"/>
          <w:b/>
          <w:sz w:val="24"/>
          <w:szCs w:val="24"/>
        </w:rPr>
        <w:t>（三）绩效评价框架</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_Toc15549368 \h </w:instrText>
      </w:r>
      <w:r>
        <w:rPr>
          <w:rFonts w:ascii="仿宋" w:hAnsi="仿宋" w:eastAsia="仿宋"/>
          <w:b/>
          <w:sz w:val="24"/>
          <w:szCs w:val="24"/>
        </w:rPr>
        <w:fldChar w:fldCharType="separate"/>
      </w:r>
      <w:r>
        <w:rPr>
          <w:rFonts w:ascii="仿宋" w:hAnsi="仿宋" w:eastAsia="仿宋"/>
          <w:b/>
          <w:sz w:val="24"/>
          <w:szCs w:val="24"/>
        </w:rPr>
        <w:t>4</w:t>
      </w:r>
      <w:r>
        <w:rPr>
          <w:rFonts w:ascii="仿宋" w:hAnsi="仿宋" w:eastAsia="仿宋"/>
          <w:b/>
          <w:sz w:val="24"/>
          <w:szCs w:val="24"/>
        </w:rPr>
        <w:fldChar w:fldCharType="end"/>
      </w:r>
      <w:r>
        <w:rPr>
          <w:rFonts w:ascii="仿宋" w:hAnsi="仿宋" w:eastAsia="仿宋"/>
          <w:b/>
          <w:sz w:val="24"/>
          <w:szCs w:val="24"/>
        </w:rPr>
        <w:fldChar w:fldCharType="end"/>
      </w:r>
    </w:p>
    <w:p w14:paraId="03869DEA">
      <w:pPr>
        <w:pStyle w:val="18"/>
        <w:tabs>
          <w:tab w:val="right" w:leader="dot" w:pos="8693"/>
        </w:tabs>
        <w:spacing w:line="264" w:lineRule="auto"/>
        <w:ind w:firstLine="482"/>
        <w:rPr>
          <w:rFonts w:ascii="仿宋" w:hAnsi="仿宋" w:eastAsia="仿宋" w:cstheme="minorBidi"/>
          <w:b/>
          <w:smallCaps w:val="0"/>
          <w:sz w:val="24"/>
          <w:szCs w:val="24"/>
        </w:rPr>
      </w:pPr>
      <w:r>
        <w:fldChar w:fldCharType="begin"/>
      </w:r>
      <w:r>
        <w:instrText xml:space="preserve"> HYPERLINK \l "_Toc15549369" </w:instrText>
      </w:r>
      <w:r>
        <w:fldChar w:fldCharType="separate"/>
      </w:r>
      <w:r>
        <w:rPr>
          <w:rStyle w:val="26"/>
          <w:rFonts w:hint="eastAsia" w:ascii="仿宋" w:hAnsi="仿宋" w:eastAsia="仿宋" w:cs="Arial Narrow"/>
          <w:b/>
          <w:sz w:val="24"/>
          <w:szCs w:val="24"/>
        </w:rPr>
        <w:t>（四）评价抽样情况概述</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_Toc15549369 \h </w:instrText>
      </w:r>
      <w:r>
        <w:rPr>
          <w:rFonts w:ascii="仿宋" w:hAnsi="仿宋" w:eastAsia="仿宋"/>
          <w:b/>
          <w:sz w:val="24"/>
          <w:szCs w:val="24"/>
        </w:rPr>
        <w:fldChar w:fldCharType="separate"/>
      </w:r>
      <w:r>
        <w:rPr>
          <w:rFonts w:ascii="仿宋" w:hAnsi="仿宋" w:eastAsia="仿宋"/>
          <w:b/>
          <w:sz w:val="24"/>
          <w:szCs w:val="24"/>
        </w:rPr>
        <w:t>6</w:t>
      </w:r>
      <w:r>
        <w:rPr>
          <w:rFonts w:ascii="仿宋" w:hAnsi="仿宋" w:eastAsia="仿宋"/>
          <w:b/>
          <w:sz w:val="24"/>
          <w:szCs w:val="24"/>
        </w:rPr>
        <w:fldChar w:fldCharType="end"/>
      </w:r>
      <w:r>
        <w:rPr>
          <w:rFonts w:ascii="仿宋" w:hAnsi="仿宋" w:eastAsia="仿宋"/>
          <w:b/>
          <w:sz w:val="24"/>
          <w:szCs w:val="24"/>
        </w:rPr>
        <w:fldChar w:fldCharType="end"/>
      </w:r>
    </w:p>
    <w:p w14:paraId="5D78E3E1">
      <w:pPr>
        <w:pStyle w:val="15"/>
        <w:tabs>
          <w:tab w:val="right" w:leader="dot" w:pos="8693"/>
        </w:tabs>
        <w:spacing w:before="0" w:after="0" w:line="264" w:lineRule="auto"/>
        <w:ind w:firstLine="482"/>
        <w:rPr>
          <w:rFonts w:ascii="仿宋" w:hAnsi="仿宋" w:eastAsia="仿宋" w:cstheme="minorBidi"/>
          <w:bCs w:val="0"/>
          <w:caps w:val="0"/>
          <w:sz w:val="24"/>
          <w:szCs w:val="24"/>
        </w:rPr>
      </w:pPr>
      <w:r>
        <w:fldChar w:fldCharType="begin"/>
      </w:r>
      <w:r>
        <w:instrText xml:space="preserve"> HYPERLINK \l "_Toc15549370" </w:instrText>
      </w:r>
      <w:r>
        <w:fldChar w:fldCharType="separate"/>
      </w:r>
      <w:r>
        <w:rPr>
          <w:rStyle w:val="26"/>
          <w:rFonts w:hint="eastAsia" w:ascii="仿宋" w:hAnsi="仿宋" w:eastAsia="仿宋" w:cs="Arial Narrow"/>
          <w:sz w:val="24"/>
          <w:szCs w:val="24"/>
        </w:rPr>
        <w:t>三、绩效分析及评价结论</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_Toc15549370 \h </w:instrText>
      </w:r>
      <w:r>
        <w:rPr>
          <w:rFonts w:ascii="仿宋" w:hAnsi="仿宋" w:eastAsia="仿宋"/>
          <w:sz w:val="24"/>
          <w:szCs w:val="24"/>
        </w:rPr>
        <w:fldChar w:fldCharType="separate"/>
      </w:r>
      <w:r>
        <w:rPr>
          <w:rFonts w:ascii="仿宋" w:hAnsi="仿宋" w:eastAsia="仿宋"/>
          <w:sz w:val="24"/>
          <w:szCs w:val="24"/>
        </w:rPr>
        <w:t>6</w:t>
      </w:r>
      <w:r>
        <w:rPr>
          <w:rFonts w:ascii="仿宋" w:hAnsi="仿宋" w:eastAsia="仿宋"/>
          <w:sz w:val="24"/>
          <w:szCs w:val="24"/>
        </w:rPr>
        <w:fldChar w:fldCharType="end"/>
      </w:r>
      <w:r>
        <w:rPr>
          <w:rFonts w:ascii="仿宋" w:hAnsi="仿宋" w:eastAsia="仿宋"/>
          <w:sz w:val="24"/>
          <w:szCs w:val="24"/>
        </w:rPr>
        <w:fldChar w:fldCharType="end"/>
      </w:r>
    </w:p>
    <w:p w14:paraId="64A903D0">
      <w:pPr>
        <w:pStyle w:val="18"/>
        <w:tabs>
          <w:tab w:val="right" w:leader="dot" w:pos="8693"/>
        </w:tabs>
        <w:spacing w:line="264" w:lineRule="auto"/>
        <w:ind w:firstLine="482"/>
        <w:rPr>
          <w:rFonts w:ascii="仿宋" w:hAnsi="仿宋" w:eastAsia="仿宋" w:cstheme="minorBidi"/>
          <w:b/>
          <w:smallCaps w:val="0"/>
          <w:sz w:val="24"/>
          <w:szCs w:val="24"/>
        </w:rPr>
      </w:pPr>
      <w:r>
        <w:fldChar w:fldCharType="begin"/>
      </w:r>
      <w:r>
        <w:instrText xml:space="preserve"> HYPERLINK \l "_Toc15549371" </w:instrText>
      </w:r>
      <w:r>
        <w:fldChar w:fldCharType="separate"/>
      </w:r>
      <w:r>
        <w:rPr>
          <w:rStyle w:val="26"/>
          <w:rFonts w:hint="eastAsia" w:ascii="仿宋" w:hAnsi="仿宋" w:eastAsia="仿宋" w:cs="Arial Narrow"/>
          <w:b/>
          <w:sz w:val="24"/>
          <w:szCs w:val="24"/>
        </w:rPr>
        <w:t>（一）绩效分析</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_Toc15549371 \h </w:instrText>
      </w:r>
      <w:r>
        <w:rPr>
          <w:rFonts w:ascii="仿宋" w:hAnsi="仿宋" w:eastAsia="仿宋"/>
          <w:b/>
          <w:sz w:val="24"/>
          <w:szCs w:val="24"/>
        </w:rPr>
        <w:fldChar w:fldCharType="separate"/>
      </w:r>
      <w:r>
        <w:rPr>
          <w:rFonts w:ascii="仿宋" w:hAnsi="仿宋" w:eastAsia="仿宋"/>
          <w:b/>
          <w:sz w:val="24"/>
          <w:szCs w:val="24"/>
        </w:rPr>
        <w:t>6</w:t>
      </w:r>
      <w:r>
        <w:rPr>
          <w:rFonts w:ascii="仿宋" w:hAnsi="仿宋" w:eastAsia="仿宋"/>
          <w:b/>
          <w:sz w:val="24"/>
          <w:szCs w:val="24"/>
        </w:rPr>
        <w:fldChar w:fldCharType="end"/>
      </w:r>
      <w:r>
        <w:rPr>
          <w:rFonts w:ascii="仿宋" w:hAnsi="仿宋" w:eastAsia="仿宋"/>
          <w:b/>
          <w:sz w:val="24"/>
          <w:szCs w:val="24"/>
        </w:rPr>
        <w:fldChar w:fldCharType="end"/>
      </w:r>
    </w:p>
    <w:p w14:paraId="3B5A5E27">
      <w:pPr>
        <w:pStyle w:val="9"/>
        <w:tabs>
          <w:tab w:val="right" w:leader="dot" w:pos="8693"/>
        </w:tabs>
        <w:spacing w:line="264" w:lineRule="auto"/>
        <w:ind w:firstLine="229" w:firstLineChars="82"/>
        <w:rPr>
          <w:rFonts w:ascii="仿宋" w:hAnsi="仿宋" w:eastAsia="仿宋" w:cstheme="minorBidi"/>
          <w:b/>
          <w:iCs w:val="0"/>
          <w:sz w:val="24"/>
          <w:szCs w:val="24"/>
        </w:rPr>
      </w:pPr>
      <w:r>
        <w:fldChar w:fldCharType="begin"/>
      </w:r>
      <w:r>
        <w:instrText xml:space="preserve"> HYPERLINK \l "_Toc15549372" </w:instrText>
      </w:r>
      <w:r>
        <w:fldChar w:fldCharType="separate"/>
      </w:r>
      <w:r>
        <w:rPr>
          <w:rStyle w:val="26"/>
          <w:rFonts w:ascii="仿宋" w:hAnsi="仿宋" w:eastAsia="仿宋"/>
          <w:b/>
          <w:sz w:val="24"/>
          <w:szCs w:val="24"/>
        </w:rPr>
        <w:t>1</w:t>
      </w:r>
      <w:r>
        <w:rPr>
          <w:rStyle w:val="26"/>
          <w:rFonts w:hint="eastAsia" w:ascii="仿宋" w:hAnsi="仿宋" w:eastAsia="仿宋"/>
          <w:b/>
          <w:sz w:val="24"/>
          <w:szCs w:val="24"/>
        </w:rPr>
        <w:t>、项目投入（</w:t>
      </w:r>
      <w:r>
        <w:rPr>
          <w:rStyle w:val="26"/>
          <w:rFonts w:ascii="仿宋" w:hAnsi="仿宋" w:eastAsia="仿宋"/>
          <w:b/>
          <w:sz w:val="24"/>
          <w:szCs w:val="24"/>
        </w:rPr>
        <w:t>16</w:t>
      </w:r>
      <w:r>
        <w:rPr>
          <w:rStyle w:val="26"/>
          <w:rFonts w:hint="eastAsia" w:ascii="仿宋" w:hAnsi="仿宋" w:eastAsia="仿宋"/>
          <w:b/>
          <w:sz w:val="24"/>
          <w:szCs w:val="24"/>
        </w:rPr>
        <w:t>分）</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_Toc15549372 \h </w:instrText>
      </w:r>
      <w:r>
        <w:rPr>
          <w:rFonts w:ascii="仿宋" w:hAnsi="仿宋" w:eastAsia="仿宋"/>
          <w:b/>
          <w:sz w:val="24"/>
          <w:szCs w:val="24"/>
        </w:rPr>
        <w:fldChar w:fldCharType="separate"/>
      </w:r>
      <w:r>
        <w:rPr>
          <w:rFonts w:ascii="仿宋" w:hAnsi="仿宋" w:eastAsia="仿宋"/>
          <w:b/>
          <w:sz w:val="24"/>
          <w:szCs w:val="24"/>
        </w:rPr>
        <w:t>6</w:t>
      </w:r>
      <w:r>
        <w:rPr>
          <w:rFonts w:ascii="仿宋" w:hAnsi="仿宋" w:eastAsia="仿宋"/>
          <w:b/>
          <w:sz w:val="24"/>
          <w:szCs w:val="24"/>
        </w:rPr>
        <w:fldChar w:fldCharType="end"/>
      </w:r>
      <w:r>
        <w:rPr>
          <w:rFonts w:ascii="仿宋" w:hAnsi="仿宋" w:eastAsia="仿宋"/>
          <w:b/>
          <w:sz w:val="24"/>
          <w:szCs w:val="24"/>
        </w:rPr>
        <w:fldChar w:fldCharType="end"/>
      </w:r>
    </w:p>
    <w:p w14:paraId="0536DBC1">
      <w:pPr>
        <w:pStyle w:val="9"/>
        <w:tabs>
          <w:tab w:val="right" w:leader="dot" w:pos="8693"/>
        </w:tabs>
        <w:spacing w:line="264" w:lineRule="auto"/>
        <w:ind w:firstLine="229" w:firstLineChars="82"/>
        <w:rPr>
          <w:rFonts w:ascii="仿宋" w:hAnsi="仿宋" w:eastAsia="仿宋" w:cstheme="minorBidi"/>
          <w:b/>
          <w:iCs w:val="0"/>
          <w:sz w:val="24"/>
          <w:szCs w:val="24"/>
        </w:rPr>
      </w:pPr>
      <w:r>
        <w:fldChar w:fldCharType="begin"/>
      </w:r>
      <w:r>
        <w:instrText xml:space="preserve"> HYPERLINK \l "_Toc15549373" </w:instrText>
      </w:r>
      <w:r>
        <w:fldChar w:fldCharType="separate"/>
      </w:r>
      <w:r>
        <w:rPr>
          <w:rStyle w:val="26"/>
          <w:rFonts w:ascii="仿宋" w:hAnsi="仿宋" w:eastAsia="仿宋" w:cs="Arial Narrow"/>
          <w:b/>
          <w:sz w:val="24"/>
          <w:szCs w:val="24"/>
        </w:rPr>
        <w:t>2</w:t>
      </w:r>
      <w:r>
        <w:rPr>
          <w:rStyle w:val="26"/>
          <w:rFonts w:hint="eastAsia" w:ascii="仿宋" w:hAnsi="仿宋" w:eastAsia="仿宋" w:cs="Arial Narrow"/>
          <w:b/>
          <w:sz w:val="24"/>
          <w:szCs w:val="24"/>
        </w:rPr>
        <w:t>、决策过程（</w:t>
      </w:r>
      <w:r>
        <w:rPr>
          <w:rStyle w:val="26"/>
          <w:rFonts w:ascii="仿宋" w:hAnsi="仿宋" w:eastAsia="仿宋" w:cs="Arial Narrow"/>
          <w:b/>
          <w:sz w:val="24"/>
          <w:szCs w:val="24"/>
        </w:rPr>
        <w:t>24</w:t>
      </w:r>
      <w:r>
        <w:rPr>
          <w:rStyle w:val="26"/>
          <w:rFonts w:hint="eastAsia" w:ascii="仿宋" w:hAnsi="仿宋" w:eastAsia="仿宋" w:cs="Arial Narrow"/>
          <w:b/>
          <w:sz w:val="24"/>
          <w:szCs w:val="24"/>
        </w:rPr>
        <w:t>分）</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_Toc15549373 \h </w:instrText>
      </w:r>
      <w:r>
        <w:rPr>
          <w:rFonts w:ascii="仿宋" w:hAnsi="仿宋" w:eastAsia="仿宋"/>
          <w:b/>
          <w:sz w:val="24"/>
          <w:szCs w:val="24"/>
        </w:rPr>
        <w:fldChar w:fldCharType="separate"/>
      </w:r>
      <w:r>
        <w:rPr>
          <w:rFonts w:ascii="仿宋" w:hAnsi="仿宋" w:eastAsia="仿宋"/>
          <w:b/>
          <w:sz w:val="24"/>
          <w:szCs w:val="24"/>
        </w:rPr>
        <w:t>7</w:t>
      </w:r>
      <w:r>
        <w:rPr>
          <w:rFonts w:ascii="仿宋" w:hAnsi="仿宋" w:eastAsia="仿宋"/>
          <w:b/>
          <w:sz w:val="24"/>
          <w:szCs w:val="24"/>
        </w:rPr>
        <w:fldChar w:fldCharType="end"/>
      </w:r>
      <w:r>
        <w:rPr>
          <w:rFonts w:ascii="仿宋" w:hAnsi="仿宋" w:eastAsia="仿宋"/>
          <w:b/>
          <w:sz w:val="24"/>
          <w:szCs w:val="24"/>
        </w:rPr>
        <w:fldChar w:fldCharType="end"/>
      </w:r>
    </w:p>
    <w:p w14:paraId="62347339">
      <w:pPr>
        <w:pStyle w:val="9"/>
        <w:tabs>
          <w:tab w:val="right" w:leader="dot" w:pos="8693"/>
        </w:tabs>
        <w:spacing w:line="264" w:lineRule="auto"/>
        <w:ind w:firstLine="229" w:firstLineChars="82"/>
        <w:rPr>
          <w:rFonts w:ascii="仿宋" w:hAnsi="仿宋" w:eastAsia="仿宋" w:cstheme="minorBidi"/>
          <w:b/>
          <w:iCs w:val="0"/>
          <w:sz w:val="24"/>
          <w:szCs w:val="24"/>
        </w:rPr>
      </w:pPr>
      <w:r>
        <w:fldChar w:fldCharType="begin"/>
      </w:r>
      <w:r>
        <w:instrText xml:space="preserve"> HYPERLINK \l "_Toc15549374" </w:instrText>
      </w:r>
      <w:r>
        <w:fldChar w:fldCharType="separate"/>
      </w:r>
      <w:r>
        <w:rPr>
          <w:rStyle w:val="26"/>
          <w:rFonts w:ascii="仿宋" w:hAnsi="仿宋" w:eastAsia="仿宋" w:cs="Arial Narrow"/>
          <w:b/>
          <w:sz w:val="24"/>
          <w:szCs w:val="24"/>
        </w:rPr>
        <w:t>3</w:t>
      </w:r>
      <w:r>
        <w:rPr>
          <w:rStyle w:val="26"/>
          <w:rFonts w:hint="eastAsia" w:ascii="仿宋" w:hAnsi="仿宋" w:eastAsia="仿宋" w:cs="Arial Narrow"/>
          <w:b/>
          <w:sz w:val="24"/>
          <w:szCs w:val="24"/>
        </w:rPr>
        <w:t>、项目产出（</w:t>
      </w:r>
      <w:r>
        <w:rPr>
          <w:rStyle w:val="26"/>
          <w:rFonts w:ascii="仿宋" w:hAnsi="仿宋" w:eastAsia="仿宋" w:cs="Arial Narrow"/>
          <w:b/>
          <w:sz w:val="24"/>
          <w:szCs w:val="24"/>
        </w:rPr>
        <w:t>28</w:t>
      </w:r>
      <w:r>
        <w:rPr>
          <w:rStyle w:val="26"/>
          <w:rFonts w:hint="eastAsia" w:ascii="仿宋" w:hAnsi="仿宋" w:eastAsia="仿宋" w:cs="Arial Narrow"/>
          <w:b/>
          <w:sz w:val="24"/>
          <w:szCs w:val="24"/>
        </w:rPr>
        <w:t>分）</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_Toc15549374 \h </w:instrText>
      </w:r>
      <w:r>
        <w:rPr>
          <w:rFonts w:ascii="仿宋" w:hAnsi="仿宋" w:eastAsia="仿宋"/>
          <w:b/>
          <w:sz w:val="24"/>
          <w:szCs w:val="24"/>
        </w:rPr>
        <w:fldChar w:fldCharType="separate"/>
      </w:r>
      <w:r>
        <w:rPr>
          <w:rFonts w:ascii="仿宋" w:hAnsi="仿宋" w:eastAsia="仿宋"/>
          <w:b/>
          <w:sz w:val="24"/>
          <w:szCs w:val="24"/>
        </w:rPr>
        <w:t>9</w:t>
      </w:r>
      <w:r>
        <w:rPr>
          <w:rFonts w:ascii="仿宋" w:hAnsi="仿宋" w:eastAsia="仿宋"/>
          <w:b/>
          <w:sz w:val="24"/>
          <w:szCs w:val="24"/>
        </w:rPr>
        <w:fldChar w:fldCharType="end"/>
      </w:r>
      <w:r>
        <w:rPr>
          <w:rFonts w:ascii="仿宋" w:hAnsi="仿宋" w:eastAsia="仿宋"/>
          <w:b/>
          <w:sz w:val="24"/>
          <w:szCs w:val="24"/>
        </w:rPr>
        <w:fldChar w:fldCharType="end"/>
      </w:r>
    </w:p>
    <w:p w14:paraId="0595B276">
      <w:pPr>
        <w:pStyle w:val="9"/>
        <w:tabs>
          <w:tab w:val="right" w:leader="dot" w:pos="8693"/>
        </w:tabs>
        <w:spacing w:line="264" w:lineRule="auto"/>
        <w:ind w:firstLine="229" w:firstLineChars="82"/>
        <w:rPr>
          <w:rFonts w:ascii="仿宋" w:hAnsi="仿宋" w:eastAsia="仿宋" w:cstheme="minorBidi"/>
          <w:b/>
          <w:iCs w:val="0"/>
          <w:sz w:val="24"/>
          <w:szCs w:val="24"/>
        </w:rPr>
      </w:pPr>
      <w:r>
        <w:fldChar w:fldCharType="begin"/>
      </w:r>
      <w:r>
        <w:instrText xml:space="preserve"> HYPERLINK \l "_Toc15549375" </w:instrText>
      </w:r>
      <w:r>
        <w:fldChar w:fldCharType="separate"/>
      </w:r>
      <w:r>
        <w:rPr>
          <w:rStyle w:val="26"/>
          <w:rFonts w:ascii="仿宋" w:hAnsi="仿宋" w:eastAsia="仿宋" w:cs="Arial Narrow"/>
          <w:b/>
          <w:sz w:val="24"/>
          <w:szCs w:val="24"/>
        </w:rPr>
        <w:t>4</w:t>
      </w:r>
      <w:r>
        <w:rPr>
          <w:rStyle w:val="26"/>
          <w:rFonts w:hint="eastAsia" w:ascii="仿宋" w:hAnsi="仿宋" w:eastAsia="仿宋" w:cs="Arial Narrow"/>
          <w:b/>
          <w:sz w:val="24"/>
          <w:szCs w:val="24"/>
        </w:rPr>
        <w:t>、项目效果（</w:t>
      </w:r>
      <w:r>
        <w:rPr>
          <w:rStyle w:val="26"/>
          <w:rFonts w:ascii="仿宋" w:hAnsi="仿宋" w:eastAsia="仿宋" w:cs="Arial Narrow"/>
          <w:b/>
          <w:sz w:val="24"/>
          <w:szCs w:val="24"/>
        </w:rPr>
        <w:t>32</w:t>
      </w:r>
      <w:r>
        <w:rPr>
          <w:rStyle w:val="26"/>
          <w:rFonts w:hint="eastAsia" w:ascii="仿宋" w:hAnsi="仿宋" w:eastAsia="仿宋" w:cs="Arial Narrow"/>
          <w:b/>
          <w:sz w:val="24"/>
          <w:szCs w:val="24"/>
        </w:rPr>
        <w:t>分）</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_Toc15549375 \h </w:instrText>
      </w:r>
      <w:r>
        <w:rPr>
          <w:rFonts w:ascii="仿宋" w:hAnsi="仿宋" w:eastAsia="仿宋"/>
          <w:b/>
          <w:sz w:val="24"/>
          <w:szCs w:val="24"/>
        </w:rPr>
        <w:fldChar w:fldCharType="separate"/>
      </w:r>
      <w:r>
        <w:rPr>
          <w:rFonts w:ascii="仿宋" w:hAnsi="仿宋" w:eastAsia="仿宋"/>
          <w:b/>
          <w:sz w:val="24"/>
          <w:szCs w:val="24"/>
        </w:rPr>
        <w:t>9</w:t>
      </w:r>
      <w:r>
        <w:rPr>
          <w:rFonts w:ascii="仿宋" w:hAnsi="仿宋" w:eastAsia="仿宋"/>
          <w:b/>
          <w:sz w:val="24"/>
          <w:szCs w:val="24"/>
        </w:rPr>
        <w:fldChar w:fldCharType="end"/>
      </w:r>
      <w:r>
        <w:rPr>
          <w:rFonts w:ascii="仿宋" w:hAnsi="仿宋" w:eastAsia="仿宋"/>
          <w:b/>
          <w:sz w:val="24"/>
          <w:szCs w:val="24"/>
        </w:rPr>
        <w:fldChar w:fldCharType="end"/>
      </w:r>
    </w:p>
    <w:p w14:paraId="1683CDEC">
      <w:pPr>
        <w:pStyle w:val="18"/>
        <w:tabs>
          <w:tab w:val="right" w:leader="dot" w:pos="8693"/>
        </w:tabs>
        <w:spacing w:line="264" w:lineRule="auto"/>
        <w:ind w:firstLine="482"/>
        <w:rPr>
          <w:rFonts w:ascii="仿宋" w:hAnsi="仿宋" w:eastAsia="仿宋" w:cstheme="minorBidi"/>
          <w:b/>
          <w:smallCaps w:val="0"/>
          <w:sz w:val="24"/>
          <w:szCs w:val="24"/>
        </w:rPr>
      </w:pPr>
      <w:r>
        <w:fldChar w:fldCharType="begin"/>
      </w:r>
      <w:r>
        <w:instrText xml:space="preserve"> HYPERLINK \l "_Toc15549376" </w:instrText>
      </w:r>
      <w:r>
        <w:fldChar w:fldCharType="separate"/>
      </w:r>
      <w:r>
        <w:rPr>
          <w:rStyle w:val="26"/>
          <w:rFonts w:hint="eastAsia" w:ascii="仿宋" w:hAnsi="仿宋" w:eastAsia="仿宋" w:cs="Arial Narrow"/>
          <w:b/>
          <w:sz w:val="24"/>
          <w:szCs w:val="24"/>
        </w:rPr>
        <w:t>（二）评价结论</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_Toc15549376 \h </w:instrText>
      </w:r>
      <w:r>
        <w:rPr>
          <w:rFonts w:ascii="仿宋" w:hAnsi="仿宋" w:eastAsia="仿宋"/>
          <w:b/>
          <w:sz w:val="24"/>
          <w:szCs w:val="24"/>
        </w:rPr>
        <w:fldChar w:fldCharType="separate"/>
      </w:r>
      <w:r>
        <w:rPr>
          <w:rFonts w:ascii="仿宋" w:hAnsi="仿宋" w:eastAsia="仿宋"/>
          <w:b/>
          <w:sz w:val="24"/>
          <w:szCs w:val="24"/>
        </w:rPr>
        <w:t>10</w:t>
      </w:r>
      <w:r>
        <w:rPr>
          <w:rFonts w:ascii="仿宋" w:hAnsi="仿宋" w:eastAsia="仿宋"/>
          <w:b/>
          <w:sz w:val="24"/>
          <w:szCs w:val="24"/>
        </w:rPr>
        <w:fldChar w:fldCharType="end"/>
      </w:r>
      <w:r>
        <w:rPr>
          <w:rFonts w:ascii="仿宋" w:hAnsi="仿宋" w:eastAsia="仿宋"/>
          <w:b/>
          <w:sz w:val="24"/>
          <w:szCs w:val="24"/>
        </w:rPr>
        <w:fldChar w:fldCharType="end"/>
      </w:r>
    </w:p>
    <w:p w14:paraId="13929DB3">
      <w:pPr>
        <w:pStyle w:val="15"/>
        <w:tabs>
          <w:tab w:val="right" w:leader="dot" w:pos="8693"/>
        </w:tabs>
        <w:spacing w:before="0" w:after="0" w:line="264" w:lineRule="auto"/>
        <w:ind w:firstLine="482"/>
        <w:rPr>
          <w:rFonts w:ascii="仿宋" w:hAnsi="仿宋" w:eastAsia="仿宋" w:cstheme="minorBidi"/>
          <w:bCs w:val="0"/>
          <w:caps w:val="0"/>
          <w:sz w:val="24"/>
          <w:szCs w:val="24"/>
        </w:rPr>
      </w:pPr>
      <w:r>
        <w:fldChar w:fldCharType="begin"/>
      </w:r>
      <w:r>
        <w:instrText xml:space="preserve"> HYPERLINK \l "_Toc15549377" </w:instrText>
      </w:r>
      <w:r>
        <w:fldChar w:fldCharType="separate"/>
      </w:r>
      <w:r>
        <w:rPr>
          <w:rStyle w:val="26"/>
          <w:rFonts w:hint="eastAsia" w:ascii="仿宋" w:hAnsi="仿宋" w:eastAsia="仿宋" w:cs="Arial Narrow"/>
          <w:sz w:val="24"/>
          <w:szCs w:val="24"/>
        </w:rPr>
        <w:t>四、主要经验及做法、存在的问题和建议</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_Toc15549377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14:paraId="7E4AF8E7">
      <w:pPr>
        <w:pStyle w:val="9"/>
        <w:tabs>
          <w:tab w:val="right" w:leader="dot" w:pos="8693"/>
        </w:tabs>
        <w:spacing w:line="264" w:lineRule="auto"/>
        <w:ind w:left="0" w:firstLine="482"/>
        <w:rPr>
          <w:rFonts w:ascii="仿宋" w:hAnsi="仿宋" w:eastAsia="仿宋" w:cstheme="minorBidi"/>
          <w:b/>
          <w:iCs w:val="0"/>
          <w:sz w:val="24"/>
          <w:szCs w:val="24"/>
        </w:rPr>
      </w:pPr>
      <w:r>
        <w:fldChar w:fldCharType="begin"/>
      </w:r>
      <w:r>
        <w:instrText xml:space="preserve"> HYPERLINK \l "_Toc15549378" </w:instrText>
      </w:r>
      <w:r>
        <w:fldChar w:fldCharType="separate"/>
      </w:r>
      <w:r>
        <w:rPr>
          <w:rStyle w:val="26"/>
          <w:rFonts w:hint="eastAsia" w:ascii="仿宋" w:hAnsi="仿宋" w:eastAsia="仿宋" w:cs="Arial Narrow"/>
          <w:b/>
          <w:sz w:val="24"/>
          <w:szCs w:val="24"/>
        </w:rPr>
        <w:t>（一）主要经验及做法</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_Toc15549378 \h </w:instrText>
      </w:r>
      <w:r>
        <w:rPr>
          <w:rFonts w:ascii="仿宋" w:hAnsi="仿宋" w:eastAsia="仿宋"/>
          <w:b/>
          <w:sz w:val="24"/>
          <w:szCs w:val="24"/>
        </w:rPr>
        <w:fldChar w:fldCharType="separate"/>
      </w:r>
      <w:r>
        <w:rPr>
          <w:rFonts w:ascii="仿宋" w:hAnsi="仿宋" w:eastAsia="仿宋"/>
          <w:b/>
          <w:sz w:val="24"/>
          <w:szCs w:val="24"/>
        </w:rPr>
        <w:t>11</w:t>
      </w:r>
      <w:r>
        <w:rPr>
          <w:rFonts w:ascii="仿宋" w:hAnsi="仿宋" w:eastAsia="仿宋"/>
          <w:b/>
          <w:sz w:val="24"/>
          <w:szCs w:val="24"/>
        </w:rPr>
        <w:fldChar w:fldCharType="end"/>
      </w:r>
      <w:r>
        <w:rPr>
          <w:rFonts w:ascii="仿宋" w:hAnsi="仿宋" w:eastAsia="仿宋"/>
          <w:b/>
          <w:sz w:val="24"/>
          <w:szCs w:val="24"/>
        </w:rPr>
        <w:fldChar w:fldCharType="end"/>
      </w:r>
    </w:p>
    <w:p w14:paraId="2D8067B2">
      <w:pPr>
        <w:pStyle w:val="9"/>
        <w:tabs>
          <w:tab w:val="right" w:leader="dot" w:pos="8693"/>
        </w:tabs>
        <w:spacing w:line="264" w:lineRule="auto"/>
        <w:ind w:left="0" w:firstLine="482"/>
        <w:rPr>
          <w:rFonts w:ascii="仿宋" w:hAnsi="仿宋" w:eastAsia="仿宋" w:cstheme="minorBidi"/>
          <w:b/>
          <w:iCs w:val="0"/>
          <w:sz w:val="24"/>
          <w:szCs w:val="24"/>
        </w:rPr>
      </w:pPr>
      <w:r>
        <w:fldChar w:fldCharType="begin"/>
      </w:r>
      <w:r>
        <w:instrText xml:space="preserve"> HYPERLINK \l "_Toc15549379" </w:instrText>
      </w:r>
      <w:r>
        <w:fldChar w:fldCharType="separate"/>
      </w:r>
      <w:r>
        <w:rPr>
          <w:rStyle w:val="26"/>
          <w:rFonts w:hint="eastAsia" w:ascii="仿宋" w:hAnsi="仿宋" w:eastAsia="仿宋" w:cs="Arial Narrow"/>
          <w:b/>
          <w:sz w:val="24"/>
          <w:szCs w:val="24"/>
        </w:rPr>
        <w:t>（二）存在的问题</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_Toc15549379 \h </w:instrText>
      </w:r>
      <w:r>
        <w:rPr>
          <w:rFonts w:ascii="仿宋" w:hAnsi="仿宋" w:eastAsia="仿宋"/>
          <w:b/>
          <w:sz w:val="24"/>
          <w:szCs w:val="24"/>
        </w:rPr>
        <w:fldChar w:fldCharType="separate"/>
      </w:r>
      <w:r>
        <w:rPr>
          <w:rFonts w:ascii="仿宋" w:hAnsi="仿宋" w:eastAsia="仿宋"/>
          <w:b/>
          <w:sz w:val="24"/>
          <w:szCs w:val="24"/>
        </w:rPr>
        <w:t>11</w:t>
      </w:r>
      <w:r>
        <w:rPr>
          <w:rFonts w:ascii="仿宋" w:hAnsi="仿宋" w:eastAsia="仿宋"/>
          <w:b/>
          <w:sz w:val="24"/>
          <w:szCs w:val="24"/>
        </w:rPr>
        <w:fldChar w:fldCharType="end"/>
      </w:r>
      <w:r>
        <w:rPr>
          <w:rFonts w:ascii="仿宋" w:hAnsi="仿宋" w:eastAsia="仿宋"/>
          <w:b/>
          <w:sz w:val="24"/>
          <w:szCs w:val="24"/>
        </w:rPr>
        <w:fldChar w:fldCharType="end"/>
      </w:r>
    </w:p>
    <w:p w14:paraId="01300EA2">
      <w:pPr>
        <w:pStyle w:val="9"/>
        <w:tabs>
          <w:tab w:val="right" w:leader="dot" w:pos="8693"/>
        </w:tabs>
        <w:spacing w:line="264" w:lineRule="auto"/>
        <w:ind w:left="0" w:firstLine="482"/>
        <w:rPr>
          <w:rFonts w:ascii="仿宋" w:hAnsi="仿宋" w:eastAsia="仿宋" w:cstheme="minorBidi"/>
          <w:b/>
          <w:iCs w:val="0"/>
          <w:sz w:val="24"/>
          <w:szCs w:val="24"/>
        </w:rPr>
      </w:pPr>
      <w:r>
        <w:fldChar w:fldCharType="begin"/>
      </w:r>
      <w:r>
        <w:instrText xml:space="preserve"> HYPERLINK \l "_Toc15549380" </w:instrText>
      </w:r>
      <w:r>
        <w:fldChar w:fldCharType="separate"/>
      </w:r>
      <w:r>
        <w:rPr>
          <w:rStyle w:val="26"/>
          <w:rFonts w:hint="eastAsia" w:ascii="仿宋" w:hAnsi="仿宋" w:eastAsia="仿宋" w:cs="Arial Narrow"/>
          <w:b/>
          <w:sz w:val="24"/>
          <w:szCs w:val="24"/>
        </w:rPr>
        <w:t>（三）建议</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_Toc15549380 \h </w:instrText>
      </w:r>
      <w:r>
        <w:rPr>
          <w:rFonts w:ascii="仿宋" w:hAnsi="仿宋" w:eastAsia="仿宋"/>
          <w:b/>
          <w:sz w:val="24"/>
          <w:szCs w:val="24"/>
        </w:rPr>
        <w:fldChar w:fldCharType="separate"/>
      </w:r>
      <w:r>
        <w:rPr>
          <w:rFonts w:ascii="仿宋" w:hAnsi="仿宋" w:eastAsia="仿宋"/>
          <w:b/>
          <w:sz w:val="24"/>
          <w:szCs w:val="24"/>
        </w:rPr>
        <w:t>11</w:t>
      </w:r>
      <w:r>
        <w:rPr>
          <w:rFonts w:ascii="仿宋" w:hAnsi="仿宋" w:eastAsia="仿宋"/>
          <w:b/>
          <w:sz w:val="24"/>
          <w:szCs w:val="24"/>
        </w:rPr>
        <w:fldChar w:fldCharType="end"/>
      </w:r>
      <w:r>
        <w:rPr>
          <w:rFonts w:ascii="仿宋" w:hAnsi="仿宋" w:eastAsia="仿宋"/>
          <w:b/>
          <w:sz w:val="24"/>
          <w:szCs w:val="24"/>
        </w:rPr>
        <w:fldChar w:fldCharType="end"/>
      </w:r>
    </w:p>
    <w:p w14:paraId="10FE685D">
      <w:pPr>
        <w:pStyle w:val="15"/>
        <w:tabs>
          <w:tab w:val="right" w:leader="dot" w:pos="8693"/>
        </w:tabs>
        <w:spacing w:before="0" w:after="0" w:line="264" w:lineRule="auto"/>
        <w:ind w:firstLine="482"/>
        <w:rPr>
          <w:rFonts w:ascii="仿宋" w:hAnsi="仿宋" w:eastAsia="仿宋" w:cstheme="minorBidi"/>
          <w:bCs w:val="0"/>
          <w:caps w:val="0"/>
          <w:sz w:val="24"/>
          <w:szCs w:val="24"/>
        </w:rPr>
      </w:pPr>
      <w:r>
        <w:fldChar w:fldCharType="begin"/>
      </w:r>
      <w:r>
        <w:instrText xml:space="preserve"> HYPERLINK \l "_Toc15549381" </w:instrText>
      </w:r>
      <w:r>
        <w:fldChar w:fldCharType="separate"/>
      </w:r>
      <w:r>
        <w:rPr>
          <w:rStyle w:val="26"/>
          <w:rFonts w:hint="eastAsia" w:ascii="仿宋" w:hAnsi="仿宋" w:eastAsia="仿宋" w:cs="Arial Narrow"/>
          <w:sz w:val="24"/>
          <w:szCs w:val="24"/>
        </w:rPr>
        <w:t>五、其他需说明的问题</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_Toc15549381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14:paraId="012A37EF">
      <w:pPr>
        <w:pStyle w:val="18"/>
        <w:tabs>
          <w:tab w:val="right" w:leader="dot" w:pos="8693"/>
        </w:tabs>
        <w:spacing w:line="264" w:lineRule="auto"/>
        <w:ind w:firstLine="482"/>
        <w:rPr>
          <w:rFonts w:ascii="仿宋" w:hAnsi="仿宋" w:eastAsia="仿宋" w:cstheme="minorBidi"/>
          <w:b/>
          <w:smallCaps w:val="0"/>
          <w:sz w:val="24"/>
          <w:szCs w:val="24"/>
        </w:rPr>
      </w:pPr>
      <w:r>
        <w:fldChar w:fldCharType="begin"/>
      </w:r>
      <w:r>
        <w:instrText xml:space="preserve"> HYPERLINK \l "_Toc15549382" </w:instrText>
      </w:r>
      <w:r>
        <w:fldChar w:fldCharType="separate"/>
      </w:r>
      <w:r>
        <w:rPr>
          <w:rStyle w:val="26"/>
          <w:rFonts w:hint="eastAsia" w:ascii="仿宋" w:hAnsi="仿宋" w:eastAsia="仿宋" w:cs="Arial Narrow"/>
          <w:b/>
          <w:sz w:val="24"/>
          <w:szCs w:val="24"/>
        </w:rPr>
        <w:t>（一）关于评价责任的说明</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_Toc15549382 \h </w:instrText>
      </w:r>
      <w:r>
        <w:rPr>
          <w:rFonts w:ascii="仿宋" w:hAnsi="仿宋" w:eastAsia="仿宋"/>
          <w:b/>
          <w:sz w:val="24"/>
          <w:szCs w:val="24"/>
        </w:rPr>
        <w:fldChar w:fldCharType="separate"/>
      </w:r>
      <w:r>
        <w:rPr>
          <w:rFonts w:ascii="仿宋" w:hAnsi="仿宋" w:eastAsia="仿宋"/>
          <w:b/>
          <w:sz w:val="24"/>
          <w:szCs w:val="24"/>
        </w:rPr>
        <w:t>11</w:t>
      </w:r>
      <w:r>
        <w:rPr>
          <w:rFonts w:ascii="仿宋" w:hAnsi="仿宋" w:eastAsia="仿宋"/>
          <w:b/>
          <w:sz w:val="24"/>
          <w:szCs w:val="24"/>
        </w:rPr>
        <w:fldChar w:fldCharType="end"/>
      </w:r>
      <w:r>
        <w:rPr>
          <w:rFonts w:ascii="仿宋" w:hAnsi="仿宋" w:eastAsia="仿宋"/>
          <w:b/>
          <w:sz w:val="24"/>
          <w:szCs w:val="24"/>
        </w:rPr>
        <w:fldChar w:fldCharType="end"/>
      </w:r>
    </w:p>
    <w:p w14:paraId="1FA14344">
      <w:pPr>
        <w:pStyle w:val="18"/>
        <w:tabs>
          <w:tab w:val="right" w:leader="dot" w:pos="8693"/>
        </w:tabs>
        <w:spacing w:line="264" w:lineRule="auto"/>
        <w:ind w:firstLine="482"/>
        <w:rPr>
          <w:rFonts w:hint="default" w:ascii="仿宋" w:hAnsi="仿宋" w:eastAsia="仿宋"/>
          <w:b/>
          <w:sz w:val="24"/>
          <w:szCs w:val="24"/>
          <w:lang w:val="en-US" w:eastAsia="zh-CN"/>
        </w:rPr>
      </w:pPr>
      <w:r>
        <w:fldChar w:fldCharType="begin"/>
      </w:r>
      <w:r>
        <w:instrText xml:space="preserve"> HYPERLINK \l "_Toc15549383" </w:instrText>
      </w:r>
      <w:r>
        <w:fldChar w:fldCharType="separate"/>
      </w:r>
      <w:r>
        <w:rPr>
          <w:rStyle w:val="26"/>
          <w:rFonts w:hint="eastAsia" w:ascii="仿宋" w:hAnsi="仿宋" w:eastAsia="仿宋" w:cs="Arial Narrow"/>
          <w:b/>
          <w:sz w:val="24"/>
          <w:szCs w:val="24"/>
        </w:rPr>
        <w:t>（二）关于本项目评价中存在的局限性的说明</w:t>
      </w:r>
      <w:r>
        <w:rPr>
          <w:rFonts w:ascii="仿宋" w:hAnsi="仿宋" w:eastAsia="仿宋"/>
          <w:b/>
          <w:sz w:val="24"/>
          <w:szCs w:val="24"/>
        </w:rPr>
        <w:tab/>
      </w:r>
      <w:r>
        <w:rPr>
          <w:rFonts w:hint="eastAsia" w:ascii="仿宋" w:hAnsi="仿宋" w:eastAsia="仿宋"/>
          <w:b/>
          <w:sz w:val="24"/>
          <w:szCs w:val="24"/>
          <w:lang w:val="en-US" w:eastAsia="zh-CN"/>
        </w:rPr>
        <w:t>11</w:t>
      </w:r>
    </w:p>
    <w:p w14:paraId="725C65ED">
      <w:pPr>
        <w:pStyle w:val="18"/>
        <w:tabs>
          <w:tab w:val="right" w:leader="dot" w:pos="8693"/>
        </w:tabs>
        <w:spacing w:line="264" w:lineRule="auto"/>
        <w:ind w:firstLine="482"/>
        <w:rPr>
          <w:rFonts w:ascii="仿宋" w:hAnsi="仿宋" w:eastAsia="仿宋"/>
          <w:b/>
          <w:sz w:val="24"/>
          <w:szCs w:val="24"/>
        </w:rPr>
      </w:pPr>
      <w:r>
        <w:rPr>
          <w:rFonts w:hint="eastAsia" w:ascii="仿宋" w:hAnsi="仿宋" w:eastAsia="仿宋"/>
          <w:b/>
          <w:sz w:val="24"/>
          <w:szCs w:val="24"/>
          <w:lang w:val="en-US" w:eastAsia="zh-CN"/>
        </w:rPr>
        <w:t>附件</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_Toc15549383 \h </w:instrText>
      </w:r>
      <w:r>
        <w:rPr>
          <w:rFonts w:ascii="仿宋" w:hAnsi="仿宋" w:eastAsia="仿宋"/>
          <w:b/>
          <w:sz w:val="24"/>
          <w:szCs w:val="24"/>
        </w:rPr>
        <w:fldChar w:fldCharType="separate"/>
      </w:r>
      <w:r>
        <w:rPr>
          <w:rFonts w:ascii="仿宋" w:hAnsi="仿宋" w:eastAsia="仿宋"/>
          <w:b/>
          <w:sz w:val="24"/>
          <w:szCs w:val="24"/>
        </w:rPr>
        <w:t>1</w:t>
      </w:r>
      <w:r>
        <w:rPr>
          <w:rFonts w:hint="eastAsia" w:ascii="仿宋" w:hAnsi="仿宋" w:eastAsia="仿宋"/>
          <w:b/>
          <w:sz w:val="24"/>
          <w:szCs w:val="24"/>
          <w:lang w:val="en-US" w:eastAsia="zh-CN"/>
        </w:rPr>
        <w:t>2</w:t>
      </w:r>
      <w:r>
        <w:rPr>
          <w:rFonts w:ascii="仿宋" w:hAnsi="仿宋" w:eastAsia="仿宋"/>
          <w:b/>
          <w:sz w:val="24"/>
          <w:szCs w:val="24"/>
        </w:rPr>
        <w:fldChar w:fldCharType="end"/>
      </w:r>
      <w:r>
        <w:rPr>
          <w:rFonts w:ascii="仿宋" w:hAnsi="仿宋" w:eastAsia="仿宋"/>
          <w:b/>
          <w:sz w:val="24"/>
          <w:szCs w:val="24"/>
        </w:rPr>
        <w:fldChar w:fldCharType="end"/>
      </w:r>
    </w:p>
    <w:p w14:paraId="11C22AC2">
      <w:pPr>
        <w:tabs>
          <w:tab w:val="left" w:pos="1521"/>
        </w:tabs>
        <w:rPr>
          <w:rFonts w:hint="eastAsia" w:eastAsia="仿宋_GB2312"/>
          <w:lang w:eastAsia="zh-CN"/>
        </w:rPr>
      </w:pPr>
    </w:p>
    <w:p w14:paraId="0FA6417C">
      <w:pPr>
        <w:ind w:left="0" w:leftChars="0" w:firstLine="0" w:firstLineChars="0"/>
      </w:pPr>
    </w:p>
    <w:p w14:paraId="449EF537">
      <w:pPr>
        <w:spacing w:line="264" w:lineRule="auto"/>
        <w:ind w:left="0" w:leftChars="0" w:firstLine="0" w:firstLineChars="0"/>
        <w:rPr>
          <w:rFonts w:ascii="华文宋体" w:hAnsi="华文宋体" w:eastAsia="华文宋体" w:cs="Arial Narrow"/>
          <w:sz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406" w:bottom="1089" w:left="1800" w:header="1134" w:footer="1134" w:gutter="0"/>
          <w:pgNumType w:start="1"/>
          <w:cols w:space="720" w:num="1"/>
          <w:docGrid w:type="lines" w:linePitch="408" w:charSpace="0"/>
        </w:sectPr>
      </w:pPr>
      <w:r>
        <w:rPr>
          <w:rFonts w:ascii="仿宋" w:hAnsi="仿宋" w:eastAsia="仿宋"/>
          <w:b/>
          <w:bCs/>
          <w:lang w:val="zh-CN"/>
        </w:rPr>
        <w:fldChar w:fldCharType="end"/>
      </w:r>
      <w:bookmarkStart w:id="0" w:name="_Toc15549426"/>
      <w:bookmarkStart w:id="1" w:name="_Toc14165722"/>
      <w:bookmarkStart w:id="2" w:name="_Toc15549359"/>
      <w:bookmarkStart w:id="3" w:name="_Toc406666351"/>
      <w:bookmarkStart w:id="4" w:name="_Toc406668024"/>
    </w:p>
    <w:p w14:paraId="0337AC09">
      <w:pPr>
        <w:pStyle w:val="2"/>
        <w:jc w:val="center"/>
        <w:rPr>
          <w:rFonts w:ascii="华文宋体" w:hAnsi="华文宋体" w:eastAsia="华文宋体" w:cs="Arial Narrow"/>
          <w:b w:val="0"/>
          <w:sz w:val="36"/>
        </w:rPr>
      </w:pPr>
      <w:r>
        <w:rPr>
          <w:rFonts w:hint="eastAsia" w:ascii="华文宋体" w:hAnsi="华文宋体" w:eastAsia="华文宋体" w:cs="Arial Narrow"/>
          <w:sz w:val="36"/>
        </w:rPr>
        <w:t>摘   要</w:t>
      </w:r>
      <w:bookmarkEnd w:id="0"/>
      <w:bookmarkEnd w:id="1"/>
      <w:bookmarkEnd w:id="2"/>
    </w:p>
    <w:p w14:paraId="703BF3A6">
      <w:pPr>
        <w:pStyle w:val="40"/>
        <w:numPr>
          <w:ilvl w:val="0"/>
          <w:numId w:val="1"/>
        </w:numPr>
        <w:ind w:firstLineChars="0"/>
        <w:jc w:val="left"/>
        <w:rPr>
          <w:rFonts w:ascii="仿宋" w:hAnsi="仿宋" w:eastAsia="仿宋" w:cs="Arial Narrow"/>
          <w:b/>
        </w:rPr>
      </w:pPr>
      <w:r>
        <w:rPr>
          <w:rFonts w:hint="eastAsia" w:ascii="仿宋" w:hAnsi="仿宋" w:eastAsia="仿宋" w:cs="Arial Narrow"/>
          <w:b/>
        </w:rPr>
        <w:t>基本情况</w:t>
      </w:r>
    </w:p>
    <w:p w14:paraId="44A6DEBE">
      <w:pPr>
        <w:ind w:firstLine="482"/>
        <w:jc w:val="left"/>
        <w:rPr>
          <w:rFonts w:ascii="仿宋" w:hAnsi="仿宋" w:eastAsia="仿宋" w:cs="Arial Narrow"/>
          <w:b/>
        </w:rPr>
      </w:pPr>
      <w:r>
        <w:rPr>
          <w:rFonts w:hint="eastAsia" w:ascii="仿宋" w:hAnsi="仿宋" w:eastAsia="仿宋" w:cs="Arial Narrow"/>
          <w:b/>
        </w:rPr>
        <w:t xml:space="preserve">（一）项目基本情况  </w:t>
      </w:r>
    </w:p>
    <w:p w14:paraId="1756767F">
      <w:pPr>
        <w:spacing w:line="264" w:lineRule="auto"/>
        <w:ind w:firstLine="480"/>
        <w:jc w:val="left"/>
        <w:rPr>
          <w:rFonts w:ascii="仿宋" w:hAnsi="仿宋" w:eastAsia="仿宋" w:cs="Arial Narrow"/>
        </w:rPr>
      </w:pPr>
      <w:r>
        <w:rPr>
          <w:rFonts w:hint="eastAsia" w:ascii="仿宋" w:hAnsi="仿宋" w:eastAsia="仿宋" w:cs="Arial Narrow"/>
        </w:rPr>
        <w:t>1、项目名称：招商经费</w:t>
      </w:r>
    </w:p>
    <w:p w14:paraId="29CE3DC1">
      <w:pPr>
        <w:spacing w:line="264" w:lineRule="auto"/>
        <w:ind w:firstLine="480"/>
        <w:jc w:val="left"/>
        <w:rPr>
          <w:rFonts w:ascii="仿宋" w:hAnsi="仿宋" w:eastAsia="仿宋" w:cs="Arial Narrow"/>
        </w:rPr>
      </w:pPr>
      <w:r>
        <w:rPr>
          <w:rFonts w:hint="eastAsia" w:ascii="仿宋" w:hAnsi="仿宋" w:eastAsia="仿宋" w:cs="Arial Narrow"/>
        </w:rPr>
        <w:t>2、项目预算金额：500,000.00元</w:t>
      </w:r>
    </w:p>
    <w:p w14:paraId="4579DB05">
      <w:pPr>
        <w:ind w:firstLine="482"/>
        <w:jc w:val="left"/>
        <w:rPr>
          <w:rFonts w:ascii="仿宋" w:hAnsi="仿宋" w:eastAsia="仿宋" w:cs="Arial Narrow"/>
          <w:b/>
        </w:rPr>
      </w:pPr>
      <w:r>
        <w:rPr>
          <w:rFonts w:hint="eastAsia" w:ascii="仿宋" w:hAnsi="仿宋" w:eastAsia="仿宋" w:cs="Arial Narrow"/>
          <w:b/>
        </w:rPr>
        <w:t>（二）绩效评价工作情况</w:t>
      </w:r>
    </w:p>
    <w:p w14:paraId="1DA2D7A9">
      <w:pPr>
        <w:snapToGrid w:val="0"/>
        <w:ind w:firstLine="480"/>
        <w:jc w:val="left"/>
        <w:rPr>
          <w:rFonts w:ascii="仿宋_GB2312" w:hAnsi="Arial Narrow" w:cs="Arial Narrow"/>
        </w:rPr>
      </w:pPr>
      <w:r>
        <w:rPr>
          <w:rFonts w:hint="eastAsia" w:ascii="仿宋_GB2312" w:hAnsi="Arial Narrow" w:cs="Arial Narrow"/>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绩效评价指标是指衡量绩效目标实现程度的考核工具，具体分为共性指标和个性指标；绩效评价方法主要采用成本效益分析法、比较法、因素分析法、最低成本法、公评判法及其他评价方法等。</w:t>
      </w:r>
    </w:p>
    <w:p w14:paraId="2D3525A5">
      <w:pPr>
        <w:ind w:firstLine="0" w:firstLineChars="0"/>
        <w:jc w:val="left"/>
        <w:rPr>
          <w:rFonts w:ascii="仿宋" w:hAnsi="仿宋" w:eastAsia="仿宋" w:cs="Arial Narrow"/>
          <w:b/>
        </w:rPr>
      </w:pPr>
      <w:r>
        <w:rPr>
          <w:rFonts w:hint="eastAsia" w:ascii="仿宋" w:hAnsi="仿宋" w:eastAsia="仿宋" w:cs="Arial Narrow"/>
          <w:b/>
        </w:rPr>
        <w:t>二、</w:t>
      </w:r>
      <w:r>
        <w:rPr>
          <w:rFonts w:ascii="仿宋" w:hAnsi="仿宋" w:eastAsia="仿宋" w:cs="Arial Narrow"/>
          <w:b/>
        </w:rPr>
        <w:t>绩效评价结</w:t>
      </w:r>
      <w:r>
        <w:rPr>
          <w:rFonts w:hint="eastAsia" w:ascii="仿宋" w:hAnsi="仿宋" w:eastAsia="仿宋" w:cs="Arial Narrow"/>
          <w:b/>
        </w:rPr>
        <w:t>论</w:t>
      </w:r>
    </w:p>
    <w:tbl>
      <w:tblPr>
        <w:tblStyle w:val="23"/>
        <w:tblW w:w="8017" w:type="dxa"/>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897"/>
        <w:gridCol w:w="2044"/>
        <w:gridCol w:w="2038"/>
        <w:gridCol w:w="2038"/>
      </w:tblGrid>
      <w:tr w14:paraId="7B4F6EF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2ADB9383">
            <w:pPr>
              <w:ind w:firstLine="0" w:firstLineChars="0"/>
              <w:jc w:val="center"/>
              <w:rPr>
                <w:rFonts w:ascii="仿宋" w:hAnsi="仿宋" w:eastAsia="仿宋" w:cs="Arial Narrow"/>
              </w:rPr>
            </w:pPr>
            <w:r>
              <w:rPr>
                <w:rFonts w:hint="eastAsia" w:ascii="仿宋" w:hAnsi="仿宋" w:eastAsia="仿宋" w:cs="Arial Narrow"/>
              </w:rPr>
              <w:t>评价准则</w:t>
            </w:r>
          </w:p>
        </w:tc>
        <w:tc>
          <w:tcPr>
            <w:tcW w:w="2044" w:type="dxa"/>
          </w:tcPr>
          <w:p w14:paraId="78269384">
            <w:pPr>
              <w:ind w:firstLine="0" w:firstLineChars="0"/>
              <w:jc w:val="center"/>
              <w:rPr>
                <w:rFonts w:ascii="仿宋" w:hAnsi="仿宋" w:eastAsia="仿宋" w:cs="Arial Narrow"/>
              </w:rPr>
            </w:pPr>
            <w:r>
              <w:rPr>
                <w:rFonts w:hint="eastAsia" w:ascii="仿宋" w:hAnsi="仿宋" w:eastAsia="仿宋" w:cs="Arial Narrow"/>
              </w:rPr>
              <w:t>准则分值</w:t>
            </w:r>
          </w:p>
        </w:tc>
        <w:tc>
          <w:tcPr>
            <w:tcW w:w="2038" w:type="dxa"/>
          </w:tcPr>
          <w:p w14:paraId="17F302BD">
            <w:pPr>
              <w:ind w:firstLine="0" w:firstLineChars="0"/>
              <w:jc w:val="center"/>
              <w:rPr>
                <w:rFonts w:ascii="仿宋" w:hAnsi="仿宋" w:eastAsia="仿宋" w:cs="Arial Narrow"/>
              </w:rPr>
            </w:pPr>
            <w:r>
              <w:rPr>
                <w:rFonts w:hint="eastAsia" w:ascii="仿宋" w:hAnsi="仿宋" w:eastAsia="仿宋" w:cs="Arial Narrow"/>
              </w:rPr>
              <w:t>评价得分</w:t>
            </w:r>
          </w:p>
        </w:tc>
        <w:tc>
          <w:tcPr>
            <w:tcW w:w="2038" w:type="dxa"/>
          </w:tcPr>
          <w:p w14:paraId="36D8F065">
            <w:pPr>
              <w:ind w:firstLine="0" w:firstLineChars="0"/>
              <w:jc w:val="center"/>
              <w:rPr>
                <w:rFonts w:ascii="仿宋" w:hAnsi="仿宋" w:eastAsia="仿宋" w:cs="Arial Narrow"/>
              </w:rPr>
            </w:pPr>
            <w:r>
              <w:rPr>
                <w:rFonts w:hint="eastAsia" w:ascii="仿宋" w:hAnsi="仿宋" w:eastAsia="仿宋" w:cs="Arial Narrow"/>
              </w:rPr>
              <w:t>评价等级</w:t>
            </w:r>
          </w:p>
        </w:tc>
      </w:tr>
      <w:tr w14:paraId="349723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2" w:hRule="atLeast"/>
        </w:trPr>
        <w:tc>
          <w:tcPr>
            <w:tcW w:w="1897" w:type="dxa"/>
          </w:tcPr>
          <w:p w14:paraId="074739ED">
            <w:pPr>
              <w:ind w:firstLine="0" w:firstLineChars="0"/>
              <w:jc w:val="center"/>
              <w:rPr>
                <w:rFonts w:ascii="仿宋" w:hAnsi="仿宋" w:eastAsia="仿宋" w:cs="Arial Narrow"/>
              </w:rPr>
            </w:pPr>
            <w:r>
              <w:rPr>
                <w:rFonts w:hint="eastAsia" w:ascii="仿宋" w:hAnsi="仿宋" w:eastAsia="仿宋" w:cs="Arial Narrow"/>
              </w:rPr>
              <w:t>投入</w:t>
            </w:r>
          </w:p>
        </w:tc>
        <w:tc>
          <w:tcPr>
            <w:tcW w:w="2044" w:type="dxa"/>
          </w:tcPr>
          <w:p w14:paraId="63FB236F">
            <w:pPr>
              <w:ind w:firstLine="0" w:firstLineChars="0"/>
              <w:jc w:val="center"/>
              <w:rPr>
                <w:rFonts w:ascii="仿宋" w:hAnsi="仿宋" w:eastAsia="仿宋" w:cs="Arial Narrow"/>
              </w:rPr>
            </w:pPr>
            <w:r>
              <w:rPr>
                <w:rFonts w:hint="eastAsia" w:ascii="仿宋" w:hAnsi="仿宋" w:eastAsia="仿宋" w:cs="Arial Narrow"/>
              </w:rPr>
              <w:t>16分</w:t>
            </w:r>
          </w:p>
        </w:tc>
        <w:tc>
          <w:tcPr>
            <w:tcW w:w="2038" w:type="dxa"/>
          </w:tcPr>
          <w:p w14:paraId="03A8C96B">
            <w:pPr>
              <w:ind w:firstLine="0" w:firstLineChars="0"/>
              <w:jc w:val="center"/>
              <w:rPr>
                <w:rFonts w:ascii="仿宋" w:hAnsi="仿宋" w:eastAsia="仿宋" w:cs="Arial Narrow"/>
              </w:rPr>
            </w:pPr>
            <w:r>
              <w:rPr>
                <w:rFonts w:hint="eastAsia" w:ascii="仿宋" w:hAnsi="仿宋" w:eastAsia="仿宋" w:cs="Arial Narrow"/>
              </w:rPr>
              <w:t>16分</w:t>
            </w:r>
          </w:p>
        </w:tc>
        <w:tc>
          <w:tcPr>
            <w:tcW w:w="2038" w:type="dxa"/>
          </w:tcPr>
          <w:p w14:paraId="4D042668">
            <w:pPr>
              <w:ind w:firstLine="0" w:firstLineChars="0"/>
              <w:jc w:val="center"/>
              <w:rPr>
                <w:rFonts w:ascii="仿宋" w:hAnsi="仿宋" w:eastAsia="仿宋" w:cs="Arial Narrow"/>
              </w:rPr>
            </w:pPr>
            <w:r>
              <w:rPr>
                <w:rFonts w:ascii="仿宋" w:hAnsi="仿宋" w:eastAsia="仿宋" w:cs="Arial Narrow"/>
              </w:rPr>
              <w:t>优</w:t>
            </w:r>
          </w:p>
        </w:tc>
      </w:tr>
      <w:tr w14:paraId="164103C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3" w:hRule="atLeast"/>
        </w:trPr>
        <w:tc>
          <w:tcPr>
            <w:tcW w:w="1897" w:type="dxa"/>
          </w:tcPr>
          <w:p w14:paraId="6B00E8B7">
            <w:pPr>
              <w:ind w:firstLine="0" w:firstLineChars="0"/>
              <w:jc w:val="center"/>
              <w:rPr>
                <w:rFonts w:ascii="仿宋" w:hAnsi="仿宋" w:eastAsia="仿宋" w:cs="Arial Narrow"/>
              </w:rPr>
            </w:pPr>
            <w:r>
              <w:rPr>
                <w:rFonts w:hint="eastAsia" w:ascii="仿宋" w:hAnsi="仿宋" w:eastAsia="仿宋" w:cs="Arial Narrow"/>
              </w:rPr>
              <w:t>过程</w:t>
            </w:r>
          </w:p>
        </w:tc>
        <w:tc>
          <w:tcPr>
            <w:tcW w:w="2044" w:type="dxa"/>
          </w:tcPr>
          <w:p w14:paraId="1F9F7F2A">
            <w:pPr>
              <w:ind w:firstLine="0" w:firstLineChars="0"/>
              <w:jc w:val="center"/>
              <w:rPr>
                <w:rFonts w:ascii="仿宋" w:hAnsi="仿宋" w:eastAsia="仿宋" w:cs="Arial Narrow"/>
              </w:rPr>
            </w:pPr>
            <w:r>
              <w:rPr>
                <w:rFonts w:hint="eastAsia" w:ascii="仿宋" w:hAnsi="仿宋" w:eastAsia="仿宋" w:cs="Arial Narrow"/>
              </w:rPr>
              <w:t>24分</w:t>
            </w:r>
          </w:p>
        </w:tc>
        <w:tc>
          <w:tcPr>
            <w:tcW w:w="2038" w:type="dxa"/>
          </w:tcPr>
          <w:p w14:paraId="09484821">
            <w:pPr>
              <w:ind w:firstLine="0" w:firstLineChars="0"/>
              <w:jc w:val="center"/>
              <w:rPr>
                <w:rFonts w:ascii="仿宋" w:hAnsi="仿宋" w:eastAsia="仿宋" w:cs="Arial Narrow"/>
              </w:rPr>
            </w:pPr>
            <w:r>
              <w:rPr>
                <w:rFonts w:hint="eastAsia" w:ascii="仿宋" w:hAnsi="仿宋" w:eastAsia="仿宋" w:cs="Arial Narrow"/>
              </w:rPr>
              <w:t>24分</w:t>
            </w:r>
          </w:p>
        </w:tc>
        <w:tc>
          <w:tcPr>
            <w:tcW w:w="2038" w:type="dxa"/>
          </w:tcPr>
          <w:p w14:paraId="1C43965B">
            <w:pPr>
              <w:ind w:firstLine="0" w:firstLineChars="0"/>
              <w:jc w:val="center"/>
              <w:rPr>
                <w:rFonts w:ascii="仿宋" w:hAnsi="仿宋" w:eastAsia="仿宋" w:cs="Arial Narrow"/>
              </w:rPr>
            </w:pPr>
            <w:r>
              <w:rPr>
                <w:rFonts w:ascii="仿宋" w:hAnsi="仿宋" w:eastAsia="仿宋" w:cs="Arial Narrow"/>
              </w:rPr>
              <w:t>优</w:t>
            </w:r>
          </w:p>
        </w:tc>
      </w:tr>
      <w:tr w14:paraId="41C7D5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12D2E7CA">
            <w:pPr>
              <w:ind w:firstLine="0" w:firstLineChars="0"/>
              <w:jc w:val="center"/>
              <w:rPr>
                <w:rFonts w:ascii="仿宋" w:hAnsi="仿宋" w:eastAsia="仿宋" w:cs="Arial Narrow"/>
              </w:rPr>
            </w:pPr>
            <w:r>
              <w:rPr>
                <w:rFonts w:hint="eastAsia" w:ascii="仿宋" w:hAnsi="仿宋" w:eastAsia="仿宋" w:cs="Arial Narrow"/>
              </w:rPr>
              <w:t>产出</w:t>
            </w:r>
          </w:p>
        </w:tc>
        <w:tc>
          <w:tcPr>
            <w:tcW w:w="2044" w:type="dxa"/>
          </w:tcPr>
          <w:p w14:paraId="32FDA19D">
            <w:pPr>
              <w:ind w:firstLine="0" w:firstLineChars="0"/>
              <w:jc w:val="center"/>
              <w:rPr>
                <w:rFonts w:ascii="仿宋" w:hAnsi="仿宋" w:eastAsia="仿宋" w:cs="Arial Narrow"/>
              </w:rPr>
            </w:pPr>
            <w:r>
              <w:rPr>
                <w:rFonts w:hint="eastAsia" w:ascii="仿宋" w:hAnsi="仿宋" w:eastAsia="仿宋" w:cs="Arial Narrow"/>
              </w:rPr>
              <w:t>28分</w:t>
            </w:r>
          </w:p>
        </w:tc>
        <w:tc>
          <w:tcPr>
            <w:tcW w:w="2038" w:type="dxa"/>
          </w:tcPr>
          <w:p w14:paraId="66375B25">
            <w:pPr>
              <w:ind w:firstLine="0" w:firstLineChars="0"/>
              <w:jc w:val="center"/>
              <w:rPr>
                <w:rFonts w:ascii="仿宋" w:hAnsi="仿宋" w:eastAsia="仿宋" w:cs="Arial Narrow"/>
              </w:rPr>
            </w:pPr>
            <w:r>
              <w:rPr>
                <w:rFonts w:hint="eastAsia" w:ascii="仿宋" w:hAnsi="仿宋" w:eastAsia="仿宋" w:cs="Arial Narrow"/>
              </w:rPr>
              <w:t>25分</w:t>
            </w:r>
          </w:p>
        </w:tc>
        <w:tc>
          <w:tcPr>
            <w:tcW w:w="2038" w:type="dxa"/>
          </w:tcPr>
          <w:p w14:paraId="583CE9D2">
            <w:pPr>
              <w:ind w:firstLine="0" w:firstLineChars="0"/>
              <w:jc w:val="center"/>
              <w:rPr>
                <w:rFonts w:ascii="仿宋" w:hAnsi="仿宋" w:eastAsia="仿宋" w:cs="Arial Narrow"/>
              </w:rPr>
            </w:pPr>
            <w:r>
              <w:rPr>
                <w:rFonts w:ascii="仿宋" w:hAnsi="仿宋" w:eastAsia="仿宋" w:cs="Arial Narrow"/>
              </w:rPr>
              <w:t>良</w:t>
            </w:r>
          </w:p>
        </w:tc>
      </w:tr>
      <w:tr w14:paraId="1F62E2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411B5DEA">
            <w:pPr>
              <w:ind w:firstLine="0" w:firstLineChars="0"/>
              <w:jc w:val="center"/>
              <w:rPr>
                <w:rFonts w:ascii="仿宋" w:hAnsi="仿宋" w:eastAsia="仿宋" w:cs="Arial Narrow"/>
              </w:rPr>
            </w:pPr>
            <w:r>
              <w:rPr>
                <w:rFonts w:hint="eastAsia" w:ascii="仿宋" w:hAnsi="仿宋" w:eastAsia="仿宋" w:cs="Arial Narrow"/>
              </w:rPr>
              <w:t>效果</w:t>
            </w:r>
          </w:p>
        </w:tc>
        <w:tc>
          <w:tcPr>
            <w:tcW w:w="2044" w:type="dxa"/>
          </w:tcPr>
          <w:p w14:paraId="74FB18F6">
            <w:pPr>
              <w:ind w:firstLine="0" w:firstLineChars="0"/>
              <w:jc w:val="center"/>
              <w:rPr>
                <w:rFonts w:ascii="仿宋" w:hAnsi="仿宋" w:eastAsia="仿宋" w:cs="Arial Narrow"/>
              </w:rPr>
            </w:pPr>
            <w:r>
              <w:rPr>
                <w:rFonts w:hint="eastAsia" w:ascii="仿宋" w:hAnsi="仿宋" w:eastAsia="仿宋" w:cs="Arial Narrow"/>
              </w:rPr>
              <w:t>32分</w:t>
            </w:r>
          </w:p>
        </w:tc>
        <w:tc>
          <w:tcPr>
            <w:tcW w:w="2038" w:type="dxa"/>
          </w:tcPr>
          <w:p w14:paraId="7BADDD0B">
            <w:pPr>
              <w:ind w:firstLine="0" w:firstLineChars="0"/>
              <w:jc w:val="center"/>
              <w:rPr>
                <w:rFonts w:ascii="仿宋" w:hAnsi="仿宋" w:eastAsia="仿宋" w:cs="Arial Narrow"/>
              </w:rPr>
            </w:pPr>
            <w:r>
              <w:rPr>
                <w:rFonts w:hint="eastAsia" w:ascii="仿宋" w:hAnsi="仿宋" w:eastAsia="仿宋" w:cs="Arial Narrow"/>
              </w:rPr>
              <w:t>30分</w:t>
            </w:r>
          </w:p>
        </w:tc>
        <w:tc>
          <w:tcPr>
            <w:tcW w:w="2038" w:type="dxa"/>
          </w:tcPr>
          <w:p w14:paraId="1BD41414">
            <w:pPr>
              <w:ind w:firstLine="0" w:firstLineChars="0"/>
              <w:jc w:val="center"/>
              <w:rPr>
                <w:rFonts w:ascii="仿宋" w:hAnsi="仿宋" w:eastAsia="仿宋" w:cs="Arial Narrow"/>
              </w:rPr>
            </w:pPr>
            <w:r>
              <w:rPr>
                <w:rFonts w:ascii="仿宋" w:hAnsi="仿宋" w:eastAsia="仿宋" w:cs="Arial Narrow"/>
              </w:rPr>
              <w:t>优</w:t>
            </w:r>
          </w:p>
        </w:tc>
      </w:tr>
      <w:tr w14:paraId="7EEAAF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70D8C24A">
            <w:pPr>
              <w:ind w:firstLine="0" w:firstLineChars="0"/>
              <w:jc w:val="center"/>
              <w:rPr>
                <w:rFonts w:ascii="仿宋" w:hAnsi="仿宋" w:eastAsia="仿宋" w:cs="Arial Narrow"/>
              </w:rPr>
            </w:pPr>
            <w:r>
              <w:rPr>
                <w:rFonts w:hint="eastAsia" w:ascii="仿宋" w:hAnsi="仿宋" w:eastAsia="仿宋" w:cs="Arial Narrow"/>
              </w:rPr>
              <w:t>综合绩效</w:t>
            </w:r>
          </w:p>
        </w:tc>
        <w:tc>
          <w:tcPr>
            <w:tcW w:w="2044" w:type="dxa"/>
          </w:tcPr>
          <w:p w14:paraId="209BEB75">
            <w:pPr>
              <w:ind w:firstLine="0" w:firstLineChars="0"/>
              <w:jc w:val="center"/>
              <w:rPr>
                <w:rFonts w:ascii="仿宋" w:hAnsi="仿宋" w:eastAsia="仿宋" w:cs="Arial Narrow"/>
              </w:rPr>
            </w:pPr>
            <w:r>
              <w:rPr>
                <w:rFonts w:hint="eastAsia" w:ascii="仿宋" w:hAnsi="仿宋" w:eastAsia="仿宋" w:cs="Arial Narrow"/>
              </w:rPr>
              <w:t>100分</w:t>
            </w:r>
          </w:p>
        </w:tc>
        <w:tc>
          <w:tcPr>
            <w:tcW w:w="2038" w:type="dxa"/>
          </w:tcPr>
          <w:p w14:paraId="351B6BC7">
            <w:pPr>
              <w:ind w:firstLine="0" w:firstLineChars="0"/>
              <w:jc w:val="center"/>
              <w:rPr>
                <w:rFonts w:ascii="仿宋" w:hAnsi="仿宋" w:eastAsia="仿宋" w:cs="Arial Narrow"/>
              </w:rPr>
            </w:pPr>
            <w:r>
              <w:rPr>
                <w:rFonts w:hint="eastAsia" w:ascii="仿宋" w:hAnsi="仿宋" w:eastAsia="仿宋" w:cs="Arial Narrow"/>
              </w:rPr>
              <w:t>95分</w:t>
            </w:r>
          </w:p>
        </w:tc>
        <w:tc>
          <w:tcPr>
            <w:tcW w:w="2038" w:type="dxa"/>
          </w:tcPr>
          <w:p w14:paraId="362FBA9E">
            <w:pPr>
              <w:ind w:firstLine="0" w:firstLineChars="0"/>
              <w:jc w:val="center"/>
              <w:rPr>
                <w:rFonts w:ascii="仿宋" w:hAnsi="仿宋" w:eastAsia="仿宋" w:cs="Arial Narrow"/>
              </w:rPr>
            </w:pPr>
            <w:r>
              <w:rPr>
                <w:rFonts w:ascii="仿宋" w:hAnsi="仿宋" w:eastAsia="仿宋" w:cs="Arial Narrow"/>
              </w:rPr>
              <w:t>优</w:t>
            </w:r>
          </w:p>
        </w:tc>
      </w:tr>
    </w:tbl>
    <w:p w14:paraId="16D86642">
      <w:pPr>
        <w:ind w:firstLine="0" w:firstLineChars="0"/>
        <w:jc w:val="left"/>
        <w:rPr>
          <w:rFonts w:ascii="仿宋" w:hAnsi="仿宋" w:eastAsia="仿宋" w:cs="Arial Narrow"/>
          <w:b/>
          <w:sz w:val="28"/>
        </w:rPr>
      </w:pPr>
    </w:p>
    <w:p w14:paraId="3ADC17AC">
      <w:pPr>
        <w:ind w:firstLine="0" w:firstLineChars="0"/>
        <w:rPr>
          <w:rFonts w:ascii="仿宋" w:hAnsi="仿宋" w:eastAsia="仿宋" w:cs="Arial Narrow"/>
          <w:b/>
        </w:rPr>
      </w:pPr>
      <w:r>
        <w:rPr>
          <w:rFonts w:hint="eastAsia" w:ascii="Arial Narrow" w:hAnsi="Arial Narrow" w:cs="Arial Narrow"/>
          <w:b/>
        </w:rPr>
        <w:t>三、项目经验与问题</w:t>
      </w:r>
    </w:p>
    <w:p w14:paraId="6E102EF5">
      <w:pPr>
        <w:ind w:firstLine="480"/>
        <w:rPr>
          <w:rFonts w:ascii="仿宋" w:hAnsi="仿宋" w:eastAsia="仿宋" w:cs="Arial Narrow"/>
        </w:rPr>
      </w:pPr>
      <w:r>
        <w:rPr>
          <w:rFonts w:hint="eastAsia" w:ascii="仿宋" w:hAnsi="仿宋" w:eastAsia="仿宋" w:cs="Arial Narrow"/>
        </w:rPr>
        <w:t xml:space="preserve">1、经验  </w:t>
      </w:r>
    </w:p>
    <w:p w14:paraId="7E747DD3">
      <w:pPr>
        <w:snapToGrid w:val="0"/>
        <w:ind w:firstLine="480"/>
        <w:jc w:val="left"/>
        <w:rPr>
          <w:rFonts w:ascii="仿宋_GB2312" w:hAnsi="Arial Narrow" w:cs="Arial Narrow"/>
        </w:rPr>
      </w:pPr>
      <w:r>
        <w:rPr>
          <w:rFonts w:hint="eastAsia" w:ascii="仿宋_GB2312" w:hAnsi="Arial Narrow" w:cs="Arial Narrow"/>
        </w:rPr>
        <w:t>“双招双引”取得成效。累计签署投资（合作）协议项目10个，总投资额499.4亿元。会同武汉新能源汽车工业技术研究、中建三局绿色产业投资有限公司引进两院院士3名，英国皇家工程院院士1名。积极参加“长风计划”高层次人才对接会、全英学联高层次人才江城行活动、环渤海高端人才专场对接会等各项活动，大力推进了大学生安居工程。</w:t>
      </w:r>
    </w:p>
    <w:p w14:paraId="07B8FE31">
      <w:pPr>
        <w:snapToGrid w:val="0"/>
        <w:ind w:firstLine="480"/>
        <w:jc w:val="left"/>
        <w:rPr>
          <w:rFonts w:ascii="仿宋_GB2312" w:hAnsi="Arial Narrow" w:cs="Arial Narrow"/>
        </w:rPr>
      </w:pPr>
      <w:r>
        <w:rPr>
          <w:rFonts w:hint="eastAsia" w:ascii="仿宋_GB2312" w:hAnsi="Arial Narrow" w:cs="Arial Narrow"/>
        </w:rPr>
        <w:t>2、问题</w:t>
      </w:r>
    </w:p>
    <w:p w14:paraId="67FC2205">
      <w:pPr>
        <w:snapToGrid w:val="0"/>
        <w:ind w:firstLine="480"/>
        <w:jc w:val="left"/>
        <w:rPr>
          <w:rFonts w:ascii="仿宋_GB2312" w:hAnsi="Arial Narrow" w:cs="Arial Narrow"/>
        </w:rPr>
      </w:pPr>
      <w:r>
        <w:rPr>
          <w:rFonts w:hint="eastAsia" w:ascii="仿宋_GB2312" w:hAnsi="Arial Narrow" w:cs="Arial Narrow"/>
        </w:rPr>
        <w:t>项目资金使用率偏低。评价小组通过查阅资料和现场访谈了解到，项目计划使用资金500，000.00元，实际支出为254,252.00元，资金使用率为50.85%，资金使用率偏低。</w:t>
      </w:r>
    </w:p>
    <w:p w14:paraId="50FCAD83">
      <w:pPr>
        <w:ind w:firstLine="0" w:firstLineChars="0"/>
        <w:rPr>
          <w:rFonts w:ascii="Arial Narrow" w:hAnsi="Arial Narrow" w:cs="Arial Narrow"/>
          <w:b/>
        </w:rPr>
      </w:pPr>
      <w:r>
        <w:rPr>
          <w:rFonts w:hint="eastAsia" w:ascii="Arial Narrow" w:hAnsi="Arial Narrow" w:cs="Arial Narrow"/>
          <w:b/>
        </w:rPr>
        <w:t>四、建议</w:t>
      </w:r>
    </w:p>
    <w:bookmarkEnd w:id="3"/>
    <w:bookmarkEnd w:id="4"/>
    <w:p w14:paraId="3F98F1F7">
      <w:pPr>
        <w:snapToGrid w:val="0"/>
        <w:ind w:firstLine="439" w:firstLineChars="183"/>
        <w:jc w:val="left"/>
        <w:rPr>
          <w:rFonts w:hint="eastAsia" w:ascii="仿宋_GB2312" w:hAnsi="Arial Narrow" w:cs="Arial Narrow"/>
        </w:rPr>
      </w:pPr>
      <w:r>
        <w:rPr>
          <w:rFonts w:hint="eastAsia" w:ascii="仿宋_GB2312" w:hAnsi="Arial Narrow" w:cs="Arial Narrow"/>
        </w:rPr>
        <w:t>提高预算执行率。在建立多渠道工作平台基础上，及时掌握项目落地发展动态，积极组织协调相关部门，做好协调配合，推进落实措施、及时跟踪反馈，切实创造企业发展良好外部环境；对于招商经费项目，由责任单位督促项目尽快实施，加快招商经费的使用，提高招商经费预算的资金执行率。</w:t>
      </w:r>
    </w:p>
    <w:p w14:paraId="14AE0928">
      <w:pPr>
        <w:snapToGrid w:val="0"/>
        <w:ind w:firstLine="439" w:firstLineChars="183"/>
        <w:jc w:val="left"/>
        <w:rPr>
          <w:rFonts w:hint="eastAsia" w:ascii="仿宋_GB2312" w:hAnsi="Arial Narrow" w:cs="Arial Narrow"/>
        </w:rPr>
      </w:pPr>
    </w:p>
    <w:p w14:paraId="3E6EE0CA">
      <w:pPr>
        <w:snapToGrid w:val="0"/>
        <w:ind w:firstLine="439" w:firstLineChars="183"/>
        <w:jc w:val="left"/>
        <w:rPr>
          <w:rFonts w:hint="eastAsia" w:ascii="仿宋_GB2312" w:hAnsi="Arial Narrow" w:cs="Arial Narrow"/>
        </w:rPr>
      </w:pPr>
    </w:p>
    <w:p w14:paraId="68026BA3">
      <w:pPr>
        <w:snapToGrid w:val="0"/>
        <w:ind w:firstLine="439" w:firstLineChars="183"/>
        <w:jc w:val="left"/>
        <w:rPr>
          <w:rFonts w:hint="eastAsia" w:ascii="仿宋_GB2312" w:hAnsi="Arial Narrow" w:cs="Arial Narrow"/>
        </w:rPr>
      </w:pPr>
    </w:p>
    <w:p w14:paraId="48E541DA">
      <w:pPr>
        <w:snapToGrid w:val="0"/>
        <w:ind w:firstLine="439" w:firstLineChars="183"/>
        <w:jc w:val="left"/>
        <w:rPr>
          <w:rFonts w:hint="eastAsia" w:ascii="仿宋_GB2312" w:hAnsi="Arial Narrow" w:cs="Arial Narrow"/>
        </w:rPr>
      </w:pPr>
    </w:p>
    <w:p w14:paraId="1359DFA2">
      <w:pPr>
        <w:snapToGrid w:val="0"/>
        <w:ind w:firstLine="439" w:firstLineChars="183"/>
        <w:jc w:val="left"/>
        <w:rPr>
          <w:rFonts w:hint="eastAsia" w:ascii="仿宋_GB2312" w:hAnsi="Arial Narrow" w:cs="Arial Narrow"/>
        </w:rPr>
      </w:pPr>
    </w:p>
    <w:p w14:paraId="01F6964A">
      <w:pPr>
        <w:snapToGrid w:val="0"/>
        <w:ind w:firstLine="439" w:firstLineChars="183"/>
        <w:jc w:val="left"/>
        <w:rPr>
          <w:rFonts w:hint="eastAsia" w:ascii="仿宋_GB2312" w:hAnsi="Arial Narrow" w:cs="Arial Narrow"/>
        </w:rPr>
      </w:pPr>
    </w:p>
    <w:p w14:paraId="39F4E8E2">
      <w:pPr>
        <w:snapToGrid w:val="0"/>
        <w:ind w:firstLine="439" w:firstLineChars="183"/>
        <w:jc w:val="left"/>
        <w:rPr>
          <w:rFonts w:hint="eastAsia" w:ascii="仿宋_GB2312" w:hAnsi="Arial Narrow" w:cs="Arial Narrow"/>
        </w:rPr>
      </w:pPr>
    </w:p>
    <w:p w14:paraId="1E6E207B">
      <w:pPr>
        <w:snapToGrid w:val="0"/>
        <w:ind w:firstLine="439" w:firstLineChars="183"/>
        <w:jc w:val="left"/>
        <w:rPr>
          <w:rFonts w:hint="eastAsia" w:ascii="仿宋_GB2312" w:hAnsi="Arial Narrow" w:cs="Arial Narrow"/>
        </w:rPr>
      </w:pPr>
    </w:p>
    <w:p w14:paraId="5DB94244">
      <w:pPr>
        <w:snapToGrid w:val="0"/>
        <w:ind w:firstLine="439" w:firstLineChars="183"/>
        <w:jc w:val="left"/>
        <w:rPr>
          <w:rFonts w:hint="eastAsia" w:ascii="仿宋_GB2312" w:hAnsi="Arial Narrow" w:cs="Arial Narrow"/>
        </w:rPr>
      </w:pPr>
    </w:p>
    <w:p w14:paraId="39605625">
      <w:pPr>
        <w:snapToGrid w:val="0"/>
        <w:ind w:firstLine="439" w:firstLineChars="183"/>
        <w:jc w:val="left"/>
        <w:rPr>
          <w:rFonts w:hint="eastAsia" w:ascii="仿宋_GB2312" w:hAnsi="Arial Narrow" w:cs="Arial Narrow"/>
        </w:rPr>
      </w:pPr>
    </w:p>
    <w:p w14:paraId="634636DA">
      <w:pPr>
        <w:snapToGrid w:val="0"/>
        <w:ind w:firstLine="439" w:firstLineChars="183"/>
        <w:jc w:val="left"/>
        <w:rPr>
          <w:rFonts w:hint="eastAsia" w:ascii="仿宋_GB2312" w:hAnsi="Arial Narrow" w:cs="Arial Narrow"/>
        </w:rPr>
      </w:pPr>
    </w:p>
    <w:p w14:paraId="69279B4D">
      <w:pPr>
        <w:snapToGrid w:val="0"/>
        <w:ind w:firstLine="439" w:firstLineChars="183"/>
        <w:jc w:val="left"/>
        <w:rPr>
          <w:rFonts w:hint="eastAsia" w:ascii="仿宋_GB2312" w:hAnsi="Arial Narrow" w:cs="Arial Narrow"/>
        </w:rPr>
      </w:pPr>
    </w:p>
    <w:p w14:paraId="3E3B7049">
      <w:pPr>
        <w:snapToGrid w:val="0"/>
        <w:ind w:firstLine="439" w:firstLineChars="183"/>
        <w:jc w:val="left"/>
        <w:rPr>
          <w:rFonts w:hint="eastAsia" w:ascii="仿宋_GB2312" w:hAnsi="Arial Narrow" w:cs="Arial Narrow"/>
        </w:rPr>
      </w:pPr>
    </w:p>
    <w:p w14:paraId="7E57BCCD">
      <w:pPr>
        <w:snapToGrid w:val="0"/>
        <w:ind w:firstLine="439" w:firstLineChars="183"/>
        <w:jc w:val="left"/>
        <w:rPr>
          <w:rFonts w:hint="eastAsia" w:ascii="仿宋_GB2312" w:hAnsi="Arial Narrow" w:cs="Arial Narrow"/>
        </w:rPr>
      </w:pPr>
    </w:p>
    <w:p w14:paraId="5A5BFEED">
      <w:pPr>
        <w:snapToGrid w:val="0"/>
        <w:ind w:firstLine="439" w:firstLineChars="183"/>
        <w:jc w:val="left"/>
        <w:rPr>
          <w:rFonts w:hint="eastAsia" w:ascii="仿宋_GB2312" w:hAnsi="Arial Narrow" w:cs="Arial Narrow"/>
        </w:rPr>
      </w:pPr>
    </w:p>
    <w:p w14:paraId="22EFCA09">
      <w:pPr>
        <w:snapToGrid w:val="0"/>
        <w:ind w:firstLine="439" w:firstLineChars="183"/>
        <w:jc w:val="left"/>
        <w:rPr>
          <w:rFonts w:hint="eastAsia" w:ascii="仿宋_GB2312" w:hAnsi="Arial Narrow" w:cs="Arial Narrow"/>
        </w:rPr>
      </w:pPr>
    </w:p>
    <w:p w14:paraId="24EC4F4F">
      <w:pPr>
        <w:snapToGrid w:val="0"/>
        <w:ind w:left="0" w:leftChars="0" w:firstLine="0" w:firstLineChars="0"/>
        <w:jc w:val="left"/>
        <w:rPr>
          <w:rFonts w:hint="eastAsia" w:ascii="仿宋_GB2312" w:hAnsi="Arial Narrow" w:cs="Arial Narrow"/>
          <w:lang w:val="en-US" w:eastAsia="zh-CN"/>
        </w:rPr>
      </w:pPr>
    </w:p>
    <w:p w14:paraId="3DCDA338">
      <w:pPr>
        <w:snapToGrid w:val="0"/>
        <w:ind w:firstLine="0" w:firstLineChars="0"/>
        <w:outlineLvl w:val="0"/>
        <w:rPr>
          <w:rFonts w:ascii="Arial Narrow" w:hAnsi="Arial Narrow" w:cs="Arial Narrow"/>
          <w:b/>
          <w:bCs/>
        </w:rPr>
      </w:pPr>
      <w:bookmarkStart w:id="5" w:name="_Toc15549427"/>
      <w:bookmarkStart w:id="6" w:name="_Toc14165723"/>
      <w:bookmarkStart w:id="7" w:name="_Toc15549360"/>
      <w:bookmarkStart w:id="8" w:name="_Toc387957799"/>
      <w:bookmarkStart w:id="9" w:name="_Toc361304672"/>
      <w:bookmarkStart w:id="10" w:name="_Toc361304673"/>
      <w:bookmarkStart w:id="11" w:name="_Toc387957800"/>
      <w:r>
        <w:rPr>
          <w:rFonts w:hint="eastAsia" w:ascii="Arial Narrow" w:hAnsi="Arial Narrow" w:cs="Arial Narrow"/>
          <w:b/>
          <w:bCs/>
        </w:rPr>
        <w:t>一、项目基本情况</w:t>
      </w:r>
      <w:bookmarkEnd w:id="5"/>
      <w:bookmarkEnd w:id="6"/>
      <w:bookmarkEnd w:id="7"/>
    </w:p>
    <w:p w14:paraId="0B6BBC94">
      <w:pPr>
        <w:pStyle w:val="4"/>
        <w:ind w:firstLine="482" w:firstLineChars="200"/>
        <w:rPr>
          <w:rFonts w:ascii="Arial Narrow" w:hAnsi="Arial Narrow" w:cs="Arial Narrow"/>
          <w:b w:val="0"/>
          <w:bCs w:val="0"/>
        </w:rPr>
      </w:pPr>
      <w:bookmarkStart w:id="12" w:name="_Toc14165724"/>
      <w:bookmarkStart w:id="13" w:name="_Toc15549361"/>
      <w:bookmarkStart w:id="14" w:name="_Toc15549428"/>
      <w:r>
        <w:rPr>
          <w:rFonts w:hint="eastAsia" w:ascii="Arial Narrow" w:hAnsi="Arial Narrow" w:cs="Arial Narrow"/>
        </w:rPr>
        <w:t>（一）项目立项背景和依据</w:t>
      </w:r>
      <w:bookmarkEnd w:id="12"/>
      <w:bookmarkEnd w:id="13"/>
      <w:bookmarkEnd w:id="14"/>
    </w:p>
    <w:bookmarkEnd w:id="8"/>
    <w:bookmarkEnd w:id="9"/>
    <w:p w14:paraId="33F7CEE9">
      <w:pPr>
        <w:snapToGrid w:val="0"/>
        <w:ind w:firstLine="480"/>
        <w:rPr>
          <w:rFonts w:ascii="仿宋" w:hAnsi="仿宋" w:eastAsia="仿宋" w:cs="Arial Narrow"/>
          <w:bCs/>
        </w:rPr>
      </w:pPr>
      <w:bookmarkStart w:id="15" w:name="_Toc14165725"/>
      <w:bookmarkStart w:id="16" w:name="_Toc406666356"/>
      <w:bookmarkStart w:id="17" w:name="_Toc361304680"/>
      <w:bookmarkStart w:id="18" w:name="_Toc16351"/>
      <w:bookmarkStart w:id="19" w:name="_Toc406668030"/>
      <w:r>
        <w:rPr>
          <w:rFonts w:hint="eastAsia" w:ascii="仿宋" w:hAnsi="仿宋" w:eastAsia="仿宋" w:cs="Arial Narrow"/>
        </w:rPr>
        <w:t>1</w:t>
      </w:r>
      <w:r>
        <w:rPr>
          <w:rFonts w:hint="eastAsia" w:ascii="仿宋" w:hAnsi="仿宋" w:eastAsia="仿宋" w:cs="Arial Narrow"/>
          <w:bCs/>
        </w:rPr>
        <w:t>、根据园区定位及产业规划，自主开展招商引资工作，并积极研究产业规划方向，收集招商信息，做好园区宣传工作，通过多渠道向外宣传园区优势，并借助开发区的品牌效应，引进国内外知名企业落户园区。</w:t>
      </w:r>
    </w:p>
    <w:p w14:paraId="1A11CA62">
      <w:pPr>
        <w:snapToGrid w:val="0"/>
        <w:ind w:firstLine="480"/>
        <w:rPr>
          <w:rFonts w:ascii="仿宋" w:hAnsi="仿宋" w:eastAsia="仿宋" w:cs="Arial Narrow"/>
          <w:bCs/>
        </w:rPr>
      </w:pPr>
      <w:r>
        <w:rPr>
          <w:rFonts w:hint="eastAsia" w:ascii="仿宋" w:hAnsi="仿宋" w:eastAsia="仿宋" w:cs="Arial Narrow"/>
          <w:bCs/>
        </w:rPr>
        <w:t>2、协助招商局开展园区范围内的招商引资工作，并做好项目的推荐工作。</w:t>
      </w:r>
    </w:p>
    <w:p w14:paraId="7C78067E">
      <w:pPr>
        <w:snapToGrid w:val="0"/>
        <w:ind w:firstLine="480"/>
        <w:rPr>
          <w:rFonts w:ascii="仿宋" w:hAnsi="仿宋" w:eastAsia="仿宋" w:cs="Arial Narrow"/>
          <w:bCs/>
        </w:rPr>
      </w:pPr>
      <w:r>
        <w:rPr>
          <w:rFonts w:hint="eastAsia" w:ascii="仿宋" w:hAnsi="仿宋" w:eastAsia="仿宋" w:cs="Arial Narrow"/>
          <w:bCs/>
        </w:rPr>
        <w:t>3、对园区重点项目做好推进工作，并对每个项目进行跟踪服务，积极推进园区落户项目的顺利进行。</w:t>
      </w:r>
    </w:p>
    <w:p w14:paraId="298D9F85">
      <w:pPr>
        <w:snapToGrid w:val="0"/>
        <w:ind w:firstLine="480"/>
        <w:rPr>
          <w:rFonts w:ascii="仿宋" w:hAnsi="仿宋" w:eastAsia="仿宋" w:cs="Arial Narrow"/>
          <w:bCs/>
        </w:rPr>
      </w:pPr>
      <w:r>
        <w:rPr>
          <w:rFonts w:hint="eastAsia" w:ascii="仿宋" w:hAnsi="仿宋" w:eastAsia="仿宋" w:cs="Arial Narrow"/>
          <w:bCs/>
        </w:rPr>
        <w:t>4、开展园区经济指标统计工作，监测园区经济运行情况，并分析和预测经济发展态势，做好园区企服工作，积极协调解决经济运行中的突出问题。</w:t>
      </w:r>
    </w:p>
    <w:p w14:paraId="35AE397A">
      <w:pPr>
        <w:pStyle w:val="4"/>
        <w:ind w:firstLine="482" w:firstLineChars="200"/>
        <w:rPr>
          <w:rFonts w:ascii="Arial Narrow" w:hAnsi="Arial Narrow" w:cs="Arial Narrow"/>
          <w:b w:val="0"/>
          <w:bCs w:val="0"/>
        </w:rPr>
      </w:pPr>
      <w:bookmarkStart w:id="20" w:name="_Toc15549362"/>
      <w:bookmarkStart w:id="21" w:name="_Toc15549429"/>
      <w:r>
        <w:rPr>
          <w:rFonts w:hint="eastAsia" w:ascii="Arial Narrow" w:hAnsi="Arial Narrow" w:cs="Arial Narrow"/>
        </w:rPr>
        <w:t>（二）项目绩效目标</w:t>
      </w:r>
      <w:bookmarkEnd w:id="15"/>
      <w:bookmarkEnd w:id="20"/>
      <w:bookmarkEnd w:id="21"/>
    </w:p>
    <w:bookmarkEnd w:id="16"/>
    <w:bookmarkEnd w:id="17"/>
    <w:bookmarkEnd w:id="18"/>
    <w:bookmarkEnd w:id="19"/>
    <w:p w14:paraId="4CCA292F">
      <w:pPr>
        <w:snapToGrid w:val="0"/>
        <w:ind w:firstLine="480"/>
        <w:rPr>
          <w:rFonts w:ascii="仿宋" w:hAnsi="仿宋" w:eastAsia="仿宋" w:cs="Arial Narrow"/>
          <w:bCs/>
        </w:rPr>
      </w:pPr>
      <w:bookmarkStart w:id="22" w:name="_Toc14165726"/>
      <w:r>
        <w:rPr>
          <w:rFonts w:hint="eastAsia" w:ascii="仿宋" w:hAnsi="仿宋" w:eastAsia="仿宋" w:cs="Arial Narrow"/>
          <w:bCs/>
        </w:rPr>
        <w:t>1、根据区绩效目标，赴全国各地招商，吸引符合园区产业规划的优质项目来区落户，推动产城一体化的建设，完成园区招商引资任务等相关要求。</w:t>
      </w:r>
    </w:p>
    <w:p w14:paraId="486F4AFA">
      <w:pPr>
        <w:snapToGrid w:val="0"/>
        <w:ind w:firstLine="480"/>
        <w:rPr>
          <w:rFonts w:ascii="仿宋" w:hAnsi="仿宋" w:eastAsia="仿宋" w:cs="Arial Narrow"/>
          <w:bCs/>
        </w:rPr>
      </w:pPr>
      <w:r>
        <w:rPr>
          <w:rFonts w:hint="eastAsia" w:ascii="仿宋" w:hAnsi="仿宋" w:eastAsia="仿宋" w:cs="Arial Narrow"/>
          <w:bCs/>
        </w:rPr>
        <w:t>2、完成园区工业产值、社零额等相关经济指标。</w:t>
      </w:r>
    </w:p>
    <w:p w14:paraId="31B0DB95">
      <w:pPr>
        <w:snapToGrid w:val="0"/>
        <w:ind w:firstLine="480"/>
        <w:rPr>
          <w:rFonts w:ascii="仿宋" w:hAnsi="仿宋" w:eastAsia="仿宋" w:cs="Arial Narrow"/>
          <w:bCs/>
        </w:rPr>
      </w:pPr>
      <w:r>
        <w:rPr>
          <w:rFonts w:hint="eastAsia" w:ascii="仿宋" w:hAnsi="仿宋" w:eastAsia="仿宋" w:cs="Arial Narrow"/>
          <w:bCs/>
        </w:rPr>
        <w:t>3、积极收集行业信息，制定园区产业规划、并对产业方向进行研究，制定招商措施。</w:t>
      </w:r>
    </w:p>
    <w:p w14:paraId="08795EA0">
      <w:pPr>
        <w:snapToGrid w:val="0"/>
        <w:ind w:firstLine="480"/>
        <w:rPr>
          <w:rFonts w:ascii="仿宋" w:hAnsi="仿宋" w:eastAsia="仿宋" w:cs="Arial Narrow"/>
          <w:bCs/>
        </w:rPr>
      </w:pPr>
      <w:r>
        <w:rPr>
          <w:rFonts w:hint="eastAsia" w:ascii="仿宋" w:hAnsi="仿宋" w:eastAsia="仿宋" w:cs="Arial Narrow"/>
          <w:bCs/>
        </w:rPr>
        <w:t>4、组织招商人员培训，参加由权威机构组织的关于智慧城市、招商引资方面的培训，增强园区招商队伍的专业水平。</w:t>
      </w:r>
    </w:p>
    <w:p w14:paraId="5D1A05DD">
      <w:pPr>
        <w:snapToGrid w:val="0"/>
        <w:ind w:firstLine="480"/>
        <w:rPr>
          <w:rFonts w:ascii="仿宋" w:hAnsi="仿宋" w:eastAsia="仿宋" w:cs="Arial Narrow"/>
          <w:bCs/>
        </w:rPr>
      </w:pPr>
      <w:r>
        <w:rPr>
          <w:rFonts w:hint="eastAsia" w:ascii="仿宋" w:hAnsi="仿宋" w:eastAsia="仿宋" w:cs="Arial Narrow"/>
          <w:bCs/>
        </w:rPr>
        <w:t>5、积极做好园区宣传工作，通过展会、论坛等方面渠道，增加园区知名度，吸引国内外知名企业落户园区。</w:t>
      </w:r>
    </w:p>
    <w:p w14:paraId="7E2D65C3">
      <w:pPr>
        <w:snapToGrid w:val="0"/>
        <w:ind w:firstLine="480"/>
        <w:rPr>
          <w:rFonts w:ascii="仿宋" w:hAnsi="仿宋" w:eastAsia="仿宋" w:cs="Arial Narrow"/>
          <w:bCs/>
        </w:rPr>
      </w:pPr>
      <w:r>
        <w:rPr>
          <w:rFonts w:hint="eastAsia" w:ascii="仿宋" w:hAnsi="仿宋" w:eastAsia="仿宋" w:cs="Arial Narrow"/>
          <w:bCs/>
        </w:rPr>
        <w:t>6、积极搭企服搭建平台，做好园区企服工作，并对园区项目进行跟踪服务工作，做到项目按时间节点顺利推进。</w:t>
      </w:r>
    </w:p>
    <w:p w14:paraId="309803B6">
      <w:pPr>
        <w:pStyle w:val="4"/>
        <w:ind w:firstLine="482" w:firstLineChars="200"/>
        <w:rPr>
          <w:rFonts w:ascii="仿宋" w:hAnsi="仿宋" w:eastAsia="仿宋" w:cs="Arial Narrow"/>
        </w:rPr>
      </w:pPr>
      <w:bookmarkStart w:id="23" w:name="_Toc15549363"/>
      <w:bookmarkStart w:id="24" w:name="_Toc15549430"/>
      <w:r>
        <w:rPr>
          <w:rFonts w:hint="eastAsia" w:ascii="仿宋" w:hAnsi="仿宋" w:eastAsia="仿宋" w:cs="Arial Narrow"/>
        </w:rPr>
        <w:t>（三）项目经费来源和使用情况</w:t>
      </w:r>
      <w:bookmarkEnd w:id="22"/>
      <w:bookmarkEnd w:id="23"/>
      <w:bookmarkEnd w:id="24"/>
    </w:p>
    <w:p w14:paraId="31F2521A">
      <w:pPr>
        <w:snapToGrid w:val="0"/>
        <w:ind w:firstLine="480"/>
        <w:rPr>
          <w:rFonts w:ascii="仿宋" w:hAnsi="仿宋" w:eastAsia="仿宋" w:cs="Arial Narrow"/>
        </w:rPr>
      </w:pPr>
      <w:r>
        <w:rPr>
          <w:rFonts w:hint="eastAsia" w:ascii="仿宋" w:hAnsi="仿宋" w:eastAsia="仿宋" w:cs="Arial Narrow"/>
        </w:rPr>
        <w:t>1、项目资金来源</w:t>
      </w:r>
    </w:p>
    <w:p w14:paraId="25D1BAF7">
      <w:pPr>
        <w:snapToGrid w:val="0"/>
        <w:ind w:firstLine="480"/>
        <w:rPr>
          <w:rFonts w:ascii="仿宋" w:hAnsi="仿宋" w:eastAsia="仿宋" w:cs="Arial Narrow"/>
        </w:rPr>
      </w:pPr>
      <w:r>
        <w:rPr>
          <w:rFonts w:hint="eastAsia" w:ascii="仿宋" w:hAnsi="仿宋" w:eastAsia="仿宋" w:cs="Arial Narrow"/>
        </w:rPr>
        <w:t>根据武汉经济技术开发区（汉南区）财政局文件《开发区（汉南区）财政局关于批复智慧生态城2018年预算的函》（武经开财预[2018]31号）及项目支出预算表，武汉经济技术开发区智慧生态城管理办公室“招商经费”项目预算批复的年初预算收支为500，000.00元，均系财政拨款。</w:t>
      </w:r>
    </w:p>
    <w:p w14:paraId="43AF87D6">
      <w:pPr>
        <w:snapToGrid w:val="0"/>
        <w:ind w:firstLine="480"/>
        <w:rPr>
          <w:rFonts w:ascii="仿宋" w:hAnsi="仿宋" w:eastAsia="仿宋" w:cs="Arial Narrow"/>
        </w:rPr>
      </w:pPr>
      <w:r>
        <w:rPr>
          <w:rFonts w:hint="eastAsia" w:ascii="仿宋" w:hAnsi="仿宋" w:eastAsia="仿宋" w:cs="Arial Narrow"/>
        </w:rPr>
        <w:t>2、项目资金使用概况</w:t>
      </w:r>
    </w:p>
    <w:p w14:paraId="34BD5BF3">
      <w:pPr>
        <w:snapToGrid w:val="0"/>
        <w:ind w:firstLine="480"/>
        <w:rPr>
          <w:rFonts w:ascii="仿宋" w:hAnsi="仿宋" w:eastAsia="仿宋" w:cs="Arial Narrow"/>
        </w:rPr>
      </w:pPr>
      <w:r>
        <w:rPr>
          <w:rFonts w:hint="eastAsia" w:ascii="仿宋" w:hAnsi="仿宋" w:eastAsia="仿宋" w:cs="Arial Narrow"/>
        </w:rPr>
        <w:t>截止到绩效评价日，项目计划支出500，000.00元，实际支出为</w:t>
      </w:r>
      <w:r>
        <w:rPr>
          <w:rFonts w:ascii="仿宋" w:hAnsi="仿宋" w:eastAsia="仿宋" w:cs="Arial Narrow"/>
        </w:rPr>
        <w:t>254,252.00</w:t>
      </w:r>
      <w:r>
        <w:rPr>
          <w:rFonts w:hint="eastAsia" w:ascii="仿宋" w:hAnsi="仿宋" w:eastAsia="仿宋" w:cs="Arial Narrow"/>
        </w:rPr>
        <w:t xml:space="preserve">元。包括办公费 </w:t>
      </w:r>
      <w:r>
        <w:rPr>
          <w:rFonts w:ascii="仿宋" w:hAnsi="仿宋" w:eastAsia="仿宋" w:cs="Arial Narrow"/>
        </w:rPr>
        <w:t>54,730.16</w:t>
      </w:r>
      <w:r>
        <w:rPr>
          <w:rFonts w:hint="eastAsia" w:ascii="仿宋" w:hAnsi="仿宋" w:eastAsia="仿宋" w:cs="Arial Narrow"/>
        </w:rPr>
        <w:t>元，印刷费</w:t>
      </w:r>
      <w:r>
        <w:rPr>
          <w:rFonts w:ascii="仿宋" w:hAnsi="仿宋" w:eastAsia="仿宋" w:cs="Arial Narrow"/>
        </w:rPr>
        <w:t>2,420.00</w:t>
      </w:r>
      <w:r>
        <w:rPr>
          <w:rFonts w:hint="eastAsia" w:ascii="仿宋" w:hAnsi="仿宋" w:eastAsia="仿宋" w:cs="Arial Narrow"/>
        </w:rPr>
        <w:t>元，邮电费</w:t>
      </w:r>
      <w:r>
        <w:rPr>
          <w:rFonts w:ascii="仿宋" w:hAnsi="仿宋" w:eastAsia="仿宋" w:cs="Arial Narrow"/>
        </w:rPr>
        <w:t>45.00</w:t>
      </w:r>
      <w:r>
        <w:rPr>
          <w:rFonts w:hint="eastAsia" w:ascii="仿宋" w:hAnsi="仿宋" w:eastAsia="仿宋" w:cs="Arial Narrow"/>
        </w:rPr>
        <w:t>元，，差旅费</w:t>
      </w:r>
      <w:r>
        <w:rPr>
          <w:rFonts w:ascii="仿宋" w:hAnsi="仿宋" w:eastAsia="仿宋" w:cs="Arial Narrow"/>
        </w:rPr>
        <w:t>142,174.00</w:t>
      </w:r>
      <w:r>
        <w:rPr>
          <w:rFonts w:hint="eastAsia" w:ascii="仿宋" w:hAnsi="仿宋" w:eastAsia="仿宋" w:cs="Arial Narrow"/>
        </w:rPr>
        <w:t>元，委托业务费</w:t>
      </w:r>
      <w:r>
        <w:rPr>
          <w:rFonts w:ascii="仿宋" w:hAnsi="仿宋" w:eastAsia="仿宋" w:cs="Arial Narrow"/>
        </w:rPr>
        <w:t>12,215.00</w:t>
      </w:r>
      <w:r>
        <w:rPr>
          <w:rFonts w:hint="eastAsia" w:ascii="仿宋" w:hAnsi="仿宋" w:eastAsia="仿宋" w:cs="Arial Narrow"/>
        </w:rPr>
        <w:t>元，其他交通费用</w:t>
      </w:r>
      <w:r>
        <w:rPr>
          <w:rFonts w:ascii="仿宋" w:hAnsi="仿宋" w:eastAsia="仿宋" w:cs="Arial Narrow"/>
        </w:rPr>
        <w:t>25,430.00</w:t>
      </w:r>
      <w:r>
        <w:rPr>
          <w:rFonts w:hint="eastAsia" w:ascii="仿宋" w:hAnsi="仿宋" w:eastAsia="仿宋" w:cs="Arial Narrow"/>
        </w:rPr>
        <w:t>元，其他商品和服务支出</w:t>
      </w:r>
      <w:r>
        <w:rPr>
          <w:rFonts w:ascii="仿宋" w:hAnsi="仿宋" w:eastAsia="仿宋" w:cs="Arial Narrow"/>
        </w:rPr>
        <w:t>71,968.00</w:t>
      </w:r>
      <w:r>
        <w:rPr>
          <w:rFonts w:hint="eastAsia" w:ascii="仿宋" w:hAnsi="仿宋" w:eastAsia="仿宋" w:cs="Arial Narrow"/>
        </w:rPr>
        <w:t>元，资金使用率为50.85%。</w:t>
      </w:r>
    </w:p>
    <w:bookmarkEnd w:id="10"/>
    <w:bookmarkEnd w:id="11"/>
    <w:p w14:paraId="725415F1">
      <w:pPr>
        <w:pStyle w:val="4"/>
        <w:ind w:firstLine="482" w:firstLineChars="200"/>
        <w:rPr>
          <w:rFonts w:ascii="仿宋" w:hAnsi="仿宋" w:eastAsia="仿宋" w:cs="Arial Narrow"/>
        </w:rPr>
      </w:pPr>
      <w:bookmarkStart w:id="25" w:name="_Toc14165727"/>
      <w:bookmarkStart w:id="26" w:name="_Toc15549364"/>
      <w:bookmarkStart w:id="27" w:name="_Toc15549431"/>
      <w:r>
        <w:rPr>
          <w:rFonts w:hint="eastAsia" w:ascii="仿宋" w:hAnsi="仿宋" w:eastAsia="仿宋" w:cs="Arial Narrow"/>
        </w:rPr>
        <w:t>（四）项目实施情况</w:t>
      </w:r>
      <w:bookmarkEnd w:id="25"/>
      <w:bookmarkEnd w:id="26"/>
      <w:bookmarkEnd w:id="27"/>
    </w:p>
    <w:p w14:paraId="1D39ED8C">
      <w:pPr>
        <w:snapToGrid w:val="0"/>
        <w:ind w:firstLine="480"/>
        <w:rPr>
          <w:rFonts w:ascii="仿宋" w:hAnsi="仿宋" w:eastAsia="仿宋" w:cs="Arial Narrow"/>
        </w:rPr>
      </w:pPr>
      <w:r>
        <w:rPr>
          <w:rFonts w:hint="eastAsia" w:ascii="仿宋" w:hAnsi="仿宋" w:eastAsia="仿宋" w:cs="Arial Narrow"/>
        </w:rPr>
        <w:t>1、项目实施单位：武汉经济技术开发区智慧生态城管理办公室</w:t>
      </w:r>
    </w:p>
    <w:p w14:paraId="7D36F464">
      <w:pPr>
        <w:snapToGrid w:val="0"/>
        <w:ind w:firstLine="480"/>
        <w:rPr>
          <w:rFonts w:ascii="仿宋" w:hAnsi="仿宋" w:eastAsia="仿宋" w:cs="Arial Narrow"/>
        </w:rPr>
      </w:pPr>
      <w:r>
        <w:rPr>
          <w:rFonts w:hint="eastAsia" w:ascii="仿宋" w:hAnsi="仿宋" w:eastAsia="仿宋" w:cs="Arial Narrow"/>
        </w:rPr>
        <w:t>2、项目主要内容：用于园区招商参展及日常工作费用，如：招商接待费、差旅费、培训费、宣传印刷费、租车费等。</w:t>
      </w:r>
    </w:p>
    <w:p w14:paraId="72E22551">
      <w:pPr>
        <w:snapToGrid w:val="0"/>
        <w:ind w:firstLine="0" w:firstLineChars="0"/>
        <w:outlineLvl w:val="0"/>
        <w:rPr>
          <w:rFonts w:ascii="仿宋" w:hAnsi="仿宋" w:eastAsia="仿宋" w:cs="Arial Narrow"/>
          <w:b/>
        </w:rPr>
      </w:pPr>
      <w:bookmarkStart w:id="28" w:name="_Toc14372"/>
      <w:bookmarkStart w:id="29" w:name="_Toc15549432"/>
      <w:bookmarkStart w:id="30" w:name="_Toc15549365"/>
      <w:bookmarkStart w:id="31" w:name="_Toc406666357"/>
      <w:bookmarkStart w:id="32" w:name="_Toc387957806"/>
      <w:bookmarkStart w:id="33" w:name="_Toc14165728"/>
      <w:bookmarkStart w:id="34" w:name="_Toc406668031"/>
      <w:bookmarkStart w:id="35" w:name="_Toc361304681"/>
      <w:r>
        <w:rPr>
          <w:rFonts w:ascii="仿宋" w:hAnsi="仿宋" w:eastAsia="仿宋" w:cs="Arial Narrow"/>
          <w:b/>
        </w:rPr>
        <w:t>二、绩效评价工作情况</w:t>
      </w:r>
      <w:bookmarkEnd w:id="28"/>
      <w:bookmarkEnd w:id="29"/>
      <w:bookmarkEnd w:id="30"/>
      <w:bookmarkEnd w:id="31"/>
      <w:bookmarkEnd w:id="32"/>
      <w:bookmarkEnd w:id="33"/>
      <w:bookmarkEnd w:id="34"/>
      <w:bookmarkEnd w:id="35"/>
      <w:bookmarkStart w:id="36" w:name="_Toc361304682"/>
    </w:p>
    <w:p w14:paraId="3B1BD45D">
      <w:pPr>
        <w:snapToGrid w:val="0"/>
        <w:ind w:firstLine="482"/>
        <w:outlineLvl w:val="1"/>
        <w:rPr>
          <w:rFonts w:ascii="仿宋" w:hAnsi="仿宋" w:eastAsia="仿宋" w:cs="Arial Narrow"/>
          <w:b/>
          <w:bCs/>
        </w:rPr>
      </w:pPr>
      <w:bookmarkStart w:id="37" w:name="_Toc387957807"/>
      <w:bookmarkStart w:id="38" w:name="_Toc14165729"/>
      <w:bookmarkStart w:id="39" w:name="_Toc15549433"/>
      <w:bookmarkStart w:id="40" w:name="_Toc406666358"/>
      <w:bookmarkStart w:id="41" w:name="_Toc29064"/>
      <w:bookmarkStart w:id="42" w:name="_Toc15549366"/>
      <w:bookmarkStart w:id="43" w:name="_Toc406668032"/>
      <w:r>
        <w:rPr>
          <w:rFonts w:ascii="仿宋" w:hAnsi="仿宋" w:eastAsia="仿宋" w:cs="Arial Narrow"/>
          <w:b/>
          <w:bCs/>
        </w:rPr>
        <w:t>（一）绩效评价目</w:t>
      </w:r>
      <w:bookmarkEnd w:id="36"/>
      <w:bookmarkEnd w:id="37"/>
      <w:r>
        <w:rPr>
          <w:rFonts w:ascii="仿宋" w:hAnsi="仿宋" w:eastAsia="仿宋" w:cs="Arial Narrow"/>
          <w:b/>
          <w:bCs/>
        </w:rPr>
        <w:t>的</w:t>
      </w:r>
      <w:bookmarkEnd w:id="38"/>
      <w:bookmarkEnd w:id="39"/>
      <w:bookmarkEnd w:id="40"/>
      <w:bookmarkEnd w:id="41"/>
      <w:bookmarkEnd w:id="42"/>
      <w:bookmarkEnd w:id="43"/>
    </w:p>
    <w:p w14:paraId="52DD8D73">
      <w:pPr>
        <w:snapToGrid w:val="0"/>
        <w:ind w:firstLine="480"/>
        <w:rPr>
          <w:rFonts w:ascii="仿宋" w:hAnsi="仿宋" w:eastAsia="仿宋" w:cs="Arial Narrow"/>
          <w:bCs/>
        </w:rPr>
      </w:pPr>
      <w:r>
        <w:rPr>
          <w:rFonts w:hint="eastAsia" w:ascii="仿宋" w:hAnsi="仿宋" w:eastAsia="仿宋" w:cs="Arial Narrow"/>
          <w:bCs/>
        </w:rPr>
        <w:t>本次绩效评价的目的是通过对财政专项资金支出的“追踪问效”，考核、评价财政预算中由智慧生态城管理办公室承担的“招商经费”专项支出的实施和运作情况，检验项目支出是否达到预期目标，以提高部门的绩效意识，为规范预算编制管理，优化支出结构，合理配置资源，提高财政资金使用效率和效益提供参考依据。</w:t>
      </w:r>
    </w:p>
    <w:p w14:paraId="77754073">
      <w:pPr>
        <w:snapToGrid w:val="0"/>
        <w:ind w:firstLine="482"/>
        <w:jc w:val="left"/>
        <w:outlineLvl w:val="1"/>
        <w:rPr>
          <w:rFonts w:ascii="仿宋" w:hAnsi="仿宋" w:eastAsia="仿宋" w:cs="Arial Narrow"/>
          <w:b/>
          <w:bCs/>
        </w:rPr>
      </w:pPr>
      <w:bookmarkStart w:id="44" w:name="_Toc14165730"/>
      <w:bookmarkStart w:id="45" w:name="_Toc15549434"/>
      <w:bookmarkStart w:id="46" w:name="_Toc15549367"/>
      <w:bookmarkStart w:id="47" w:name="_Toc32197"/>
      <w:bookmarkStart w:id="48" w:name="_Toc387957809"/>
      <w:bookmarkStart w:id="49" w:name="_Toc406666359"/>
      <w:bookmarkStart w:id="50" w:name="_Toc361304684"/>
      <w:bookmarkStart w:id="51" w:name="_Toc406668033"/>
      <w:bookmarkStart w:id="52" w:name="_Toc361302025"/>
      <w:r>
        <w:rPr>
          <w:rFonts w:ascii="仿宋" w:hAnsi="仿宋" w:eastAsia="仿宋" w:cs="Arial Narrow"/>
          <w:b/>
          <w:bCs/>
        </w:rPr>
        <w:t>（二）绩效评价</w:t>
      </w:r>
      <w:r>
        <w:rPr>
          <w:rFonts w:hint="eastAsia" w:ascii="仿宋" w:hAnsi="仿宋" w:eastAsia="仿宋" w:cs="Arial Narrow"/>
          <w:b/>
          <w:bCs/>
        </w:rPr>
        <w:t>工作</w:t>
      </w:r>
      <w:r>
        <w:rPr>
          <w:rFonts w:ascii="仿宋" w:hAnsi="仿宋" w:eastAsia="仿宋" w:cs="Arial Narrow"/>
          <w:b/>
          <w:bCs/>
        </w:rPr>
        <w:t>过程</w:t>
      </w:r>
      <w:bookmarkEnd w:id="44"/>
      <w:bookmarkEnd w:id="45"/>
      <w:bookmarkEnd w:id="46"/>
      <w:bookmarkEnd w:id="47"/>
    </w:p>
    <w:p w14:paraId="6D089587">
      <w:pPr>
        <w:snapToGrid w:val="0"/>
        <w:ind w:firstLine="480"/>
        <w:jc w:val="left"/>
        <w:rPr>
          <w:rFonts w:ascii="仿宋" w:hAnsi="仿宋" w:eastAsia="仿宋" w:cs="Arial Narrow"/>
          <w:bCs/>
        </w:rPr>
      </w:pPr>
      <w:r>
        <w:rPr>
          <w:rFonts w:hint="eastAsia" w:ascii="仿宋" w:hAnsi="仿宋" w:eastAsia="仿宋" w:cs="Arial Narrow"/>
          <w:bCs/>
        </w:rPr>
        <w:t>1、绩效评价准备阶段</w:t>
      </w:r>
    </w:p>
    <w:p w14:paraId="719B5211">
      <w:pPr>
        <w:snapToGrid w:val="0"/>
        <w:ind w:firstLine="480"/>
        <w:jc w:val="left"/>
        <w:rPr>
          <w:rFonts w:ascii="仿宋" w:hAnsi="仿宋" w:eastAsia="仿宋" w:cs="Arial Narrow"/>
          <w:bCs/>
        </w:rPr>
      </w:pPr>
      <w:r>
        <w:rPr>
          <w:rFonts w:hint="eastAsia" w:ascii="仿宋" w:hAnsi="仿宋" w:eastAsia="仿宋" w:cs="Arial Narrow"/>
          <w:bCs/>
        </w:rPr>
        <w:t>确定评价对象。根据下达的绩效评价通知书，制订绩效评价工作方案。</w:t>
      </w:r>
    </w:p>
    <w:p w14:paraId="28C5DACC">
      <w:pPr>
        <w:snapToGrid w:val="0"/>
        <w:ind w:firstLine="480"/>
        <w:jc w:val="left"/>
        <w:rPr>
          <w:rFonts w:ascii="仿宋" w:hAnsi="仿宋" w:eastAsia="仿宋" w:cs="Arial Narrow"/>
          <w:bCs/>
        </w:rPr>
      </w:pPr>
      <w:r>
        <w:rPr>
          <w:rFonts w:hint="eastAsia" w:ascii="仿宋" w:hAnsi="仿宋" w:eastAsia="仿宋" w:cs="Arial Narrow"/>
          <w:bCs/>
        </w:rPr>
        <w:t>2、绩效评价实施阶段</w:t>
      </w:r>
    </w:p>
    <w:p w14:paraId="54DD9A16">
      <w:pPr>
        <w:snapToGrid w:val="0"/>
        <w:ind w:firstLine="480"/>
        <w:jc w:val="left"/>
        <w:rPr>
          <w:rFonts w:ascii="仿宋" w:hAnsi="仿宋" w:eastAsia="仿宋" w:cs="Arial Narrow"/>
          <w:bCs/>
        </w:rPr>
      </w:pPr>
      <w:r>
        <w:rPr>
          <w:rFonts w:hint="eastAsia" w:ascii="仿宋" w:hAnsi="仿宋" w:eastAsia="仿宋" w:cs="Arial Narrow"/>
          <w:bCs/>
        </w:rPr>
        <w:t>（1）拟定评价工作方案；</w:t>
      </w:r>
    </w:p>
    <w:p w14:paraId="719141E7">
      <w:pPr>
        <w:snapToGrid w:val="0"/>
        <w:ind w:firstLine="480"/>
        <w:jc w:val="left"/>
        <w:rPr>
          <w:rFonts w:ascii="仿宋" w:hAnsi="仿宋" w:eastAsia="仿宋" w:cs="Arial Narrow"/>
          <w:bCs/>
        </w:rPr>
      </w:pPr>
      <w:r>
        <w:rPr>
          <w:rFonts w:hint="eastAsia" w:ascii="仿宋" w:hAnsi="仿宋" w:eastAsia="仿宋" w:cs="Arial Narrow"/>
          <w:bCs/>
        </w:rPr>
        <w:t>（2）资料审核；</w:t>
      </w:r>
    </w:p>
    <w:p w14:paraId="6C00F68C">
      <w:pPr>
        <w:snapToGrid w:val="0"/>
        <w:ind w:firstLine="480"/>
        <w:jc w:val="left"/>
        <w:rPr>
          <w:rFonts w:ascii="仿宋" w:hAnsi="仿宋" w:eastAsia="仿宋" w:cs="Arial Narrow"/>
          <w:bCs/>
        </w:rPr>
      </w:pPr>
      <w:r>
        <w:rPr>
          <w:rFonts w:hint="eastAsia" w:ascii="仿宋" w:hAnsi="仿宋" w:eastAsia="仿宋" w:cs="Arial Narrow"/>
          <w:bCs/>
        </w:rPr>
        <w:t>（3）撰写绩效报告；</w:t>
      </w:r>
    </w:p>
    <w:p w14:paraId="36C8836C">
      <w:pPr>
        <w:snapToGrid w:val="0"/>
        <w:ind w:firstLine="480"/>
        <w:jc w:val="left"/>
        <w:rPr>
          <w:rFonts w:ascii="仿宋" w:hAnsi="仿宋" w:eastAsia="仿宋" w:cs="Arial Narrow"/>
          <w:bCs/>
        </w:rPr>
      </w:pPr>
      <w:r>
        <w:rPr>
          <w:rFonts w:hint="eastAsia" w:ascii="仿宋" w:hAnsi="仿宋" w:eastAsia="仿宋" w:cs="Arial Narrow"/>
          <w:bCs/>
        </w:rPr>
        <w:t>（4）实施绩效评价。</w:t>
      </w:r>
    </w:p>
    <w:p w14:paraId="429E340C">
      <w:pPr>
        <w:snapToGrid w:val="0"/>
        <w:ind w:firstLine="480"/>
        <w:jc w:val="left"/>
        <w:rPr>
          <w:rFonts w:ascii="仿宋" w:hAnsi="仿宋" w:eastAsia="仿宋" w:cs="Arial Narrow"/>
          <w:bCs/>
        </w:rPr>
      </w:pPr>
      <w:r>
        <w:rPr>
          <w:rFonts w:hint="eastAsia" w:ascii="仿宋" w:hAnsi="仿宋" w:eastAsia="仿宋" w:cs="Arial Narrow"/>
          <w:bCs/>
        </w:rPr>
        <w:t>3、绩效评价总结阶段</w:t>
      </w:r>
    </w:p>
    <w:p w14:paraId="4E9F5970">
      <w:pPr>
        <w:snapToGrid w:val="0"/>
        <w:ind w:firstLine="480"/>
        <w:jc w:val="left"/>
        <w:rPr>
          <w:rFonts w:ascii="仿宋" w:hAnsi="仿宋" w:eastAsia="仿宋" w:cs="Arial Narrow"/>
          <w:bCs/>
        </w:rPr>
      </w:pPr>
      <w:r>
        <w:rPr>
          <w:rFonts w:hint="eastAsia" w:ascii="仿宋" w:hAnsi="仿宋" w:eastAsia="仿宋" w:cs="Arial Narrow"/>
          <w:bCs/>
        </w:rPr>
        <w:t>（1）撰写报告；</w:t>
      </w:r>
    </w:p>
    <w:p w14:paraId="01FF17E8">
      <w:pPr>
        <w:snapToGrid w:val="0"/>
        <w:ind w:firstLine="480"/>
        <w:jc w:val="left"/>
        <w:rPr>
          <w:rFonts w:ascii="仿宋" w:hAnsi="仿宋" w:eastAsia="仿宋" w:cs="Arial Narrow"/>
          <w:bCs/>
        </w:rPr>
      </w:pPr>
      <w:r>
        <w:rPr>
          <w:rFonts w:hint="eastAsia" w:ascii="仿宋" w:hAnsi="仿宋" w:eastAsia="仿宋" w:cs="Arial Narrow"/>
          <w:bCs/>
        </w:rPr>
        <w:t>（2）提交报告。</w:t>
      </w:r>
    </w:p>
    <w:p w14:paraId="2A4C3B0A">
      <w:pPr>
        <w:snapToGrid w:val="0"/>
        <w:ind w:firstLine="482"/>
        <w:jc w:val="left"/>
        <w:outlineLvl w:val="1"/>
        <w:rPr>
          <w:rFonts w:ascii="仿宋" w:hAnsi="仿宋" w:eastAsia="仿宋" w:cs="Arial Narrow"/>
          <w:b/>
        </w:rPr>
      </w:pPr>
      <w:bookmarkStart w:id="53" w:name="_Toc15549368"/>
      <w:bookmarkStart w:id="54" w:name="_Toc15549435"/>
      <w:bookmarkStart w:id="55" w:name="_Toc14165731"/>
      <w:r>
        <w:rPr>
          <w:rFonts w:hint="eastAsia" w:ascii="仿宋" w:hAnsi="仿宋" w:eastAsia="仿宋" w:cs="Arial Narrow"/>
          <w:b/>
        </w:rPr>
        <w:t>（三）绩效评价框架</w:t>
      </w:r>
      <w:bookmarkEnd w:id="53"/>
      <w:bookmarkEnd w:id="54"/>
      <w:bookmarkEnd w:id="55"/>
    </w:p>
    <w:p w14:paraId="5A057EC2">
      <w:pPr>
        <w:snapToGrid w:val="0"/>
        <w:ind w:firstLine="482"/>
        <w:jc w:val="left"/>
        <w:rPr>
          <w:rFonts w:ascii="仿宋" w:hAnsi="仿宋" w:eastAsia="仿宋" w:cs="Arial Narrow"/>
          <w:b/>
        </w:rPr>
      </w:pPr>
      <w:r>
        <w:rPr>
          <w:rFonts w:hint="eastAsia" w:ascii="仿宋" w:hAnsi="仿宋" w:eastAsia="仿宋" w:cs="Arial Narrow"/>
          <w:b/>
        </w:rPr>
        <w:t>1、评价原则</w:t>
      </w:r>
    </w:p>
    <w:p w14:paraId="2BF9B352">
      <w:pPr>
        <w:snapToGrid w:val="0"/>
        <w:ind w:firstLine="480"/>
        <w:jc w:val="left"/>
        <w:rPr>
          <w:rFonts w:ascii="仿宋" w:hAnsi="仿宋" w:eastAsia="仿宋" w:cs="Arial Narrow"/>
        </w:rPr>
      </w:pPr>
      <w:r>
        <w:rPr>
          <w:rFonts w:hint="eastAsia" w:ascii="仿宋" w:hAnsi="仿宋" w:eastAsia="仿宋" w:cs="Arial Narrow"/>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本次绩效评价，我们遵循相关性原则、重要性原则、可比性原则、系统性原则、经济性原则。</w:t>
      </w:r>
    </w:p>
    <w:p w14:paraId="54ACEFEB">
      <w:pPr>
        <w:snapToGrid w:val="0"/>
        <w:ind w:firstLine="482"/>
        <w:jc w:val="left"/>
        <w:rPr>
          <w:rFonts w:ascii="仿宋" w:hAnsi="仿宋" w:eastAsia="仿宋" w:cs="Arial Narrow"/>
          <w:b/>
        </w:rPr>
      </w:pPr>
      <w:r>
        <w:rPr>
          <w:rFonts w:hint="eastAsia" w:ascii="仿宋" w:hAnsi="仿宋" w:eastAsia="仿宋" w:cs="Arial Narrow"/>
          <w:b/>
        </w:rPr>
        <w:t>2、评价依据</w:t>
      </w:r>
    </w:p>
    <w:p w14:paraId="5973D862">
      <w:pPr>
        <w:snapToGrid w:val="0"/>
        <w:ind w:firstLine="480"/>
        <w:jc w:val="left"/>
        <w:rPr>
          <w:rFonts w:ascii="仿宋" w:hAnsi="仿宋" w:eastAsia="仿宋" w:cs="Arial Narrow"/>
        </w:rPr>
      </w:pPr>
      <w:r>
        <w:rPr>
          <w:rFonts w:hint="eastAsia" w:ascii="仿宋" w:hAnsi="仿宋" w:eastAsia="仿宋" w:cs="Arial Narrow"/>
        </w:rPr>
        <w:t>（1）《中华人民共和国预算法》；</w:t>
      </w:r>
    </w:p>
    <w:p w14:paraId="56CE127D">
      <w:pPr>
        <w:snapToGrid w:val="0"/>
        <w:ind w:firstLine="480"/>
        <w:jc w:val="left"/>
        <w:rPr>
          <w:rFonts w:ascii="仿宋" w:hAnsi="仿宋" w:eastAsia="仿宋" w:cs="Arial Narrow"/>
        </w:rPr>
      </w:pPr>
      <w:r>
        <w:rPr>
          <w:rFonts w:hint="eastAsia" w:ascii="仿宋" w:hAnsi="仿宋" w:eastAsia="仿宋" w:cs="Arial Narrow"/>
        </w:rPr>
        <w:t>（2）《财政支出绩效评价管理暂行办法》（财预[2011]285号）；</w:t>
      </w:r>
    </w:p>
    <w:p w14:paraId="32D69BF0">
      <w:pPr>
        <w:snapToGrid w:val="0"/>
        <w:ind w:firstLine="480"/>
        <w:jc w:val="left"/>
        <w:rPr>
          <w:rFonts w:ascii="仿宋" w:hAnsi="仿宋" w:eastAsia="仿宋" w:cs="Arial Narrow"/>
        </w:rPr>
      </w:pPr>
      <w:r>
        <w:rPr>
          <w:rFonts w:hint="eastAsia" w:ascii="仿宋" w:hAnsi="仿宋" w:eastAsia="仿宋" w:cs="Arial Narrow"/>
        </w:rPr>
        <w:t>（3）《财政部关于推进预算绩效管理的指导意见》（财预[2011]416号）；</w:t>
      </w:r>
    </w:p>
    <w:p w14:paraId="1CF9D7B1">
      <w:pPr>
        <w:snapToGrid w:val="0"/>
        <w:ind w:firstLine="480"/>
        <w:jc w:val="left"/>
        <w:rPr>
          <w:rFonts w:ascii="仿宋" w:hAnsi="仿宋" w:eastAsia="仿宋" w:cs="Arial Narrow"/>
        </w:rPr>
      </w:pPr>
      <w:r>
        <w:rPr>
          <w:rFonts w:hint="eastAsia" w:ascii="仿宋" w:hAnsi="仿宋" w:eastAsia="仿宋" w:cs="Arial Narrow"/>
        </w:rPr>
        <w:t>（4）《湖北省省级财政项目资金绩效评价实施暂行办法》（鄂财绩发[2012]5号）；</w:t>
      </w:r>
    </w:p>
    <w:p w14:paraId="332BE624">
      <w:pPr>
        <w:snapToGrid w:val="0"/>
        <w:ind w:firstLine="480"/>
        <w:jc w:val="left"/>
        <w:rPr>
          <w:rFonts w:ascii="仿宋" w:hAnsi="仿宋" w:eastAsia="仿宋" w:cs="Arial Narrow"/>
        </w:rPr>
      </w:pPr>
      <w:r>
        <w:rPr>
          <w:rFonts w:hint="eastAsia" w:ascii="仿宋" w:hAnsi="仿宋" w:eastAsia="仿宋" w:cs="Arial Narrow"/>
        </w:rPr>
        <w:t>（5）《关于推进预算绩效管理的意见》(武政[2013]95号)；</w:t>
      </w:r>
    </w:p>
    <w:p w14:paraId="7CEAC480">
      <w:pPr>
        <w:snapToGrid w:val="0"/>
        <w:ind w:firstLine="480"/>
        <w:jc w:val="left"/>
        <w:rPr>
          <w:rFonts w:ascii="仿宋" w:hAnsi="仿宋" w:eastAsia="仿宋" w:cs="Arial Narrow"/>
        </w:rPr>
      </w:pPr>
      <w:r>
        <w:rPr>
          <w:rFonts w:hint="eastAsia" w:ascii="仿宋" w:hAnsi="仿宋" w:eastAsia="仿宋" w:cs="Arial Narrow"/>
        </w:rPr>
        <w:t>（6） 武汉市财政局《关于进一步推进预算绩效管理改革工作的通知》；</w:t>
      </w:r>
    </w:p>
    <w:p w14:paraId="0244BAA3">
      <w:pPr>
        <w:snapToGrid w:val="0"/>
        <w:ind w:firstLine="480"/>
        <w:jc w:val="left"/>
        <w:rPr>
          <w:rFonts w:ascii="仿宋" w:hAnsi="仿宋" w:eastAsia="仿宋" w:cs="Arial Narrow"/>
        </w:rPr>
      </w:pPr>
      <w:r>
        <w:rPr>
          <w:rFonts w:hint="eastAsia" w:ascii="仿宋" w:hAnsi="仿宋" w:eastAsia="仿宋" w:cs="Arial Narrow"/>
        </w:rPr>
        <w:t>（7）《武汉经济技术开发区（汉南区）预算绩效评价管理暂行办法》；</w:t>
      </w:r>
    </w:p>
    <w:p w14:paraId="4CC88F8A">
      <w:pPr>
        <w:snapToGrid w:val="0"/>
        <w:ind w:firstLine="480"/>
        <w:jc w:val="left"/>
        <w:rPr>
          <w:rFonts w:ascii="仿宋" w:hAnsi="仿宋" w:eastAsia="仿宋" w:cs="Arial Narrow"/>
        </w:rPr>
      </w:pPr>
      <w:r>
        <w:rPr>
          <w:rFonts w:hint="eastAsia" w:ascii="仿宋" w:hAnsi="仿宋" w:eastAsia="仿宋" w:cs="Arial Narrow"/>
        </w:rPr>
        <w:t>（8）《中共武汉开发区工委（汉南区委）武汉开发区管委会（汉南区政府）关于全面推进预算绩效管理的实施意见》（武开〔2019〕11号）；</w:t>
      </w:r>
    </w:p>
    <w:p w14:paraId="58C88994">
      <w:pPr>
        <w:snapToGrid w:val="0"/>
        <w:ind w:firstLine="480"/>
        <w:jc w:val="left"/>
        <w:rPr>
          <w:rFonts w:ascii="仿宋" w:hAnsi="仿宋" w:eastAsia="仿宋" w:cs="Arial Narrow"/>
        </w:rPr>
      </w:pPr>
      <w:r>
        <w:rPr>
          <w:rFonts w:hint="eastAsia" w:ascii="仿宋" w:hAnsi="仿宋" w:eastAsia="仿宋" w:cs="Arial Narrow"/>
        </w:rPr>
        <w:t>（9）《区财政局关于2019年开展预算绩效评价工作的通知》 武经开财〔2019〕29号</w:t>
      </w:r>
    </w:p>
    <w:p w14:paraId="14E3C24E">
      <w:pPr>
        <w:snapToGrid w:val="0"/>
        <w:ind w:firstLine="480"/>
        <w:jc w:val="left"/>
        <w:rPr>
          <w:rFonts w:ascii="仿宋" w:hAnsi="仿宋" w:eastAsia="仿宋" w:cs="Arial Narrow"/>
        </w:rPr>
      </w:pPr>
      <w:r>
        <w:rPr>
          <w:rFonts w:hint="eastAsia" w:ascii="仿宋" w:hAnsi="仿宋" w:eastAsia="仿宋" w:cs="Arial Narrow"/>
        </w:rPr>
        <w:t>（10）项目资金使用明细表、与项目相关的财务账等资料；</w:t>
      </w:r>
    </w:p>
    <w:p w14:paraId="57A35D81">
      <w:pPr>
        <w:snapToGrid w:val="0"/>
        <w:ind w:firstLine="480"/>
        <w:jc w:val="left"/>
        <w:rPr>
          <w:rFonts w:ascii="仿宋" w:hAnsi="仿宋" w:eastAsia="仿宋" w:cs="Arial Narrow"/>
        </w:rPr>
      </w:pPr>
      <w:r>
        <w:rPr>
          <w:rFonts w:hint="eastAsia" w:ascii="仿宋" w:hAnsi="仿宋" w:eastAsia="仿宋" w:cs="Arial Narrow"/>
        </w:rPr>
        <w:t>（11）其他与项目评价相关的资料。</w:t>
      </w:r>
    </w:p>
    <w:p w14:paraId="214DF058">
      <w:pPr>
        <w:snapToGrid w:val="0"/>
        <w:ind w:firstLine="482"/>
        <w:jc w:val="left"/>
        <w:rPr>
          <w:rFonts w:ascii="仿宋" w:hAnsi="仿宋" w:eastAsia="仿宋" w:cs="Arial Narrow"/>
          <w:b/>
        </w:rPr>
      </w:pPr>
      <w:r>
        <w:rPr>
          <w:rFonts w:hint="eastAsia" w:ascii="仿宋" w:hAnsi="仿宋" w:eastAsia="仿宋" w:cs="Arial Narrow"/>
          <w:b/>
        </w:rPr>
        <w:t>3、评价方法</w:t>
      </w:r>
    </w:p>
    <w:p w14:paraId="658473C3">
      <w:pPr>
        <w:snapToGrid w:val="0"/>
        <w:ind w:firstLine="480"/>
        <w:jc w:val="left"/>
        <w:rPr>
          <w:rFonts w:ascii="仿宋" w:hAnsi="仿宋" w:eastAsia="仿宋" w:cs="Arial Narrow"/>
        </w:rPr>
      </w:pPr>
      <w:r>
        <w:rPr>
          <w:rFonts w:hint="eastAsia" w:ascii="仿宋" w:hAnsi="仿宋" w:eastAsia="仿宋" w:cs="Arial Narrow"/>
        </w:rPr>
        <w:t>主要采用成本效益分析法、比较法、因素分析法、最低成本法、公众评判法等。</w:t>
      </w:r>
    </w:p>
    <w:p w14:paraId="48AF98CD">
      <w:pPr>
        <w:snapToGrid w:val="0"/>
        <w:ind w:firstLine="480"/>
        <w:jc w:val="left"/>
        <w:rPr>
          <w:rFonts w:ascii="仿宋" w:hAnsi="仿宋" w:eastAsia="仿宋" w:cs="Arial Narrow"/>
        </w:rPr>
      </w:pPr>
      <w:r>
        <w:rPr>
          <w:rFonts w:hint="eastAsia" w:ascii="仿宋" w:hAnsi="仿宋" w:eastAsia="仿宋" w:cs="Arial Narrow"/>
        </w:rPr>
        <w:t>（1）成本效益分析法。是指将一定时期内的支出与效益进行对比分析，以评价绩效目标实现程度。</w:t>
      </w:r>
    </w:p>
    <w:p w14:paraId="001EC8DE">
      <w:pPr>
        <w:snapToGrid w:val="0"/>
        <w:ind w:firstLine="480"/>
        <w:jc w:val="left"/>
        <w:rPr>
          <w:rFonts w:ascii="仿宋" w:hAnsi="仿宋" w:eastAsia="仿宋" w:cs="Arial Narrow"/>
        </w:rPr>
      </w:pPr>
      <w:r>
        <w:rPr>
          <w:rFonts w:hint="eastAsia" w:ascii="仿宋" w:hAnsi="仿宋" w:eastAsia="仿宋" w:cs="Arial Narrow"/>
        </w:rPr>
        <w:t>（2）比较法。是指通过对绩效目标与实施效果、历史与当期情况、不同部门和地区同类支出的比较，综合分析绩效目标实现程度。</w:t>
      </w:r>
    </w:p>
    <w:p w14:paraId="7F3CAB45">
      <w:pPr>
        <w:snapToGrid w:val="0"/>
        <w:ind w:firstLine="480"/>
        <w:jc w:val="left"/>
        <w:rPr>
          <w:rFonts w:ascii="仿宋" w:hAnsi="仿宋" w:eastAsia="仿宋" w:cs="Arial Narrow"/>
        </w:rPr>
      </w:pPr>
      <w:r>
        <w:rPr>
          <w:rFonts w:hint="eastAsia" w:ascii="仿宋" w:hAnsi="仿宋" w:eastAsia="仿宋" w:cs="Arial Narrow"/>
        </w:rPr>
        <w:t>（3）因素分析法。是指通过综合分析影响绩效目标实现、实施效果的内外因素，评价绩效目标实现程度。</w:t>
      </w:r>
    </w:p>
    <w:p w14:paraId="0864417E">
      <w:pPr>
        <w:snapToGrid w:val="0"/>
        <w:ind w:firstLine="480"/>
        <w:jc w:val="left"/>
        <w:rPr>
          <w:rFonts w:ascii="仿宋" w:hAnsi="仿宋" w:eastAsia="仿宋" w:cs="Arial Narrow"/>
        </w:rPr>
      </w:pPr>
      <w:r>
        <w:rPr>
          <w:rFonts w:hint="eastAsia" w:ascii="仿宋" w:hAnsi="仿宋" w:eastAsia="仿宋" w:cs="Arial Narrow"/>
        </w:rPr>
        <w:t>（4）最低成本法。是指对效益确定却不易计量的多个同类对象的实施成本进行比较，评价绩效目标实现程度。</w:t>
      </w:r>
    </w:p>
    <w:p w14:paraId="5E56B1A4">
      <w:pPr>
        <w:snapToGrid w:val="0"/>
        <w:ind w:firstLine="480"/>
        <w:jc w:val="left"/>
        <w:rPr>
          <w:rFonts w:ascii="仿宋" w:hAnsi="仿宋" w:eastAsia="仿宋" w:cs="Arial Narrow"/>
        </w:rPr>
      </w:pPr>
      <w:r>
        <w:rPr>
          <w:rFonts w:hint="eastAsia" w:ascii="仿宋" w:hAnsi="仿宋" w:eastAsia="仿宋" w:cs="Arial Narrow"/>
        </w:rPr>
        <w:t>（5）公众评判法。是指通过专家评估、公众问卷及抽样调查等对财政支出效果进行评判，评价绩效目标实现程度。</w:t>
      </w:r>
    </w:p>
    <w:p w14:paraId="6A0705C0">
      <w:pPr>
        <w:snapToGrid w:val="0"/>
        <w:ind w:firstLine="482"/>
        <w:jc w:val="left"/>
        <w:outlineLvl w:val="1"/>
        <w:rPr>
          <w:rFonts w:ascii="仿宋" w:hAnsi="仿宋" w:eastAsia="仿宋" w:cs="Arial Narrow"/>
          <w:b/>
        </w:rPr>
      </w:pPr>
      <w:bookmarkStart w:id="56" w:name="_Toc14165732"/>
      <w:bookmarkStart w:id="57" w:name="_Toc15549369"/>
      <w:bookmarkStart w:id="58" w:name="_Toc15549436"/>
      <w:r>
        <w:rPr>
          <w:rFonts w:hint="eastAsia" w:ascii="仿宋" w:hAnsi="仿宋" w:eastAsia="仿宋" w:cs="Arial Narrow"/>
          <w:b/>
        </w:rPr>
        <w:t>（四）评价抽样情况概述</w:t>
      </w:r>
      <w:bookmarkEnd w:id="48"/>
      <w:bookmarkEnd w:id="49"/>
      <w:bookmarkEnd w:id="50"/>
      <w:bookmarkEnd w:id="51"/>
      <w:bookmarkEnd w:id="52"/>
      <w:bookmarkEnd w:id="56"/>
      <w:bookmarkEnd w:id="57"/>
      <w:bookmarkEnd w:id="58"/>
      <w:bookmarkStart w:id="59" w:name="_Toc18443"/>
      <w:bookmarkStart w:id="60" w:name="_Toc406666370"/>
      <w:bookmarkStart w:id="61" w:name="_Toc361304693"/>
      <w:bookmarkStart w:id="62" w:name="_Toc406668044"/>
      <w:bookmarkStart w:id="63" w:name="_Toc387957819"/>
      <w:bookmarkStart w:id="64" w:name="_Toc14165733"/>
    </w:p>
    <w:p w14:paraId="29981AE4">
      <w:pPr>
        <w:snapToGrid w:val="0"/>
        <w:ind w:firstLine="480"/>
        <w:jc w:val="left"/>
        <w:rPr>
          <w:rFonts w:ascii="仿宋" w:hAnsi="仿宋" w:eastAsia="仿宋" w:cs="Arial Narrow"/>
        </w:rPr>
      </w:pPr>
      <w:r>
        <w:rPr>
          <w:rFonts w:hint="eastAsia" w:ascii="仿宋" w:hAnsi="仿宋" w:eastAsia="仿宋" w:cs="Arial Narrow"/>
        </w:rPr>
        <w:t>绩效评价小组遵循代表性原则、独立性原则和方便性原则，根据项目属性、区域分布、资金规模进行抽样调查。抽样调查项目个数及总金额可以代表项目实施的总体情况。对被抽样单位进行实地抽查，了解项目的具体实施情况，在反复沟通中了解被抽样单位项目资金的使用情况、项目资金的到位情况及产生的效益，使绩效评价量化指标更加充分，也确保绩效评价与项目的衔接度更高。</w:t>
      </w:r>
    </w:p>
    <w:p w14:paraId="7A7DAE69">
      <w:pPr>
        <w:pStyle w:val="2"/>
        <w:rPr>
          <w:rFonts w:ascii="仿宋" w:hAnsi="仿宋" w:eastAsia="仿宋" w:cs="Arial Narrow"/>
          <w:b w:val="0"/>
          <w:sz w:val="24"/>
        </w:rPr>
      </w:pPr>
      <w:bookmarkStart w:id="65" w:name="_Toc15549370"/>
      <w:bookmarkStart w:id="66" w:name="_Toc15549437"/>
      <w:r>
        <w:rPr>
          <w:rFonts w:ascii="仿宋" w:hAnsi="仿宋" w:eastAsia="仿宋" w:cs="Arial Narrow"/>
          <w:sz w:val="24"/>
        </w:rPr>
        <w:t>三、绩效分析</w:t>
      </w:r>
      <w:bookmarkEnd w:id="59"/>
      <w:bookmarkEnd w:id="60"/>
      <w:bookmarkEnd w:id="61"/>
      <w:bookmarkEnd w:id="62"/>
      <w:bookmarkEnd w:id="63"/>
      <w:r>
        <w:rPr>
          <w:rFonts w:ascii="仿宋" w:hAnsi="仿宋" w:eastAsia="仿宋" w:cs="Arial Narrow"/>
          <w:sz w:val="24"/>
        </w:rPr>
        <w:t>及评价结论</w:t>
      </w:r>
      <w:bookmarkEnd w:id="64"/>
      <w:bookmarkEnd w:id="65"/>
      <w:bookmarkEnd w:id="66"/>
    </w:p>
    <w:p w14:paraId="5D85B3EC">
      <w:pPr>
        <w:pStyle w:val="3"/>
        <w:spacing w:before="0" w:after="0" w:line="360" w:lineRule="auto"/>
        <w:ind w:firstLine="482"/>
        <w:rPr>
          <w:rFonts w:ascii="仿宋" w:hAnsi="仿宋" w:eastAsia="仿宋" w:cs="Arial Narrow"/>
          <w:b w:val="0"/>
          <w:sz w:val="24"/>
        </w:rPr>
      </w:pPr>
      <w:bookmarkStart w:id="67" w:name="_Toc15549438"/>
      <w:bookmarkStart w:id="68" w:name="_Toc14165734"/>
      <w:bookmarkStart w:id="69" w:name="_Toc15549371"/>
      <w:r>
        <w:rPr>
          <w:rFonts w:hint="eastAsia" w:ascii="仿宋" w:hAnsi="仿宋" w:eastAsia="仿宋" w:cs="Arial Narrow"/>
          <w:sz w:val="24"/>
        </w:rPr>
        <w:t>（一）</w:t>
      </w:r>
      <w:r>
        <w:rPr>
          <w:rFonts w:ascii="仿宋" w:hAnsi="仿宋" w:eastAsia="仿宋" w:cs="Arial Narrow"/>
          <w:sz w:val="24"/>
        </w:rPr>
        <w:t>绩效分析</w:t>
      </w:r>
      <w:bookmarkEnd w:id="67"/>
      <w:bookmarkEnd w:id="68"/>
      <w:bookmarkEnd w:id="69"/>
    </w:p>
    <w:p w14:paraId="48FD804F">
      <w:pPr>
        <w:pStyle w:val="4"/>
        <w:ind w:firstLine="482" w:firstLineChars="200"/>
        <w:rPr>
          <w:rFonts w:ascii="仿宋" w:hAnsi="仿宋" w:eastAsia="仿宋"/>
        </w:rPr>
      </w:pPr>
      <w:bookmarkStart w:id="70" w:name="_Toc15549439"/>
      <w:bookmarkStart w:id="71" w:name="_Toc15549372"/>
      <w:bookmarkStart w:id="72" w:name="_Toc14165735"/>
      <w:bookmarkStart w:id="73" w:name="_Toc2992"/>
      <w:bookmarkStart w:id="74" w:name="_Toc387957822"/>
      <w:bookmarkStart w:id="75" w:name="_Toc406668047"/>
      <w:bookmarkStart w:id="76" w:name="_Toc361302034"/>
      <w:bookmarkStart w:id="77" w:name="_Toc406666373"/>
      <w:bookmarkStart w:id="78" w:name="_Toc361304697"/>
      <w:r>
        <w:rPr>
          <w:rFonts w:hint="eastAsia" w:ascii="仿宋" w:hAnsi="仿宋" w:eastAsia="仿宋"/>
        </w:rPr>
        <w:t>1、</w:t>
      </w:r>
      <w:r>
        <w:rPr>
          <w:rFonts w:ascii="仿宋" w:hAnsi="仿宋" w:eastAsia="仿宋"/>
        </w:rPr>
        <w:t>项目</w:t>
      </w:r>
      <w:bookmarkStart w:id="79" w:name="_Toc394181010"/>
      <w:r>
        <w:rPr>
          <w:rFonts w:hint="eastAsia" w:ascii="仿宋" w:hAnsi="仿宋" w:eastAsia="仿宋"/>
        </w:rPr>
        <w:t>投入</w:t>
      </w:r>
      <w:r>
        <w:rPr>
          <w:rFonts w:ascii="仿宋" w:hAnsi="仿宋" w:eastAsia="仿宋"/>
        </w:rPr>
        <w:t>（</w:t>
      </w:r>
      <w:r>
        <w:rPr>
          <w:rFonts w:hint="eastAsia" w:ascii="仿宋" w:hAnsi="仿宋" w:eastAsia="仿宋"/>
        </w:rPr>
        <w:t>16</w:t>
      </w:r>
      <w:r>
        <w:rPr>
          <w:rFonts w:ascii="仿宋" w:hAnsi="仿宋" w:eastAsia="仿宋"/>
        </w:rPr>
        <w:t>分）</w:t>
      </w:r>
      <w:bookmarkEnd w:id="70"/>
      <w:bookmarkEnd w:id="71"/>
      <w:bookmarkEnd w:id="72"/>
      <w:bookmarkEnd w:id="73"/>
      <w:bookmarkEnd w:id="79"/>
    </w:p>
    <w:p w14:paraId="615B7C5A">
      <w:pPr>
        <w:snapToGrid w:val="0"/>
        <w:ind w:firstLine="480"/>
        <w:rPr>
          <w:rFonts w:ascii="仿宋" w:hAnsi="仿宋" w:eastAsia="仿宋" w:cs="Arial Narrow"/>
        </w:rPr>
      </w:pPr>
      <w:r>
        <w:rPr>
          <w:rFonts w:hint="eastAsia" w:ascii="仿宋" w:hAnsi="仿宋" w:eastAsia="仿宋" w:cs="Arial Narrow"/>
        </w:rPr>
        <w:t>项目投入方面主要评价项目立项和资金落实的实际情况。对于该项的评价，评价小组主要通过卷宗研究、现场访谈等方式对资料进行收集、整理和分析，查看了项目立项的相关资料、财政预算的批复文件，对项目决策涉及的指标进行打分，并逐级加权计算结果。经过综合计分，该指标得分为16分，评价等级为优。</w:t>
      </w:r>
    </w:p>
    <w:p w14:paraId="56825DEC">
      <w:pPr>
        <w:snapToGrid w:val="0"/>
        <w:ind w:firstLine="480"/>
        <w:rPr>
          <w:rFonts w:ascii="仿宋" w:hAnsi="仿宋" w:eastAsia="仿宋" w:cs="Arial Narrow"/>
        </w:rPr>
      </w:pPr>
      <w:r>
        <w:rPr>
          <w:rFonts w:hint="eastAsia" w:ascii="仿宋" w:hAnsi="仿宋" w:eastAsia="仿宋" w:cs="Arial Narrow"/>
        </w:rPr>
        <w:t>①项目立项（8分）</w:t>
      </w:r>
    </w:p>
    <w:p w14:paraId="71C549D0">
      <w:pPr>
        <w:snapToGrid w:val="0"/>
        <w:ind w:firstLine="480"/>
        <w:rPr>
          <w:rFonts w:ascii="仿宋" w:hAnsi="仿宋" w:eastAsia="仿宋" w:cs="Arial Narrow"/>
        </w:rPr>
      </w:pPr>
      <w:r>
        <w:rPr>
          <w:rFonts w:hint="eastAsia" w:ascii="仿宋" w:hAnsi="仿宋" w:eastAsia="仿宋" w:cs="Arial Narrow"/>
        </w:rPr>
        <w:t>项目立项是指项目的设立和设定的绩效目标是否参考相关的依据，并且对项目的具体目标进行细化、量化。项目立项主要通过项目立项规范性和绩效目标合理性两个指标反映。经过综合计分，项目立项指标得分为8分。</w:t>
      </w:r>
    </w:p>
    <w:p w14:paraId="76E43517">
      <w:pPr>
        <w:snapToGrid w:val="0"/>
        <w:ind w:firstLine="480"/>
        <w:rPr>
          <w:rFonts w:ascii="仿宋" w:hAnsi="仿宋" w:eastAsia="仿宋" w:cs="Arial Narrow"/>
        </w:rPr>
      </w:pPr>
      <w:r>
        <w:rPr>
          <w:rFonts w:hint="eastAsia" w:ascii="仿宋" w:hAnsi="仿宋" w:eastAsia="仿宋" w:cs="Arial Narrow"/>
        </w:rPr>
        <w:t>a.</w:t>
      </w:r>
      <w:r>
        <w:rPr>
          <w:rFonts w:hint="eastAsia" w:ascii="仿宋" w:hAnsi="仿宋" w:eastAsia="仿宋" w:cs="Arial Narrow"/>
        </w:rPr>
        <w:tab/>
      </w:r>
      <w:r>
        <w:rPr>
          <w:rFonts w:hint="eastAsia" w:ascii="仿宋" w:hAnsi="仿宋" w:eastAsia="仿宋" w:cs="Arial Narrow"/>
        </w:rPr>
        <w:t>项目立项规范性，是指项目的申请、设立过程是否符合相关要求，用以反映和考核项目立项的规范情况。该项目依据武汉经济技术开发区（汉南区）财政局文件《开发区（汉南区）财政局关于批复智慧生态城2018年预算的函》（武经开财预[2018]31号）及项目支出预算表 、《2018年开发区部门项目申报及绩效目标表》项目立项按照程序申请设立，所提交的文件、材料符合相关要求。</w:t>
      </w:r>
    </w:p>
    <w:p w14:paraId="559BEA7B">
      <w:pPr>
        <w:snapToGrid w:val="0"/>
        <w:ind w:firstLine="480"/>
        <w:rPr>
          <w:rFonts w:ascii="仿宋" w:hAnsi="仿宋" w:eastAsia="仿宋" w:cs="Arial Narrow"/>
        </w:rPr>
      </w:pPr>
      <w:r>
        <w:rPr>
          <w:rFonts w:hint="eastAsia" w:ascii="仿宋" w:hAnsi="仿宋" w:eastAsia="仿宋" w:cs="Arial Narrow"/>
        </w:rPr>
        <w:t>b. 绩效目标合理性，是指项目所设定的绩效目标依据是否充分，是否符合客观事实，可以反映和考核项目绩效目标与项目实施的：“招商经费”相符情况。项目实施单位并对项目预算金额进行了测算分解，对项目的具体执行进行了细化，设定了长期目标、年度目标，目标的设计符合目标管理规范。</w:t>
      </w:r>
    </w:p>
    <w:p w14:paraId="0D0C8AE2">
      <w:pPr>
        <w:snapToGrid w:val="0"/>
        <w:ind w:firstLine="480"/>
        <w:rPr>
          <w:rFonts w:ascii="仿宋" w:hAnsi="仿宋" w:eastAsia="仿宋" w:cs="Arial Narrow"/>
        </w:rPr>
      </w:pPr>
      <w:r>
        <w:rPr>
          <w:rFonts w:hint="eastAsia" w:ascii="仿宋" w:hAnsi="仿宋" w:eastAsia="仿宋" w:cs="Arial Narrow"/>
        </w:rPr>
        <w:t>②资金落实（8分）</w:t>
      </w:r>
    </w:p>
    <w:p w14:paraId="7E5DCD20">
      <w:pPr>
        <w:snapToGrid w:val="0"/>
        <w:ind w:firstLine="480"/>
        <w:rPr>
          <w:rFonts w:ascii="仿宋" w:hAnsi="仿宋" w:eastAsia="仿宋" w:cs="Arial Narrow"/>
        </w:rPr>
      </w:pPr>
      <w:r>
        <w:rPr>
          <w:rFonts w:hint="eastAsia" w:ascii="仿宋" w:hAnsi="仿宋" w:eastAsia="仿宋" w:cs="Arial Narrow"/>
        </w:rPr>
        <w:t>资金落实主要评价财政预算资金是否全额发放、资金到位是否及时。该情况主要是通过资金到位率和到位及时率两个指标来反映。指标评价得分为8分，评价等级为优。</w:t>
      </w:r>
    </w:p>
    <w:p w14:paraId="14D6D88E">
      <w:pPr>
        <w:snapToGrid w:val="0"/>
        <w:ind w:firstLine="480"/>
        <w:rPr>
          <w:rFonts w:ascii="仿宋" w:hAnsi="仿宋" w:eastAsia="仿宋" w:cs="Arial Narrow"/>
        </w:rPr>
      </w:pPr>
      <w:r>
        <w:rPr>
          <w:rFonts w:hint="eastAsia" w:ascii="仿宋" w:hAnsi="仿宋" w:eastAsia="仿宋" w:cs="Arial Narrow"/>
        </w:rPr>
        <w:t>a.</w:t>
      </w:r>
      <w:r>
        <w:rPr>
          <w:rFonts w:hint="eastAsia" w:ascii="仿宋" w:hAnsi="仿宋" w:eastAsia="仿宋" w:cs="Arial Narrow"/>
        </w:rPr>
        <w:tab/>
      </w:r>
      <w:r>
        <w:rPr>
          <w:rFonts w:hint="eastAsia" w:ascii="仿宋" w:hAnsi="仿宋" w:eastAsia="仿宋" w:cs="Arial Narrow"/>
        </w:rPr>
        <w:t>资金到位率，是指实际到位资金与计划投入资金的比率，用以反映和考核资金落实情况对项目实施的总体保障程度。2018年初该项目计划投入资金50万元，实际到位资金共50万元，资金到位率100%。</w:t>
      </w:r>
    </w:p>
    <w:p w14:paraId="35F8A0A3">
      <w:pPr>
        <w:snapToGrid w:val="0"/>
        <w:ind w:firstLine="480"/>
        <w:rPr>
          <w:rFonts w:ascii="仿宋" w:hAnsi="仿宋" w:eastAsia="仿宋" w:cs="Arial Narrow"/>
        </w:rPr>
      </w:pPr>
      <w:r>
        <w:rPr>
          <w:rFonts w:hint="eastAsia" w:ascii="仿宋" w:hAnsi="仿宋" w:eastAsia="仿宋" w:cs="Arial Narrow"/>
        </w:rPr>
        <w:t>b.</w:t>
      </w:r>
      <w:r>
        <w:rPr>
          <w:rFonts w:hint="eastAsia" w:ascii="仿宋" w:hAnsi="仿宋" w:eastAsia="仿宋" w:cs="Arial Narrow"/>
        </w:rPr>
        <w:tab/>
      </w:r>
      <w:r>
        <w:rPr>
          <w:rFonts w:hint="eastAsia" w:ascii="仿宋" w:hAnsi="仿宋" w:eastAsia="仿宋" w:cs="Arial Narrow"/>
        </w:rPr>
        <w:t>到位及时率，是指项目及时到位资金与应到位资金的比率，用以反映和考核项目资金落实的及时性程度。武汉经济技术开发区（汉南区）财政局下达项目年初预算申报资金50万元，下达及时，到位及时率100%。</w:t>
      </w:r>
    </w:p>
    <w:p w14:paraId="2ECFEFAE">
      <w:pPr>
        <w:pStyle w:val="4"/>
        <w:ind w:firstLine="482" w:firstLineChars="200"/>
        <w:rPr>
          <w:rFonts w:ascii="仿宋" w:hAnsi="仿宋" w:eastAsia="仿宋" w:cs="Arial Narrow"/>
          <w:b w:val="0"/>
          <w:bCs w:val="0"/>
        </w:rPr>
      </w:pPr>
      <w:bookmarkStart w:id="80" w:name="_Toc15549440"/>
      <w:bookmarkStart w:id="81" w:name="_Toc15549373"/>
      <w:r>
        <w:rPr>
          <w:rFonts w:hint="eastAsia" w:ascii="仿宋" w:hAnsi="仿宋" w:eastAsia="仿宋" w:cs="Arial Narrow"/>
        </w:rPr>
        <w:t>2、</w:t>
      </w:r>
      <w:r>
        <w:rPr>
          <w:rFonts w:ascii="仿宋" w:hAnsi="仿宋" w:eastAsia="仿宋" w:cs="Arial Narrow"/>
        </w:rPr>
        <w:t>决策过程（</w:t>
      </w:r>
      <w:r>
        <w:rPr>
          <w:rFonts w:hint="eastAsia" w:ascii="仿宋" w:hAnsi="仿宋" w:eastAsia="仿宋" w:cs="Arial Narrow"/>
          <w:bCs w:val="0"/>
        </w:rPr>
        <w:t>24</w:t>
      </w:r>
      <w:r>
        <w:rPr>
          <w:rFonts w:ascii="仿宋" w:hAnsi="仿宋" w:eastAsia="仿宋" w:cs="Arial Narrow"/>
        </w:rPr>
        <w:t>分）</w:t>
      </w:r>
      <w:bookmarkEnd w:id="80"/>
      <w:bookmarkEnd w:id="81"/>
    </w:p>
    <w:p w14:paraId="19118088">
      <w:pPr>
        <w:snapToGrid w:val="0"/>
        <w:ind w:firstLine="480"/>
        <w:rPr>
          <w:rFonts w:ascii="仿宋" w:hAnsi="仿宋" w:eastAsia="仿宋" w:cs="Arial Narrow"/>
        </w:rPr>
      </w:pPr>
      <w:r>
        <w:rPr>
          <w:rFonts w:hint="eastAsia" w:ascii="仿宋" w:hAnsi="仿宋" w:eastAsia="仿宋" w:cs="Arial Narrow"/>
        </w:rPr>
        <w:t>过程指标主要从项目管理、财务管理两个方面来具体评价；主要考核项目管理制度的健全性、制度执行的有效性和项目质量的可控性，财务制度的健全性、资金使用的合规性及财务监控的有效性。对于该项的评价，评价小组主要采取了卷宗研究、现场访谈的方式进行资料收集、整理、核实和分析，收集了项目具体实施单位的业务管理制度、财务管理制度等相关文件和项目档案资料管理相关文件；对项目管理、资金使用情况进行评价，对项目过程涉及的指标进行打分，并逐级加权计算结果。经过综合计分，该指标得分为24分，评价结果为优。</w:t>
      </w:r>
    </w:p>
    <w:p w14:paraId="006760AD">
      <w:pPr>
        <w:snapToGrid w:val="0"/>
        <w:ind w:firstLine="480"/>
        <w:rPr>
          <w:rFonts w:ascii="仿宋" w:hAnsi="仿宋" w:eastAsia="仿宋" w:cs="Arial Narrow"/>
        </w:rPr>
      </w:pPr>
      <w:r>
        <w:rPr>
          <w:rFonts w:hint="eastAsia" w:ascii="仿宋" w:hAnsi="仿宋" w:eastAsia="仿宋" w:cs="Arial Narrow"/>
        </w:rPr>
        <w:t>①项目管理（12分）</w:t>
      </w:r>
    </w:p>
    <w:p w14:paraId="15ECCC2F">
      <w:pPr>
        <w:snapToGrid w:val="0"/>
        <w:ind w:firstLine="480"/>
        <w:rPr>
          <w:rFonts w:ascii="仿宋" w:hAnsi="仿宋" w:eastAsia="仿宋" w:cs="Arial Narrow"/>
        </w:rPr>
      </w:pPr>
      <w:r>
        <w:rPr>
          <w:rFonts w:hint="eastAsia" w:ascii="仿宋" w:hAnsi="仿宋" w:eastAsia="仿宋" w:cs="Arial Narrow"/>
        </w:rPr>
        <w:t>项目管理主要评价管理制度是否健全、制度的执行是否有效、项目的质量是否可控。该指标主要通过管理制度健全性、制度执行有效性、项目质量可控性三个三级指标来反映。该项指标评价得分为12分，评价结果为优。</w:t>
      </w:r>
    </w:p>
    <w:p w14:paraId="5987355F">
      <w:pPr>
        <w:snapToGrid w:val="0"/>
        <w:ind w:firstLine="480"/>
        <w:rPr>
          <w:rFonts w:ascii="仿宋" w:hAnsi="仿宋" w:eastAsia="仿宋" w:cs="Arial Narrow"/>
        </w:rPr>
      </w:pPr>
      <w:r>
        <w:rPr>
          <w:rFonts w:hint="eastAsia" w:ascii="仿宋" w:hAnsi="仿宋" w:eastAsia="仿宋" w:cs="Arial Narrow"/>
        </w:rPr>
        <w:t>a.</w:t>
      </w:r>
      <w:r>
        <w:rPr>
          <w:rFonts w:hint="eastAsia" w:ascii="仿宋" w:hAnsi="仿宋" w:eastAsia="仿宋" w:cs="Arial Narrow"/>
        </w:rPr>
        <w:tab/>
      </w:r>
      <w:r>
        <w:rPr>
          <w:rFonts w:hint="eastAsia" w:ascii="仿宋" w:hAnsi="仿宋" w:eastAsia="仿宋" w:cs="Arial Narrow"/>
        </w:rPr>
        <w:t>管理制度健全性，是指项目管理制度是否健全，用以反映和考核项目管理制度对项目顺利实施的保障情况。评价小组根据武汉经济技术开发区智慧生态城管理办公室管理工作制度汇编中督办管理制度得知，项目实施单位已制定相关档案管理制度、考勤管理办法、经济合同管理办法、 绩效考核管理办法，且管理制度合法、合规、完整；并制定了与项目相关的企业服务制度。</w:t>
      </w:r>
    </w:p>
    <w:p w14:paraId="4EA1D360">
      <w:pPr>
        <w:snapToGrid w:val="0"/>
        <w:ind w:firstLine="480"/>
        <w:rPr>
          <w:rFonts w:ascii="仿宋" w:hAnsi="仿宋" w:eastAsia="仿宋" w:cs="Arial Narrow"/>
        </w:rPr>
      </w:pPr>
      <w:r>
        <w:rPr>
          <w:rFonts w:hint="eastAsia" w:ascii="仿宋" w:hAnsi="仿宋" w:eastAsia="仿宋" w:cs="Arial Narrow"/>
        </w:rPr>
        <w:t>b.</w:t>
      </w:r>
      <w:r>
        <w:rPr>
          <w:rFonts w:hint="eastAsia" w:ascii="仿宋" w:hAnsi="仿宋" w:eastAsia="仿宋" w:cs="Arial Narrow"/>
        </w:rPr>
        <w:tab/>
      </w:r>
      <w:r>
        <w:rPr>
          <w:rFonts w:hint="eastAsia" w:ascii="仿宋" w:hAnsi="仿宋" w:eastAsia="仿宋" w:cs="Arial Narrow"/>
        </w:rPr>
        <w:t>制度执行有效性，是指项目实施是否符合相关项目管理规定，用以反映和考核项目管理制度的有效执行情况。评价小组根据查阅资料得知，项目实施单位按照管理制度进行管理，遵守相关法律法规和业务管理规定，并按照武汉经济技术开发区制定的武汉经济技术开发区（汉南区）促进产业集聚办法实施细则，对企业进行相关考察，并签订相关投资协议，建立企业管理台账；项目实施的人员条件、场地设备、信息支撑等落实到位。</w:t>
      </w:r>
    </w:p>
    <w:p w14:paraId="22E1D19A">
      <w:pPr>
        <w:snapToGrid w:val="0"/>
        <w:ind w:firstLine="480"/>
        <w:rPr>
          <w:rFonts w:ascii="仿宋" w:hAnsi="仿宋" w:eastAsia="仿宋" w:cs="Arial Narrow"/>
        </w:rPr>
      </w:pPr>
      <w:r>
        <w:rPr>
          <w:rFonts w:hint="eastAsia" w:ascii="仿宋" w:hAnsi="仿宋" w:eastAsia="仿宋" w:cs="Arial Narrow"/>
        </w:rPr>
        <w:t>c.</w:t>
      </w:r>
      <w:r>
        <w:rPr>
          <w:rFonts w:hint="eastAsia" w:ascii="仿宋" w:hAnsi="仿宋" w:eastAsia="仿宋" w:cs="Arial Narrow"/>
        </w:rPr>
        <w:tab/>
      </w:r>
      <w:r>
        <w:rPr>
          <w:rFonts w:hint="eastAsia" w:ascii="仿宋" w:hAnsi="仿宋" w:eastAsia="仿宋" w:cs="Arial Narrow"/>
        </w:rPr>
        <w:t>项目质量可控性，是指项目实施单位是否对项目的进度、质量、风险进行合理控制管理，保证项目顺利完成。评价小组根据查阅资料得知，项目实施单位参照武汉经济技术开发区制定的《武汉经济技术开发区（汉南区）促进产业集聚办法实施细则》，对相关企业进行考察，举行招商引资小组讨论会议，由园区领导签署报签单，交由各局领导签署处理筏；与企业签订相关投资协议，并对项目规划方案进行规划设计；建立企业项目周报、推进计划表，并对招商引资项目落地情况书写汇报性文件。</w:t>
      </w:r>
    </w:p>
    <w:p w14:paraId="5C8D1F73">
      <w:pPr>
        <w:snapToGrid w:val="0"/>
        <w:ind w:firstLine="480"/>
        <w:rPr>
          <w:rFonts w:ascii="仿宋" w:hAnsi="仿宋" w:eastAsia="仿宋" w:cs="Arial Narrow"/>
        </w:rPr>
      </w:pPr>
      <w:r>
        <w:rPr>
          <w:rFonts w:hint="eastAsia" w:ascii="仿宋" w:hAnsi="仿宋" w:eastAsia="仿宋" w:cs="Arial Narrow"/>
        </w:rPr>
        <w:t>（2）财务管理（12分）</w:t>
      </w:r>
    </w:p>
    <w:p w14:paraId="2439E63D">
      <w:pPr>
        <w:snapToGrid w:val="0"/>
        <w:ind w:firstLine="480"/>
        <w:rPr>
          <w:rFonts w:ascii="仿宋" w:hAnsi="仿宋" w:eastAsia="仿宋" w:cs="Arial Narrow"/>
        </w:rPr>
      </w:pPr>
      <w:r>
        <w:rPr>
          <w:rFonts w:hint="eastAsia" w:ascii="仿宋" w:hAnsi="仿宋" w:eastAsia="仿宋" w:cs="Arial Narrow"/>
        </w:rPr>
        <w:t>财务管理指标主要评价项目实施单位的财务制度情况，资金使用情况以及财务监控措施的实施情况。该指标主要由财务制度健全性、资金使用合规性、财务监控有效性三个三级指标反映。该项指标评价得分为12分。</w:t>
      </w:r>
    </w:p>
    <w:p w14:paraId="612EEA06">
      <w:pPr>
        <w:snapToGrid w:val="0"/>
        <w:ind w:firstLine="480"/>
        <w:rPr>
          <w:rFonts w:ascii="仿宋" w:hAnsi="仿宋" w:eastAsia="仿宋" w:cs="Arial Narrow"/>
        </w:rPr>
      </w:pPr>
      <w:r>
        <w:rPr>
          <w:rFonts w:hint="eastAsia" w:ascii="仿宋" w:hAnsi="仿宋" w:eastAsia="仿宋" w:cs="Arial Narrow"/>
        </w:rPr>
        <w:t>①</w:t>
      </w:r>
      <w:r>
        <w:rPr>
          <w:rFonts w:ascii="仿宋" w:hAnsi="仿宋" w:eastAsia="仿宋" w:cs="Arial Narrow"/>
        </w:rPr>
        <w:t>财务制度健全性指标</w:t>
      </w:r>
      <w:r>
        <w:rPr>
          <w:rFonts w:hint="eastAsia" w:ascii="仿宋" w:hAnsi="仿宋" w:eastAsia="仿宋" w:cs="Arial Narrow"/>
        </w:rPr>
        <w:t>，</w:t>
      </w:r>
      <w:r>
        <w:rPr>
          <w:rFonts w:ascii="仿宋" w:hAnsi="仿宋" w:eastAsia="仿宋" w:cs="Arial Narrow"/>
        </w:rPr>
        <w:t>是指项目实施单位的资金管理、费用支出等制度是否健全，是否严格执行，会计核算是否规范，用以反映和考核财务管理制度对资金规范、安全运行的保障情况</w:t>
      </w:r>
      <w:r>
        <w:rPr>
          <w:rFonts w:hint="eastAsia" w:ascii="仿宋" w:hAnsi="仿宋" w:eastAsia="仿宋" w:cs="Arial Narrow"/>
        </w:rPr>
        <w:t>。</w:t>
      </w:r>
      <w:r>
        <w:rPr>
          <w:rFonts w:ascii="仿宋" w:hAnsi="仿宋" w:eastAsia="仿宋" w:cs="Arial Narrow"/>
        </w:rPr>
        <w:t>评价小组根据查阅资料得知，项目实施单位制定了相关财务管理制度，且财务管理制度符合相关财务会计制度的规定。</w:t>
      </w:r>
    </w:p>
    <w:p w14:paraId="495CD300">
      <w:pPr>
        <w:snapToGrid w:val="0"/>
        <w:ind w:firstLine="480"/>
        <w:rPr>
          <w:rFonts w:ascii="仿宋" w:hAnsi="仿宋" w:eastAsia="仿宋" w:cs="Arial Narrow"/>
        </w:rPr>
      </w:pPr>
      <w:r>
        <w:rPr>
          <w:rFonts w:hint="eastAsia" w:ascii="仿宋" w:hAnsi="仿宋" w:eastAsia="仿宋" w:cs="Arial Narrow"/>
        </w:rPr>
        <w:t>②资金使用合规性指标，是指项目实施单位是否存在支出依据不合规、虚列项目支出的情况；是否存在截留、挤占、挪用项目资金情况；是否存在超标准开支情况，用以反映和考核项目实施单位对项目资金使用的规范情况。评价小组通过查阅辅助明细账，抽查相关支出凭证，了解到项目支出符合国家财经法规和财务管理制度，资金的拨付有完整的审批程序和手续，符合项目预算批复或合同规定的用途，不存在截留、挤占、挪用、虚列支出等情况。</w:t>
      </w:r>
    </w:p>
    <w:p w14:paraId="1562DCCE">
      <w:pPr>
        <w:snapToGrid w:val="0"/>
        <w:ind w:firstLine="480"/>
        <w:rPr>
          <w:rFonts w:ascii="仿宋" w:hAnsi="仿宋" w:eastAsia="仿宋" w:cs="Arial Narrow"/>
        </w:rPr>
      </w:pPr>
      <w:r>
        <w:rPr>
          <w:rFonts w:hint="eastAsia" w:ascii="仿宋" w:hAnsi="仿宋" w:eastAsia="仿宋" w:cs="Arial Narrow"/>
        </w:rPr>
        <w:t>③财务监控有效性指标，是项目实施单位是否为保障资金的安全、规范运行而采取了必要的监控措施，用以反映和考核项目实施单位对资金运行的控制情况。评价小组根据查阅资料得知，项目实施单位制定了相关生态城内控手册，严格按照相关财务管理制度执行，对于项目的重大开支，项目实施单位有进行集体决策，资金的拨付有完整的审批程序和手续。</w:t>
      </w:r>
    </w:p>
    <w:p w14:paraId="639C40F2">
      <w:pPr>
        <w:pStyle w:val="4"/>
        <w:ind w:firstLine="482" w:firstLineChars="200"/>
        <w:rPr>
          <w:rFonts w:ascii="仿宋" w:hAnsi="仿宋" w:eastAsia="仿宋" w:cs="Arial Narrow"/>
        </w:rPr>
      </w:pPr>
      <w:bookmarkStart w:id="82" w:name="_Toc15549441"/>
      <w:bookmarkStart w:id="83" w:name="_Toc15549374"/>
      <w:r>
        <w:rPr>
          <w:rFonts w:hint="eastAsia" w:ascii="仿宋" w:hAnsi="仿宋" w:eastAsia="仿宋" w:cs="Arial Narrow"/>
        </w:rPr>
        <w:t>3、项目产出（28分）</w:t>
      </w:r>
      <w:bookmarkEnd w:id="82"/>
      <w:bookmarkEnd w:id="83"/>
    </w:p>
    <w:p w14:paraId="365CFB9F">
      <w:pPr>
        <w:snapToGrid w:val="0"/>
        <w:ind w:firstLine="480"/>
        <w:rPr>
          <w:rFonts w:ascii="仿宋" w:hAnsi="仿宋" w:eastAsia="仿宋" w:cs="Arial Narrow"/>
        </w:rPr>
      </w:pPr>
      <w:r>
        <w:rPr>
          <w:rFonts w:hint="eastAsia" w:ascii="仿宋" w:hAnsi="仿宋" w:eastAsia="仿宋" w:cs="Arial Narrow"/>
        </w:rPr>
        <w:t>项目产出方面主要评价项目实施内容的完成情况，包括完成数量、质量以及时效。对于该项的评价，绩效评价工作小组主要采取了卷宗研究、现场访谈等方式进行资料收集、整理和分析，对项目产出涉及的指标进行打分和评价。经过综合计分，该指标得分为25分，评价结果为良。</w:t>
      </w:r>
    </w:p>
    <w:p w14:paraId="168A9DB8">
      <w:pPr>
        <w:snapToGrid w:val="0"/>
        <w:ind w:firstLine="480"/>
        <w:rPr>
          <w:rFonts w:ascii="仿宋" w:hAnsi="仿宋" w:eastAsia="仿宋" w:cs="Arial Narrow"/>
          <w:highlight w:val="yellow"/>
        </w:rPr>
      </w:pPr>
      <w:r>
        <w:rPr>
          <w:rFonts w:hint="eastAsia" w:ascii="仿宋" w:hAnsi="仿宋" w:eastAsia="仿宋" w:cs="Arial Narrow"/>
        </w:rPr>
        <w:t>①实际完成率（7分），是指项目实施的实际产出数与计划产出数的比率，用以反映和考核项目产出数量目标的实现程度，项目实施的完成率为100%。</w:t>
      </w:r>
      <w:r>
        <w:rPr>
          <w:rFonts w:ascii="仿宋" w:hAnsi="仿宋" w:eastAsia="仿宋" w:cs="Arial Narrow"/>
        </w:rPr>
        <w:t xml:space="preserve"> </w:t>
      </w:r>
    </w:p>
    <w:p w14:paraId="44549736">
      <w:pPr>
        <w:snapToGrid w:val="0"/>
        <w:ind w:firstLine="480"/>
        <w:rPr>
          <w:rFonts w:ascii="仿宋" w:hAnsi="仿宋" w:eastAsia="仿宋" w:cs="Arial Narrow"/>
        </w:rPr>
      </w:pPr>
      <w:r>
        <w:rPr>
          <w:rFonts w:hint="eastAsia" w:ascii="仿宋" w:hAnsi="仿宋" w:eastAsia="仿宋" w:cs="Arial Narrow"/>
        </w:rPr>
        <w:t>②完成及时率（7分），是指项目实际提前完成时间与计划完成时间的比率，用以反映和考核项目产出时效目标的实现程度。是指项目实际提前完成时间与计划完成时间的比率，用以反映和考核项目产出时效目标的实现程度。完成及时率，是指项目实际完成时间与计划完成时间的比率，用以反映和考核项目产出时效目标的实现程度。评价小组根据查阅资料得知，项目实施单位计划完成时间为1年，实际完成时间为1年，完成及时率为100%，项目在规定时间基本完成。</w:t>
      </w:r>
    </w:p>
    <w:p w14:paraId="3F9DBAE6">
      <w:pPr>
        <w:snapToGrid w:val="0"/>
        <w:ind w:firstLine="480"/>
        <w:rPr>
          <w:rFonts w:ascii="仿宋" w:hAnsi="仿宋" w:eastAsia="仿宋" w:cs="Arial Narrow"/>
        </w:rPr>
      </w:pPr>
      <w:r>
        <w:rPr>
          <w:rFonts w:hint="eastAsia" w:ascii="仿宋" w:hAnsi="仿宋" w:eastAsia="仿宋" w:cs="Arial Narrow"/>
        </w:rPr>
        <w:t>③质量达标率（7分），是指项目完成的质量达标产出数与实际产出数的比率，用以反映和考核项目产出质量目标的实现程度。</w:t>
      </w:r>
    </w:p>
    <w:p w14:paraId="57B200A3">
      <w:pPr>
        <w:snapToGrid w:val="0"/>
        <w:ind w:firstLine="480"/>
        <w:rPr>
          <w:rFonts w:ascii="仿宋" w:hAnsi="仿宋" w:eastAsia="仿宋" w:cs="Arial Narrow"/>
        </w:rPr>
      </w:pPr>
      <w:r>
        <w:rPr>
          <w:rFonts w:hint="eastAsia" w:ascii="仿宋" w:hAnsi="仿宋" w:eastAsia="仿宋" w:cs="Arial Narrow"/>
        </w:rPr>
        <w:t>④资金使用率（7分），是指项目实际支出与项目到位资金的比率，用以反映和考核项目资金使用情况。通过查看项目预算批复文件和支出明细表以及记账凭证得知，该项目到位资金为500，000.00元，实际支出为</w:t>
      </w:r>
      <w:r>
        <w:rPr>
          <w:rFonts w:ascii="仿宋" w:hAnsi="仿宋" w:eastAsia="仿宋" w:cs="Arial Narrow"/>
        </w:rPr>
        <w:t>254,252.00</w:t>
      </w:r>
      <w:r>
        <w:rPr>
          <w:rFonts w:hint="eastAsia" w:ascii="仿宋" w:hAnsi="仿宋" w:eastAsia="仿宋" w:cs="Arial Narrow"/>
        </w:rPr>
        <w:t>元，资金使用率为50.85%。资金使用率偏低，扣3分。</w:t>
      </w:r>
    </w:p>
    <w:p w14:paraId="2E701580">
      <w:pPr>
        <w:pStyle w:val="4"/>
        <w:ind w:firstLine="482" w:firstLineChars="200"/>
        <w:rPr>
          <w:rFonts w:ascii="仿宋" w:hAnsi="仿宋" w:eastAsia="仿宋" w:cs="Arial Narrow"/>
        </w:rPr>
      </w:pPr>
      <w:bookmarkStart w:id="84" w:name="_Toc15549442"/>
      <w:bookmarkStart w:id="85" w:name="_Toc15549375"/>
      <w:r>
        <w:rPr>
          <w:rFonts w:hint="eastAsia" w:ascii="仿宋" w:hAnsi="仿宋" w:eastAsia="仿宋" w:cs="Arial Narrow"/>
        </w:rPr>
        <w:t>4、项目效果（32分）</w:t>
      </w:r>
      <w:bookmarkEnd w:id="84"/>
      <w:bookmarkEnd w:id="85"/>
    </w:p>
    <w:p w14:paraId="5E152699">
      <w:pPr>
        <w:snapToGrid w:val="0"/>
        <w:ind w:firstLine="480"/>
        <w:rPr>
          <w:rFonts w:ascii="仿宋" w:hAnsi="仿宋" w:eastAsia="仿宋" w:cs="Arial Narrow"/>
        </w:rPr>
      </w:pPr>
      <w:r>
        <w:rPr>
          <w:rFonts w:hint="eastAsia" w:ascii="仿宋" w:hAnsi="仿宋" w:eastAsia="仿宋" w:cs="Arial Narrow"/>
        </w:rPr>
        <w:t>项目效果方面主要评价项目实施所产生的经济效益，以及对社会的需求和发展所带来的直接或间接影响，反映项目后续运行及成效发挥的可持续影响情况。对于该项的评价，绩效评价工作小组主要采取了卷宗研究、现场访谈等方式进行资料收集、整理和分析，查看了项目实施单位的绩效报告，采集相关信息，对项目效果涉及的指标进行打分和评价。</w:t>
      </w:r>
    </w:p>
    <w:p w14:paraId="478A66B0">
      <w:pPr>
        <w:snapToGrid w:val="0"/>
        <w:ind w:firstLine="480"/>
        <w:rPr>
          <w:rFonts w:ascii="仿宋" w:hAnsi="仿宋" w:eastAsia="仿宋" w:cs="Arial Narrow"/>
        </w:rPr>
      </w:pPr>
      <w:r>
        <w:rPr>
          <w:rFonts w:hint="eastAsia" w:ascii="仿宋" w:hAnsi="仿宋" w:eastAsia="仿宋" w:cs="Arial Narrow"/>
        </w:rPr>
        <w:t>经过综合计分，该指标得分为30分，评价结果为良。</w:t>
      </w:r>
    </w:p>
    <w:p w14:paraId="3B2113B1">
      <w:pPr>
        <w:snapToGrid w:val="0"/>
        <w:ind w:firstLine="480"/>
        <w:rPr>
          <w:rFonts w:ascii="仿宋" w:hAnsi="仿宋" w:eastAsia="仿宋" w:cs="Arial Narrow"/>
        </w:rPr>
      </w:pPr>
      <w:r>
        <w:rPr>
          <w:rFonts w:hint="eastAsia" w:ascii="仿宋" w:hAnsi="仿宋" w:eastAsia="仿宋" w:cs="Arial Narrow"/>
        </w:rPr>
        <w:t>（1）数量指标（8分）</w:t>
      </w:r>
    </w:p>
    <w:p w14:paraId="295C0952">
      <w:pPr>
        <w:snapToGrid w:val="0"/>
        <w:ind w:firstLine="480"/>
        <w:rPr>
          <w:rFonts w:ascii="仿宋" w:hAnsi="仿宋" w:eastAsia="仿宋" w:cs="Arial Narrow"/>
        </w:rPr>
      </w:pPr>
      <w:r>
        <w:rPr>
          <w:rFonts w:hint="eastAsia" w:ascii="仿宋" w:hAnsi="仿宋" w:eastAsia="仿宋" w:cs="Arial Narrow"/>
        </w:rPr>
        <w:t>①招商引资完成率，项目实施后，年度招商引资完成情况，用以反映和考核项目的产出数量情况。评价小组根据查阅资料得知，招商引资实际到资额年度目标58亿元，完成59亿元，已完成年度目标（101.7%）。招商引资协议签约额年度目标260亿元，拼搏目标325亿元，完成499.4亿元，已完成年度目标（192.1%）和拼搏目标（153.7%）。</w:t>
      </w:r>
    </w:p>
    <w:p w14:paraId="44643E19">
      <w:pPr>
        <w:snapToGrid w:val="0"/>
        <w:ind w:firstLine="480"/>
        <w:rPr>
          <w:rFonts w:ascii="仿宋" w:hAnsi="仿宋" w:eastAsia="仿宋" w:cs="Arial Narrow"/>
        </w:rPr>
      </w:pPr>
      <w:r>
        <w:rPr>
          <w:rFonts w:hint="eastAsia" w:ascii="仿宋" w:hAnsi="仿宋" w:eastAsia="仿宋" w:cs="Arial Narrow"/>
        </w:rPr>
        <w:t>②工业总产值完成率，用以反映和考核项目的产出数量情况。评价小组根据查阅资料得知，规模以上工业总产值年度目标0.98亿元，完成1.32亿元，已完成年度目标（134.7%）。</w:t>
      </w:r>
    </w:p>
    <w:p w14:paraId="7E49984B">
      <w:pPr>
        <w:snapToGrid w:val="0"/>
        <w:ind w:firstLine="480"/>
        <w:rPr>
          <w:rFonts w:ascii="仿宋" w:hAnsi="仿宋" w:eastAsia="仿宋" w:cs="Arial Narrow"/>
        </w:rPr>
      </w:pPr>
      <w:r>
        <w:rPr>
          <w:rFonts w:hint="eastAsia" w:ascii="仿宋" w:hAnsi="仿宋" w:eastAsia="仿宋" w:cs="Arial Narrow"/>
        </w:rPr>
        <w:t>数量指标已经达标，得分8分。</w:t>
      </w:r>
    </w:p>
    <w:p w14:paraId="184EF049">
      <w:pPr>
        <w:snapToGrid w:val="0"/>
        <w:ind w:firstLine="480"/>
        <w:rPr>
          <w:rFonts w:ascii="仿宋" w:hAnsi="仿宋" w:eastAsia="仿宋" w:cs="Arial Narrow"/>
        </w:rPr>
      </w:pPr>
      <w:r>
        <w:rPr>
          <w:rFonts w:hint="eastAsia" w:ascii="仿宋" w:hAnsi="仿宋" w:eastAsia="仿宋" w:cs="Arial Narrow"/>
        </w:rPr>
        <w:t>（2）质量指标（6分）</w:t>
      </w:r>
    </w:p>
    <w:p w14:paraId="769812DE">
      <w:pPr>
        <w:snapToGrid w:val="0"/>
        <w:ind w:firstLine="480"/>
        <w:rPr>
          <w:rFonts w:ascii="仿宋" w:hAnsi="仿宋" w:eastAsia="仿宋" w:cs="Arial Narrow"/>
        </w:rPr>
      </w:pPr>
      <w:r>
        <w:rPr>
          <w:rFonts w:hint="eastAsia" w:ascii="仿宋" w:hAnsi="仿宋" w:eastAsia="仿宋" w:cs="Arial Narrow"/>
        </w:rPr>
        <w:t xml:space="preserve"> “双招双引”取得成效。累计签署投资（合作）协议项目10个，总投资额499.4亿元。会同武汉新能源汽车工业技术研究、中建三局绿色产业投资有限公司引进两院院士3名，英国皇家工程院院士1名。积极参加“长风计划”高层次人才对接会、全英学联高层次人才江城行活动、环渤海高端人才专场对接会等各项活动，大力推进了大学生安居工程。计6分。</w:t>
      </w:r>
    </w:p>
    <w:p w14:paraId="5AA94F7C">
      <w:pPr>
        <w:snapToGrid w:val="0"/>
        <w:ind w:firstLine="480"/>
        <w:rPr>
          <w:rFonts w:ascii="仿宋" w:hAnsi="仿宋" w:eastAsia="仿宋" w:cs="Arial Narrow"/>
        </w:rPr>
      </w:pPr>
      <w:r>
        <w:rPr>
          <w:rFonts w:hint="eastAsia" w:ascii="仿宋" w:hAnsi="仿宋" w:eastAsia="仿宋" w:cs="Arial Narrow"/>
        </w:rPr>
        <w:t>（3）社会效益指标（6分），项目实施对社会发展所带来的的直接或间接影响情况。且积极发挥党组织核心引领作用，学习贯彻习近平新时代中国特色社会主义思想和党的十九大精神，把加强党建工作贯穿到招商引资、项目建设全过程，突出基层党组织战斗堡垒和党员先锋模范作用营造了良好的招商氛围，计5分。</w:t>
      </w:r>
    </w:p>
    <w:p w14:paraId="2AC36D3E">
      <w:pPr>
        <w:snapToGrid w:val="0"/>
        <w:ind w:firstLine="480"/>
        <w:rPr>
          <w:rFonts w:ascii="仿宋" w:hAnsi="仿宋" w:eastAsia="仿宋" w:cs="Arial Narrow"/>
        </w:rPr>
      </w:pPr>
      <w:r>
        <w:rPr>
          <w:rFonts w:hint="eastAsia" w:ascii="仿宋" w:hAnsi="仿宋" w:eastAsia="仿宋" w:cs="Arial Narrow"/>
        </w:rPr>
        <w:t>（4）可持续影响性（6分），是指项目实施单位是否有充足的人员配置，用以保障和支持项目的长期运行，用以反映和考核项目的可持续性。评价小组通过查阅《智慧生态城管理办公室关于调整组织构架和工作人员分工的通知》和现场访谈了解到，项目实施单位已经配备充足的人员，并对项目进行后续跟踪监督。计6分。</w:t>
      </w:r>
    </w:p>
    <w:p w14:paraId="3E38FF92">
      <w:pPr>
        <w:snapToGrid w:val="0"/>
        <w:ind w:firstLine="480"/>
        <w:rPr>
          <w:rFonts w:ascii="仿宋" w:hAnsi="仿宋" w:eastAsia="仿宋" w:cs="Arial Narrow"/>
        </w:rPr>
      </w:pPr>
      <w:r>
        <w:rPr>
          <w:rFonts w:hint="eastAsia" w:ascii="仿宋" w:hAnsi="仿宋" w:eastAsia="仿宋" w:cs="Arial Narrow"/>
        </w:rPr>
        <w:t>（5）服务对象满意度（6分），</w:t>
      </w:r>
      <w:bookmarkEnd w:id="74"/>
      <w:bookmarkEnd w:id="75"/>
      <w:bookmarkEnd w:id="76"/>
      <w:bookmarkEnd w:id="77"/>
      <w:bookmarkEnd w:id="78"/>
      <w:bookmarkStart w:id="86" w:name="_Toc387957826"/>
      <w:bookmarkStart w:id="87" w:name="_Toc406666377"/>
      <w:bookmarkStart w:id="88" w:name="_Toc361304701"/>
      <w:bookmarkStart w:id="89" w:name="_Toc361302038"/>
      <w:bookmarkStart w:id="90" w:name="_Toc406668051"/>
      <w:bookmarkStart w:id="91" w:name="_Toc17932"/>
      <w:bookmarkStart w:id="92" w:name="_Toc14165738"/>
      <w:r>
        <w:rPr>
          <w:rFonts w:ascii="仿宋" w:hAnsi="仿宋" w:eastAsia="仿宋" w:cs="Arial Narrow"/>
        </w:rPr>
        <w:t>是指服务对象对项目实施效果的满意程度。评价小组共发放了20份调查问卷，其中满意为19份，服务对象满意度为9</w:t>
      </w:r>
      <w:r>
        <w:rPr>
          <w:rFonts w:hint="eastAsia" w:ascii="仿宋" w:hAnsi="仿宋" w:eastAsia="仿宋" w:cs="Arial Narrow"/>
        </w:rPr>
        <w:t>5</w:t>
      </w:r>
      <w:r>
        <w:rPr>
          <w:rFonts w:ascii="仿宋" w:hAnsi="仿宋" w:eastAsia="仿宋" w:cs="Arial Narrow"/>
        </w:rPr>
        <w:t>%，满意度较高。计</w:t>
      </w:r>
      <w:r>
        <w:rPr>
          <w:rFonts w:hint="eastAsia" w:ascii="仿宋" w:hAnsi="仿宋" w:eastAsia="仿宋" w:cs="Arial Narrow"/>
        </w:rPr>
        <w:t>5分。</w:t>
      </w:r>
    </w:p>
    <w:p w14:paraId="264C2447">
      <w:pPr>
        <w:pStyle w:val="3"/>
        <w:spacing w:before="0" w:after="0" w:line="360" w:lineRule="auto"/>
        <w:ind w:firstLine="482"/>
        <w:rPr>
          <w:rFonts w:ascii="仿宋" w:hAnsi="仿宋" w:eastAsia="仿宋" w:cs="Arial Narrow"/>
          <w:sz w:val="24"/>
        </w:rPr>
      </w:pPr>
      <w:bookmarkStart w:id="93" w:name="_Toc15549443"/>
      <w:bookmarkStart w:id="94" w:name="_Toc15549376"/>
      <w:r>
        <w:rPr>
          <w:rFonts w:hint="eastAsia" w:ascii="仿宋" w:hAnsi="仿宋" w:eastAsia="仿宋" w:cs="Arial Narrow"/>
          <w:sz w:val="24"/>
        </w:rPr>
        <w:t>（二）</w:t>
      </w:r>
      <w:r>
        <w:rPr>
          <w:rFonts w:ascii="仿宋" w:hAnsi="仿宋" w:eastAsia="仿宋" w:cs="Arial Narrow"/>
          <w:sz w:val="24"/>
        </w:rPr>
        <w:t>评价结论</w:t>
      </w:r>
      <w:bookmarkEnd w:id="86"/>
      <w:bookmarkEnd w:id="87"/>
      <w:bookmarkEnd w:id="88"/>
      <w:bookmarkEnd w:id="89"/>
      <w:bookmarkEnd w:id="90"/>
      <w:bookmarkEnd w:id="91"/>
      <w:bookmarkEnd w:id="92"/>
      <w:bookmarkEnd w:id="93"/>
      <w:bookmarkEnd w:id="94"/>
      <w:bookmarkStart w:id="95" w:name="_Toc361304702"/>
      <w:bookmarkStart w:id="96" w:name="_Toc361302039"/>
    </w:p>
    <w:bookmarkEnd w:id="95"/>
    <w:bookmarkEnd w:id="96"/>
    <w:p w14:paraId="7411F5D5">
      <w:pPr>
        <w:snapToGrid w:val="0"/>
        <w:ind w:firstLine="480"/>
        <w:rPr>
          <w:rFonts w:ascii="仿宋" w:hAnsi="仿宋" w:eastAsia="仿宋" w:cs="Arial Narrow"/>
          <w:bCs/>
        </w:rPr>
      </w:pPr>
      <w:r>
        <w:rPr>
          <w:rFonts w:ascii="仿宋" w:hAnsi="仿宋" w:eastAsia="仿宋" w:cs="Arial Narrow"/>
          <w:bCs/>
        </w:rPr>
        <w:t>1</w:t>
      </w:r>
      <w:r>
        <w:rPr>
          <w:rFonts w:hint="eastAsia" w:ascii="仿宋" w:hAnsi="仿宋" w:eastAsia="仿宋" w:cs="Arial Narrow"/>
          <w:bCs/>
        </w:rPr>
        <w:t>、</w:t>
      </w:r>
      <w:r>
        <w:rPr>
          <w:rFonts w:ascii="仿宋" w:hAnsi="仿宋" w:eastAsia="仿宋" w:cs="Arial Narrow"/>
          <w:bCs/>
        </w:rPr>
        <w:t>评分结果</w:t>
      </w:r>
    </w:p>
    <w:p w14:paraId="1749C28C">
      <w:pPr>
        <w:snapToGrid w:val="0"/>
        <w:ind w:firstLine="480"/>
        <w:rPr>
          <w:rFonts w:ascii="仿宋" w:hAnsi="仿宋" w:eastAsia="仿宋" w:cs="Arial Narrow"/>
        </w:rPr>
      </w:pPr>
      <w:bookmarkStart w:id="97" w:name="_Toc406666380"/>
      <w:bookmarkStart w:id="98" w:name="_Toc361304705"/>
      <w:bookmarkStart w:id="99" w:name="_Toc406668054"/>
      <w:bookmarkStart w:id="100" w:name="_Toc387957829"/>
      <w:r>
        <w:rPr>
          <w:rFonts w:hint="eastAsia" w:ascii="仿宋" w:hAnsi="仿宋" w:eastAsia="仿宋" w:cs="Arial Narrow"/>
        </w:rPr>
        <w:t>武汉经济技术开发区智慧生态城管理办公室“招商经费”项目绩效评价综合得分为95分，评价结果为优。</w:t>
      </w:r>
    </w:p>
    <w:p w14:paraId="1326C6ED">
      <w:pPr>
        <w:snapToGrid w:val="0"/>
        <w:ind w:firstLine="480"/>
        <w:rPr>
          <w:rFonts w:ascii="仿宋" w:hAnsi="仿宋" w:eastAsia="仿宋" w:cs="Arial Narrow"/>
          <w:bCs/>
        </w:rPr>
      </w:pPr>
      <w:r>
        <w:rPr>
          <w:rFonts w:hint="eastAsia" w:ascii="仿宋" w:hAnsi="仿宋" w:eastAsia="仿宋" w:cs="Arial Narrow"/>
          <w:bCs/>
        </w:rPr>
        <w:t>2、主要结论</w:t>
      </w:r>
    </w:p>
    <w:p w14:paraId="295B1FF8">
      <w:pPr>
        <w:snapToGrid w:val="0"/>
        <w:ind w:firstLine="480"/>
        <w:rPr>
          <w:rFonts w:ascii="仿宋" w:hAnsi="仿宋" w:eastAsia="仿宋" w:cs="Arial Narrow"/>
          <w:bCs/>
        </w:rPr>
      </w:pPr>
      <w:bookmarkStart w:id="101" w:name="_Toc14373"/>
      <w:bookmarkStart w:id="102" w:name="_Toc14165739"/>
      <w:r>
        <w:rPr>
          <w:rFonts w:hint="eastAsia" w:ascii="仿宋" w:hAnsi="仿宋" w:eastAsia="仿宋" w:cs="Arial Narrow"/>
          <w:bCs/>
        </w:rPr>
        <w:t>按照年度工作安排要求，</w:t>
      </w:r>
      <w:r>
        <w:rPr>
          <w:rFonts w:hint="eastAsia" w:ascii="仿宋" w:hAnsi="仿宋" w:eastAsia="仿宋" w:cs="Arial Narrow"/>
        </w:rPr>
        <w:t>招商经费</w:t>
      </w:r>
      <w:r>
        <w:rPr>
          <w:rFonts w:hint="eastAsia" w:ascii="仿宋" w:hAnsi="仿宋" w:eastAsia="仿宋" w:cs="Arial Narrow"/>
          <w:bCs/>
        </w:rPr>
        <w:t>专项绩效已按要求的时间节点展开工作。</w:t>
      </w:r>
    </w:p>
    <w:p w14:paraId="1EA136A6">
      <w:pPr>
        <w:pStyle w:val="2"/>
        <w:rPr>
          <w:rFonts w:ascii="仿宋" w:hAnsi="仿宋" w:eastAsia="仿宋" w:cs="Arial Narrow"/>
          <w:b w:val="0"/>
          <w:sz w:val="24"/>
        </w:rPr>
      </w:pPr>
      <w:bookmarkStart w:id="103" w:name="_Toc15549444"/>
      <w:bookmarkStart w:id="104" w:name="_Toc15549377"/>
      <w:r>
        <w:rPr>
          <w:rFonts w:hint="eastAsia" w:ascii="仿宋" w:hAnsi="仿宋" w:eastAsia="仿宋" w:cs="Arial Narrow"/>
          <w:sz w:val="24"/>
        </w:rPr>
        <w:t>四</w:t>
      </w:r>
      <w:r>
        <w:rPr>
          <w:rFonts w:ascii="仿宋" w:hAnsi="仿宋" w:eastAsia="仿宋" w:cs="Arial Narrow"/>
          <w:sz w:val="24"/>
        </w:rPr>
        <w:t>、</w:t>
      </w:r>
      <w:bookmarkEnd w:id="97"/>
      <w:bookmarkEnd w:id="98"/>
      <w:bookmarkEnd w:id="99"/>
      <w:bookmarkEnd w:id="100"/>
      <w:r>
        <w:rPr>
          <w:rFonts w:ascii="仿宋" w:hAnsi="仿宋" w:eastAsia="仿宋" w:cs="Arial Narrow"/>
          <w:sz w:val="24"/>
        </w:rPr>
        <w:t>主要</w:t>
      </w:r>
      <w:r>
        <w:rPr>
          <w:rFonts w:hint="eastAsia" w:ascii="仿宋" w:hAnsi="仿宋" w:eastAsia="仿宋" w:cs="Arial Narrow"/>
          <w:sz w:val="24"/>
        </w:rPr>
        <w:t>经验</w:t>
      </w:r>
      <w:r>
        <w:rPr>
          <w:rFonts w:ascii="仿宋" w:hAnsi="仿宋" w:eastAsia="仿宋" w:cs="Arial Narrow"/>
          <w:sz w:val="24"/>
        </w:rPr>
        <w:t>及做法、存在的问题和建议</w:t>
      </w:r>
      <w:bookmarkEnd w:id="101"/>
      <w:bookmarkEnd w:id="102"/>
      <w:bookmarkEnd w:id="103"/>
      <w:bookmarkEnd w:id="104"/>
    </w:p>
    <w:p w14:paraId="02BC9079">
      <w:pPr>
        <w:pStyle w:val="4"/>
        <w:ind w:firstLine="480" w:firstLineChars="200"/>
        <w:rPr>
          <w:rFonts w:ascii="仿宋" w:hAnsi="仿宋" w:eastAsia="仿宋" w:cs="Arial Narrow"/>
          <w:b w:val="0"/>
          <w:bCs w:val="0"/>
        </w:rPr>
      </w:pPr>
      <w:bookmarkStart w:id="105" w:name="_Toc15549378"/>
      <w:bookmarkStart w:id="106" w:name="_Toc406668055"/>
      <w:bookmarkStart w:id="107" w:name="_Toc14165740"/>
      <w:bookmarkStart w:id="108" w:name="_Toc387957830"/>
      <w:bookmarkStart w:id="109" w:name="_Toc27928"/>
      <w:bookmarkStart w:id="110" w:name="_Toc15549445"/>
      <w:bookmarkStart w:id="111" w:name="_Toc361304706"/>
      <w:bookmarkStart w:id="112" w:name="_Toc406666381"/>
      <w:r>
        <w:rPr>
          <w:rFonts w:hint="eastAsia" w:ascii="仿宋" w:hAnsi="仿宋" w:eastAsia="仿宋" w:cs="Arial Narrow"/>
          <w:b w:val="0"/>
          <w:bCs w:val="0"/>
        </w:rPr>
        <w:t>（一）</w:t>
      </w:r>
      <w:r>
        <w:rPr>
          <w:rFonts w:ascii="仿宋" w:hAnsi="仿宋" w:eastAsia="仿宋" w:cs="Arial Narrow"/>
        </w:rPr>
        <w:t>主要经验及做法</w:t>
      </w:r>
      <w:bookmarkEnd w:id="105"/>
      <w:bookmarkEnd w:id="106"/>
      <w:bookmarkEnd w:id="107"/>
      <w:bookmarkEnd w:id="108"/>
      <w:bookmarkEnd w:id="109"/>
      <w:bookmarkEnd w:id="110"/>
      <w:bookmarkEnd w:id="111"/>
      <w:bookmarkEnd w:id="112"/>
      <w:bookmarkStart w:id="113" w:name="_Toc16696"/>
      <w:bookmarkStart w:id="114" w:name="_Toc14165741"/>
      <w:bookmarkStart w:id="115" w:name="_Toc406668056"/>
      <w:bookmarkStart w:id="116" w:name="_Toc406666382"/>
      <w:bookmarkStart w:id="117" w:name="_Toc387957833"/>
    </w:p>
    <w:p w14:paraId="01392426">
      <w:pPr>
        <w:snapToGrid w:val="0"/>
        <w:ind w:firstLine="480"/>
        <w:rPr>
          <w:rFonts w:ascii="仿宋" w:hAnsi="仿宋" w:eastAsia="仿宋" w:cs="Arial Narrow"/>
        </w:rPr>
      </w:pPr>
      <w:r>
        <w:rPr>
          <w:rFonts w:hint="eastAsia" w:ascii="仿宋" w:hAnsi="仿宋" w:eastAsia="仿宋" w:cs="Arial Narrow"/>
        </w:rPr>
        <w:t>“双招双引”取得成效。累计签署投资（合作）协议项目10个，总投资额499.4亿元。会同武汉新能源汽车工业技术研究、中建三局绿色产业投资有限公司引进两院院士3名，英国皇家工程院院士1名。积极参加“长风计划”高层次人才对接会、全英学联高层次人才江城行活动、环渤海高端人才专场对接会等各项活动，大力推进了大学生安居工程。</w:t>
      </w:r>
    </w:p>
    <w:p w14:paraId="7D8E3C61">
      <w:pPr>
        <w:pStyle w:val="4"/>
        <w:ind w:firstLine="480" w:firstLineChars="200"/>
        <w:rPr>
          <w:rFonts w:ascii="仿宋" w:hAnsi="仿宋" w:eastAsia="仿宋" w:cs="Arial Narrow"/>
          <w:b w:val="0"/>
          <w:bCs w:val="0"/>
        </w:rPr>
      </w:pPr>
      <w:bookmarkStart w:id="118" w:name="_Toc15549446"/>
      <w:bookmarkStart w:id="119" w:name="_Toc15549379"/>
      <w:r>
        <w:rPr>
          <w:rFonts w:hint="eastAsia" w:ascii="仿宋" w:hAnsi="仿宋" w:eastAsia="仿宋" w:cs="Arial Narrow"/>
          <w:b w:val="0"/>
          <w:bCs w:val="0"/>
        </w:rPr>
        <w:t>（二）</w:t>
      </w:r>
      <w:r>
        <w:rPr>
          <w:rFonts w:ascii="仿宋" w:hAnsi="仿宋" w:eastAsia="仿宋" w:cs="Arial Narrow"/>
        </w:rPr>
        <w:t>存在的问题</w:t>
      </w:r>
      <w:bookmarkEnd w:id="113"/>
      <w:bookmarkEnd w:id="114"/>
      <w:bookmarkEnd w:id="115"/>
      <w:bookmarkEnd w:id="116"/>
      <w:bookmarkEnd w:id="118"/>
      <w:bookmarkEnd w:id="119"/>
    </w:p>
    <w:p w14:paraId="2C5E3E88">
      <w:pPr>
        <w:snapToGrid w:val="0"/>
        <w:ind w:firstLine="480"/>
        <w:rPr>
          <w:rFonts w:ascii="仿宋" w:hAnsi="仿宋" w:eastAsia="仿宋" w:cs="Arial Narrow"/>
        </w:rPr>
      </w:pPr>
      <w:bookmarkStart w:id="120" w:name="_Toc28128"/>
      <w:bookmarkStart w:id="121" w:name="_Toc14165742"/>
      <w:r>
        <w:rPr>
          <w:rFonts w:hint="eastAsia" w:ascii="仿宋" w:hAnsi="仿宋" w:eastAsia="仿宋" w:cs="Arial Narrow"/>
        </w:rPr>
        <w:t>项目资金使用率偏低。评价小组通过查阅资料和现场访谈了解到，项目计划使用资金500，000.00元，实际支出为254,252.00元，资金使用率为</w:t>
      </w:r>
      <w:r>
        <w:rPr>
          <w:rFonts w:ascii="仿宋" w:hAnsi="仿宋" w:eastAsia="仿宋" w:cs="Arial Narrow"/>
        </w:rPr>
        <w:t>50.85%</w:t>
      </w:r>
      <w:r>
        <w:rPr>
          <w:rFonts w:hint="eastAsia" w:ascii="仿宋" w:hAnsi="仿宋" w:eastAsia="仿宋" w:cs="Arial Narrow"/>
        </w:rPr>
        <w:t>，资金使用率偏低。</w:t>
      </w:r>
    </w:p>
    <w:p w14:paraId="3E299F8A">
      <w:pPr>
        <w:pStyle w:val="4"/>
        <w:ind w:firstLine="480" w:firstLineChars="200"/>
        <w:rPr>
          <w:rFonts w:ascii="仿宋" w:hAnsi="仿宋" w:eastAsia="仿宋" w:cs="Arial Narrow"/>
        </w:rPr>
      </w:pPr>
      <w:bookmarkStart w:id="122" w:name="_Toc15549447"/>
      <w:bookmarkStart w:id="123" w:name="_Toc15549380"/>
      <w:r>
        <w:rPr>
          <w:rFonts w:hint="eastAsia" w:ascii="仿宋" w:hAnsi="仿宋" w:eastAsia="仿宋" w:cs="Arial Narrow"/>
          <w:b w:val="0"/>
          <w:bCs w:val="0"/>
        </w:rPr>
        <w:t>（三）</w:t>
      </w:r>
      <w:r>
        <w:rPr>
          <w:rFonts w:ascii="仿宋" w:hAnsi="仿宋" w:eastAsia="仿宋" w:cs="Arial Narrow"/>
        </w:rPr>
        <w:t>建议</w:t>
      </w:r>
      <w:bookmarkEnd w:id="117"/>
      <w:bookmarkEnd w:id="120"/>
      <w:bookmarkEnd w:id="121"/>
      <w:bookmarkEnd w:id="122"/>
      <w:bookmarkEnd w:id="123"/>
      <w:bookmarkStart w:id="124" w:name="_Toc387957834"/>
    </w:p>
    <w:p w14:paraId="41DA5969">
      <w:pPr>
        <w:snapToGrid w:val="0"/>
        <w:ind w:firstLine="480"/>
        <w:rPr>
          <w:rFonts w:ascii="仿宋" w:hAnsi="仿宋" w:eastAsia="仿宋" w:cs="Arial Narrow"/>
        </w:rPr>
      </w:pPr>
      <w:bookmarkStart w:id="125" w:name="_Toc9981"/>
      <w:bookmarkStart w:id="126" w:name="_Toc14165743"/>
      <w:r>
        <w:rPr>
          <w:rFonts w:hint="eastAsia" w:ascii="仿宋" w:hAnsi="仿宋" w:eastAsia="仿宋" w:cs="Arial Narrow"/>
        </w:rPr>
        <w:t>提高预算执行率。在建立多渠道工作平台基础上，及时掌握项目落地发展动态，积极组织协调相关部门，做好协调配合，推进落实措施</w:t>
      </w:r>
      <w:bookmarkStart w:id="139" w:name="_GoBack"/>
      <w:bookmarkEnd w:id="139"/>
      <w:r>
        <w:rPr>
          <w:rFonts w:hint="eastAsia" w:ascii="仿宋" w:hAnsi="仿宋" w:eastAsia="仿宋" w:cs="Arial Narrow"/>
        </w:rPr>
        <w:t>、及时跟踪反馈，切实创造企业发展良好外部环境；对于招商经费项目，由责任单位督促项目尽快实施，加快招商经费的使用，提高招商经费预算的资金执行率。</w:t>
      </w:r>
    </w:p>
    <w:p w14:paraId="5EFADB7F">
      <w:pPr>
        <w:pStyle w:val="2"/>
        <w:rPr>
          <w:rFonts w:ascii="仿宋" w:hAnsi="仿宋" w:eastAsia="仿宋" w:cs="Arial Narrow"/>
          <w:sz w:val="24"/>
        </w:rPr>
      </w:pPr>
      <w:bookmarkStart w:id="127" w:name="_Toc15549381"/>
      <w:bookmarkStart w:id="128" w:name="_Toc15549448"/>
      <w:r>
        <w:rPr>
          <w:rFonts w:hint="eastAsia" w:ascii="仿宋" w:hAnsi="仿宋" w:eastAsia="仿宋" w:cs="Arial Narrow"/>
          <w:sz w:val="24"/>
        </w:rPr>
        <w:t>五</w:t>
      </w:r>
      <w:r>
        <w:rPr>
          <w:rFonts w:ascii="仿宋" w:hAnsi="仿宋" w:eastAsia="仿宋" w:cs="Arial Narrow"/>
          <w:sz w:val="24"/>
        </w:rPr>
        <w:t>、其他需说明的问题</w:t>
      </w:r>
      <w:bookmarkEnd w:id="125"/>
      <w:bookmarkEnd w:id="126"/>
      <w:bookmarkEnd w:id="127"/>
      <w:bookmarkEnd w:id="128"/>
    </w:p>
    <w:bookmarkEnd w:id="124"/>
    <w:p w14:paraId="51986746">
      <w:pPr>
        <w:snapToGrid w:val="0"/>
        <w:ind w:firstLine="482"/>
        <w:outlineLvl w:val="1"/>
        <w:rPr>
          <w:rFonts w:ascii="仿宋" w:hAnsi="仿宋" w:eastAsia="仿宋" w:cs="Arial Narrow"/>
          <w:b/>
        </w:rPr>
      </w:pPr>
      <w:bookmarkStart w:id="129" w:name="_Toc14165744"/>
      <w:bookmarkStart w:id="130" w:name="_Toc15549449"/>
      <w:bookmarkStart w:id="131" w:name="_Toc15549382"/>
      <w:bookmarkStart w:id="132" w:name="_Toc387957836"/>
      <w:bookmarkStart w:id="133" w:name="_Toc406666387"/>
      <w:bookmarkStart w:id="134" w:name="_Toc406668061"/>
      <w:bookmarkStart w:id="135" w:name="_Toc5673"/>
      <w:r>
        <w:rPr>
          <w:rFonts w:hint="eastAsia" w:ascii="仿宋" w:hAnsi="仿宋" w:eastAsia="仿宋" w:cs="Arial Narrow"/>
          <w:b/>
        </w:rPr>
        <w:t>（一）关于评价责任的说明</w:t>
      </w:r>
      <w:bookmarkEnd w:id="129"/>
      <w:bookmarkEnd w:id="130"/>
      <w:bookmarkEnd w:id="131"/>
    </w:p>
    <w:p w14:paraId="05725506">
      <w:pPr>
        <w:snapToGrid w:val="0"/>
        <w:ind w:firstLine="480"/>
        <w:rPr>
          <w:rFonts w:ascii="仿宋" w:hAnsi="仿宋" w:eastAsia="仿宋" w:cs="Arial Narrow"/>
        </w:rPr>
      </w:pPr>
      <w:r>
        <w:rPr>
          <w:rFonts w:hint="eastAsia" w:ascii="仿宋" w:hAnsi="仿宋" w:eastAsia="仿宋"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14:paraId="5A543371">
      <w:pPr>
        <w:snapToGrid w:val="0"/>
        <w:ind w:firstLine="482"/>
        <w:outlineLvl w:val="1"/>
        <w:rPr>
          <w:rFonts w:ascii="仿宋" w:hAnsi="仿宋" w:eastAsia="仿宋" w:cs="Arial Narrow"/>
          <w:b/>
        </w:rPr>
      </w:pPr>
      <w:bookmarkStart w:id="136" w:name="_Toc15549450"/>
      <w:bookmarkStart w:id="137" w:name="_Toc15549383"/>
      <w:bookmarkStart w:id="138" w:name="_Toc14165745"/>
      <w:r>
        <w:rPr>
          <w:rFonts w:hint="eastAsia" w:ascii="仿宋" w:hAnsi="仿宋" w:eastAsia="仿宋" w:cs="Arial Narrow"/>
          <w:b/>
        </w:rPr>
        <w:t>（二）关于本项目评价中存在的局限性的说明</w:t>
      </w:r>
      <w:bookmarkEnd w:id="136"/>
      <w:bookmarkEnd w:id="137"/>
      <w:bookmarkEnd w:id="138"/>
    </w:p>
    <w:p w14:paraId="615B7A5B">
      <w:pPr>
        <w:snapToGrid w:val="0"/>
        <w:ind w:firstLine="480"/>
        <w:rPr>
          <w:rFonts w:ascii="仿宋" w:hAnsi="仿宋" w:eastAsia="仿宋" w:cs="Arial Narrow"/>
        </w:rPr>
      </w:pPr>
      <w:r>
        <w:rPr>
          <w:rFonts w:hint="eastAsia" w:ascii="仿宋" w:hAnsi="仿宋" w:eastAsia="仿宋" w:cs="Arial Narrow"/>
        </w:rPr>
        <w:t>1、评价结论是湖北正大会计师事务有限责任公司出具的，受具体参加本次项目的评价人员的水平和能力的限制。鉴于这种评价工作存在资料的有限性和调查、分析、判断的局限性，评价结论无法考虑影响资金使用的所有因素，评价结论存在一定的局限性。</w:t>
      </w:r>
    </w:p>
    <w:p w14:paraId="2B82B1F4">
      <w:pPr>
        <w:snapToGrid w:val="0"/>
        <w:ind w:firstLine="480"/>
        <w:rPr>
          <w:rFonts w:ascii="仿宋" w:hAnsi="仿宋" w:eastAsia="仿宋" w:cs="Arial Narrow"/>
        </w:rPr>
      </w:pPr>
      <w:r>
        <w:rPr>
          <w:rFonts w:hint="eastAsia" w:ascii="仿宋" w:hAnsi="仿宋" w:eastAsia="仿宋" w:cs="Arial Narrow"/>
        </w:rPr>
        <w:t>2、本项目是经常性的资金使用项目，而且专业性较强。受具体参加本次项目的评价人员的专业能力的影响，对专业指标设定的全面性可能存在一定的局限性。</w:t>
      </w:r>
    </w:p>
    <w:p w14:paraId="3B90E804">
      <w:pPr>
        <w:snapToGrid w:val="0"/>
        <w:ind w:firstLine="480"/>
        <w:rPr>
          <w:rFonts w:ascii="仿宋" w:hAnsi="仿宋" w:eastAsia="仿宋" w:cs="Arial Narrow"/>
        </w:rPr>
      </w:pPr>
    </w:p>
    <w:p w14:paraId="4FDB8B2B">
      <w:pPr>
        <w:snapToGrid w:val="0"/>
        <w:ind w:firstLine="482"/>
        <w:rPr>
          <w:rFonts w:hint="eastAsia" w:ascii="仿宋" w:hAnsi="仿宋" w:eastAsia="仿宋" w:cs="Arial Narrow"/>
          <w:b/>
          <w:bCs/>
        </w:rPr>
      </w:pPr>
    </w:p>
    <w:p w14:paraId="700CD7B7">
      <w:pPr>
        <w:snapToGrid w:val="0"/>
        <w:ind w:firstLine="482"/>
        <w:rPr>
          <w:rFonts w:ascii="仿宋" w:hAnsi="仿宋" w:eastAsia="仿宋" w:cs="Arial Narrow"/>
          <w:b/>
          <w:bCs/>
        </w:rPr>
      </w:pPr>
    </w:p>
    <w:p w14:paraId="43E51F8D">
      <w:pPr>
        <w:snapToGrid w:val="0"/>
        <w:ind w:firstLine="0" w:firstLineChars="0"/>
        <w:rPr>
          <w:rFonts w:ascii="仿宋" w:hAnsi="仿宋" w:eastAsia="仿宋" w:cs="Arial Narrow"/>
        </w:rPr>
      </w:pPr>
      <w:r>
        <w:rPr>
          <w:rFonts w:ascii="仿宋" w:hAnsi="仿宋" w:eastAsia="仿宋" w:cs="Arial Narrow"/>
          <w:b/>
          <w:bCs/>
        </w:rPr>
        <w:t>附件</w:t>
      </w:r>
      <w:bookmarkEnd w:id="132"/>
      <w:r>
        <w:rPr>
          <w:rFonts w:ascii="仿宋" w:hAnsi="仿宋" w:eastAsia="仿宋" w:cs="Arial Narrow"/>
          <w:b/>
          <w:bCs/>
        </w:rPr>
        <w:t>：</w:t>
      </w:r>
      <w:bookmarkEnd w:id="133"/>
      <w:bookmarkEnd w:id="134"/>
      <w:bookmarkEnd w:id="135"/>
    </w:p>
    <w:p w14:paraId="21437E9B">
      <w:pPr>
        <w:snapToGrid w:val="0"/>
        <w:ind w:firstLine="480"/>
        <w:rPr>
          <w:rFonts w:ascii="仿宋" w:hAnsi="仿宋" w:eastAsia="仿宋" w:cs="Arial Narrow"/>
        </w:rPr>
      </w:pPr>
      <w:r>
        <w:rPr>
          <w:rFonts w:ascii="仿宋" w:hAnsi="仿宋" w:eastAsia="仿宋" w:cs="Arial Narrow"/>
        </w:rPr>
        <w:t>1：项目绩效评价评分表</w:t>
      </w:r>
      <w:r>
        <w:rPr>
          <w:rFonts w:hint="eastAsia" w:ascii="仿宋" w:hAnsi="仿宋" w:eastAsia="仿宋" w:cs="Arial Narrow"/>
        </w:rPr>
        <w:t>及说明</w:t>
      </w:r>
    </w:p>
    <w:p w14:paraId="5DEC0E01">
      <w:pPr>
        <w:snapToGrid w:val="0"/>
        <w:ind w:firstLine="480"/>
        <w:rPr>
          <w:rFonts w:ascii="仿宋" w:hAnsi="仿宋" w:eastAsia="仿宋" w:cs="Arial Narrow"/>
        </w:rPr>
      </w:pPr>
      <w:r>
        <w:rPr>
          <w:rFonts w:hint="eastAsia" w:ascii="仿宋" w:hAnsi="仿宋" w:eastAsia="仿宋" w:cs="Arial Narrow"/>
        </w:rPr>
        <w:t>2：评价机构营业执照（复印件）</w:t>
      </w:r>
    </w:p>
    <w:p w14:paraId="46264A97">
      <w:pPr>
        <w:snapToGrid w:val="0"/>
        <w:ind w:firstLine="480"/>
        <w:rPr>
          <w:rFonts w:ascii="仿宋" w:hAnsi="仿宋" w:eastAsia="仿宋" w:cs="Arial Narrow"/>
        </w:rPr>
      </w:pPr>
      <w:r>
        <w:rPr>
          <w:rFonts w:hint="eastAsia" w:ascii="仿宋" w:hAnsi="仿宋" w:eastAsia="仿宋" w:cs="Arial Narrow"/>
        </w:rPr>
        <w:t>3：相关评价人员执业证明文件（复印件）</w:t>
      </w:r>
    </w:p>
    <w:p w14:paraId="0A954E4A">
      <w:pPr>
        <w:snapToGrid w:val="0"/>
        <w:ind w:firstLine="480"/>
        <w:rPr>
          <w:rFonts w:ascii="仿宋" w:hAnsi="仿宋" w:eastAsia="仿宋" w:cs="Arial Narrow"/>
        </w:rPr>
      </w:pPr>
    </w:p>
    <w:p w14:paraId="6F5C49ED">
      <w:pPr>
        <w:snapToGrid w:val="0"/>
        <w:ind w:firstLine="480"/>
        <w:jc w:val="right"/>
        <w:rPr>
          <w:rFonts w:ascii="仿宋" w:hAnsi="仿宋" w:eastAsia="仿宋" w:cs="Arial Narrow"/>
        </w:rPr>
      </w:pPr>
      <w:r>
        <w:rPr>
          <w:rFonts w:hint="eastAsia" w:ascii="仿宋" w:hAnsi="仿宋" w:eastAsia="仿宋" w:cs="Arial Narrow"/>
        </w:rPr>
        <w:t>湖北正大会计师事务有限责任公司</w:t>
      </w:r>
    </w:p>
    <w:p w14:paraId="6F71FD6D">
      <w:pPr>
        <w:snapToGrid w:val="0"/>
        <w:ind w:firstLine="6000" w:firstLineChars="2500"/>
        <w:rPr>
          <w:rFonts w:ascii="仿宋" w:hAnsi="仿宋" w:eastAsia="仿宋" w:cs="Arial Narrow"/>
        </w:rPr>
      </w:pPr>
      <w:r>
        <w:rPr>
          <w:rFonts w:hint="eastAsia" w:ascii="仿宋" w:hAnsi="仿宋" w:eastAsia="仿宋" w:cs="Arial Narrow"/>
        </w:rPr>
        <w:t>2019年7月30日</w:t>
      </w:r>
    </w:p>
    <w:sectPr>
      <w:footerReference r:id="rId11" w:type="default"/>
      <w:pgSz w:w="11906" w:h="16838"/>
      <w:pgMar w:top="1440" w:right="1406" w:bottom="1089" w:left="1800" w:header="1134" w:footer="1134"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0000009F" w:csb1="00000000"/>
  </w:font>
  <w:font w:name="华文宋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2CA7D">
    <w:pPr>
      <w:pStyle w:val="13"/>
      <w:ind w:firstLine="360"/>
      <w:jc w:val="center"/>
      <w:rPr>
        <w:rFonts w:hint="eastAsia" w:eastAsia="仿宋_GB2312"/>
        <w:lang w:val="en-US" w:eastAsia="zh-CN"/>
      </w:rPr>
    </w:pPr>
    <w:r>
      <w:rPr>
        <w:rFonts w:hint="eastAsia"/>
        <w:lang w:val="en-US" w:eastAsia="zh-CN"/>
      </w:rPr>
      <w:t>·</w:t>
    </w:r>
  </w:p>
  <w:p w14:paraId="2C7B6875">
    <w:pPr>
      <w:pStyle w:val="13"/>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4D916">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BCFBB">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5949801"/>
      <w:docPartObj>
        <w:docPartGallery w:val="autotext"/>
      </w:docPartObj>
    </w:sdtPr>
    <w:sdtContent>
      <w:p w14:paraId="1DC5BBA2">
        <w:pPr>
          <w:pStyle w:val="13"/>
          <w:ind w:firstLine="360"/>
          <w:jc w:val="center"/>
        </w:pPr>
        <w:r>
          <w:fldChar w:fldCharType="begin"/>
        </w:r>
        <w:r>
          <w:instrText xml:space="preserve">PAGE   \* MERGEFORMAT</w:instrText>
        </w:r>
        <w:r>
          <w:fldChar w:fldCharType="separate"/>
        </w:r>
        <w:r>
          <w:rPr>
            <w:lang w:val="zh-CN"/>
          </w:rPr>
          <w:t>1</w:t>
        </w:r>
        <w:r>
          <w:fldChar w:fldCharType="end"/>
        </w:r>
      </w:p>
    </w:sdtContent>
  </w:sdt>
  <w:p w14:paraId="31706DD2">
    <w:pPr>
      <w:pStyle w:val="13"/>
      <w:ind w:firstLine="0" w:firstLineChars="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E9BA0">
    <w:pPr>
      <w:pStyle w:val="14"/>
      <w:pBdr>
        <w:bottom w:val="none" w:color="auto" w:sz="0" w:space="0"/>
      </w:pBdr>
      <w:ind w:firstLine="0" w:firstLineChars="0"/>
      <w:jc w:val="both"/>
    </w:pPr>
    <w:r>
      <w:rPr>
        <w:rFonts w:ascii="Calibri" w:hAnsi="Calibri" w:eastAsia="黑体" w:cs="黑体"/>
        <w:b/>
        <w:sz w:val="14"/>
        <w:szCs w:val="14"/>
      </w:rPr>
      <w:pict>
        <v:rect id="文本框 26" o:spid="_x0000_s4097" o:spt="1" style="position:absolute;left:0pt;margin-left:359.05pt;margin-top:39.95pt;height:74.45pt;width:150.15pt;mso-position-horizontal-relative:page;mso-position-vertical-relative:page;z-index:251659264;mso-width-relative:page;mso-height-relative:page;" filled="f" stroked="f" coordsize="21600,21600">
          <v:path/>
          <v:fill on="f" focussize="0,0"/>
          <v:stroke on="f"/>
          <v:imagedata o:title=""/>
          <o:lock v:ext="edit"/>
          <v:textbox>
            <w:txbxContent>
              <w:p w14:paraId="4A3E5C21">
                <w:pPr>
                  <w:ind w:firstLine="280"/>
                  <w:rPr>
                    <w:rFonts w:ascii="Arial Narrow" w:hAnsi="Arial Narrow" w:eastAsia="黑体" w:cs="Arial Narrow"/>
                    <w:sz w:val="14"/>
                    <w:szCs w:val="14"/>
                  </w:rPr>
                </w:pPr>
              </w:p>
            </w:txbxContent>
          </v:textbox>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2E9D2">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5B324">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8481A"/>
    <w:multiLevelType w:val="multilevel"/>
    <w:tmpl w:val="79C8481A"/>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204"/>
  <w:displayHorizontalDrawingGridEvery w:val="0"/>
  <w:displayVerticalDrawingGridEvery w:val="2"/>
  <w:characterSpacingControl w:val="compressPunctuation"/>
  <w:doNotValidateAgainstSchema/>
  <w:doNotDemarcateInvalidXml/>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hjNmVhOTU5ODM3OWQ1M2MxMjk1OGZlZmIyMzhkOWYifQ=="/>
  </w:docVars>
  <w:rsids>
    <w:rsidRoot w:val="00172A27"/>
    <w:rsid w:val="00002A69"/>
    <w:rsid w:val="000107B2"/>
    <w:rsid w:val="00011E0B"/>
    <w:rsid w:val="00012B09"/>
    <w:rsid w:val="00012B47"/>
    <w:rsid w:val="000147C2"/>
    <w:rsid w:val="000153F5"/>
    <w:rsid w:val="00016011"/>
    <w:rsid w:val="000225A4"/>
    <w:rsid w:val="000231B2"/>
    <w:rsid w:val="000235EA"/>
    <w:rsid w:val="0002369C"/>
    <w:rsid w:val="00027617"/>
    <w:rsid w:val="00030459"/>
    <w:rsid w:val="00034CB1"/>
    <w:rsid w:val="00037160"/>
    <w:rsid w:val="00037FDA"/>
    <w:rsid w:val="00041931"/>
    <w:rsid w:val="00042A0C"/>
    <w:rsid w:val="000435FD"/>
    <w:rsid w:val="000475B9"/>
    <w:rsid w:val="00051092"/>
    <w:rsid w:val="0005129C"/>
    <w:rsid w:val="0005263F"/>
    <w:rsid w:val="000578E1"/>
    <w:rsid w:val="00057BBE"/>
    <w:rsid w:val="00060B99"/>
    <w:rsid w:val="000647BB"/>
    <w:rsid w:val="00065443"/>
    <w:rsid w:val="00070099"/>
    <w:rsid w:val="0007044D"/>
    <w:rsid w:val="00071B04"/>
    <w:rsid w:val="00071C74"/>
    <w:rsid w:val="00082AA1"/>
    <w:rsid w:val="000839C4"/>
    <w:rsid w:val="00083F0C"/>
    <w:rsid w:val="000850E9"/>
    <w:rsid w:val="0008556C"/>
    <w:rsid w:val="00086B6B"/>
    <w:rsid w:val="00092652"/>
    <w:rsid w:val="00092834"/>
    <w:rsid w:val="00095860"/>
    <w:rsid w:val="00097F61"/>
    <w:rsid w:val="000A281C"/>
    <w:rsid w:val="000A2B58"/>
    <w:rsid w:val="000A38CF"/>
    <w:rsid w:val="000B0707"/>
    <w:rsid w:val="000B351B"/>
    <w:rsid w:val="000B67E5"/>
    <w:rsid w:val="000C0AC8"/>
    <w:rsid w:val="000C2C67"/>
    <w:rsid w:val="000C4653"/>
    <w:rsid w:val="000C4C40"/>
    <w:rsid w:val="000C613D"/>
    <w:rsid w:val="000C7932"/>
    <w:rsid w:val="000C793B"/>
    <w:rsid w:val="000D124B"/>
    <w:rsid w:val="000D1F28"/>
    <w:rsid w:val="000D264B"/>
    <w:rsid w:val="000D32E5"/>
    <w:rsid w:val="000D34A6"/>
    <w:rsid w:val="000D37BE"/>
    <w:rsid w:val="000D50DC"/>
    <w:rsid w:val="000D5CCA"/>
    <w:rsid w:val="000D7608"/>
    <w:rsid w:val="000E16BD"/>
    <w:rsid w:val="000E1A4F"/>
    <w:rsid w:val="000E3E46"/>
    <w:rsid w:val="000E5026"/>
    <w:rsid w:val="000E5B9F"/>
    <w:rsid w:val="000E67B0"/>
    <w:rsid w:val="000E7A33"/>
    <w:rsid w:val="000F1F5E"/>
    <w:rsid w:val="000F2AE1"/>
    <w:rsid w:val="000F482F"/>
    <w:rsid w:val="000F62A4"/>
    <w:rsid w:val="00101AA1"/>
    <w:rsid w:val="00107C77"/>
    <w:rsid w:val="00107E2F"/>
    <w:rsid w:val="00115891"/>
    <w:rsid w:val="00117519"/>
    <w:rsid w:val="001247D7"/>
    <w:rsid w:val="001346FF"/>
    <w:rsid w:val="00134F95"/>
    <w:rsid w:val="001373D3"/>
    <w:rsid w:val="00142BA0"/>
    <w:rsid w:val="00143DA4"/>
    <w:rsid w:val="001441F8"/>
    <w:rsid w:val="00144210"/>
    <w:rsid w:val="0014542F"/>
    <w:rsid w:val="00146219"/>
    <w:rsid w:val="00147E31"/>
    <w:rsid w:val="00152FB6"/>
    <w:rsid w:val="001542F3"/>
    <w:rsid w:val="001548CF"/>
    <w:rsid w:val="00156601"/>
    <w:rsid w:val="00157614"/>
    <w:rsid w:val="0016074D"/>
    <w:rsid w:val="00164900"/>
    <w:rsid w:val="001676D8"/>
    <w:rsid w:val="00172A27"/>
    <w:rsid w:val="00173694"/>
    <w:rsid w:val="0017597C"/>
    <w:rsid w:val="0018053D"/>
    <w:rsid w:val="00180C97"/>
    <w:rsid w:val="00182EEA"/>
    <w:rsid w:val="0018363A"/>
    <w:rsid w:val="001871E1"/>
    <w:rsid w:val="001907A0"/>
    <w:rsid w:val="001907BC"/>
    <w:rsid w:val="0019172C"/>
    <w:rsid w:val="00191C51"/>
    <w:rsid w:val="00191FE0"/>
    <w:rsid w:val="00197977"/>
    <w:rsid w:val="001A02C6"/>
    <w:rsid w:val="001A4611"/>
    <w:rsid w:val="001A6E1D"/>
    <w:rsid w:val="001A7035"/>
    <w:rsid w:val="001A71D3"/>
    <w:rsid w:val="001A7BCC"/>
    <w:rsid w:val="001B156C"/>
    <w:rsid w:val="001B206F"/>
    <w:rsid w:val="001B2C2B"/>
    <w:rsid w:val="001B564E"/>
    <w:rsid w:val="001C1AB0"/>
    <w:rsid w:val="001C4A11"/>
    <w:rsid w:val="001C6498"/>
    <w:rsid w:val="001C7FC5"/>
    <w:rsid w:val="001D1C1D"/>
    <w:rsid w:val="001D2B8D"/>
    <w:rsid w:val="001D4085"/>
    <w:rsid w:val="001D50A9"/>
    <w:rsid w:val="001E1192"/>
    <w:rsid w:val="001E3766"/>
    <w:rsid w:val="001E4DD7"/>
    <w:rsid w:val="001E57AC"/>
    <w:rsid w:val="001E63EB"/>
    <w:rsid w:val="001E73FF"/>
    <w:rsid w:val="001F0DE7"/>
    <w:rsid w:val="001F3D0C"/>
    <w:rsid w:val="001F50AE"/>
    <w:rsid w:val="00203E55"/>
    <w:rsid w:val="0020464E"/>
    <w:rsid w:val="00205C9D"/>
    <w:rsid w:val="002060DB"/>
    <w:rsid w:val="00206B01"/>
    <w:rsid w:val="00206B46"/>
    <w:rsid w:val="0020706B"/>
    <w:rsid w:val="00213953"/>
    <w:rsid w:val="00214270"/>
    <w:rsid w:val="00214BA4"/>
    <w:rsid w:val="00217BE1"/>
    <w:rsid w:val="00220AE1"/>
    <w:rsid w:val="002244EF"/>
    <w:rsid w:val="00226CA1"/>
    <w:rsid w:val="00227F82"/>
    <w:rsid w:val="002331CD"/>
    <w:rsid w:val="00242395"/>
    <w:rsid w:val="00242589"/>
    <w:rsid w:val="00243172"/>
    <w:rsid w:val="00243D70"/>
    <w:rsid w:val="00244813"/>
    <w:rsid w:val="00246420"/>
    <w:rsid w:val="0024753B"/>
    <w:rsid w:val="0024762E"/>
    <w:rsid w:val="00247BA5"/>
    <w:rsid w:val="00251B7B"/>
    <w:rsid w:val="002520DB"/>
    <w:rsid w:val="002604FB"/>
    <w:rsid w:val="002612E9"/>
    <w:rsid w:val="00263172"/>
    <w:rsid w:val="00263E33"/>
    <w:rsid w:val="00263E5D"/>
    <w:rsid w:val="00264E80"/>
    <w:rsid w:val="00267DA6"/>
    <w:rsid w:val="002706C6"/>
    <w:rsid w:val="00273665"/>
    <w:rsid w:val="0027412C"/>
    <w:rsid w:val="00275D0D"/>
    <w:rsid w:val="00280B02"/>
    <w:rsid w:val="0028633D"/>
    <w:rsid w:val="0028764F"/>
    <w:rsid w:val="002911A7"/>
    <w:rsid w:val="00291951"/>
    <w:rsid w:val="002933BC"/>
    <w:rsid w:val="002953EE"/>
    <w:rsid w:val="002A0822"/>
    <w:rsid w:val="002A0862"/>
    <w:rsid w:val="002A1870"/>
    <w:rsid w:val="002A731C"/>
    <w:rsid w:val="002A75B9"/>
    <w:rsid w:val="002A7693"/>
    <w:rsid w:val="002B3766"/>
    <w:rsid w:val="002B49DE"/>
    <w:rsid w:val="002B55AD"/>
    <w:rsid w:val="002B5984"/>
    <w:rsid w:val="002B60B2"/>
    <w:rsid w:val="002C012C"/>
    <w:rsid w:val="002C05DC"/>
    <w:rsid w:val="002C21EB"/>
    <w:rsid w:val="002C439E"/>
    <w:rsid w:val="002C44C0"/>
    <w:rsid w:val="002C5757"/>
    <w:rsid w:val="002C5D77"/>
    <w:rsid w:val="002D0D13"/>
    <w:rsid w:val="002D1D84"/>
    <w:rsid w:val="002E11FA"/>
    <w:rsid w:val="002E21D6"/>
    <w:rsid w:val="002F1C3F"/>
    <w:rsid w:val="002F44AB"/>
    <w:rsid w:val="002F7973"/>
    <w:rsid w:val="0031024E"/>
    <w:rsid w:val="00312F11"/>
    <w:rsid w:val="003132F6"/>
    <w:rsid w:val="00315407"/>
    <w:rsid w:val="00322C3A"/>
    <w:rsid w:val="003309B7"/>
    <w:rsid w:val="003313C3"/>
    <w:rsid w:val="00333EE7"/>
    <w:rsid w:val="003363C3"/>
    <w:rsid w:val="0034018A"/>
    <w:rsid w:val="00343216"/>
    <w:rsid w:val="00344CC3"/>
    <w:rsid w:val="0034515E"/>
    <w:rsid w:val="00346EBE"/>
    <w:rsid w:val="00347FD1"/>
    <w:rsid w:val="003506E6"/>
    <w:rsid w:val="00352DF8"/>
    <w:rsid w:val="00356E00"/>
    <w:rsid w:val="00364212"/>
    <w:rsid w:val="0036466F"/>
    <w:rsid w:val="003712A9"/>
    <w:rsid w:val="00372944"/>
    <w:rsid w:val="00374FFF"/>
    <w:rsid w:val="003750CC"/>
    <w:rsid w:val="0037593E"/>
    <w:rsid w:val="00375D8B"/>
    <w:rsid w:val="00376DC7"/>
    <w:rsid w:val="0038083D"/>
    <w:rsid w:val="00387964"/>
    <w:rsid w:val="0039007B"/>
    <w:rsid w:val="00390399"/>
    <w:rsid w:val="0039079D"/>
    <w:rsid w:val="00390BD3"/>
    <w:rsid w:val="003919EC"/>
    <w:rsid w:val="003920BE"/>
    <w:rsid w:val="0039236F"/>
    <w:rsid w:val="00392AA2"/>
    <w:rsid w:val="00392F5E"/>
    <w:rsid w:val="00394FAF"/>
    <w:rsid w:val="0039690B"/>
    <w:rsid w:val="003A0090"/>
    <w:rsid w:val="003A29E5"/>
    <w:rsid w:val="003A377A"/>
    <w:rsid w:val="003B1278"/>
    <w:rsid w:val="003B5A55"/>
    <w:rsid w:val="003C0622"/>
    <w:rsid w:val="003C10E7"/>
    <w:rsid w:val="003C49E8"/>
    <w:rsid w:val="003C5736"/>
    <w:rsid w:val="003D37E8"/>
    <w:rsid w:val="003D3CD8"/>
    <w:rsid w:val="003D5E40"/>
    <w:rsid w:val="003D6BE5"/>
    <w:rsid w:val="003D7EF3"/>
    <w:rsid w:val="003D7FF0"/>
    <w:rsid w:val="003E0D20"/>
    <w:rsid w:val="003E16C4"/>
    <w:rsid w:val="003E2919"/>
    <w:rsid w:val="003E3C53"/>
    <w:rsid w:val="003E6369"/>
    <w:rsid w:val="003E68B6"/>
    <w:rsid w:val="003F0641"/>
    <w:rsid w:val="003F2581"/>
    <w:rsid w:val="003F3003"/>
    <w:rsid w:val="003F4A08"/>
    <w:rsid w:val="003F640B"/>
    <w:rsid w:val="003F77E0"/>
    <w:rsid w:val="003F78E3"/>
    <w:rsid w:val="004016BF"/>
    <w:rsid w:val="00402380"/>
    <w:rsid w:val="0040727E"/>
    <w:rsid w:val="004102C2"/>
    <w:rsid w:val="00412C52"/>
    <w:rsid w:val="0041356F"/>
    <w:rsid w:val="00414470"/>
    <w:rsid w:val="00414570"/>
    <w:rsid w:val="004156F2"/>
    <w:rsid w:val="0041689F"/>
    <w:rsid w:val="00417F32"/>
    <w:rsid w:val="0042114C"/>
    <w:rsid w:val="0042187B"/>
    <w:rsid w:val="00424A8D"/>
    <w:rsid w:val="004251FE"/>
    <w:rsid w:val="00432769"/>
    <w:rsid w:val="00436630"/>
    <w:rsid w:val="00436685"/>
    <w:rsid w:val="00436978"/>
    <w:rsid w:val="00437ABF"/>
    <w:rsid w:val="004406CE"/>
    <w:rsid w:val="004416B6"/>
    <w:rsid w:val="00444C92"/>
    <w:rsid w:val="00444F7A"/>
    <w:rsid w:val="00446C56"/>
    <w:rsid w:val="00446E9B"/>
    <w:rsid w:val="00447CE1"/>
    <w:rsid w:val="00454AD8"/>
    <w:rsid w:val="00461176"/>
    <w:rsid w:val="004637D6"/>
    <w:rsid w:val="00465728"/>
    <w:rsid w:val="004720AA"/>
    <w:rsid w:val="00475D0F"/>
    <w:rsid w:val="00477022"/>
    <w:rsid w:val="004838E5"/>
    <w:rsid w:val="0049123B"/>
    <w:rsid w:val="004913B9"/>
    <w:rsid w:val="00496736"/>
    <w:rsid w:val="00497DCD"/>
    <w:rsid w:val="004A0E40"/>
    <w:rsid w:val="004A4024"/>
    <w:rsid w:val="004A4C34"/>
    <w:rsid w:val="004A5982"/>
    <w:rsid w:val="004A5CFE"/>
    <w:rsid w:val="004A5E6A"/>
    <w:rsid w:val="004B0A18"/>
    <w:rsid w:val="004B2A1B"/>
    <w:rsid w:val="004B2DE5"/>
    <w:rsid w:val="004B331B"/>
    <w:rsid w:val="004B47C7"/>
    <w:rsid w:val="004B6F1C"/>
    <w:rsid w:val="004C2F4D"/>
    <w:rsid w:val="004C3638"/>
    <w:rsid w:val="004C39A4"/>
    <w:rsid w:val="004C52FF"/>
    <w:rsid w:val="004C6E0B"/>
    <w:rsid w:val="004D070B"/>
    <w:rsid w:val="004D33DF"/>
    <w:rsid w:val="004D4350"/>
    <w:rsid w:val="004D452C"/>
    <w:rsid w:val="004D749D"/>
    <w:rsid w:val="004D7DEA"/>
    <w:rsid w:val="004E04DA"/>
    <w:rsid w:val="004E1D06"/>
    <w:rsid w:val="004E1FA4"/>
    <w:rsid w:val="004E20B1"/>
    <w:rsid w:val="004E3DAA"/>
    <w:rsid w:val="004E4EB8"/>
    <w:rsid w:val="004E6203"/>
    <w:rsid w:val="004F183B"/>
    <w:rsid w:val="004F42A1"/>
    <w:rsid w:val="004F5FA6"/>
    <w:rsid w:val="00500581"/>
    <w:rsid w:val="00501013"/>
    <w:rsid w:val="005041BE"/>
    <w:rsid w:val="00505635"/>
    <w:rsid w:val="00507805"/>
    <w:rsid w:val="005134B0"/>
    <w:rsid w:val="0051441E"/>
    <w:rsid w:val="005155D3"/>
    <w:rsid w:val="005204D6"/>
    <w:rsid w:val="00520795"/>
    <w:rsid w:val="005215DF"/>
    <w:rsid w:val="00525692"/>
    <w:rsid w:val="00525979"/>
    <w:rsid w:val="00527E66"/>
    <w:rsid w:val="00533BB5"/>
    <w:rsid w:val="00534945"/>
    <w:rsid w:val="00534E3A"/>
    <w:rsid w:val="005360A1"/>
    <w:rsid w:val="00537C3E"/>
    <w:rsid w:val="00543555"/>
    <w:rsid w:val="0054431F"/>
    <w:rsid w:val="00544890"/>
    <w:rsid w:val="00547FC6"/>
    <w:rsid w:val="00552615"/>
    <w:rsid w:val="00552BED"/>
    <w:rsid w:val="005567B3"/>
    <w:rsid w:val="005632D3"/>
    <w:rsid w:val="005655D1"/>
    <w:rsid w:val="005658C9"/>
    <w:rsid w:val="00565929"/>
    <w:rsid w:val="005659EE"/>
    <w:rsid w:val="00565D9A"/>
    <w:rsid w:val="00566498"/>
    <w:rsid w:val="005708E6"/>
    <w:rsid w:val="00580B1E"/>
    <w:rsid w:val="005812C2"/>
    <w:rsid w:val="00583F95"/>
    <w:rsid w:val="00596AF0"/>
    <w:rsid w:val="00597947"/>
    <w:rsid w:val="005A0AF1"/>
    <w:rsid w:val="005A1BB1"/>
    <w:rsid w:val="005A21FC"/>
    <w:rsid w:val="005B1178"/>
    <w:rsid w:val="005B159F"/>
    <w:rsid w:val="005C6776"/>
    <w:rsid w:val="005C7BB8"/>
    <w:rsid w:val="005D02D6"/>
    <w:rsid w:val="005D0FBF"/>
    <w:rsid w:val="005D24E1"/>
    <w:rsid w:val="005D761E"/>
    <w:rsid w:val="005D7826"/>
    <w:rsid w:val="005E016C"/>
    <w:rsid w:val="005E0E0C"/>
    <w:rsid w:val="005E1EC1"/>
    <w:rsid w:val="005E31A5"/>
    <w:rsid w:val="005E38D2"/>
    <w:rsid w:val="005E4DF6"/>
    <w:rsid w:val="005E6A5B"/>
    <w:rsid w:val="005E7290"/>
    <w:rsid w:val="005F072F"/>
    <w:rsid w:val="005F0A83"/>
    <w:rsid w:val="005F0D41"/>
    <w:rsid w:val="005F234F"/>
    <w:rsid w:val="005F3C50"/>
    <w:rsid w:val="00601607"/>
    <w:rsid w:val="006047F8"/>
    <w:rsid w:val="006066A6"/>
    <w:rsid w:val="00606CC4"/>
    <w:rsid w:val="006138EE"/>
    <w:rsid w:val="0061452E"/>
    <w:rsid w:val="00614E4C"/>
    <w:rsid w:val="00615D9E"/>
    <w:rsid w:val="00621643"/>
    <w:rsid w:val="00624274"/>
    <w:rsid w:val="00626CD9"/>
    <w:rsid w:val="00630956"/>
    <w:rsid w:val="006346D7"/>
    <w:rsid w:val="00636115"/>
    <w:rsid w:val="00640016"/>
    <w:rsid w:val="00641EED"/>
    <w:rsid w:val="00642106"/>
    <w:rsid w:val="00644429"/>
    <w:rsid w:val="00646876"/>
    <w:rsid w:val="00647079"/>
    <w:rsid w:val="00650DEF"/>
    <w:rsid w:val="00651741"/>
    <w:rsid w:val="00656BC8"/>
    <w:rsid w:val="006606A3"/>
    <w:rsid w:val="0066273D"/>
    <w:rsid w:val="00662D0D"/>
    <w:rsid w:val="006642D3"/>
    <w:rsid w:val="006711A5"/>
    <w:rsid w:val="00676441"/>
    <w:rsid w:val="00677567"/>
    <w:rsid w:val="00682BA7"/>
    <w:rsid w:val="00687B7B"/>
    <w:rsid w:val="00691499"/>
    <w:rsid w:val="00692356"/>
    <w:rsid w:val="0069340D"/>
    <w:rsid w:val="00695F59"/>
    <w:rsid w:val="006A71EF"/>
    <w:rsid w:val="006A769A"/>
    <w:rsid w:val="006A7A55"/>
    <w:rsid w:val="006B2DDC"/>
    <w:rsid w:val="006B5939"/>
    <w:rsid w:val="006B6D45"/>
    <w:rsid w:val="006B776D"/>
    <w:rsid w:val="006C0C87"/>
    <w:rsid w:val="006C2D83"/>
    <w:rsid w:val="006C3F2E"/>
    <w:rsid w:val="006C4D9E"/>
    <w:rsid w:val="006D10DC"/>
    <w:rsid w:val="006D22CB"/>
    <w:rsid w:val="006D281E"/>
    <w:rsid w:val="006D3823"/>
    <w:rsid w:val="006D3E5C"/>
    <w:rsid w:val="006D41F1"/>
    <w:rsid w:val="006D431A"/>
    <w:rsid w:val="006D51C3"/>
    <w:rsid w:val="006D6DB9"/>
    <w:rsid w:val="006E149F"/>
    <w:rsid w:val="006E4514"/>
    <w:rsid w:val="006E5C42"/>
    <w:rsid w:val="006F2B5C"/>
    <w:rsid w:val="006F581B"/>
    <w:rsid w:val="006F74F7"/>
    <w:rsid w:val="006F7E68"/>
    <w:rsid w:val="00702AE3"/>
    <w:rsid w:val="0070567E"/>
    <w:rsid w:val="00705ADC"/>
    <w:rsid w:val="0070659F"/>
    <w:rsid w:val="007078C7"/>
    <w:rsid w:val="007148E9"/>
    <w:rsid w:val="00716258"/>
    <w:rsid w:val="007165EC"/>
    <w:rsid w:val="00721C9B"/>
    <w:rsid w:val="0072285B"/>
    <w:rsid w:val="00722909"/>
    <w:rsid w:val="00723249"/>
    <w:rsid w:val="007260DC"/>
    <w:rsid w:val="00726E74"/>
    <w:rsid w:val="00727EF2"/>
    <w:rsid w:val="007309B9"/>
    <w:rsid w:val="00731661"/>
    <w:rsid w:val="00733038"/>
    <w:rsid w:val="0073421A"/>
    <w:rsid w:val="00737E3E"/>
    <w:rsid w:val="007419EE"/>
    <w:rsid w:val="00741A32"/>
    <w:rsid w:val="00744BE7"/>
    <w:rsid w:val="007455A5"/>
    <w:rsid w:val="00747C3E"/>
    <w:rsid w:val="00750C7B"/>
    <w:rsid w:val="00751783"/>
    <w:rsid w:val="00753FB8"/>
    <w:rsid w:val="00756213"/>
    <w:rsid w:val="00757369"/>
    <w:rsid w:val="00760264"/>
    <w:rsid w:val="0076125E"/>
    <w:rsid w:val="007614A0"/>
    <w:rsid w:val="00764579"/>
    <w:rsid w:val="00766CC5"/>
    <w:rsid w:val="0076789B"/>
    <w:rsid w:val="00771519"/>
    <w:rsid w:val="0077612D"/>
    <w:rsid w:val="0078403F"/>
    <w:rsid w:val="00784977"/>
    <w:rsid w:val="007857C2"/>
    <w:rsid w:val="007951AE"/>
    <w:rsid w:val="007960FC"/>
    <w:rsid w:val="007A1325"/>
    <w:rsid w:val="007A260C"/>
    <w:rsid w:val="007A3D65"/>
    <w:rsid w:val="007A4561"/>
    <w:rsid w:val="007A7FFA"/>
    <w:rsid w:val="007B096A"/>
    <w:rsid w:val="007B5BCC"/>
    <w:rsid w:val="007B63BA"/>
    <w:rsid w:val="007C0582"/>
    <w:rsid w:val="007C2929"/>
    <w:rsid w:val="007C5815"/>
    <w:rsid w:val="007D08CF"/>
    <w:rsid w:val="007D0A9C"/>
    <w:rsid w:val="007D12ED"/>
    <w:rsid w:val="007D518A"/>
    <w:rsid w:val="007D6002"/>
    <w:rsid w:val="007D6F8A"/>
    <w:rsid w:val="007E062F"/>
    <w:rsid w:val="007E5FF6"/>
    <w:rsid w:val="007F0CD4"/>
    <w:rsid w:val="007F15F0"/>
    <w:rsid w:val="007F3EA6"/>
    <w:rsid w:val="007F581B"/>
    <w:rsid w:val="00800E4A"/>
    <w:rsid w:val="008015DF"/>
    <w:rsid w:val="00801640"/>
    <w:rsid w:val="0080288E"/>
    <w:rsid w:val="008053EB"/>
    <w:rsid w:val="00805A0A"/>
    <w:rsid w:val="0081201D"/>
    <w:rsid w:val="00812ECD"/>
    <w:rsid w:val="0081473D"/>
    <w:rsid w:val="00815623"/>
    <w:rsid w:val="008157AE"/>
    <w:rsid w:val="008167AB"/>
    <w:rsid w:val="00820392"/>
    <w:rsid w:val="00820A25"/>
    <w:rsid w:val="0082440D"/>
    <w:rsid w:val="00825D97"/>
    <w:rsid w:val="008325FA"/>
    <w:rsid w:val="00833B9B"/>
    <w:rsid w:val="00835356"/>
    <w:rsid w:val="00836D67"/>
    <w:rsid w:val="00844F4F"/>
    <w:rsid w:val="008453B8"/>
    <w:rsid w:val="0084547F"/>
    <w:rsid w:val="00845BD8"/>
    <w:rsid w:val="00845CE4"/>
    <w:rsid w:val="008468CD"/>
    <w:rsid w:val="00847827"/>
    <w:rsid w:val="00850E45"/>
    <w:rsid w:val="0085148F"/>
    <w:rsid w:val="00852C63"/>
    <w:rsid w:val="00854541"/>
    <w:rsid w:val="008616A6"/>
    <w:rsid w:val="00862075"/>
    <w:rsid w:val="008642C8"/>
    <w:rsid w:val="008662A2"/>
    <w:rsid w:val="0087108E"/>
    <w:rsid w:val="00871DE9"/>
    <w:rsid w:val="00872A32"/>
    <w:rsid w:val="00880CA7"/>
    <w:rsid w:val="00885CF7"/>
    <w:rsid w:val="00886E69"/>
    <w:rsid w:val="008934FA"/>
    <w:rsid w:val="008A0F83"/>
    <w:rsid w:val="008A175E"/>
    <w:rsid w:val="008A2E40"/>
    <w:rsid w:val="008B0C24"/>
    <w:rsid w:val="008B15BE"/>
    <w:rsid w:val="008B328C"/>
    <w:rsid w:val="008B6BE1"/>
    <w:rsid w:val="008B7645"/>
    <w:rsid w:val="008C1976"/>
    <w:rsid w:val="008C5857"/>
    <w:rsid w:val="008D0512"/>
    <w:rsid w:val="008D1468"/>
    <w:rsid w:val="008D33D6"/>
    <w:rsid w:val="008D42FF"/>
    <w:rsid w:val="008D4FA7"/>
    <w:rsid w:val="008D5A00"/>
    <w:rsid w:val="008E0EA8"/>
    <w:rsid w:val="008E573D"/>
    <w:rsid w:val="008E5FB9"/>
    <w:rsid w:val="008F5689"/>
    <w:rsid w:val="008F5B6F"/>
    <w:rsid w:val="008F69BF"/>
    <w:rsid w:val="009003B0"/>
    <w:rsid w:val="009015AD"/>
    <w:rsid w:val="009036DE"/>
    <w:rsid w:val="00903AAF"/>
    <w:rsid w:val="0090416C"/>
    <w:rsid w:val="009043EF"/>
    <w:rsid w:val="00907956"/>
    <w:rsid w:val="0091079F"/>
    <w:rsid w:val="009153E3"/>
    <w:rsid w:val="0091597F"/>
    <w:rsid w:val="009177D8"/>
    <w:rsid w:val="00921DCF"/>
    <w:rsid w:val="00923D59"/>
    <w:rsid w:val="0092464E"/>
    <w:rsid w:val="00924F4C"/>
    <w:rsid w:val="009337F2"/>
    <w:rsid w:val="00934B5A"/>
    <w:rsid w:val="0094138A"/>
    <w:rsid w:val="009428CC"/>
    <w:rsid w:val="00946554"/>
    <w:rsid w:val="00953385"/>
    <w:rsid w:val="009536E4"/>
    <w:rsid w:val="00954CFF"/>
    <w:rsid w:val="009553EB"/>
    <w:rsid w:val="009556E8"/>
    <w:rsid w:val="00956815"/>
    <w:rsid w:val="00960332"/>
    <w:rsid w:val="00963C82"/>
    <w:rsid w:val="009754A1"/>
    <w:rsid w:val="00977B6C"/>
    <w:rsid w:val="00981B94"/>
    <w:rsid w:val="009850DD"/>
    <w:rsid w:val="009852EE"/>
    <w:rsid w:val="009918A8"/>
    <w:rsid w:val="00995CC6"/>
    <w:rsid w:val="009964F7"/>
    <w:rsid w:val="009A07B6"/>
    <w:rsid w:val="009A2934"/>
    <w:rsid w:val="009A3167"/>
    <w:rsid w:val="009A488C"/>
    <w:rsid w:val="009A6B01"/>
    <w:rsid w:val="009B0E77"/>
    <w:rsid w:val="009B7C3D"/>
    <w:rsid w:val="009C21D3"/>
    <w:rsid w:val="009C3BDF"/>
    <w:rsid w:val="009C6399"/>
    <w:rsid w:val="009C700D"/>
    <w:rsid w:val="009D117E"/>
    <w:rsid w:val="009D2C81"/>
    <w:rsid w:val="009D3BCE"/>
    <w:rsid w:val="009D4762"/>
    <w:rsid w:val="009D61D3"/>
    <w:rsid w:val="009D63C3"/>
    <w:rsid w:val="009D6FD8"/>
    <w:rsid w:val="009D7E0C"/>
    <w:rsid w:val="009E0181"/>
    <w:rsid w:val="009E1ED3"/>
    <w:rsid w:val="009E37ED"/>
    <w:rsid w:val="009E4A95"/>
    <w:rsid w:val="009E6004"/>
    <w:rsid w:val="009F0897"/>
    <w:rsid w:val="009F5345"/>
    <w:rsid w:val="009F53C2"/>
    <w:rsid w:val="009F58A2"/>
    <w:rsid w:val="009F6F50"/>
    <w:rsid w:val="00A00406"/>
    <w:rsid w:val="00A0057C"/>
    <w:rsid w:val="00A0210F"/>
    <w:rsid w:val="00A058CF"/>
    <w:rsid w:val="00A072FE"/>
    <w:rsid w:val="00A073DA"/>
    <w:rsid w:val="00A07475"/>
    <w:rsid w:val="00A07496"/>
    <w:rsid w:val="00A10865"/>
    <w:rsid w:val="00A11537"/>
    <w:rsid w:val="00A11A7A"/>
    <w:rsid w:val="00A128C5"/>
    <w:rsid w:val="00A20055"/>
    <w:rsid w:val="00A210A1"/>
    <w:rsid w:val="00A22D6C"/>
    <w:rsid w:val="00A231F8"/>
    <w:rsid w:val="00A23336"/>
    <w:rsid w:val="00A24CA1"/>
    <w:rsid w:val="00A25163"/>
    <w:rsid w:val="00A269A7"/>
    <w:rsid w:val="00A26EF7"/>
    <w:rsid w:val="00A31277"/>
    <w:rsid w:val="00A33350"/>
    <w:rsid w:val="00A34428"/>
    <w:rsid w:val="00A44C1F"/>
    <w:rsid w:val="00A46DAF"/>
    <w:rsid w:val="00A47C58"/>
    <w:rsid w:val="00A529A1"/>
    <w:rsid w:val="00A52BA6"/>
    <w:rsid w:val="00A52F2C"/>
    <w:rsid w:val="00A54B3F"/>
    <w:rsid w:val="00A56692"/>
    <w:rsid w:val="00A60500"/>
    <w:rsid w:val="00A61261"/>
    <w:rsid w:val="00A61FD4"/>
    <w:rsid w:val="00A63AA9"/>
    <w:rsid w:val="00A669E9"/>
    <w:rsid w:val="00A67D0F"/>
    <w:rsid w:val="00A8609D"/>
    <w:rsid w:val="00A86542"/>
    <w:rsid w:val="00A87F7C"/>
    <w:rsid w:val="00A908A5"/>
    <w:rsid w:val="00A91DAE"/>
    <w:rsid w:val="00A9633A"/>
    <w:rsid w:val="00AA099E"/>
    <w:rsid w:val="00AA46EA"/>
    <w:rsid w:val="00AA559B"/>
    <w:rsid w:val="00AB29C4"/>
    <w:rsid w:val="00AB60C4"/>
    <w:rsid w:val="00AC14F0"/>
    <w:rsid w:val="00AC2DF7"/>
    <w:rsid w:val="00AC548A"/>
    <w:rsid w:val="00AD35A4"/>
    <w:rsid w:val="00AD5C59"/>
    <w:rsid w:val="00AE270B"/>
    <w:rsid w:val="00AE5064"/>
    <w:rsid w:val="00AE5365"/>
    <w:rsid w:val="00AE55CB"/>
    <w:rsid w:val="00AE71DB"/>
    <w:rsid w:val="00AF0CB9"/>
    <w:rsid w:val="00AF3FDF"/>
    <w:rsid w:val="00AF5069"/>
    <w:rsid w:val="00AF564E"/>
    <w:rsid w:val="00B01326"/>
    <w:rsid w:val="00B0164D"/>
    <w:rsid w:val="00B019F5"/>
    <w:rsid w:val="00B02152"/>
    <w:rsid w:val="00B04CC4"/>
    <w:rsid w:val="00B04F4E"/>
    <w:rsid w:val="00B052BC"/>
    <w:rsid w:val="00B05BCA"/>
    <w:rsid w:val="00B05CB2"/>
    <w:rsid w:val="00B05F14"/>
    <w:rsid w:val="00B146C7"/>
    <w:rsid w:val="00B222AE"/>
    <w:rsid w:val="00B22D6C"/>
    <w:rsid w:val="00B31B65"/>
    <w:rsid w:val="00B33B98"/>
    <w:rsid w:val="00B349F7"/>
    <w:rsid w:val="00B3578A"/>
    <w:rsid w:val="00B422E2"/>
    <w:rsid w:val="00B431EF"/>
    <w:rsid w:val="00B46A16"/>
    <w:rsid w:val="00B51ADD"/>
    <w:rsid w:val="00B553D8"/>
    <w:rsid w:val="00B569AD"/>
    <w:rsid w:val="00B56E34"/>
    <w:rsid w:val="00B57039"/>
    <w:rsid w:val="00B57263"/>
    <w:rsid w:val="00B6093A"/>
    <w:rsid w:val="00B62EAA"/>
    <w:rsid w:val="00B668D2"/>
    <w:rsid w:val="00B72C1F"/>
    <w:rsid w:val="00B73C5F"/>
    <w:rsid w:val="00B74177"/>
    <w:rsid w:val="00B7684F"/>
    <w:rsid w:val="00B76D53"/>
    <w:rsid w:val="00B82656"/>
    <w:rsid w:val="00B83704"/>
    <w:rsid w:val="00B86D61"/>
    <w:rsid w:val="00B90CC2"/>
    <w:rsid w:val="00B92D04"/>
    <w:rsid w:val="00B93330"/>
    <w:rsid w:val="00B96017"/>
    <w:rsid w:val="00B96778"/>
    <w:rsid w:val="00BA1545"/>
    <w:rsid w:val="00BA2BEC"/>
    <w:rsid w:val="00BA498C"/>
    <w:rsid w:val="00BA4E80"/>
    <w:rsid w:val="00BA56B6"/>
    <w:rsid w:val="00BB60A8"/>
    <w:rsid w:val="00BB6C33"/>
    <w:rsid w:val="00BC3E88"/>
    <w:rsid w:val="00BC7EFD"/>
    <w:rsid w:val="00BD0BA4"/>
    <w:rsid w:val="00BD1F78"/>
    <w:rsid w:val="00BD1FC3"/>
    <w:rsid w:val="00BE1259"/>
    <w:rsid w:val="00BE73A7"/>
    <w:rsid w:val="00BF0647"/>
    <w:rsid w:val="00BF33D3"/>
    <w:rsid w:val="00C00CEE"/>
    <w:rsid w:val="00C06624"/>
    <w:rsid w:val="00C10B17"/>
    <w:rsid w:val="00C117C2"/>
    <w:rsid w:val="00C11868"/>
    <w:rsid w:val="00C16188"/>
    <w:rsid w:val="00C22374"/>
    <w:rsid w:val="00C2276F"/>
    <w:rsid w:val="00C23FFB"/>
    <w:rsid w:val="00C2698A"/>
    <w:rsid w:val="00C308CC"/>
    <w:rsid w:val="00C30A7C"/>
    <w:rsid w:val="00C30E54"/>
    <w:rsid w:val="00C32BC8"/>
    <w:rsid w:val="00C34157"/>
    <w:rsid w:val="00C348C3"/>
    <w:rsid w:val="00C3653A"/>
    <w:rsid w:val="00C41CE3"/>
    <w:rsid w:val="00C41EAE"/>
    <w:rsid w:val="00C44CDE"/>
    <w:rsid w:val="00C515F8"/>
    <w:rsid w:val="00C5195C"/>
    <w:rsid w:val="00C52063"/>
    <w:rsid w:val="00C55F06"/>
    <w:rsid w:val="00C60D35"/>
    <w:rsid w:val="00C61427"/>
    <w:rsid w:val="00C6411B"/>
    <w:rsid w:val="00C66CD2"/>
    <w:rsid w:val="00C72429"/>
    <w:rsid w:val="00C75D95"/>
    <w:rsid w:val="00C76049"/>
    <w:rsid w:val="00C770CC"/>
    <w:rsid w:val="00C770DB"/>
    <w:rsid w:val="00C80786"/>
    <w:rsid w:val="00C807F9"/>
    <w:rsid w:val="00C81852"/>
    <w:rsid w:val="00C81D03"/>
    <w:rsid w:val="00C830AA"/>
    <w:rsid w:val="00C83E2E"/>
    <w:rsid w:val="00C853F1"/>
    <w:rsid w:val="00C8640F"/>
    <w:rsid w:val="00C90C57"/>
    <w:rsid w:val="00C927C0"/>
    <w:rsid w:val="00C92A41"/>
    <w:rsid w:val="00CB0887"/>
    <w:rsid w:val="00CC1988"/>
    <w:rsid w:val="00CC19AA"/>
    <w:rsid w:val="00CC3865"/>
    <w:rsid w:val="00CC5C28"/>
    <w:rsid w:val="00CC6A6D"/>
    <w:rsid w:val="00CD01A6"/>
    <w:rsid w:val="00CD314C"/>
    <w:rsid w:val="00CD4E1A"/>
    <w:rsid w:val="00CD5D7A"/>
    <w:rsid w:val="00CD740C"/>
    <w:rsid w:val="00CE1BE6"/>
    <w:rsid w:val="00CE36B8"/>
    <w:rsid w:val="00CE4D5D"/>
    <w:rsid w:val="00CE6E37"/>
    <w:rsid w:val="00CE7334"/>
    <w:rsid w:val="00CF161B"/>
    <w:rsid w:val="00CF4907"/>
    <w:rsid w:val="00CF7BA7"/>
    <w:rsid w:val="00D00EA8"/>
    <w:rsid w:val="00D01135"/>
    <w:rsid w:val="00D015C5"/>
    <w:rsid w:val="00D03455"/>
    <w:rsid w:val="00D05BF5"/>
    <w:rsid w:val="00D0705D"/>
    <w:rsid w:val="00D10173"/>
    <w:rsid w:val="00D14C73"/>
    <w:rsid w:val="00D17DFC"/>
    <w:rsid w:val="00D23BBE"/>
    <w:rsid w:val="00D27AF2"/>
    <w:rsid w:val="00D27DC8"/>
    <w:rsid w:val="00D32D8D"/>
    <w:rsid w:val="00D33266"/>
    <w:rsid w:val="00D33644"/>
    <w:rsid w:val="00D413DB"/>
    <w:rsid w:val="00D41D85"/>
    <w:rsid w:val="00D41E86"/>
    <w:rsid w:val="00D4220E"/>
    <w:rsid w:val="00D42316"/>
    <w:rsid w:val="00D427FC"/>
    <w:rsid w:val="00D44D3A"/>
    <w:rsid w:val="00D44F9B"/>
    <w:rsid w:val="00D45885"/>
    <w:rsid w:val="00D45961"/>
    <w:rsid w:val="00D45983"/>
    <w:rsid w:val="00D459BF"/>
    <w:rsid w:val="00D47231"/>
    <w:rsid w:val="00D47A53"/>
    <w:rsid w:val="00D52E6E"/>
    <w:rsid w:val="00D54B02"/>
    <w:rsid w:val="00D54B69"/>
    <w:rsid w:val="00D554CB"/>
    <w:rsid w:val="00D564B6"/>
    <w:rsid w:val="00D60680"/>
    <w:rsid w:val="00D61B4E"/>
    <w:rsid w:val="00D70BB3"/>
    <w:rsid w:val="00D726C9"/>
    <w:rsid w:val="00D740C4"/>
    <w:rsid w:val="00D77B55"/>
    <w:rsid w:val="00D77F22"/>
    <w:rsid w:val="00D800EA"/>
    <w:rsid w:val="00D83991"/>
    <w:rsid w:val="00D83A75"/>
    <w:rsid w:val="00D848FF"/>
    <w:rsid w:val="00D86515"/>
    <w:rsid w:val="00D9107E"/>
    <w:rsid w:val="00D92DBF"/>
    <w:rsid w:val="00D942F0"/>
    <w:rsid w:val="00D95DA1"/>
    <w:rsid w:val="00D9704A"/>
    <w:rsid w:val="00DA2837"/>
    <w:rsid w:val="00DA2C69"/>
    <w:rsid w:val="00DA3DE8"/>
    <w:rsid w:val="00DA4A1F"/>
    <w:rsid w:val="00DB0341"/>
    <w:rsid w:val="00DB1144"/>
    <w:rsid w:val="00DB1A6E"/>
    <w:rsid w:val="00DB3373"/>
    <w:rsid w:val="00DB3ACE"/>
    <w:rsid w:val="00DB4415"/>
    <w:rsid w:val="00DB5555"/>
    <w:rsid w:val="00DB662D"/>
    <w:rsid w:val="00DB6793"/>
    <w:rsid w:val="00DC4310"/>
    <w:rsid w:val="00DC69A7"/>
    <w:rsid w:val="00DC7E56"/>
    <w:rsid w:val="00DD027C"/>
    <w:rsid w:val="00DD07D3"/>
    <w:rsid w:val="00DD19A1"/>
    <w:rsid w:val="00DD2557"/>
    <w:rsid w:val="00DE0934"/>
    <w:rsid w:val="00DE105F"/>
    <w:rsid w:val="00DE658A"/>
    <w:rsid w:val="00DE6720"/>
    <w:rsid w:val="00DF0BEC"/>
    <w:rsid w:val="00DF47DD"/>
    <w:rsid w:val="00DF6599"/>
    <w:rsid w:val="00DF73FE"/>
    <w:rsid w:val="00DF7AC0"/>
    <w:rsid w:val="00E01478"/>
    <w:rsid w:val="00E01655"/>
    <w:rsid w:val="00E01E5D"/>
    <w:rsid w:val="00E04274"/>
    <w:rsid w:val="00E11DC5"/>
    <w:rsid w:val="00E12295"/>
    <w:rsid w:val="00E20C05"/>
    <w:rsid w:val="00E22B62"/>
    <w:rsid w:val="00E2632C"/>
    <w:rsid w:val="00E31C4A"/>
    <w:rsid w:val="00E3239D"/>
    <w:rsid w:val="00E36577"/>
    <w:rsid w:val="00E36CEA"/>
    <w:rsid w:val="00E377AB"/>
    <w:rsid w:val="00E40AE7"/>
    <w:rsid w:val="00E40B90"/>
    <w:rsid w:val="00E41741"/>
    <w:rsid w:val="00E42612"/>
    <w:rsid w:val="00E53A1D"/>
    <w:rsid w:val="00E560DE"/>
    <w:rsid w:val="00E56786"/>
    <w:rsid w:val="00E63C72"/>
    <w:rsid w:val="00E66114"/>
    <w:rsid w:val="00E67CC2"/>
    <w:rsid w:val="00E71040"/>
    <w:rsid w:val="00E720E0"/>
    <w:rsid w:val="00E735DF"/>
    <w:rsid w:val="00E77782"/>
    <w:rsid w:val="00E77DC4"/>
    <w:rsid w:val="00E84161"/>
    <w:rsid w:val="00E854ED"/>
    <w:rsid w:val="00E8595D"/>
    <w:rsid w:val="00E94946"/>
    <w:rsid w:val="00E957DC"/>
    <w:rsid w:val="00E96F22"/>
    <w:rsid w:val="00EA2BEB"/>
    <w:rsid w:val="00EA35ED"/>
    <w:rsid w:val="00EA4BB3"/>
    <w:rsid w:val="00EA7259"/>
    <w:rsid w:val="00EA7F9E"/>
    <w:rsid w:val="00EB1926"/>
    <w:rsid w:val="00EB2560"/>
    <w:rsid w:val="00EB44D6"/>
    <w:rsid w:val="00EB5268"/>
    <w:rsid w:val="00EB5CE9"/>
    <w:rsid w:val="00EB69EC"/>
    <w:rsid w:val="00EB7D02"/>
    <w:rsid w:val="00EC0D33"/>
    <w:rsid w:val="00EC243C"/>
    <w:rsid w:val="00EC2654"/>
    <w:rsid w:val="00EC3D5E"/>
    <w:rsid w:val="00EC5C8F"/>
    <w:rsid w:val="00EC7F43"/>
    <w:rsid w:val="00ED082C"/>
    <w:rsid w:val="00ED3252"/>
    <w:rsid w:val="00ED625C"/>
    <w:rsid w:val="00EE1A96"/>
    <w:rsid w:val="00EE3359"/>
    <w:rsid w:val="00EE6CEB"/>
    <w:rsid w:val="00EF2329"/>
    <w:rsid w:val="00EF3750"/>
    <w:rsid w:val="00EF3AD0"/>
    <w:rsid w:val="00EF51D9"/>
    <w:rsid w:val="00EF6670"/>
    <w:rsid w:val="00EF7867"/>
    <w:rsid w:val="00F007F5"/>
    <w:rsid w:val="00F034DE"/>
    <w:rsid w:val="00F050C5"/>
    <w:rsid w:val="00F105BB"/>
    <w:rsid w:val="00F11D13"/>
    <w:rsid w:val="00F15BC0"/>
    <w:rsid w:val="00F22E11"/>
    <w:rsid w:val="00F245AA"/>
    <w:rsid w:val="00F32201"/>
    <w:rsid w:val="00F346F0"/>
    <w:rsid w:val="00F34780"/>
    <w:rsid w:val="00F42462"/>
    <w:rsid w:val="00F42C07"/>
    <w:rsid w:val="00F43025"/>
    <w:rsid w:val="00F43CA0"/>
    <w:rsid w:val="00F45F12"/>
    <w:rsid w:val="00F474C1"/>
    <w:rsid w:val="00F479AC"/>
    <w:rsid w:val="00F47AC0"/>
    <w:rsid w:val="00F50C5F"/>
    <w:rsid w:val="00F537E6"/>
    <w:rsid w:val="00F54C72"/>
    <w:rsid w:val="00F5586D"/>
    <w:rsid w:val="00F56F36"/>
    <w:rsid w:val="00F579C1"/>
    <w:rsid w:val="00F605C6"/>
    <w:rsid w:val="00F61705"/>
    <w:rsid w:val="00F75A94"/>
    <w:rsid w:val="00F7643C"/>
    <w:rsid w:val="00F76B89"/>
    <w:rsid w:val="00F866DF"/>
    <w:rsid w:val="00F875C5"/>
    <w:rsid w:val="00F87BB1"/>
    <w:rsid w:val="00F91449"/>
    <w:rsid w:val="00F91525"/>
    <w:rsid w:val="00F93A2D"/>
    <w:rsid w:val="00F945F2"/>
    <w:rsid w:val="00F9606C"/>
    <w:rsid w:val="00F96E1E"/>
    <w:rsid w:val="00F973C9"/>
    <w:rsid w:val="00FA017F"/>
    <w:rsid w:val="00FA0B81"/>
    <w:rsid w:val="00FA5652"/>
    <w:rsid w:val="00FA614A"/>
    <w:rsid w:val="00FA66DE"/>
    <w:rsid w:val="00FB1DF1"/>
    <w:rsid w:val="00FB2DEF"/>
    <w:rsid w:val="00FB4149"/>
    <w:rsid w:val="00FB57F6"/>
    <w:rsid w:val="00FB7D78"/>
    <w:rsid w:val="00FC429A"/>
    <w:rsid w:val="00FC451B"/>
    <w:rsid w:val="00FC4EB6"/>
    <w:rsid w:val="00FC52B0"/>
    <w:rsid w:val="00FC69D4"/>
    <w:rsid w:val="00FD1348"/>
    <w:rsid w:val="00FD1F97"/>
    <w:rsid w:val="00FD4B23"/>
    <w:rsid w:val="00FD7C3B"/>
    <w:rsid w:val="00FE15C5"/>
    <w:rsid w:val="00FE1DB5"/>
    <w:rsid w:val="00FE1F54"/>
    <w:rsid w:val="00FE5BA5"/>
    <w:rsid w:val="00FE7174"/>
    <w:rsid w:val="00FF018C"/>
    <w:rsid w:val="00FF0713"/>
    <w:rsid w:val="00FF10E6"/>
    <w:rsid w:val="00FF1DC6"/>
    <w:rsid w:val="00FF6F97"/>
    <w:rsid w:val="00FF7089"/>
    <w:rsid w:val="02572AE5"/>
    <w:rsid w:val="0F4A0BD8"/>
    <w:rsid w:val="1DC106F3"/>
    <w:rsid w:val="3A2A1B78"/>
    <w:rsid w:val="3AC577F8"/>
    <w:rsid w:val="3E1931F4"/>
    <w:rsid w:val="3F724CE6"/>
    <w:rsid w:val="4E0C1ED3"/>
    <w:rsid w:val="517E0914"/>
    <w:rsid w:val="70344EA3"/>
    <w:rsid w:val="71C852BA"/>
    <w:rsid w:val="71F750E7"/>
    <w:rsid w:val="7DDF5E0F"/>
    <w:rsid w:val="7FBD0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_GB2312" w:cs="Times New Roman"/>
      <w:kern w:val="2"/>
      <w:sz w:val="24"/>
      <w:szCs w:val="24"/>
      <w:lang w:val="en-US" w:eastAsia="zh-CN" w:bidi="ar-SA"/>
    </w:rPr>
  </w:style>
  <w:style w:type="paragraph" w:styleId="2">
    <w:name w:val="heading 1"/>
    <w:basedOn w:val="1"/>
    <w:next w:val="1"/>
    <w:qFormat/>
    <w:uiPriority w:val="0"/>
    <w:pPr>
      <w:keepNext/>
      <w:keepLines/>
      <w:ind w:firstLine="0" w:firstLineChars="0"/>
      <w:jc w:val="left"/>
      <w:outlineLvl w:val="0"/>
    </w:pPr>
    <w:rPr>
      <w:b/>
      <w:bCs/>
      <w:kern w:val="44"/>
      <w:sz w:val="28"/>
      <w:szCs w:val="44"/>
    </w:rPr>
  </w:style>
  <w:style w:type="paragraph" w:styleId="3">
    <w:name w:val="heading 2"/>
    <w:basedOn w:val="1"/>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ind w:firstLine="0" w:firstLineChars="0"/>
      <w:jc w:val="left"/>
      <w:outlineLvl w:val="2"/>
    </w:pPr>
    <w:rPr>
      <w:b/>
      <w:bCs/>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39"/>
    <w:pPr>
      <w:ind w:left="1800"/>
      <w:jc w:val="left"/>
    </w:pPr>
    <w:rPr>
      <w:sz w:val="18"/>
      <w:szCs w:val="18"/>
    </w:rPr>
  </w:style>
  <w:style w:type="paragraph" w:styleId="6">
    <w:name w:val="Document Map"/>
    <w:basedOn w:val="1"/>
    <w:link w:val="35"/>
    <w:unhideWhenUsed/>
    <w:qFormat/>
    <w:uiPriority w:val="99"/>
    <w:rPr>
      <w:rFonts w:ascii="宋体" w:eastAsia="宋体"/>
      <w:sz w:val="18"/>
      <w:szCs w:val="18"/>
    </w:rPr>
  </w:style>
  <w:style w:type="paragraph" w:styleId="7">
    <w:name w:val="annotation text"/>
    <w:basedOn w:val="1"/>
    <w:link w:val="32"/>
    <w:unhideWhenUsed/>
    <w:qFormat/>
    <w:uiPriority w:val="99"/>
    <w:pPr>
      <w:jc w:val="left"/>
    </w:pPr>
  </w:style>
  <w:style w:type="paragraph" w:styleId="8">
    <w:name w:val="toc 5"/>
    <w:basedOn w:val="1"/>
    <w:next w:val="1"/>
    <w:qFormat/>
    <w:uiPriority w:val="39"/>
    <w:pPr>
      <w:ind w:left="1200"/>
      <w:jc w:val="left"/>
    </w:pPr>
    <w:rPr>
      <w:sz w:val="18"/>
      <w:szCs w:val="18"/>
    </w:rPr>
  </w:style>
  <w:style w:type="paragraph" w:styleId="9">
    <w:name w:val="toc 3"/>
    <w:basedOn w:val="1"/>
    <w:next w:val="1"/>
    <w:qFormat/>
    <w:uiPriority w:val="39"/>
    <w:pPr>
      <w:spacing w:line="300" w:lineRule="exact"/>
      <w:ind w:left="567"/>
      <w:jc w:val="left"/>
    </w:pPr>
    <w:rPr>
      <w:iCs/>
      <w:sz w:val="28"/>
      <w:szCs w:val="20"/>
    </w:rPr>
  </w:style>
  <w:style w:type="paragraph" w:styleId="10">
    <w:name w:val="toc 8"/>
    <w:basedOn w:val="1"/>
    <w:next w:val="1"/>
    <w:qFormat/>
    <w:uiPriority w:val="39"/>
    <w:pPr>
      <w:ind w:left="2100"/>
      <w:jc w:val="left"/>
    </w:pPr>
    <w:rPr>
      <w:sz w:val="18"/>
      <w:szCs w:val="18"/>
    </w:rPr>
  </w:style>
  <w:style w:type="paragraph" w:styleId="11">
    <w:name w:val="Date"/>
    <w:basedOn w:val="1"/>
    <w:next w:val="1"/>
    <w:qFormat/>
    <w:uiPriority w:val="0"/>
    <w:pPr>
      <w:ind w:left="100" w:leftChars="2500"/>
    </w:pPr>
    <w:rPr>
      <w:rFonts w:eastAsia="宋体"/>
      <w:sz w:val="21"/>
    </w:rPr>
  </w:style>
  <w:style w:type="paragraph" w:styleId="12">
    <w:name w:val="Balloon Text"/>
    <w:basedOn w:val="1"/>
    <w:link w:val="29"/>
    <w:qFormat/>
    <w:uiPriority w:val="0"/>
    <w:rPr>
      <w:sz w:val="18"/>
      <w:szCs w:val="18"/>
    </w:rPr>
  </w:style>
  <w:style w:type="paragraph" w:styleId="13">
    <w:name w:val="footer"/>
    <w:basedOn w:val="1"/>
    <w:link w:val="30"/>
    <w:qFormat/>
    <w:uiPriority w:val="99"/>
    <w:pPr>
      <w:tabs>
        <w:tab w:val="center" w:pos="4153"/>
        <w:tab w:val="right" w:pos="8306"/>
      </w:tabs>
      <w:snapToGrid w:val="0"/>
      <w:jc w:val="left"/>
    </w:pPr>
    <w:rPr>
      <w:sz w:val="18"/>
      <w:szCs w:val="18"/>
    </w:rPr>
  </w:style>
  <w:style w:type="paragraph" w:styleId="14">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spacing w:before="120" w:after="120"/>
      <w:jc w:val="left"/>
    </w:pPr>
    <w:rPr>
      <w:b/>
      <w:bCs/>
      <w:caps/>
      <w:sz w:val="28"/>
      <w:szCs w:val="20"/>
    </w:rPr>
  </w:style>
  <w:style w:type="paragraph" w:styleId="16">
    <w:name w:val="toc 4"/>
    <w:basedOn w:val="1"/>
    <w:next w:val="1"/>
    <w:qFormat/>
    <w:uiPriority w:val="39"/>
    <w:pPr>
      <w:tabs>
        <w:tab w:val="right" w:leader="dot" w:pos="8693"/>
      </w:tabs>
      <w:spacing w:line="300" w:lineRule="exact"/>
      <w:ind w:left="902"/>
      <w:jc w:val="left"/>
    </w:pPr>
    <w:rPr>
      <w:sz w:val="28"/>
      <w:szCs w:val="18"/>
    </w:rPr>
  </w:style>
  <w:style w:type="paragraph" w:styleId="17">
    <w:name w:val="toc 6"/>
    <w:basedOn w:val="1"/>
    <w:next w:val="1"/>
    <w:qFormat/>
    <w:uiPriority w:val="39"/>
    <w:pPr>
      <w:ind w:left="1500"/>
      <w:jc w:val="left"/>
    </w:pPr>
    <w:rPr>
      <w:sz w:val="18"/>
      <w:szCs w:val="18"/>
    </w:rPr>
  </w:style>
  <w:style w:type="paragraph" w:styleId="18">
    <w:name w:val="toc 2"/>
    <w:basedOn w:val="1"/>
    <w:next w:val="1"/>
    <w:qFormat/>
    <w:uiPriority w:val="39"/>
    <w:pPr>
      <w:spacing w:line="300" w:lineRule="exact"/>
      <w:jc w:val="left"/>
    </w:pPr>
    <w:rPr>
      <w:smallCaps/>
      <w:sz w:val="28"/>
      <w:szCs w:val="20"/>
    </w:rPr>
  </w:style>
  <w:style w:type="paragraph" w:styleId="19">
    <w:name w:val="toc 9"/>
    <w:basedOn w:val="1"/>
    <w:next w:val="1"/>
    <w:qFormat/>
    <w:uiPriority w:val="39"/>
    <w:pPr>
      <w:ind w:left="2400"/>
      <w:jc w:val="left"/>
    </w:pPr>
    <w:rPr>
      <w:sz w:val="18"/>
      <w:szCs w:val="18"/>
    </w:rPr>
  </w:style>
  <w:style w:type="paragraph" w:styleId="20">
    <w:name w:val="Title"/>
    <w:basedOn w:val="1"/>
    <w:next w:val="1"/>
    <w:link w:val="28"/>
    <w:qFormat/>
    <w:uiPriority w:val="10"/>
    <w:pPr>
      <w:jc w:val="left"/>
      <w:outlineLvl w:val="3"/>
    </w:pPr>
    <w:rPr>
      <w:rFonts w:ascii="Cambria" w:hAnsi="Cambria"/>
      <w:bCs/>
      <w:szCs w:val="32"/>
    </w:rPr>
  </w:style>
  <w:style w:type="paragraph" w:styleId="21">
    <w:name w:val="annotation subject"/>
    <w:basedOn w:val="7"/>
    <w:next w:val="7"/>
    <w:link w:val="34"/>
    <w:unhideWhenUsed/>
    <w:qFormat/>
    <w:uiPriority w:val="99"/>
    <w:rPr>
      <w:b/>
      <w:bCs/>
    </w:rPr>
  </w:style>
  <w:style w:type="table" w:styleId="23">
    <w:name w:val="Table Grid"/>
    <w:basedOn w:val="22"/>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basedOn w:val="24"/>
    <w:unhideWhenUsed/>
    <w:qFormat/>
    <w:uiPriority w:val="99"/>
    <w:rPr>
      <w:sz w:val="21"/>
      <w:szCs w:val="21"/>
    </w:rPr>
  </w:style>
  <w:style w:type="character" w:customStyle="1" w:styleId="28">
    <w:name w:val="标题 Char"/>
    <w:basedOn w:val="24"/>
    <w:link w:val="20"/>
    <w:qFormat/>
    <w:uiPriority w:val="10"/>
    <w:rPr>
      <w:rFonts w:ascii="Cambria" w:hAnsi="Cambria" w:eastAsia="仿宋_GB2312" w:cs="Times New Roman"/>
      <w:bCs/>
      <w:kern w:val="2"/>
      <w:sz w:val="24"/>
      <w:szCs w:val="32"/>
    </w:rPr>
  </w:style>
  <w:style w:type="character" w:customStyle="1" w:styleId="29">
    <w:name w:val="批注框文本 Char"/>
    <w:link w:val="12"/>
    <w:qFormat/>
    <w:uiPriority w:val="0"/>
    <w:rPr>
      <w:rFonts w:eastAsia="仿宋_GB2312"/>
      <w:kern w:val="2"/>
      <w:sz w:val="18"/>
      <w:szCs w:val="18"/>
    </w:rPr>
  </w:style>
  <w:style w:type="character" w:customStyle="1" w:styleId="30">
    <w:name w:val="页脚 Char"/>
    <w:link w:val="13"/>
    <w:qFormat/>
    <w:uiPriority w:val="99"/>
    <w:rPr>
      <w:rFonts w:eastAsia="仿宋_GB2312"/>
      <w:kern w:val="2"/>
      <w:sz w:val="18"/>
      <w:szCs w:val="18"/>
    </w:rPr>
  </w:style>
  <w:style w:type="character" w:customStyle="1" w:styleId="31">
    <w:name w:val="apple-converted-space"/>
    <w:basedOn w:val="24"/>
    <w:qFormat/>
    <w:uiPriority w:val="0"/>
  </w:style>
  <w:style w:type="character" w:customStyle="1" w:styleId="32">
    <w:name w:val="批注文字 Char"/>
    <w:basedOn w:val="24"/>
    <w:link w:val="7"/>
    <w:semiHidden/>
    <w:qFormat/>
    <w:uiPriority w:val="99"/>
    <w:rPr>
      <w:rFonts w:eastAsia="仿宋_GB2312"/>
      <w:kern w:val="2"/>
      <w:sz w:val="24"/>
      <w:szCs w:val="24"/>
    </w:rPr>
  </w:style>
  <w:style w:type="character" w:customStyle="1" w:styleId="33">
    <w:name w:val="页眉 Char"/>
    <w:link w:val="14"/>
    <w:qFormat/>
    <w:uiPriority w:val="0"/>
    <w:rPr>
      <w:rFonts w:eastAsia="仿宋_GB2312"/>
      <w:kern w:val="2"/>
      <w:sz w:val="18"/>
      <w:szCs w:val="18"/>
    </w:rPr>
  </w:style>
  <w:style w:type="character" w:customStyle="1" w:styleId="34">
    <w:name w:val="批注主题 Char"/>
    <w:basedOn w:val="32"/>
    <w:link w:val="21"/>
    <w:semiHidden/>
    <w:qFormat/>
    <w:uiPriority w:val="99"/>
    <w:rPr>
      <w:rFonts w:eastAsia="仿宋_GB2312"/>
      <w:b/>
      <w:bCs/>
      <w:kern w:val="2"/>
      <w:sz w:val="24"/>
      <w:szCs w:val="24"/>
    </w:rPr>
  </w:style>
  <w:style w:type="character" w:customStyle="1" w:styleId="35">
    <w:name w:val="文档结构图 Char"/>
    <w:basedOn w:val="24"/>
    <w:link w:val="6"/>
    <w:semiHidden/>
    <w:qFormat/>
    <w:uiPriority w:val="99"/>
    <w:rPr>
      <w:rFonts w:ascii="宋体"/>
      <w:kern w:val="2"/>
      <w:sz w:val="18"/>
      <w:szCs w:val="18"/>
    </w:rPr>
  </w:style>
  <w:style w:type="paragraph" w:customStyle="1" w:styleId="36">
    <w:name w:val="_Style 1"/>
    <w:basedOn w:val="1"/>
    <w:qFormat/>
    <w:uiPriority w:val="0"/>
    <w:rPr>
      <w:rFonts w:eastAsia="宋体"/>
      <w:sz w:val="21"/>
    </w:rPr>
  </w:style>
  <w:style w:type="paragraph" w:styleId="37">
    <w:name w:val="No Spacing"/>
    <w:qFormat/>
    <w:uiPriority w:val="1"/>
    <w:pPr>
      <w:widowControl w:val="0"/>
      <w:spacing w:line="360" w:lineRule="auto"/>
      <w:ind w:firstLine="200" w:firstLineChars="200"/>
      <w:outlineLvl w:val="2"/>
    </w:pPr>
    <w:rPr>
      <w:rFonts w:ascii="Times New Roman" w:hAnsi="Times New Roman" w:eastAsia="仿宋_GB2312" w:cs="Times New Roman"/>
      <w:kern w:val="2"/>
      <w:sz w:val="24"/>
      <w:szCs w:val="24"/>
      <w:lang w:val="en-US" w:eastAsia="zh-CN" w:bidi="ar-SA"/>
    </w:rPr>
  </w:style>
  <w:style w:type="paragraph" w:customStyle="1" w:styleId="38">
    <w:name w:val="TOC Heading"/>
    <w:basedOn w:val="2"/>
    <w:next w:val="1"/>
    <w:qFormat/>
    <w:uiPriority w:val="39"/>
    <w:pPr>
      <w:widowControl/>
      <w:spacing w:before="480" w:line="276" w:lineRule="auto"/>
      <w:outlineLvl w:val="9"/>
    </w:pPr>
    <w:rPr>
      <w:rFonts w:ascii="Cambria" w:hAnsi="Cambria" w:eastAsia="宋体"/>
      <w:color w:val="365F91"/>
      <w:kern w:val="0"/>
      <w:szCs w:val="28"/>
    </w:rPr>
  </w:style>
  <w:style w:type="paragraph" w:customStyle="1" w:styleId="39">
    <w:name w:val="列出段落1"/>
    <w:basedOn w:val="1"/>
    <w:qFormat/>
    <w:uiPriority w:val="34"/>
    <w:pPr>
      <w:ind w:firstLine="420"/>
    </w:pPr>
  </w:style>
  <w:style w:type="paragraph" w:styleId="40">
    <w:name w:val="List Paragraph"/>
    <w:basedOn w:val="1"/>
    <w:qFormat/>
    <w:uiPriority w:val="34"/>
    <w:pPr>
      <w:ind w:firstLine="420"/>
    </w:pPr>
  </w:style>
  <w:style w:type="paragraph" w:customStyle="1" w:styleId="41">
    <w:name w:val="Revision"/>
    <w:semiHidden/>
    <w:qFormat/>
    <w:uiPriority w:val="99"/>
    <w:rPr>
      <w:rFonts w:ascii="Times New Roman" w:hAnsi="Times New Roman" w:eastAsia="仿宋_GB2312" w:cs="Times New Roman"/>
      <w:kern w:val="2"/>
      <w:sz w:val="24"/>
      <w:szCs w:val="24"/>
      <w:lang w:val="en-US" w:eastAsia="zh-CN" w:bidi="ar-SA"/>
    </w:rPr>
  </w:style>
  <w:style w:type="character" w:customStyle="1" w:styleId="42">
    <w:name w:val="标题 2 Char"/>
    <w:basedOn w:val="24"/>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7964</Words>
  <Characters>8305</Characters>
  <Lines>72</Lines>
  <Paragraphs>20</Paragraphs>
  <TotalTime>3</TotalTime>
  <ScaleCrop>false</ScaleCrop>
  <LinksUpToDate>false</LinksUpToDate>
  <CharactersWithSpaces>8355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2017-03-14T02:32:00Z</dcterms:created>
  <dc:creator>lhn</dc:creator>
  <cp:lastModifiedBy>Administrator</cp:lastModifiedBy>
  <cp:lastPrinted>2015-12-10T09:13:00Z</cp:lastPrinted>
  <dcterms:modified xsi:type="dcterms:W3CDTF">2025-02-12T08:15:34Z</dcterms:modified>
  <dc:title>财政支出绩效评价报告</dc:title>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636C31B3CC9F409799F755AA7E934FEA_12</vt:lpwstr>
  </property>
  <property fmtid="{D5CDD505-2E9C-101B-9397-08002B2CF9AE}" pid="4" name="KSOTemplateDocerSaveRecord">
    <vt:lpwstr>eyJoZGlkIjoiYjhjNmVhOTU5ODM3OWQ1M2MxMjk1OGZlZmIyMzhkOWYifQ==</vt:lpwstr>
  </property>
</Properties>
</file>