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CFD7581">
      <w:pPr>
        <w:ind w:firstLine="883"/>
        <w:jc w:val="center"/>
        <w:rPr>
          <w:rFonts w:ascii="宋体" w:hAnsi="宋体" w:eastAsia="宋体"/>
          <w:b/>
          <w:color w:val="000000"/>
          <w:sz w:val="44"/>
          <w:szCs w:val="44"/>
        </w:rPr>
      </w:pPr>
    </w:p>
    <w:p w14:paraId="389EA738">
      <w:pPr>
        <w:ind w:firstLine="883"/>
        <w:jc w:val="center"/>
        <w:rPr>
          <w:rFonts w:ascii="宋体" w:hAnsi="宋体" w:eastAsia="宋体"/>
          <w:b/>
          <w:color w:val="000000"/>
          <w:sz w:val="44"/>
          <w:szCs w:val="44"/>
        </w:rPr>
      </w:pPr>
    </w:p>
    <w:p w14:paraId="733FDA5E">
      <w:pPr>
        <w:ind w:firstLine="0" w:firstLineChars="0"/>
        <w:jc w:val="center"/>
        <w:rPr>
          <w:rFonts w:ascii="仿宋" w:hAnsi="仿宋" w:eastAsia="仿宋"/>
          <w:b/>
          <w:bCs/>
          <w:color w:val="000000"/>
          <w:sz w:val="44"/>
          <w:szCs w:val="44"/>
        </w:rPr>
      </w:pPr>
      <w:r>
        <w:rPr>
          <w:rFonts w:hint="eastAsia" w:ascii="仿宋" w:hAnsi="仿宋" w:eastAsia="仿宋"/>
          <w:b/>
          <w:color w:val="000000"/>
          <w:sz w:val="44"/>
          <w:szCs w:val="44"/>
        </w:rPr>
        <w:t>武汉经济技术开发区智慧生态城管理办公室</w:t>
      </w:r>
      <w:r>
        <w:rPr>
          <w:rFonts w:hint="eastAsia" w:ascii="仿宋" w:hAnsi="仿宋" w:eastAsia="仿宋"/>
          <w:b/>
          <w:bCs/>
          <w:color w:val="000000"/>
          <w:sz w:val="44"/>
          <w:szCs w:val="44"/>
        </w:rPr>
        <w:t>办公室运行经费</w:t>
      </w:r>
    </w:p>
    <w:p w14:paraId="73D19C4C">
      <w:pPr>
        <w:ind w:firstLine="0" w:firstLineChars="0"/>
        <w:jc w:val="center"/>
        <w:rPr>
          <w:rFonts w:ascii="仿宋" w:hAnsi="仿宋" w:eastAsia="仿宋"/>
          <w:b/>
          <w:bCs/>
          <w:color w:val="000000"/>
          <w:sz w:val="44"/>
          <w:szCs w:val="44"/>
        </w:rPr>
      </w:pPr>
      <w:r>
        <w:rPr>
          <w:rFonts w:hint="eastAsia" w:ascii="仿宋" w:hAnsi="仿宋" w:eastAsia="仿宋"/>
          <w:b/>
          <w:bCs/>
          <w:color w:val="000000"/>
          <w:sz w:val="44"/>
          <w:szCs w:val="44"/>
        </w:rPr>
        <w:t>2018年度绩效评价报告</w:t>
      </w:r>
    </w:p>
    <w:p w14:paraId="7BD3BCBD">
      <w:pPr>
        <w:ind w:firstLine="480"/>
      </w:pPr>
    </w:p>
    <w:p w14:paraId="62F5BD40">
      <w:pPr>
        <w:ind w:firstLine="480"/>
      </w:pPr>
    </w:p>
    <w:p w14:paraId="3C03A0DA">
      <w:pPr>
        <w:ind w:firstLine="480"/>
      </w:pPr>
    </w:p>
    <w:p w14:paraId="23D2FBD9">
      <w:pPr>
        <w:widowControl/>
        <w:spacing w:line="800" w:lineRule="exact"/>
        <w:ind w:firstLine="790" w:firstLineChars="246"/>
        <w:jc w:val="left"/>
        <w:rPr>
          <w:b/>
          <w:bCs/>
          <w:kern w:val="32"/>
          <w:sz w:val="32"/>
          <w:lang w:bidi="he-IL"/>
        </w:rPr>
      </w:pPr>
    </w:p>
    <w:p w14:paraId="5569EAD6">
      <w:pPr>
        <w:widowControl/>
        <w:spacing w:line="800" w:lineRule="exact"/>
        <w:ind w:firstLine="790" w:firstLineChars="246"/>
        <w:jc w:val="left"/>
        <w:rPr>
          <w:b/>
          <w:bCs/>
          <w:kern w:val="32"/>
          <w:sz w:val="32"/>
          <w:lang w:bidi="he-IL"/>
        </w:rPr>
      </w:pPr>
    </w:p>
    <w:p w14:paraId="31DD1DC1">
      <w:pPr>
        <w:widowControl/>
        <w:spacing w:line="480" w:lineRule="auto"/>
        <w:ind w:right="-192" w:rightChars="-80" w:firstLine="790" w:firstLineChars="246"/>
        <w:jc w:val="left"/>
        <w:rPr>
          <w:b/>
          <w:bCs/>
          <w:sz w:val="32"/>
          <w:szCs w:val="32"/>
        </w:rPr>
      </w:pPr>
      <w:r>
        <w:rPr>
          <w:b/>
          <w:bCs/>
          <w:kern w:val="32"/>
          <w:sz w:val="32"/>
          <w:lang w:bidi="he-IL"/>
        </w:rPr>
        <w:t>项目名称：</w:t>
      </w:r>
      <w:r>
        <w:rPr>
          <w:rFonts w:hint="eastAsia"/>
          <w:b/>
          <w:bCs/>
          <w:sz w:val="32"/>
          <w:szCs w:val="32"/>
        </w:rPr>
        <w:t>办公室运行经费</w:t>
      </w:r>
    </w:p>
    <w:p w14:paraId="7BAC5DFC">
      <w:pPr>
        <w:widowControl/>
        <w:spacing w:line="480" w:lineRule="auto"/>
        <w:ind w:right="-192" w:rightChars="-80" w:firstLine="790" w:firstLineChars="246"/>
        <w:jc w:val="left"/>
        <w:rPr>
          <w:b/>
          <w:bCs/>
          <w:sz w:val="32"/>
          <w:szCs w:val="32"/>
        </w:rPr>
      </w:pPr>
      <w:r>
        <w:rPr>
          <w:b/>
          <w:bCs/>
          <w:kern w:val="32"/>
          <w:sz w:val="32"/>
          <w:lang w:bidi="he-IL"/>
        </w:rPr>
        <w:t>项目单位：</w:t>
      </w:r>
      <w:r>
        <w:rPr>
          <w:rFonts w:hint="eastAsia"/>
          <w:b/>
          <w:bCs/>
          <w:kern w:val="32"/>
          <w:sz w:val="32"/>
          <w:lang w:bidi="he-IL"/>
        </w:rPr>
        <w:t>武汉经济技术开发区智慧生态城管理办公室</w:t>
      </w:r>
    </w:p>
    <w:p w14:paraId="20E5CA6F">
      <w:pPr>
        <w:widowControl/>
        <w:spacing w:line="480" w:lineRule="auto"/>
        <w:ind w:firstLine="790" w:firstLineChars="246"/>
        <w:jc w:val="left"/>
        <w:rPr>
          <w:b/>
          <w:bCs/>
          <w:kern w:val="32"/>
          <w:sz w:val="32"/>
          <w:lang w:bidi="he-IL"/>
        </w:rPr>
      </w:pPr>
      <w:r>
        <w:rPr>
          <w:b/>
          <w:bCs/>
          <w:kern w:val="32"/>
          <w:sz w:val="32"/>
          <w:lang w:bidi="he-IL"/>
        </w:rPr>
        <w:t>主管部门：</w:t>
      </w:r>
      <w:r>
        <w:rPr>
          <w:rFonts w:hint="eastAsia"/>
          <w:b/>
          <w:bCs/>
          <w:kern w:val="32"/>
          <w:sz w:val="32"/>
          <w:lang w:bidi="he-IL"/>
        </w:rPr>
        <w:t>武汉经济技术开发区智慧生态城管理办公室</w:t>
      </w:r>
    </w:p>
    <w:p w14:paraId="62AC0D2C">
      <w:pPr>
        <w:widowControl/>
        <w:spacing w:line="480" w:lineRule="auto"/>
        <w:ind w:firstLine="790" w:firstLineChars="246"/>
        <w:jc w:val="left"/>
        <w:rPr>
          <w:b/>
          <w:bCs/>
          <w:sz w:val="32"/>
          <w:szCs w:val="32"/>
        </w:rPr>
      </w:pPr>
      <w:r>
        <w:rPr>
          <w:b/>
          <w:bCs/>
          <w:kern w:val="32"/>
          <w:sz w:val="32"/>
          <w:lang w:bidi="he-IL"/>
        </w:rPr>
        <w:t>评价机构：</w:t>
      </w:r>
      <w:r>
        <w:rPr>
          <w:rFonts w:hint="eastAsia"/>
          <w:b/>
          <w:bCs/>
          <w:sz w:val="32"/>
          <w:szCs w:val="32"/>
        </w:rPr>
        <w:t>湖北正大会计师事务有限责任公司</w:t>
      </w:r>
    </w:p>
    <w:p w14:paraId="3370A224">
      <w:pPr>
        <w:spacing w:line="800" w:lineRule="exact"/>
        <w:ind w:firstLine="0" w:firstLineChars="0"/>
        <w:rPr>
          <w:b/>
          <w:bCs/>
          <w:sz w:val="32"/>
          <w:szCs w:val="32"/>
        </w:rPr>
      </w:pPr>
    </w:p>
    <w:p w14:paraId="0795682A">
      <w:pPr>
        <w:spacing w:line="800" w:lineRule="exact"/>
        <w:ind w:firstLine="0" w:firstLineChars="0"/>
        <w:rPr>
          <w:b/>
          <w:bCs/>
          <w:sz w:val="32"/>
          <w:szCs w:val="32"/>
        </w:rPr>
      </w:pPr>
    </w:p>
    <w:p w14:paraId="42C7E7A3">
      <w:pPr>
        <w:spacing w:line="800" w:lineRule="exact"/>
        <w:ind w:firstLine="0" w:firstLineChars="0"/>
        <w:jc w:val="center"/>
        <w:rPr>
          <w:b/>
          <w:bCs/>
          <w:sz w:val="32"/>
          <w:szCs w:val="32"/>
        </w:rPr>
      </w:pPr>
      <w:r>
        <w:rPr>
          <w:b/>
          <w:bCs/>
          <w:sz w:val="32"/>
          <w:szCs w:val="32"/>
        </w:rPr>
        <w:t>二〇</w:t>
      </w:r>
      <w:r>
        <w:rPr>
          <w:rFonts w:hint="eastAsia"/>
          <w:b/>
          <w:bCs/>
          <w:sz w:val="32"/>
          <w:szCs w:val="32"/>
        </w:rPr>
        <w:t>一九</w:t>
      </w:r>
      <w:r>
        <w:rPr>
          <w:b/>
          <w:bCs/>
          <w:sz w:val="32"/>
          <w:szCs w:val="32"/>
        </w:rPr>
        <w:t>年</w:t>
      </w:r>
      <w:r>
        <w:rPr>
          <w:rFonts w:hint="eastAsia"/>
          <w:b/>
          <w:bCs/>
          <w:sz w:val="32"/>
          <w:szCs w:val="32"/>
        </w:rPr>
        <w:t>七</w:t>
      </w:r>
      <w:r>
        <w:rPr>
          <w:b/>
          <w:bCs/>
          <w:sz w:val="32"/>
          <w:szCs w:val="32"/>
        </w:rPr>
        <w:t>月</w:t>
      </w:r>
    </w:p>
    <w:p w14:paraId="7EF955B4">
      <w:pPr>
        <w:widowControl/>
        <w:spacing w:line="240" w:lineRule="auto"/>
        <w:ind w:firstLine="0" w:firstLineChars="0"/>
        <w:jc w:val="left"/>
        <w:rPr>
          <w:rFonts w:ascii="Arial Narrow" w:hAnsi="Arial Narrow" w:cs="Arial Narrow"/>
          <w:b/>
          <w:sz w:val="32"/>
          <w:szCs w:val="32"/>
        </w:rPr>
      </w:pPr>
      <w:r>
        <w:rPr>
          <w:rFonts w:ascii="Arial Narrow" w:hAnsi="Arial Narrow" w:cs="Arial Narrow"/>
          <w:b/>
          <w:sz w:val="32"/>
          <w:szCs w:val="32"/>
        </w:rPr>
        <w:br w:type="page"/>
      </w:r>
    </w:p>
    <w:sdt>
      <w:sdtPr>
        <w:rPr>
          <w:rFonts w:ascii="Times New Roman" w:hAnsi="Times New Roman" w:eastAsia="仿宋_GB2312"/>
          <w:b w:val="0"/>
          <w:bCs w:val="0"/>
          <w:color w:val="auto"/>
          <w:kern w:val="2"/>
          <w:sz w:val="24"/>
          <w:szCs w:val="24"/>
          <w:lang w:val="zh-CN"/>
        </w:rPr>
        <w:id w:val="-979298415"/>
        <w:docPartObj>
          <w:docPartGallery w:val="Table of Contents"/>
          <w:docPartUnique/>
        </w:docPartObj>
      </w:sdtPr>
      <w:sdtEndPr>
        <w:rPr>
          <w:rFonts w:ascii="Times New Roman" w:hAnsi="Times New Roman" w:eastAsia="仿宋_GB2312"/>
          <w:b w:val="0"/>
          <w:bCs w:val="0"/>
          <w:color w:val="auto"/>
          <w:kern w:val="2"/>
          <w:sz w:val="24"/>
          <w:szCs w:val="24"/>
          <w:lang w:val="zh-CN"/>
        </w:rPr>
      </w:sdtEndPr>
      <w:sdtContent>
        <w:p w14:paraId="2336E550">
          <w:pPr>
            <w:pStyle w:val="38"/>
            <w:ind w:firstLine="480"/>
            <w:jc w:val="center"/>
            <w:rPr>
              <w:rFonts w:ascii="仿宋" w:hAnsi="仿宋" w:eastAsia="仿宋"/>
              <w:color w:val="auto"/>
              <w:sz w:val="44"/>
              <w:szCs w:val="44"/>
            </w:rPr>
          </w:pPr>
          <w:r>
            <w:rPr>
              <w:rFonts w:ascii="仿宋" w:hAnsi="仿宋" w:eastAsia="仿宋"/>
              <w:color w:val="auto"/>
              <w:sz w:val="44"/>
              <w:szCs w:val="44"/>
              <w:lang w:val="zh-CN"/>
            </w:rPr>
            <w:t>目录</w:t>
          </w:r>
        </w:p>
        <w:p w14:paraId="5DC33E4A">
          <w:pPr>
            <w:pStyle w:val="15"/>
            <w:tabs>
              <w:tab w:val="right" w:leader="dot" w:pos="8693"/>
            </w:tabs>
            <w:spacing w:before="0" w:after="0" w:line="264" w:lineRule="auto"/>
            <w:ind w:firstLine="482"/>
            <w:rPr>
              <w:rFonts w:ascii="仿宋" w:hAnsi="仿宋" w:eastAsia="仿宋" w:cstheme="minorBidi"/>
              <w:bCs w:val="0"/>
              <w:caps w:val="0"/>
              <w:sz w:val="24"/>
              <w:szCs w:val="24"/>
            </w:rPr>
          </w:pPr>
          <w:r>
            <w:rPr>
              <w:rFonts w:ascii="仿宋" w:hAnsi="仿宋" w:eastAsia="仿宋"/>
              <w:sz w:val="24"/>
              <w:szCs w:val="24"/>
            </w:rPr>
            <w:fldChar w:fldCharType="begin"/>
          </w:r>
          <w:r>
            <w:rPr>
              <w:rFonts w:ascii="仿宋" w:hAnsi="仿宋" w:eastAsia="仿宋"/>
              <w:sz w:val="24"/>
              <w:szCs w:val="24"/>
            </w:rPr>
            <w:instrText xml:space="preserve"> TOC \o "1-3" \h \z \u </w:instrText>
          </w:r>
          <w:r>
            <w:rPr>
              <w:rFonts w:ascii="仿宋" w:hAnsi="仿宋" w:eastAsia="仿宋"/>
              <w:sz w:val="24"/>
              <w:szCs w:val="24"/>
            </w:rPr>
            <w:fldChar w:fldCharType="separate"/>
          </w:r>
          <w:r>
            <w:fldChar w:fldCharType="begin"/>
          </w:r>
          <w:r>
            <w:instrText xml:space="preserve"> HYPERLINK \l "_Toc15548452" </w:instrText>
          </w:r>
          <w:r>
            <w:fldChar w:fldCharType="separate"/>
          </w:r>
          <w:r>
            <w:rPr>
              <w:rStyle w:val="26"/>
              <w:rFonts w:hint="eastAsia" w:ascii="仿宋" w:hAnsi="仿宋" w:eastAsia="仿宋" w:cs="Arial Narrow"/>
              <w:sz w:val="24"/>
              <w:szCs w:val="24"/>
            </w:rPr>
            <w:t>摘</w:t>
          </w:r>
          <w:r>
            <w:rPr>
              <w:rStyle w:val="26"/>
              <w:rFonts w:ascii="仿宋" w:hAnsi="仿宋" w:eastAsia="仿宋" w:cs="Arial Narrow"/>
              <w:sz w:val="24"/>
              <w:szCs w:val="24"/>
            </w:rPr>
            <w:t xml:space="preserve">   </w:t>
          </w:r>
          <w:r>
            <w:rPr>
              <w:rStyle w:val="26"/>
              <w:rFonts w:hint="eastAsia" w:ascii="仿宋" w:hAnsi="仿宋" w:eastAsia="仿宋" w:cs="Arial Narrow"/>
              <w:sz w:val="24"/>
              <w:szCs w:val="24"/>
            </w:rPr>
            <w:t>要</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_Toc15548452 \h </w:instrText>
          </w:r>
          <w:r>
            <w:rPr>
              <w:rFonts w:ascii="仿宋" w:hAnsi="仿宋" w:eastAsia="仿宋"/>
              <w:sz w:val="24"/>
              <w:szCs w:val="24"/>
            </w:rPr>
            <w:fldChar w:fldCharType="separate"/>
          </w:r>
          <w:r>
            <w:rPr>
              <w:rFonts w:ascii="仿宋" w:hAnsi="仿宋" w:eastAsia="仿宋"/>
              <w:sz w:val="24"/>
              <w:szCs w:val="24"/>
            </w:rPr>
            <w:t>1</w:t>
          </w:r>
          <w:r>
            <w:rPr>
              <w:rFonts w:ascii="仿宋" w:hAnsi="仿宋" w:eastAsia="仿宋"/>
              <w:sz w:val="24"/>
              <w:szCs w:val="24"/>
            </w:rPr>
            <w:fldChar w:fldCharType="end"/>
          </w:r>
          <w:r>
            <w:rPr>
              <w:rFonts w:ascii="仿宋" w:hAnsi="仿宋" w:eastAsia="仿宋"/>
              <w:sz w:val="24"/>
              <w:szCs w:val="24"/>
            </w:rPr>
            <w:fldChar w:fldCharType="end"/>
          </w:r>
        </w:p>
        <w:p w14:paraId="504071C4">
          <w:pPr>
            <w:pStyle w:val="15"/>
            <w:tabs>
              <w:tab w:val="right" w:leader="dot" w:pos="8693"/>
            </w:tabs>
            <w:spacing w:before="0" w:after="0" w:line="264" w:lineRule="auto"/>
            <w:ind w:firstLine="562"/>
            <w:rPr>
              <w:rFonts w:ascii="仿宋" w:hAnsi="仿宋" w:eastAsia="仿宋" w:cstheme="minorBidi"/>
              <w:bCs w:val="0"/>
              <w:caps w:val="0"/>
              <w:sz w:val="24"/>
              <w:szCs w:val="24"/>
            </w:rPr>
          </w:pPr>
          <w:r>
            <w:fldChar w:fldCharType="begin"/>
          </w:r>
          <w:r>
            <w:instrText xml:space="preserve"> HYPERLINK \l "_Toc15548453" </w:instrText>
          </w:r>
          <w:r>
            <w:fldChar w:fldCharType="separate"/>
          </w:r>
          <w:r>
            <w:rPr>
              <w:rStyle w:val="26"/>
              <w:rFonts w:hint="eastAsia" w:ascii="仿宋" w:hAnsi="仿宋" w:eastAsia="仿宋" w:cs="Arial Narrow"/>
              <w:sz w:val="24"/>
              <w:szCs w:val="24"/>
            </w:rPr>
            <w:t>一、项目基本情况</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_Toc15548453 \h </w:instrText>
          </w:r>
          <w:r>
            <w:rPr>
              <w:rFonts w:ascii="仿宋" w:hAnsi="仿宋" w:eastAsia="仿宋"/>
              <w:sz w:val="24"/>
              <w:szCs w:val="24"/>
            </w:rPr>
            <w:fldChar w:fldCharType="separate"/>
          </w:r>
          <w:r>
            <w:rPr>
              <w:rFonts w:ascii="仿宋" w:hAnsi="仿宋" w:eastAsia="仿宋"/>
              <w:sz w:val="24"/>
              <w:szCs w:val="24"/>
            </w:rPr>
            <w:t>3</w:t>
          </w:r>
          <w:r>
            <w:rPr>
              <w:rFonts w:ascii="仿宋" w:hAnsi="仿宋" w:eastAsia="仿宋"/>
              <w:sz w:val="24"/>
              <w:szCs w:val="24"/>
            </w:rPr>
            <w:fldChar w:fldCharType="end"/>
          </w:r>
          <w:r>
            <w:rPr>
              <w:rFonts w:ascii="仿宋" w:hAnsi="仿宋" w:eastAsia="仿宋"/>
              <w:sz w:val="24"/>
              <w:szCs w:val="24"/>
            </w:rPr>
            <w:fldChar w:fldCharType="end"/>
          </w:r>
        </w:p>
        <w:p w14:paraId="4775D2D3">
          <w:pPr>
            <w:pStyle w:val="9"/>
            <w:tabs>
              <w:tab w:val="right" w:leader="dot" w:pos="8693"/>
            </w:tabs>
            <w:spacing w:line="264" w:lineRule="auto"/>
            <w:ind w:left="0" w:firstLine="560"/>
            <w:rPr>
              <w:rFonts w:ascii="仿宋" w:hAnsi="仿宋" w:eastAsia="仿宋" w:cstheme="minorBidi"/>
              <w:b/>
              <w:iCs w:val="0"/>
              <w:sz w:val="24"/>
              <w:szCs w:val="24"/>
            </w:rPr>
          </w:pPr>
          <w:r>
            <w:fldChar w:fldCharType="begin"/>
          </w:r>
          <w:r>
            <w:instrText xml:space="preserve"> HYPERLINK \l "_Toc15548454" </w:instrText>
          </w:r>
          <w:r>
            <w:fldChar w:fldCharType="separate"/>
          </w:r>
          <w:r>
            <w:rPr>
              <w:rStyle w:val="26"/>
              <w:rFonts w:hint="eastAsia" w:ascii="仿宋" w:hAnsi="仿宋" w:eastAsia="仿宋" w:cs="Arial Narrow"/>
              <w:b/>
              <w:sz w:val="24"/>
              <w:szCs w:val="24"/>
            </w:rPr>
            <w:t>（一）项目立项背景和依据</w:t>
          </w:r>
          <w:r>
            <w:rPr>
              <w:rFonts w:ascii="仿宋" w:hAnsi="仿宋" w:eastAsia="仿宋"/>
              <w:b/>
              <w:sz w:val="24"/>
              <w:szCs w:val="24"/>
            </w:rPr>
            <w:tab/>
          </w:r>
          <w:r>
            <w:rPr>
              <w:rFonts w:ascii="仿宋" w:hAnsi="仿宋" w:eastAsia="仿宋"/>
              <w:b/>
              <w:sz w:val="24"/>
              <w:szCs w:val="24"/>
            </w:rPr>
            <w:fldChar w:fldCharType="begin"/>
          </w:r>
          <w:r>
            <w:rPr>
              <w:rFonts w:ascii="仿宋" w:hAnsi="仿宋" w:eastAsia="仿宋"/>
              <w:b/>
              <w:sz w:val="24"/>
              <w:szCs w:val="24"/>
            </w:rPr>
            <w:instrText xml:space="preserve"> PAGEREF _Toc15548454 \h </w:instrText>
          </w:r>
          <w:r>
            <w:rPr>
              <w:rFonts w:ascii="仿宋" w:hAnsi="仿宋" w:eastAsia="仿宋"/>
              <w:b/>
              <w:sz w:val="24"/>
              <w:szCs w:val="24"/>
            </w:rPr>
            <w:fldChar w:fldCharType="separate"/>
          </w:r>
          <w:r>
            <w:rPr>
              <w:rFonts w:ascii="仿宋" w:hAnsi="仿宋" w:eastAsia="仿宋"/>
              <w:b/>
              <w:sz w:val="24"/>
              <w:szCs w:val="24"/>
            </w:rPr>
            <w:t>3</w:t>
          </w:r>
          <w:r>
            <w:rPr>
              <w:rFonts w:ascii="仿宋" w:hAnsi="仿宋" w:eastAsia="仿宋"/>
              <w:b/>
              <w:sz w:val="24"/>
              <w:szCs w:val="24"/>
            </w:rPr>
            <w:fldChar w:fldCharType="end"/>
          </w:r>
          <w:r>
            <w:rPr>
              <w:rFonts w:ascii="仿宋" w:hAnsi="仿宋" w:eastAsia="仿宋"/>
              <w:b/>
              <w:sz w:val="24"/>
              <w:szCs w:val="24"/>
            </w:rPr>
            <w:fldChar w:fldCharType="end"/>
          </w:r>
        </w:p>
        <w:p w14:paraId="1AFC2BFE">
          <w:pPr>
            <w:pStyle w:val="9"/>
            <w:tabs>
              <w:tab w:val="right" w:leader="dot" w:pos="8693"/>
            </w:tabs>
            <w:spacing w:line="264" w:lineRule="auto"/>
            <w:ind w:left="0" w:firstLine="560"/>
            <w:rPr>
              <w:rFonts w:ascii="仿宋" w:hAnsi="仿宋" w:eastAsia="仿宋" w:cstheme="minorBidi"/>
              <w:b/>
              <w:iCs w:val="0"/>
              <w:sz w:val="24"/>
              <w:szCs w:val="24"/>
            </w:rPr>
          </w:pPr>
          <w:r>
            <w:fldChar w:fldCharType="begin"/>
          </w:r>
          <w:r>
            <w:instrText xml:space="preserve"> HYPERLINK \l "_Toc15548455" </w:instrText>
          </w:r>
          <w:r>
            <w:fldChar w:fldCharType="separate"/>
          </w:r>
          <w:r>
            <w:rPr>
              <w:rStyle w:val="26"/>
              <w:rFonts w:hint="eastAsia" w:ascii="仿宋" w:hAnsi="仿宋" w:eastAsia="仿宋" w:cs="Arial Narrow"/>
              <w:b/>
              <w:sz w:val="24"/>
              <w:szCs w:val="24"/>
            </w:rPr>
            <w:t>（二）项目绩效目标</w:t>
          </w:r>
          <w:r>
            <w:rPr>
              <w:rFonts w:ascii="仿宋" w:hAnsi="仿宋" w:eastAsia="仿宋"/>
              <w:b/>
              <w:sz w:val="24"/>
              <w:szCs w:val="24"/>
            </w:rPr>
            <w:tab/>
          </w:r>
          <w:r>
            <w:rPr>
              <w:rFonts w:ascii="仿宋" w:hAnsi="仿宋" w:eastAsia="仿宋"/>
              <w:b/>
              <w:sz w:val="24"/>
              <w:szCs w:val="24"/>
            </w:rPr>
            <w:fldChar w:fldCharType="begin"/>
          </w:r>
          <w:r>
            <w:rPr>
              <w:rFonts w:ascii="仿宋" w:hAnsi="仿宋" w:eastAsia="仿宋"/>
              <w:b/>
              <w:sz w:val="24"/>
              <w:szCs w:val="24"/>
            </w:rPr>
            <w:instrText xml:space="preserve"> PAGEREF _Toc15548455 \h </w:instrText>
          </w:r>
          <w:r>
            <w:rPr>
              <w:rFonts w:ascii="仿宋" w:hAnsi="仿宋" w:eastAsia="仿宋"/>
              <w:b/>
              <w:sz w:val="24"/>
              <w:szCs w:val="24"/>
            </w:rPr>
            <w:fldChar w:fldCharType="separate"/>
          </w:r>
          <w:r>
            <w:rPr>
              <w:rFonts w:ascii="仿宋" w:hAnsi="仿宋" w:eastAsia="仿宋"/>
              <w:b/>
              <w:sz w:val="24"/>
              <w:szCs w:val="24"/>
            </w:rPr>
            <w:t>3</w:t>
          </w:r>
          <w:r>
            <w:rPr>
              <w:rFonts w:ascii="仿宋" w:hAnsi="仿宋" w:eastAsia="仿宋"/>
              <w:b/>
              <w:sz w:val="24"/>
              <w:szCs w:val="24"/>
            </w:rPr>
            <w:fldChar w:fldCharType="end"/>
          </w:r>
          <w:r>
            <w:rPr>
              <w:rFonts w:ascii="仿宋" w:hAnsi="仿宋" w:eastAsia="仿宋"/>
              <w:b/>
              <w:sz w:val="24"/>
              <w:szCs w:val="24"/>
            </w:rPr>
            <w:fldChar w:fldCharType="end"/>
          </w:r>
        </w:p>
        <w:p w14:paraId="7DED296F">
          <w:pPr>
            <w:pStyle w:val="9"/>
            <w:tabs>
              <w:tab w:val="right" w:leader="dot" w:pos="8693"/>
            </w:tabs>
            <w:spacing w:line="264" w:lineRule="auto"/>
            <w:ind w:left="0" w:firstLine="560"/>
            <w:rPr>
              <w:rFonts w:ascii="仿宋" w:hAnsi="仿宋" w:eastAsia="仿宋" w:cstheme="minorBidi"/>
              <w:b/>
              <w:iCs w:val="0"/>
              <w:sz w:val="24"/>
              <w:szCs w:val="24"/>
            </w:rPr>
          </w:pPr>
          <w:r>
            <w:fldChar w:fldCharType="begin"/>
          </w:r>
          <w:r>
            <w:instrText xml:space="preserve"> HYPERLINK \l "_Toc15548456" </w:instrText>
          </w:r>
          <w:r>
            <w:fldChar w:fldCharType="separate"/>
          </w:r>
          <w:r>
            <w:rPr>
              <w:rStyle w:val="26"/>
              <w:rFonts w:hint="eastAsia" w:ascii="仿宋" w:hAnsi="仿宋" w:eastAsia="仿宋" w:cs="Arial Narrow"/>
              <w:b/>
              <w:sz w:val="24"/>
              <w:szCs w:val="24"/>
            </w:rPr>
            <w:t>（三）项目经费来源和使用情况</w:t>
          </w:r>
          <w:r>
            <w:rPr>
              <w:rFonts w:ascii="仿宋" w:hAnsi="仿宋" w:eastAsia="仿宋"/>
              <w:b/>
              <w:sz w:val="24"/>
              <w:szCs w:val="24"/>
            </w:rPr>
            <w:tab/>
          </w:r>
          <w:r>
            <w:rPr>
              <w:rFonts w:ascii="仿宋" w:hAnsi="仿宋" w:eastAsia="仿宋"/>
              <w:b/>
              <w:sz w:val="24"/>
              <w:szCs w:val="24"/>
            </w:rPr>
            <w:fldChar w:fldCharType="begin"/>
          </w:r>
          <w:r>
            <w:rPr>
              <w:rFonts w:ascii="仿宋" w:hAnsi="仿宋" w:eastAsia="仿宋"/>
              <w:b/>
              <w:sz w:val="24"/>
              <w:szCs w:val="24"/>
            </w:rPr>
            <w:instrText xml:space="preserve"> PAGEREF _Toc15548456 \h </w:instrText>
          </w:r>
          <w:r>
            <w:rPr>
              <w:rFonts w:ascii="仿宋" w:hAnsi="仿宋" w:eastAsia="仿宋"/>
              <w:b/>
              <w:sz w:val="24"/>
              <w:szCs w:val="24"/>
            </w:rPr>
            <w:fldChar w:fldCharType="separate"/>
          </w:r>
          <w:r>
            <w:rPr>
              <w:rFonts w:ascii="仿宋" w:hAnsi="仿宋" w:eastAsia="仿宋"/>
              <w:b/>
              <w:sz w:val="24"/>
              <w:szCs w:val="24"/>
            </w:rPr>
            <w:t>3</w:t>
          </w:r>
          <w:r>
            <w:rPr>
              <w:rFonts w:ascii="仿宋" w:hAnsi="仿宋" w:eastAsia="仿宋"/>
              <w:b/>
              <w:sz w:val="24"/>
              <w:szCs w:val="24"/>
            </w:rPr>
            <w:fldChar w:fldCharType="end"/>
          </w:r>
          <w:r>
            <w:rPr>
              <w:rFonts w:ascii="仿宋" w:hAnsi="仿宋" w:eastAsia="仿宋"/>
              <w:b/>
              <w:sz w:val="24"/>
              <w:szCs w:val="24"/>
            </w:rPr>
            <w:fldChar w:fldCharType="end"/>
          </w:r>
        </w:p>
        <w:p w14:paraId="5CE9C6CC">
          <w:pPr>
            <w:pStyle w:val="9"/>
            <w:tabs>
              <w:tab w:val="right" w:leader="dot" w:pos="8693"/>
            </w:tabs>
            <w:spacing w:line="264" w:lineRule="auto"/>
            <w:ind w:left="0" w:firstLine="560"/>
            <w:rPr>
              <w:rFonts w:ascii="仿宋" w:hAnsi="仿宋" w:eastAsia="仿宋" w:cstheme="minorBidi"/>
              <w:b/>
              <w:iCs w:val="0"/>
              <w:sz w:val="24"/>
              <w:szCs w:val="24"/>
            </w:rPr>
          </w:pPr>
          <w:r>
            <w:fldChar w:fldCharType="begin"/>
          </w:r>
          <w:r>
            <w:instrText xml:space="preserve"> HYPERLINK \l "_Toc15548457" </w:instrText>
          </w:r>
          <w:r>
            <w:fldChar w:fldCharType="separate"/>
          </w:r>
          <w:r>
            <w:rPr>
              <w:rStyle w:val="26"/>
              <w:rFonts w:hint="eastAsia" w:ascii="仿宋" w:hAnsi="仿宋" w:eastAsia="仿宋" w:cs="Arial Narrow"/>
              <w:b/>
              <w:sz w:val="24"/>
              <w:szCs w:val="24"/>
            </w:rPr>
            <w:t>（四）项目实施情况</w:t>
          </w:r>
          <w:r>
            <w:rPr>
              <w:rFonts w:ascii="仿宋" w:hAnsi="仿宋" w:eastAsia="仿宋"/>
              <w:b/>
              <w:sz w:val="24"/>
              <w:szCs w:val="24"/>
            </w:rPr>
            <w:tab/>
          </w:r>
          <w:r>
            <w:rPr>
              <w:rFonts w:ascii="仿宋" w:hAnsi="仿宋" w:eastAsia="仿宋"/>
              <w:b/>
              <w:sz w:val="24"/>
              <w:szCs w:val="24"/>
            </w:rPr>
            <w:fldChar w:fldCharType="begin"/>
          </w:r>
          <w:r>
            <w:rPr>
              <w:rFonts w:ascii="仿宋" w:hAnsi="仿宋" w:eastAsia="仿宋"/>
              <w:b/>
              <w:sz w:val="24"/>
              <w:szCs w:val="24"/>
            </w:rPr>
            <w:instrText xml:space="preserve"> PAGEREF _Toc15548457 \h </w:instrText>
          </w:r>
          <w:r>
            <w:rPr>
              <w:rFonts w:ascii="仿宋" w:hAnsi="仿宋" w:eastAsia="仿宋"/>
              <w:b/>
              <w:sz w:val="24"/>
              <w:szCs w:val="24"/>
            </w:rPr>
            <w:fldChar w:fldCharType="separate"/>
          </w:r>
          <w:r>
            <w:rPr>
              <w:rFonts w:ascii="仿宋" w:hAnsi="仿宋" w:eastAsia="仿宋"/>
              <w:b/>
              <w:sz w:val="24"/>
              <w:szCs w:val="24"/>
            </w:rPr>
            <w:t>3</w:t>
          </w:r>
          <w:r>
            <w:rPr>
              <w:rFonts w:ascii="仿宋" w:hAnsi="仿宋" w:eastAsia="仿宋"/>
              <w:b/>
              <w:sz w:val="24"/>
              <w:szCs w:val="24"/>
            </w:rPr>
            <w:fldChar w:fldCharType="end"/>
          </w:r>
          <w:r>
            <w:rPr>
              <w:rFonts w:ascii="仿宋" w:hAnsi="仿宋" w:eastAsia="仿宋"/>
              <w:b/>
              <w:sz w:val="24"/>
              <w:szCs w:val="24"/>
            </w:rPr>
            <w:fldChar w:fldCharType="end"/>
          </w:r>
        </w:p>
        <w:p w14:paraId="1E1D4666">
          <w:pPr>
            <w:pStyle w:val="15"/>
            <w:tabs>
              <w:tab w:val="right" w:leader="dot" w:pos="8693"/>
            </w:tabs>
            <w:spacing w:before="0" w:after="0" w:line="264" w:lineRule="auto"/>
            <w:ind w:firstLine="562"/>
            <w:rPr>
              <w:rFonts w:ascii="仿宋" w:hAnsi="仿宋" w:eastAsia="仿宋" w:cstheme="minorBidi"/>
              <w:bCs w:val="0"/>
              <w:caps w:val="0"/>
              <w:sz w:val="24"/>
              <w:szCs w:val="24"/>
            </w:rPr>
          </w:pPr>
          <w:r>
            <w:fldChar w:fldCharType="begin"/>
          </w:r>
          <w:r>
            <w:instrText xml:space="preserve"> HYPERLINK \l "_Toc15548458" </w:instrText>
          </w:r>
          <w:r>
            <w:fldChar w:fldCharType="separate"/>
          </w:r>
          <w:r>
            <w:rPr>
              <w:rStyle w:val="26"/>
              <w:rFonts w:hint="eastAsia" w:ascii="仿宋" w:hAnsi="仿宋" w:eastAsia="仿宋" w:cs="Arial Narrow"/>
              <w:sz w:val="24"/>
              <w:szCs w:val="24"/>
            </w:rPr>
            <w:t>二、绩效评价工作情况</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_Toc15548458 \h </w:instrText>
          </w:r>
          <w:r>
            <w:rPr>
              <w:rFonts w:ascii="仿宋" w:hAnsi="仿宋" w:eastAsia="仿宋"/>
              <w:sz w:val="24"/>
              <w:szCs w:val="24"/>
            </w:rPr>
            <w:fldChar w:fldCharType="separate"/>
          </w:r>
          <w:r>
            <w:rPr>
              <w:rFonts w:ascii="仿宋" w:hAnsi="仿宋" w:eastAsia="仿宋"/>
              <w:sz w:val="24"/>
              <w:szCs w:val="24"/>
            </w:rPr>
            <w:t>4</w:t>
          </w:r>
          <w:r>
            <w:rPr>
              <w:rFonts w:ascii="仿宋" w:hAnsi="仿宋" w:eastAsia="仿宋"/>
              <w:sz w:val="24"/>
              <w:szCs w:val="24"/>
            </w:rPr>
            <w:fldChar w:fldCharType="end"/>
          </w:r>
          <w:r>
            <w:rPr>
              <w:rFonts w:ascii="仿宋" w:hAnsi="仿宋" w:eastAsia="仿宋"/>
              <w:sz w:val="24"/>
              <w:szCs w:val="24"/>
            </w:rPr>
            <w:fldChar w:fldCharType="end"/>
          </w:r>
        </w:p>
        <w:p w14:paraId="682F74A1">
          <w:pPr>
            <w:pStyle w:val="18"/>
            <w:tabs>
              <w:tab w:val="right" w:leader="dot" w:pos="8693"/>
            </w:tabs>
            <w:spacing w:line="264" w:lineRule="auto"/>
            <w:ind w:firstLine="560"/>
            <w:rPr>
              <w:rFonts w:ascii="仿宋" w:hAnsi="仿宋" w:eastAsia="仿宋" w:cstheme="minorBidi"/>
              <w:b/>
              <w:smallCaps w:val="0"/>
              <w:sz w:val="24"/>
              <w:szCs w:val="24"/>
            </w:rPr>
          </w:pPr>
          <w:r>
            <w:fldChar w:fldCharType="begin"/>
          </w:r>
          <w:r>
            <w:instrText xml:space="preserve"> HYPERLINK \l "_Toc15548459" </w:instrText>
          </w:r>
          <w:r>
            <w:fldChar w:fldCharType="separate"/>
          </w:r>
          <w:r>
            <w:rPr>
              <w:rStyle w:val="26"/>
              <w:rFonts w:hint="eastAsia" w:ascii="仿宋" w:hAnsi="仿宋" w:eastAsia="仿宋" w:cs="Arial Narrow"/>
              <w:b/>
              <w:bCs/>
              <w:sz w:val="24"/>
              <w:szCs w:val="24"/>
            </w:rPr>
            <w:t>（一）绩效评价目的</w:t>
          </w:r>
          <w:r>
            <w:rPr>
              <w:rFonts w:ascii="仿宋" w:hAnsi="仿宋" w:eastAsia="仿宋"/>
              <w:b/>
              <w:sz w:val="24"/>
              <w:szCs w:val="24"/>
            </w:rPr>
            <w:tab/>
          </w:r>
          <w:r>
            <w:rPr>
              <w:rFonts w:ascii="仿宋" w:hAnsi="仿宋" w:eastAsia="仿宋"/>
              <w:b/>
              <w:sz w:val="24"/>
              <w:szCs w:val="24"/>
            </w:rPr>
            <w:fldChar w:fldCharType="begin"/>
          </w:r>
          <w:r>
            <w:rPr>
              <w:rFonts w:ascii="仿宋" w:hAnsi="仿宋" w:eastAsia="仿宋"/>
              <w:b/>
              <w:sz w:val="24"/>
              <w:szCs w:val="24"/>
            </w:rPr>
            <w:instrText xml:space="preserve"> PAGEREF _Toc15548459 \h </w:instrText>
          </w:r>
          <w:r>
            <w:rPr>
              <w:rFonts w:ascii="仿宋" w:hAnsi="仿宋" w:eastAsia="仿宋"/>
              <w:b/>
              <w:sz w:val="24"/>
              <w:szCs w:val="24"/>
            </w:rPr>
            <w:fldChar w:fldCharType="separate"/>
          </w:r>
          <w:r>
            <w:rPr>
              <w:rFonts w:ascii="仿宋" w:hAnsi="仿宋" w:eastAsia="仿宋"/>
              <w:b/>
              <w:sz w:val="24"/>
              <w:szCs w:val="24"/>
            </w:rPr>
            <w:t>4</w:t>
          </w:r>
          <w:r>
            <w:rPr>
              <w:rFonts w:ascii="仿宋" w:hAnsi="仿宋" w:eastAsia="仿宋"/>
              <w:b/>
              <w:sz w:val="24"/>
              <w:szCs w:val="24"/>
            </w:rPr>
            <w:fldChar w:fldCharType="end"/>
          </w:r>
          <w:r>
            <w:rPr>
              <w:rFonts w:ascii="仿宋" w:hAnsi="仿宋" w:eastAsia="仿宋"/>
              <w:b/>
              <w:sz w:val="24"/>
              <w:szCs w:val="24"/>
            </w:rPr>
            <w:fldChar w:fldCharType="end"/>
          </w:r>
        </w:p>
        <w:p w14:paraId="00B1F11A">
          <w:pPr>
            <w:pStyle w:val="18"/>
            <w:tabs>
              <w:tab w:val="right" w:leader="dot" w:pos="8693"/>
            </w:tabs>
            <w:spacing w:line="264" w:lineRule="auto"/>
            <w:ind w:firstLine="560"/>
            <w:rPr>
              <w:rFonts w:ascii="仿宋" w:hAnsi="仿宋" w:eastAsia="仿宋" w:cstheme="minorBidi"/>
              <w:b/>
              <w:smallCaps w:val="0"/>
              <w:sz w:val="24"/>
              <w:szCs w:val="24"/>
            </w:rPr>
          </w:pPr>
          <w:r>
            <w:fldChar w:fldCharType="begin"/>
          </w:r>
          <w:r>
            <w:instrText xml:space="preserve"> HYPERLINK \l "_Toc15548460" </w:instrText>
          </w:r>
          <w:r>
            <w:fldChar w:fldCharType="separate"/>
          </w:r>
          <w:r>
            <w:rPr>
              <w:rStyle w:val="26"/>
              <w:rFonts w:hint="eastAsia" w:ascii="仿宋" w:hAnsi="仿宋" w:eastAsia="仿宋" w:cs="Arial Narrow"/>
              <w:b/>
              <w:bCs/>
              <w:sz w:val="24"/>
              <w:szCs w:val="24"/>
            </w:rPr>
            <w:t>（二）绩效评价工作过程</w:t>
          </w:r>
          <w:r>
            <w:rPr>
              <w:rFonts w:ascii="仿宋" w:hAnsi="仿宋" w:eastAsia="仿宋"/>
              <w:b/>
              <w:sz w:val="24"/>
              <w:szCs w:val="24"/>
            </w:rPr>
            <w:tab/>
          </w:r>
          <w:r>
            <w:rPr>
              <w:rFonts w:ascii="仿宋" w:hAnsi="仿宋" w:eastAsia="仿宋"/>
              <w:b/>
              <w:sz w:val="24"/>
              <w:szCs w:val="24"/>
            </w:rPr>
            <w:fldChar w:fldCharType="begin"/>
          </w:r>
          <w:r>
            <w:rPr>
              <w:rFonts w:ascii="仿宋" w:hAnsi="仿宋" w:eastAsia="仿宋"/>
              <w:b/>
              <w:sz w:val="24"/>
              <w:szCs w:val="24"/>
            </w:rPr>
            <w:instrText xml:space="preserve"> PAGEREF _Toc15548460 \h </w:instrText>
          </w:r>
          <w:r>
            <w:rPr>
              <w:rFonts w:ascii="仿宋" w:hAnsi="仿宋" w:eastAsia="仿宋"/>
              <w:b/>
              <w:sz w:val="24"/>
              <w:szCs w:val="24"/>
            </w:rPr>
            <w:fldChar w:fldCharType="separate"/>
          </w:r>
          <w:r>
            <w:rPr>
              <w:rFonts w:ascii="仿宋" w:hAnsi="仿宋" w:eastAsia="仿宋"/>
              <w:b/>
              <w:sz w:val="24"/>
              <w:szCs w:val="24"/>
            </w:rPr>
            <w:t>4</w:t>
          </w:r>
          <w:r>
            <w:rPr>
              <w:rFonts w:ascii="仿宋" w:hAnsi="仿宋" w:eastAsia="仿宋"/>
              <w:b/>
              <w:sz w:val="24"/>
              <w:szCs w:val="24"/>
            </w:rPr>
            <w:fldChar w:fldCharType="end"/>
          </w:r>
          <w:r>
            <w:rPr>
              <w:rFonts w:ascii="仿宋" w:hAnsi="仿宋" w:eastAsia="仿宋"/>
              <w:b/>
              <w:sz w:val="24"/>
              <w:szCs w:val="24"/>
            </w:rPr>
            <w:fldChar w:fldCharType="end"/>
          </w:r>
        </w:p>
        <w:p w14:paraId="7BAF15A7">
          <w:pPr>
            <w:pStyle w:val="18"/>
            <w:tabs>
              <w:tab w:val="right" w:leader="dot" w:pos="8693"/>
            </w:tabs>
            <w:spacing w:line="264" w:lineRule="auto"/>
            <w:ind w:firstLine="560"/>
            <w:rPr>
              <w:rFonts w:ascii="仿宋" w:hAnsi="仿宋" w:eastAsia="仿宋" w:cstheme="minorBidi"/>
              <w:b/>
              <w:smallCaps w:val="0"/>
              <w:sz w:val="24"/>
              <w:szCs w:val="24"/>
            </w:rPr>
          </w:pPr>
          <w:r>
            <w:fldChar w:fldCharType="begin"/>
          </w:r>
          <w:r>
            <w:instrText xml:space="preserve"> HYPERLINK \l "_Toc15548461" </w:instrText>
          </w:r>
          <w:r>
            <w:fldChar w:fldCharType="separate"/>
          </w:r>
          <w:r>
            <w:rPr>
              <w:rStyle w:val="26"/>
              <w:rFonts w:hint="eastAsia" w:ascii="仿宋" w:hAnsi="仿宋" w:eastAsia="仿宋" w:cs="Arial Narrow"/>
              <w:b/>
              <w:sz w:val="24"/>
              <w:szCs w:val="24"/>
            </w:rPr>
            <w:t>（三）绩效评价框架</w:t>
          </w:r>
          <w:r>
            <w:rPr>
              <w:rFonts w:ascii="仿宋" w:hAnsi="仿宋" w:eastAsia="仿宋"/>
              <w:b/>
              <w:sz w:val="24"/>
              <w:szCs w:val="24"/>
            </w:rPr>
            <w:tab/>
          </w:r>
          <w:r>
            <w:rPr>
              <w:rFonts w:ascii="仿宋" w:hAnsi="仿宋" w:eastAsia="仿宋"/>
              <w:b/>
              <w:sz w:val="24"/>
              <w:szCs w:val="24"/>
            </w:rPr>
            <w:fldChar w:fldCharType="begin"/>
          </w:r>
          <w:r>
            <w:rPr>
              <w:rFonts w:ascii="仿宋" w:hAnsi="仿宋" w:eastAsia="仿宋"/>
              <w:b/>
              <w:sz w:val="24"/>
              <w:szCs w:val="24"/>
            </w:rPr>
            <w:instrText xml:space="preserve"> PAGEREF _Toc15548461 \h </w:instrText>
          </w:r>
          <w:r>
            <w:rPr>
              <w:rFonts w:ascii="仿宋" w:hAnsi="仿宋" w:eastAsia="仿宋"/>
              <w:b/>
              <w:sz w:val="24"/>
              <w:szCs w:val="24"/>
            </w:rPr>
            <w:fldChar w:fldCharType="separate"/>
          </w:r>
          <w:r>
            <w:rPr>
              <w:rFonts w:ascii="仿宋" w:hAnsi="仿宋" w:eastAsia="仿宋"/>
              <w:b/>
              <w:sz w:val="24"/>
              <w:szCs w:val="24"/>
            </w:rPr>
            <w:t>4</w:t>
          </w:r>
          <w:r>
            <w:rPr>
              <w:rFonts w:ascii="仿宋" w:hAnsi="仿宋" w:eastAsia="仿宋"/>
              <w:b/>
              <w:sz w:val="24"/>
              <w:szCs w:val="24"/>
            </w:rPr>
            <w:fldChar w:fldCharType="end"/>
          </w:r>
          <w:r>
            <w:rPr>
              <w:rFonts w:ascii="仿宋" w:hAnsi="仿宋" w:eastAsia="仿宋"/>
              <w:b/>
              <w:sz w:val="24"/>
              <w:szCs w:val="24"/>
            </w:rPr>
            <w:fldChar w:fldCharType="end"/>
          </w:r>
        </w:p>
        <w:p w14:paraId="6C99F768">
          <w:pPr>
            <w:pStyle w:val="18"/>
            <w:tabs>
              <w:tab w:val="right" w:leader="dot" w:pos="8693"/>
            </w:tabs>
            <w:spacing w:line="264" w:lineRule="auto"/>
            <w:ind w:firstLine="560"/>
            <w:rPr>
              <w:rFonts w:ascii="仿宋" w:hAnsi="仿宋" w:eastAsia="仿宋" w:cstheme="minorBidi"/>
              <w:b/>
              <w:smallCaps w:val="0"/>
              <w:sz w:val="24"/>
              <w:szCs w:val="24"/>
            </w:rPr>
          </w:pPr>
          <w:r>
            <w:fldChar w:fldCharType="begin"/>
          </w:r>
          <w:r>
            <w:instrText xml:space="preserve"> HYPERLINK \l "_Toc15548462" </w:instrText>
          </w:r>
          <w:r>
            <w:fldChar w:fldCharType="separate"/>
          </w:r>
          <w:r>
            <w:rPr>
              <w:rStyle w:val="26"/>
              <w:rFonts w:hint="eastAsia" w:ascii="仿宋" w:hAnsi="仿宋" w:eastAsia="仿宋" w:cs="Arial Narrow"/>
              <w:b/>
              <w:sz w:val="24"/>
              <w:szCs w:val="24"/>
            </w:rPr>
            <w:t>（四）评价抽样情况概述</w:t>
          </w:r>
          <w:r>
            <w:rPr>
              <w:rFonts w:ascii="仿宋" w:hAnsi="仿宋" w:eastAsia="仿宋"/>
              <w:b/>
              <w:sz w:val="24"/>
              <w:szCs w:val="24"/>
            </w:rPr>
            <w:tab/>
          </w:r>
          <w:r>
            <w:rPr>
              <w:rFonts w:ascii="仿宋" w:hAnsi="仿宋" w:eastAsia="仿宋"/>
              <w:b/>
              <w:sz w:val="24"/>
              <w:szCs w:val="24"/>
            </w:rPr>
            <w:fldChar w:fldCharType="begin"/>
          </w:r>
          <w:r>
            <w:rPr>
              <w:rFonts w:ascii="仿宋" w:hAnsi="仿宋" w:eastAsia="仿宋"/>
              <w:b/>
              <w:sz w:val="24"/>
              <w:szCs w:val="24"/>
            </w:rPr>
            <w:instrText xml:space="preserve"> PAGEREF _Toc15548462 \h </w:instrText>
          </w:r>
          <w:r>
            <w:rPr>
              <w:rFonts w:ascii="仿宋" w:hAnsi="仿宋" w:eastAsia="仿宋"/>
              <w:b/>
              <w:sz w:val="24"/>
              <w:szCs w:val="24"/>
            </w:rPr>
            <w:fldChar w:fldCharType="separate"/>
          </w:r>
          <w:r>
            <w:rPr>
              <w:rFonts w:ascii="仿宋" w:hAnsi="仿宋" w:eastAsia="仿宋"/>
              <w:b/>
              <w:sz w:val="24"/>
              <w:szCs w:val="24"/>
            </w:rPr>
            <w:t>5</w:t>
          </w:r>
          <w:r>
            <w:rPr>
              <w:rFonts w:ascii="仿宋" w:hAnsi="仿宋" w:eastAsia="仿宋"/>
              <w:b/>
              <w:sz w:val="24"/>
              <w:szCs w:val="24"/>
            </w:rPr>
            <w:fldChar w:fldCharType="end"/>
          </w:r>
          <w:r>
            <w:rPr>
              <w:rFonts w:ascii="仿宋" w:hAnsi="仿宋" w:eastAsia="仿宋"/>
              <w:b/>
              <w:sz w:val="24"/>
              <w:szCs w:val="24"/>
            </w:rPr>
            <w:fldChar w:fldCharType="end"/>
          </w:r>
        </w:p>
        <w:p w14:paraId="1E80D1F0">
          <w:pPr>
            <w:pStyle w:val="15"/>
            <w:tabs>
              <w:tab w:val="right" w:leader="dot" w:pos="8693"/>
            </w:tabs>
            <w:spacing w:before="0" w:after="0" w:line="264" w:lineRule="auto"/>
            <w:ind w:firstLine="562"/>
            <w:rPr>
              <w:rFonts w:ascii="仿宋" w:hAnsi="仿宋" w:eastAsia="仿宋" w:cstheme="minorBidi"/>
              <w:bCs w:val="0"/>
              <w:caps w:val="0"/>
              <w:sz w:val="24"/>
              <w:szCs w:val="24"/>
            </w:rPr>
          </w:pPr>
          <w:r>
            <w:fldChar w:fldCharType="begin"/>
          </w:r>
          <w:r>
            <w:instrText xml:space="preserve"> HYPERLINK \l "_Toc15548463" </w:instrText>
          </w:r>
          <w:r>
            <w:fldChar w:fldCharType="separate"/>
          </w:r>
          <w:r>
            <w:rPr>
              <w:rStyle w:val="26"/>
              <w:rFonts w:hint="eastAsia" w:ascii="仿宋" w:hAnsi="仿宋" w:eastAsia="仿宋" w:cs="Arial Narrow"/>
              <w:sz w:val="24"/>
              <w:szCs w:val="24"/>
            </w:rPr>
            <w:t>三、绩效分析及评价结论</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_Toc15548463 \h </w:instrText>
          </w:r>
          <w:r>
            <w:rPr>
              <w:rFonts w:ascii="仿宋" w:hAnsi="仿宋" w:eastAsia="仿宋"/>
              <w:sz w:val="24"/>
              <w:szCs w:val="24"/>
            </w:rPr>
            <w:fldChar w:fldCharType="separate"/>
          </w:r>
          <w:r>
            <w:rPr>
              <w:rFonts w:ascii="仿宋" w:hAnsi="仿宋" w:eastAsia="仿宋"/>
              <w:sz w:val="24"/>
              <w:szCs w:val="24"/>
            </w:rPr>
            <w:t>6</w:t>
          </w:r>
          <w:r>
            <w:rPr>
              <w:rFonts w:ascii="仿宋" w:hAnsi="仿宋" w:eastAsia="仿宋"/>
              <w:sz w:val="24"/>
              <w:szCs w:val="24"/>
            </w:rPr>
            <w:fldChar w:fldCharType="end"/>
          </w:r>
          <w:r>
            <w:rPr>
              <w:rFonts w:ascii="仿宋" w:hAnsi="仿宋" w:eastAsia="仿宋"/>
              <w:sz w:val="24"/>
              <w:szCs w:val="24"/>
            </w:rPr>
            <w:fldChar w:fldCharType="end"/>
          </w:r>
        </w:p>
        <w:p w14:paraId="3BBC05EA">
          <w:pPr>
            <w:pStyle w:val="18"/>
            <w:tabs>
              <w:tab w:val="right" w:leader="dot" w:pos="8693"/>
            </w:tabs>
            <w:spacing w:line="264" w:lineRule="auto"/>
            <w:ind w:firstLine="560"/>
            <w:rPr>
              <w:rFonts w:ascii="仿宋" w:hAnsi="仿宋" w:eastAsia="仿宋" w:cstheme="minorBidi"/>
              <w:b/>
              <w:smallCaps w:val="0"/>
              <w:sz w:val="24"/>
              <w:szCs w:val="24"/>
            </w:rPr>
          </w:pPr>
          <w:r>
            <w:fldChar w:fldCharType="begin"/>
          </w:r>
          <w:r>
            <w:instrText xml:space="preserve"> HYPERLINK \l "_Toc15548464" </w:instrText>
          </w:r>
          <w:r>
            <w:fldChar w:fldCharType="separate"/>
          </w:r>
          <w:r>
            <w:rPr>
              <w:rStyle w:val="26"/>
              <w:rFonts w:hint="eastAsia" w:ascii="仿宋" w:hAnsi="仿宋" w:eastAsia="仿宋" w:cs="Arial Narrow"/>
              <w:b/>
              <w:sz w:val="24"/>
              <w:szCs w:val="24"/>
            </w:rPr>
            <w:t>（一）绩效分析</w:t>
          </w:r>
          <w:r>
            <w:rPr>
              <w:rFonts w:ascii="仿宋" w:hAnsi="仿宋" w:eastAsia="仿宋"/>
              <w:b/>
              <w:sz w:val="24"/>
              <w:szCs w:val="24"/>
            </w:rPr>
            <w:tab/>
          </w:r>
          <w:r>
            <w:rPr>
              <w:rFonts w:ascii="仿宋" w:hAnsi="仿宋" w:eastAsia="仿宋"/>
              <w:b/>
              <w:sz w:val="24"/>
              <w:szCs w:val="24"/>
            </w:rPr>
            <w:fldChar w:fldCharType="begin"/>
          </w:r>
          <w:r>
            <w:rPr>
              <w:rFonts w:ascii="仿宋" w:hAnsi="仿宋" w:eastAsia="仿宋"/>
              <w:b/>
              <w:sz w:val="24"/>
              <w:szCs w:val="24"/>
            </w:rPr>
            <w:instrText xml:space="preserve"> PAGEREF _Toc15548464 \h </w:instrText>
          </w:r>
          <w:r>
            <w:rPr>
              <w:rFonts w:ascii="仿宋" w:hAnsi="仿宋" w:eastAsia="仿宋"/>
              <w:b/>
              <w:sz w:val="24"/>
              <w:szCs w:val="24"/>
            </w:rPr>
            <w:fldChar w:fldCharType="separate"/>
          </w:r>
          <w:r>
            <w:rPr>
              <w:rFonts w:ascii="仿宋" w:hAnsi="仿宋" w:eastAsia="仿宋"/>
              <w:b/>
              <w:sz w:val="24"/>
              <w:szCs w:val="24"/>
            </w:rPr>
            <w:t>6</w:t>
          </w:r>
          <w:r>
            <w:rPr>
              <w:rFonts w:ascii="仿宋" w:hAnsi="仿宋" w:eastAsia="仿宋"/>
              <w:b/>
              <w:sz w:val="24"/>
              <w:szCs w:val="24"/>
            </w:rPr>
            <w:fldChar w:fldCharType="end"/>
          </w:r>
          <w:r>
            <w:rPr>
              <w:rFonts w:ascii="仿宋" w:hAnsi="仿宋" w:eastAsia="仿宋"/>
              <w:b/>
              <w:sz w:val="24"/>
              <w:szCs w:val="24"/>
            </w:rPr>
            <w:fldChar w:fldCharType="end"/>
          </w:r>
        </w:p>
        <w:p w14:paraId="13133D5E">
          <w:pPr>
            <w:pStyle w:val="9"/>
            <w:tabs>
              <w:tab w:val="right" w:leader="dot" w:pos="8693"/>
            </w:tabs>
            <w:spacing w:line="264" w:lineRule="auto"/>
            <w:ind w:firstLine="229" w:firstLineChars="82"/>
            <w:rPr>
              <w:rFonts w:ascii="仿宋" w:hAnsi="仿宋" w:eastAsia="仿宋" w:cstheme="minorBidi"/>
              <w:b/>
              <w:iCs w:val="0"/>
              <w:sz w:val="24"/>
              <w:szCs w:val="24"/>
            </w:rPr>
          </w:pPr>
          <w:r>
            <w:fldChar w:fldCharType="begin"/>
          </w:r>
          <w:r>
            <w:instrText xml:space="preserve"> HYPERLINK \l "_Toc15548465" </w:instrText>
          </w:r>
          <w:r>
            <w:fldChar w:fldCharType="separate"/>
          </w:r>
          <w:r>
            <w:rPr>
              <w:rStyle w:val="26"/>
              <w:rFonts w:ascii="仿宋" w:hAnsi="仿宋" w:eastAsia="仿宋"/>
              <w:b/>
              <w:sz w:val="24"/>
              <w:szCs w:val="24"/>
            </w:rPr>
            <w:t>1</w:t>
          </w:r>
          <w:r>
            <w:rPr>
              <w:rStyle w:val="26"/>
              <w:rFonts w:hint="eastAsia" w:ascii="仿宋" w:hAnsi="仿宋" w:eastAsia="仿宋"/>
              <w:b/>
              <w:sz w:val="24"/>
              <w:szCs w:val="24"/>
            </w:rPr>
            <w:t>、项目投入（</w:t>
          </w:r>
          <w:r>
            <w:rPr>
              <w:rStyle w:val="26"/>
              <w:rFonts w:ascii="仿宋" w:hAnsi="仿宋" w:eastAsia="仿宋"/>
              <w:b/>
              <w:sz w:val="24"/>
              <w:szCs w:val="24"/>
            </w:rPr>
            <w:t>16</w:t>
          </w:r>
          <w:r>
            <w:rPr>
              <w:rStyle w:val="26"/>
              <w:rFonts w:hint="eastAsia" w:ascii="仿宋" w:hAnsi="仿宋" w:eastAsia="仿宋"/>
              <w:b/>
              <w:sz w:val="24"/>
              <w:szCs w:val="24"/>
            </w:rPr>
            <w:t>分）</w:t>
          </w:r>
          <w:r>
            <w:rPr>
              <w:rFonts w:ascii="仿宋" w:hAnsi="仿宋" w:eastAsia="仿宋"/>
              <w:b/>
              <w:sz w:val="24"/>
              <w:szCs w:val="24"/>
            </w:rPr>
            <w:tab/>
          </w:r>
          <w:r>
            <w:rPr>
              <w:rFonts w:ascii="仿宋" w:hAnsi="仿宋" w:eastAsia="仿宋"/>
              <w:b/>
              <w:sz w:val="24"/>
              <w:szCs w:val="24"/>
            </w:rPr>
            <w:fldChar w:fldCharType="begin"/>
          </w:r>
          <w:r>
            <w:rPr>
              <w:rFonts w:ascii="仿宋" w:hAnsi="仿宋" w:eastAsia="仿宋"/>
              <w:b/>
              <w:sz w:val="24"/>
              <w:szCs w:val="24"/>
            </w:rPr>
            <w:instrText xml:space="preserve"> PAGEREF _Toc15548465 \h </w:instrText>
          </w:r>
          <w:r>
            <w:rPr>
              <w:rFonts w:ascii="仿宋" w:hAnsi="仿宋" w:eastAsia="仿宋"/>
              <w:b/>
              <w:sz w:val="24"/>
              <w:szCs w:val="24"/>
            </w:rPr>
            <w:fldChar w:fldCharType="separate"/>
          </w:r>
          <w:r>
            <w:rPr>
              <w:rFonts w:ascii="仿宋" w:hAnsi="仿宋" w:eastAsia="仿宋"/>
              <w:b/>
              <w:sz w:val="24"/>
              <w:szCs w:val="24"/>
            </w:rPr>
            <w:t>6</w:t>
          </w:r>
          <w:r>
            <w:rPr>
              <w:rFonts w:ascii="仿宋" w:hAnsi="仿宋" w:eastAsia="仿宋"/>
              <w:b/>
              <w:sz w:val="24"/>
              <w:szCs w:val="24"/>
            </w:rPr>
            <w:fldChar w:fldCharType="end"/>
          </w:r>
          <w:r>
            <w:rPr>
              <w:rFonts w:ascii="仿宋" w:hAnsi="仿宋" w:eastAsia="仿宋"/>
              <w:b/>
              <w:sz w:val="24"/>
              <w:szCs w:val="24"/>
            </w:rPr>
            <w:fldChar w:fldCharType="end"/>
          </w:r>
        </w:p>
        <w:p w14:paraId="036B76D9">
          <w:pPr>
            <w:pStyle w:val="9"/>
            <w:tabs>
              <w:tab w:val="right" w:leader="dot" w:pos="8693"/>
            </w:tabs>
            <w:spacing w:line="264" w:lineRule="auto"/>
            <w:ind w:firstLine="229" w:firstLineChars="82"/>
            <w:rPr>
              <w:rFonts w:ascii="仿宋" w:hAnsi="仿宋" w:eastAsia="仿宋" w:cstheme="minorBidi"/>
              <w:b/>
              <w:iCs w:val="0"/>
              <w:sz w:val="24"/>
              <w:szCs w:val="24"/>
            </w:rPr>
          </w:pPr>
          <w:r>
            <w:fldChar w:fldCharType="begin"/>
          </w:r>
          <w:r>
            <w:instrText xml:space="preserve"> HYPERLINK \l "_Toc15548466" </w:instrText>
          </w:r>
          <w:r>
            <w:fldChar w:fldCharType="separate"/>
          </w:r>
          <w:r>
            <w:rPr>
              <w:rStyle w:val="26"/>
              <w:rFonts w:ascii="仿宋" w:hAnsi="仿宋" w:eastAsia="仿宋" w:cs="Arial Narrow"/>
              <w:b/>
              <w:sz w:val="24"/>
              <w:szCs w:val="24"/>
            </w:rPr>
            <w:t>2</w:t>
          </w:r>
          <w:r>
            <w:rPr>
              <w:rStyle w:val="26"/>
              <w:rFonts w:hint="eastAsia" w:ascii="仿宋" w:hAnsi="仿宋" w:eastAsia="仿宋" w:cs="Arial Narrow"/>
              <w:b/>
              <w:sz w:val="24"/>
              <w:szCs w:val="24"/>
            </w:rPr>
            <w:t>、决策过程（</w:t>
          </w:r>
          <w:r>
            <w:rPr>
              <w:rStyle w:val="26"/>
              <w:rFonts w:ascii="仿宋" w:hAnsi="仿宋" w:eastAsia="仿宋" w:cs="Arial Narrow"/>
              <w:b/>
              <w:sz w:val="24"/>
              <w:szCs w:val="24"/>
            </w:rPr>
            <w:t>24</w:t>
          </w:r>
          <w:r>
            <w:rPr>
              <w:rStyle w:val="26"/>
              <w:rFonts w:hint="eastAsia" w:ascii="仿宋" w:hAnsi="仿宋" w:eastAsia="仿宋" w:cs="Arial Narrow"/>
              <w:b/>
              <w:sz w:val="24"/>
              <w:szCs w:val="24"/>
            </w:rPr>
            <w:t>分）</w:t>
          </w:r>
          <w:r>
            <w:rPr>
              <w:rFonts w:ascii="仿宋" w:hAnsi="仿宋" w:eastAsia="仿宋"/>
              <w:b/>
              <w:sz w:val="24"/>
              <w:szCs w:val="24"/>
            </w:rPr>
            <w:tab/>
          </w:r>
          <w:r>
            <w:rPr>
              <w:rFonts w:ascii="仿宋" w:hAnsi="仿宋" w:eastAsia="仿宋"/>
              <w:b/>
              <w:sz w:val="24"/>
              <w:szCs w:val="24"/>
            </w:rPr>
            <w:fldChar w:fldCharType="begin"/>
          </w:r>
          <w:r>
            <w:rPr>
              <w:rFonts w:ascii="仿宋" w:hAnsi="仿宋" w:eastAsia="仿宋"/>
              <w:b/>
              <w:sz w:val="24"/>
              <w:szCs w:val="24"/>
            </w:rPr>
            <w:instrText xml:space="preserve"> PAGEREF _Toc15548466 \h </w:instrText>
          </w:r>
          <w:r>
            <w:rPr>
              <w:rFonts w:ascii="仿宋" w:hAnsi="仿宋" w:eastAsia="仿宋"/>
              <w:b/>
              <w:sz w:val="24"/>
              <w:szCs w:val="24"/>
            </w:rPr>
            <w:fldChar w:fldCharType="separate"/>
          </w:r>
          <w:r>
            <w:rPr>
              <w:rFonts w:ascii="仿宋" w:hAnsi="仿宋" w:eastAsia="仿宋"/>
              <w:b/>
              <w:sz w:val="24"/>
              <w:szCs w:val="24"/>
            </w:rPr>
            <w:t>7</w:t>
          </w:r>
          <w:r>
            <w:rPr>
              <w:rFonts w:ascii="仿宋" w:hAnsi="仿宋" w:eastAsia="仿宋"/>
              <w:b/>
              <w:sz w:val="24"/>
              <w:szCs w:val="24"/>
            </w:rPr>
            <w:fldChar w:fldCharType="end"/>
          </w:r>
          <w:r>
            <w:rPr>
              <w:rFonts w:ascii="仿宋" w:hAnsi="仿宋" w:eastAsia="仿宋"/>
              <w:b/>
              <w:sz w:val="24"/>
              <w:szCs w:val="24"/>
            </w:rPr>
            <w:fldChar w:fldCharType="end"/>
          </w:r>
        </w:p>
        <w:p w14:paraId="248C6221">
          <w:pPr>
            <w:pStyle w:val="9"/>
            <w:tabs>
              <w:tab w:val="right" w:leader="dot" w:pos="8693"/>
            </w:tabs>
            <w:spacing w:line="264" w:lineRule="auto"/>
            <w:ind w:firstLine="229" w:firstLineChars="82"/>
            <w:rPr>
              <w:rFonts w:ascii="仿宋" w:hAnsi="仿宋" w:eastAsia="仿宋" w:cstheme="minorBidi"/>
              <w:b/>
              <w:iCs w:val="0"/>
              <w:sz w:val="24"/>
              <w:szCs w:val="24"/>
            </w:rPr>
          </w:pPr>
          <w:r>
            <w:fldChar w:fldCharType="begin"/>
          </w:r>
          <w:r>
            <w:instrText xml:space="preserve"> HYPERLINK \l "_Toc15548467" </w:instrText>
          </w:r>
          <w:r>
            <w:fldChar w:fldCharType="separate"/>
          </w:r>
          <w:r>
            <w:rPr>
              <w:rStyle w:val="26"/>
              <w:rFonts w:ascii="仿宋" w:hAnsi="仿宋" w:eastAsia="仿宋" w:cs="Arial Narrow"/>
              <w:b/>
              <w:sz w:val="24"/>
              <w:szCs w:val="24"/>
            </w:rPr>
            <w:t>3</w:t>
          </w:r>
          <w:r>
            <w:rPr>
              <w:rStyle w:val="26"/>
              <w:rFonts w:hint="eastAsia" w:ascii="仿宋" w:hAnsi="仿宋" w:eastAsia="仿宋" w:cs="Arial Narrow"/>
              <w:b/>
              <w:sz w:val="24"/>
              <w:szCs w:val="24"/>
            </w:rPr>
            <w:t>、项目产出（</w:t>
          </w:r>
          <w:r>
            <w:rPr>
              <w:rStyle w:val="26"/>
              <w:rFonts w:ascii="仿宋" w:hAnsi="仿宋" w:eastAsia="仿宋" w:cs="Arial Narrow"/>
              <w:b/>
              <w:sz w:val="24"/>
              <w:szCs w:val="24"/>
            </w:rPr>
            <w:t>28</w:t>
          </w:r>
          <w:r>
            <w:rPr>
              <w:rStyle w:val="26"/>
              <w:rFonts w:hint="eastAsia" w:ascii="仿宋" w:hAnsi="仿宋" w:eastAsia="仿宋" w:cs="Arial Narrow"/>
              <w:b/>
              <w:sz w:val="24"/>
              <w:szCs w:val="24"/>
            </w:rPr>
            <w:t>分）</w:t>
          </w:r>
          <w:r>
            <w:rPr>
              <w:rFonts w:ascii="仿宋" w:hAnsi="仿宋" w:eastAsia="仿宋"/>
              <w:b/>
              <w:sz w:val="24"/>
              <w:szCs w:val="24"/>
            </w:rPr>
            <w:tab/>
          </w:r>
          <w:r>
            <w:rPr>
              <w:rFonts w:ascii="仿宋" w:hAnsi="仿宋" w:eastAsia="仿宋"/>
              <w:b/>
              <w:sz w:val="24"/>
              <w:szCs w:val="24"/>
            </w:rPr>
            <w:fldChar w:fldCharType="begin"/>
          </w:r>
          <w:r>
            <w:rPr>
              <w:rFonts w:ascii="仿宋" w:hAnsi="仿宋" w:eastAsia="仿宋"/>
              <w:b/>
              <w:sz w:val="24"/>
              <w:szCs w:val="24"/>
            </w:rPr>
            <w:instrText xml:space="preserve"> PAGEREF _Toc15548467 \h </w:instrText>
          </w:r>
          <w:r>
            <w:rPr>
              <w:rFonts w:ascii="仿宋" w:hAnsi="仿宋" w:eastAsia="仿宋"/>
              <w:b/>
              <w:sz w:val="24"/>
              <w:szCs w:val="24"/>
            </w:rPr>
            <w:fldChar w:fldCharType="separate"/>
          </w:r>
          <w:r>
            <w:rPr>
              <w:rFonts w:ascii="仿宋" w:hAnsi="仿宋" w:eastAsia="仿宋"/>
              <w:b/>
              <w:sz w:val="24"/>
              <w:szCs w:val="24"/>
            </w:rPr>
            <w:t>8</w:t>
          </w:r>
          <w:r>
            <w:rPr>
              <w:rFonts w:ascii="仿宋" w:hAnsi="仿宋" w:eastAsia="仿宋"/>
              <w:b/>
              <w:sz w:val="24"/>
              <w:szCs w:val="24"/>
            </w:rPr>
            <w:fldChar w:fldCharType="end"/>
          </w:r>
          <w:r>
            <w:rPr>
              <w:rFonts w:ascii="仿宋" w:hAnsi="仿宋" w:eastAsia="仿宋"/>
              <w:b/>
              <w:sz w:val="24"/>
              <w:szCs w:val="24"/>
            </w:rPr>
            <w:fldChar w:fldCharType="end"/>
          </w:r>
        </w:p>
        <w:p w14:paraId="35B3561C">
          <w:pPr>
            <w:pStyle w:val="9"/>
            <w:tabs>
              <w:tab w:val="right" w:leader="dot" w:pos="8693"/>
            </w:tabs>
            <w:spacing w:line="264" w:lineRule="auto"/>
            <w:ind w:firstLine="229" w:firstLineChars="82"/>
            <w:rPr>
              <w:rFonts w:ascii="仿宋" w:hAnsi="仿宋" w:eastAsia="仿宋" w:cstheme="minorBidi"/>
              <w:b/>
              <w:iCs w:val="0"/>
              <w:sz w:val="24"/>
              <w:szCs w:val="24"/>
            </w:rPr>
          </w:pPr>
          <w:r>
            <w:fldChar w:fldCharType="begin"/>
          </w:r>
          <w:r>
            <w:instrText xml:space="preserve"> HYPERLINK \l "_Toc15548468" </w:instrText>
          </w:r>
          <w:r>
            <w:fldChar w:fldCharType="separate"/>
          </w:r>
          <w:r>
            <w:rPr>
              <w:rStyle w:val="26"/>
              <w:rFonts w:ascii="仿宋" w:hAnsi="仿宋" w:eastAsia="仿宋" w:cs="Arial Narrow"/>
              <w:b/>
              <w:sz w:val="24"/>
              <w:szCs w:val="24"/>
            </w:rPr>
            <w:t>4</w:t>
          </w:r>
          <w:r>
            <w:rPr>
              <w:rStyle w:val="26"/>
              <w:rFonts w:hint="eastAsia" w:ascii="仿宋" w:hAnsi="仿宋" w:eastAsia="仿宋" w:cs="Arial Narrow"/>
              <w:b/>
              <w:sz w:val="24"/>
              <w:szCs w:val="24"/>
            </w:rPr>
            <w:t>、项目效果（</w:t>
          </w:r>
          <w:r>
            <w:rPr>
              <w:rStyle w:val="26"/>
              <w:rFonts w:ascii="仿宋" w:hAnsi="仿宋" w:eastAsia="仿宋" w:cs="Arial Narrow"/>
              <w:b/>
              <w:sz w:val="24"/>
              <w:szCs w:val="24"/>
            </w:rPr>
            <w:t>32</w:t>
          </w:r>
          <w:r>
            <w:rPr>
              <w:rStyle w:val="26"/>
              <w:rFonts w:hint="eastAsia" w:ascii="仿宋" w:hAnsi="仿宋" w:eastAsia="仿宋" w:cs="Arial Narrow"/>
              <w:b/>
              <w:sz w:val="24"/>
              <w:szCs w:val="24"/>
            </w:rPr>
            <w:t>分）</w:t>
          </w:r>
          <w:r>
            <w:rPr>
              <w:rFonts w:ascii="仿宋" w:hAnsi="仿宋" w:eastAsia="仿宋"/>
              <w:b/>
              <w:sz w:val="24"/>
              <w:szCs w:val="24"/>
            </w:rPr>
            <w:tab/>
          </w:r>
          <w:r>
            <w:rPr>
              <w:rFonts w:ascii="仿宋" w:hAnsi="仿宋" w:eastAsia="仿宋"/>
              <w:b/>
              <w:sz w:val="24"/>
              <w:szCs w:val="24"/>
            </w:rPr>
            <w:fldChar w:fldCharType="begin"/>
          </w:r>
          <w:r>
            <w:rPr>
              <w:rFonts w:ascii="仿宋" w:hAnsi="仿宋" w:eastAsia="仿宋"/>
              <w:b/>
              <w:sz w:val="24"/>
              <w:szCs w:val="24"/>
            </w:rPr>
            <w:instrText xml:space="preserve"> PAGEREF _Toc15548468 \h </w:instrText>
          </w:r>
          <w:r>
            <w:rPr>
              <w:rFonts w:ascii="仿宋" w:hAnsi="仿宋" w:eastAsia="仿宋"/>
              <w:b/>
              <w:sz w:val="24"/>
              <w:szCs w:val="24"/>
            </w:rPr>
            <w:fldChar w:fldCharType="separate"/>
          </w:r>
          <w:r>
            <w:rPr>
              <w:rFonts w:ascii="仿宋" w:hAnsi="仿宋" w:eastAsia="仿宋"/>
              <w:b/>
              <w:sz w:val="24"/>
              <w:szCs w:val="24"/>
            </w:rPr>
            <w:t>9</w:t>
          </w:r>
          <w:r>
            <w:rPr>
              <w:rFonts w:ascii="仿宋" w:hAnsi="仿宋" w:eastAsia="仿宋"/>
              <w:b/>
              <w:sz w:val="24"/>
              <w:szCs w:val="24"/>
            </w:rPr>
            <w:fldChar w:fldCharType="end"/>
          </w:r>
          <w:r>
            <w:rPr>
              <w:rFonts w:ascii="仿宋" w:hAnsi="仿宋" w:eastAsia="仿宋"/>
              <w:b/>
              <w:sz w:val="24"/>
              <w:szCs w:val="24"/>
            </w:rPr>
            <w:fldChar w:fldCharType="end"/>
          </w:r>
        </w:p>
        <w:p w14:paraId="778E229A">
          <w:pPr>
            <w:pStyle w:val="18"/>
            <w:tabs>
              <w:tab w:val="right" w:leader="dot" w:pos="8693"/>
            </w:tabs>
            <w:spacing w:line="264" w:lineRule="auto"/>
            <w:ind w:firstLine="560"/>
            <w:rPr>
              <w:rFonts w:ascii="仿宋" w:hAnsi="仿宋" w:eastAsia="仿宋" w:cstheme="minorBidi"/>
              <w:b/>
              <w:smallCaps w:val="0"/>
              <w:sz w:val="24"/>
              <w:szCs w:val="24"/>
            </w:rPr>
          </w:pPr>
          <w:r>
            <w:fldChar w:fldCharType="begin"/>
          </w:r>
          <w:r>
            <w:instrText xml:space="preserve"> HYPERLINK \l "_Toc15548469" </w:instrText>
          </w:r>
          <w:r>
            <w:fldChar w:fldCharType="separate"/>
          </w:r>
          <w:r>
            <w:rPr>
              <w:rStyle w:val="26"/>
              <w:rFonts w:hint="eastAsia" w:ascii="仿宋" w:hAnsi="仿宋" w:eastAsia="仿宋" w:cs="Arial Narrow"/>
              <w:b/>
              <w:sz w:val="24"/>
              <w:szCs w:val="24"/>
            </w:rPr>
            <w:t>（二）评价结论</w:t>
          </w:r>
          <w:r>
            <w:rPr>
              <w:rFonts w:ascii="仿宋" w:hAnsi="仿宋" w:eastAsia="仿宋"/>
              <w:b/>
              <w:sz w:val="24"/>
              <w:szCs w:val="24"/>
            </w:rPr>
            <w:tab/>
          </w:r>
          <w:r>
            <w:rPr>
              <w:rFonts w:ascii="仿宋" w:hAnsi="仿宋" w:eastAsia="仿宋"/>
              <w:b/>
              <w:sz w:val="24"/>
              <w:szCs w:val="24"/>
            </w:rPr>
            <w:fldChar w:fldCharType="begin"/>
          </w:r>
          <w:r>
            <w:rPr>
              <w:rFonts w:ascii="仿宋" w:hAnsi="仿宋" w:eastAsia="仿宋"/>
              <w:b/>
              <w:sz w:val="24"/>
              <w:szCs w:val="24"/>
            </w:rPr>
            <w:instrText xml:space="preserve"> PAGEREF _Toc15548469 \h </w:instrText>
          </w:r>
          <w:r>
            <w:rPr>
              <w:rFonts w:ascii="仿宋" w:hAnsi="仿宋" w:eastAsia="仿宋"/>
              <w:b/>
              <w:sz w:val="24"/>
              <w:szCs w:val="24"/>
            </w:rPr>
            <w:fldChar w:fldCharType="separate"/>
          </w:r>
          <w:r>
            <w:rPr>
              <w:rFonts w:ascii="仿宋" w:hAnsi="仿宋" w:eastAsia="仿宋"/>
              <w:b/>
              <w:sz w:val="24"/>
              <w:szCs w:val="24"/>
            </w:rPr>
            <w:t>10</w:t>
          </w:r>
          <w:r>
            <w:rPr>
              <w:rFonts w:ascii="仿宋" w:hAnsi="仿宋" w:eastAsia="仿宋"/>
              <w:b/>
              <w:sz w:val="24"/>
              <w:szCs w:val="24"/>
            </w:rPr>
            <w:fldChar w:fldCharType="end"/>
          </w:r>
          <w:r>
            <w:rPr>
              <w:rFonts w:ascii="仿宋" w:hAnsi="仿宋" w:eastAsia="仿宋"/>
              <w:b/>
              <w:sz w:val="24"/>
              <w:szCs w:val="24"/>
            </w:rPr>
            <w:fldChar w:fldCharType="end"/>
          </w:r>
        </w:p>
        <w:p w14:paraId="0903440D">
          <w:pPr>
            <w:pStyle w:val="15"/>
            <w:tabs>
              <w:tab w:val="right" w:leader="dot" w:pos="8693"/>
            </w:tabs>
            <w:spacing w:before="0" w:after="0" w:line="264" w:lineRule="auto"/>
            <w:ind w:firstLine="562"/>
            <w:rPr>
              <w:rFonts w:ascii="仿宋" w:hAnsi="仿宋" w:eastAsia="仿宋" w:cstheme="minorBidi"/>
              <w:bCs w:val="0"/>
              <w:caps w:val="0"/>
              <w:sz w:val="24"/>
              <w:szCs w:val="24"/>
            </w:rPr>
          </w:pPr>
          <w:r>
            <w:fldChar w:fldCharType="begin"/>
          </w:r>
          <w:r>
            <w:instrText xml:space="preserve"> HYPERLINK \l "_Toc15548470" </w:instrText>
          </w:r>
          <w:r>
            <w:fldChar w:fldCharType="separate"/>
          </w:r>
          <w:r>
            <w:rPr>
              <w:rStyle w:val="26"/>
              <w:rFonts w:hint="eastAsia" w:ascii="仿宋" w:hAnsi="仿宋" w:eastAsia="仿宋" w:cs="Arial Narrow"/>
              <w:sz w:val="24"/>
              <w:szCs w:val="24"/>
            </w:rPr>
            <w:t>四、主要经验及做法、存在的问题和建议</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_Toc15548470 \h </w:instrText>
          </w:r>
          <w:r>
            <w:rPr>
              <w:rFonts w:ascii="仿宋" w:hAnsi="仿宋" w:eastAsia="仿宋"/>
              <w:sz w:val="24"/>
              <w:szCs w:val="24"/>
            </w:rPr>
            <w:fldChar w:fldCharType="separate"/>
          </w:r>
          <w:r>
            <w:rPr>
              <w:rFonts w:ascii="仿宋" w:hAnsi="仿宋" w:eastAsia="仿宋"/>
              <w:sz w:val="24"/>
              <w:szCs w:val="24"/>
            </w:rPr>
            <w:t>10</w:t>
          </w:r>
          <w:r>
            <w:rPr>
              <w:rFonts w:ascii="仿宋" w:hAnsi="仿宋" w:eastAsia="仿宋"/>
              <w:sz w:val="24"/>
              <w:szCs w:val="24"/>
            </w:rPr>
            <w:fldChar w:fldCharType="end"/>
          </w:r>
          <w:r>
            <w:rPr>
              <w:rFonts w:ascii="仿宋" w:hAnsi="仿宋" w:eastAsia="仿宋"/>
              <w:sz w:val="24"/>
              <w:szCs w:val="24"/>
            </w:rPr>
            <w:fldChar w:fldCharType="end"/>
          </w:r>
        </w:p>
        <w:p w14:paraId="5AAE9F8D">
          <w:pPr>
            <w:pStyle w:val="9"/>
            <w:tabs>
              <w:tab w:val="right" w:leader="dot" w:pos="8693"/>
            </w:tabs>
            <w:spacing w:line="264" w:lineRule="auto"/>
            <w:ind w:left="0" w:firstLine="560"/>
            <w:rPr>
              <w:rFonts w:ascii="仿宋" w:hAnsi="仿宋" w:eastAsia="仿宋" w:cstheme="minorBidi"/>
              <w:b/>
              <w:iCs w:val="0"/>
              <w:sz w:val="24"/>
              <w:szCs w:val="24"/>
            </w:rPr>
          </w:pPr>
          <w:r>
            <w:fldChar w:fldCharType="begin"/>
          </w:r>
          <w:r>
            <w:instrText xml:space="preserve"> HYPERLINK \l "_Toc15548471" </w:instrText>
          </w:r>
          <w:r>
            <w:fldChar w:fldCharType="separate"/>
          </w:r>
          <w:r>
            <w:rPr>
              <w:rStyle w:val="26"/>
              <w:rFonts w:hint="eastAsia" w:ascii="仿宋" w:hAnsi="仿宋" w:eastAsia="仿宋" w:cs="Arial Narrow"/>
              <w:b/>
              <w:sz w:val="24"/>
              <w:szCs w:val="24"/>
            </w:rPr>
            <w:t>（一）主要经验及做法</w:t>
          </w:r>
          <w:r>
            <w:rPr>
              <w:rFonts w:ascii="仿宋" w:hAnsi="仿宋" w:eastAsia="仿宋"/>
              <w:b/>
              <w:sz w:val="24"/>
              <w:szCs w:val="24"/>
            </w:rPr>
            <w:tab/>
          </w:r>
          <w:r>
            <w:rPr>
              <w:rFonts w:ascii="仿宋" w:hAnsi="仿宋" w:eastAsia="仿宋"/>
              <w:b/>
              <w:sz w:val="24"/>
              <w:szCs w:val="24"/>
            </w:rPr>
            <w:fldChar w:fldCharType="begin"/>
          </w:r>
          <w:r>
            <w:rPr>
              <w:rFonts w:ascii="仿宋" w:hAnsi="仿宋" w:eastAsia="仿宋"/>
              <w:b/>
              <w:sz w:val="24"/>
              <w:szCs w:val="24"/>
            </w:rPr>
            <w:instrText xml:space="preserve"> PAGEREF _Toc15548471 \h </w:instrText>
          </w:r>
          <w:r>
            <w:rPr>
              <w:rFonts w:ascii="仿宋" w:hAnsi="仿宋" w:eastAsia="仿宋"/>
              <w:b/>
              <w:sz w:val="24"/>
              <w:szCs w:val="24"/>
            </w:rPr>
            <w:fldChar w:fldCharType="separate"/>
          </w:r>
          <w:r>
            <w:rPr>
              <w:rFonts w:ascii="仿宋" w:hAnsi="仿宋" w:eastAsia="仿宋"/>
              <w:b/>
              <w:sz w:val="24"/>
              <w:szCs w:val="24"/>
            </w:rPr>
            <w:t>10</w:t>
          </w:r>
          <w:r>
            <w:rPr>
              <w:rFonts w:ascii="仿宋" w:hAnsi="仿宋" w:eastAsia="仿宋"/>
              <w:b/>
              <w:sz w:val="24"/>
              <w:szCs w:val="24"/>
            </w:rPr>
            <w:fldChar w:fldCharType="end"/>
          </w:r>
          <w:r>
            <w:rPr>
              <w:rFonts w:ascii="仿宋" w:hAnsi="仿宋" w:eastAsia="仿宋"/>
              <w:b/>
              <w:sz w:val="24"/>
              <w:szCs w:val="24"/>
            </w:rPr>
            <w:fldChar w:fldCharType="end"/>
          </w:r>
        </w:p>
        <w:p w14:paraId="02CC88B6">
          <w:pPr>
            <w:pStyle w:val="9"/>
            <w:tabs>
              <w:tab w:val="right" w:leader="dot" w:pos="8693"/>
            </w:tabs>
            <w:spacing w:line="264" w:lineRule="auto"/>
            <w:ind w:left="0" w:firstLine="560"/>
            <w:rPr>
              <w:rFonts w:ascii="仿宋" w:hAnsi="仿宋" w:eastAsia="仿宋" w:cstheme="minorBidi"/>
              <w:b/>
              <w:iCs w:val="0"/>
              <w:sz w:val="24"/>
              <w:szCs w:val="24"/>
            </w:rPr>
          </w:pPr>
          <w:r>
            <w:fldChar w:fldCharType="begin"/>
          </w:r>
          <w:r>
            <w:instrText xml:space="preserve"> HYPERLINK \l "_Toc15548472" </w:instrText>
          </w:r>
          <w:r>
            <w:fldChar w:fldCharType="separate"/>
          </w:r>
          <w:r>
            <w:rPr>
              <w:rStyle w:val="26"/>
              <w:rFonts w:hint="eastAsia" w:ascii="仿宋" w:hAnsi="仿宋" w:eastAsia="仿宋" w:cs="Arial Narrow"/>
              <w:b/>
              <w:sz w:val="24"/>
              <w:szCs w:val="24"/>
            </w:rPr>
            <w:t>（二）存在的问题</w:t>
          </w:r>
          <w:r>
            <w:rPr>
              <w:rFonts w:ascii="仿宋" w:hAnsi="仿宋" w:eastAsia="仿宋"/>
              <w:b/>
              <w:sz w:val="24"/>
              <w:szCs w:val="24"/>
            </w:rPr>
            <w:tab/>
          </w:r>
          <w:r>
            <w:rPr>
              <w:rFonts w:ascii="仿宋" w:hAnsi="仿宋" w:eastAsia="仿宋"/>
              <w:b/>
              <w:sz w:val="24"/>
              <w:szCs w:val="24"/>
            </w:rPr>
            <w:fldChar w:fldCharType="begin"/>
          </w:r>
          <w:r>
            <w:rPr>
              <w:rFonts w:ascii="仿宋" w:hAnsi="仿宋" w:eastAsia="仿宋"/>
              <w:b/>
              <w:sz w:val="24"/>
              <w:szCs w:val="24"/>
            </w:rPr>
            <w:instrText xml:space="preserve"> PAGEREF _Toc15548472 \h </w:instrText>
          </w:r>
          <w:r>
            <w:rPr>
              <w:rFonts w:ascii="仿宋" w:hAnsi="仿宋" w:eastAsia="仿宋"/>
              <w:b/>
              <w:sz w:val="24"/>
              <w:szCs w:val="24"/>
            </w:rPr>
            <w:fldChar w:fldCharType="separate"/>
          </w:r>
          <w:r>
            <w:rPr>
              <w:rFonts w:ascii="仿宋" w:hAnsi="仿宋" w:eastAsia="仿宋"/>
              <w:b/>
              <w:sz w:val="24"/>
              <w:szCs w:val="24"/>
            </w:rPr>
            <w:t>11</w:t>
          </w:r>
          <w:r>
            <w:rPr>
              <w:rFonts w:ascii="仿宋" w:hAnsi="仿宋" w:eastAsia="仿宋"/>
              <w:b/>
              <w:sz w:val="24"/>
              <w:szCs w:val="24"/>
            </w:rPr>
            <w:fldChar w:fldCharType="end"/>
          </w:r>
          <w:r>
            <w:rPr>
              <w:rFonts w:ascii="仿宋" w:hAnsi="仿宋" w:eastAsia="仿宋"/>
              <w:b/>
              <w:sz w:val="24"/>
              <w:szCs w:val="24"/>
            </w:rPr>
            <w:fldChar w:fldCharType="end"/>
          </w:r>
        </w:p>
        <w:p w14:paraId="378E844B">
          <w:pPr>
            <w:pStyle w:val="9"/>
            <w:tabs>
              <w:tab w:val="right" w:leader="dot" w:pos="8693"/>
            </w:tabs>
            <w:spacing w:line="264" w:lineRule="auto"/>
            <w:ind w:left="0" w:firstLine="560"/>
            <w:rPr>
              <w:rFonts w:ascii="仿宋" w:hAnsi="仿宋" w:eastAsia="仿宋" w:cstheme="minorBidi"/>
              <w:b/>
              <w:iCs w:val="0"/>
              <w:sz w:val="24"/>
              <w:szCs w:val="24"/>
            </w:rPr>
          </w:pPr>
          <w:r>
            <w:fldChar w:fldCharType="begin"/>
          </w:r>
          <w:r>
            <w:instrText xml:space="preserve"> HYPERLINK \l "_Toc15548473" </w:instrText>
          </w:r>
          <w:r>
            <w:fldChar w:fldCharType="separate"/>
          </w:r>
          <w:r>
            <w:rPr>
              <w:rStyle w:val="26"/>
              <w:rFonts w:hint="eastAsia" w:ascii="仿宋" w:hAnsi="仿宋" w:eastAsia="仿宋" w:cs="Arial Narrow"/>
              <w:b/>
              <w:sz w:val="24"/>
              <w:szCs w:val="24"/>
            </w:rPr>
            <w:t>（三）建议</w:t>
          </w:r>
          <w:r>
            <w:rPr>
              <w:rFonts w:ascii="仿宋" w:hAnsi="仿宋" w:eastAsia="仿宋"/>
              <w:b/>
              <w:sz w:val="24"/>
              <w:szCs w:val="24"/>
            </w:rPr>
            <w:tab/>
          </w:r>
          <w:r>
            <w:rPr>
              <w:rFonts w:ascii="仿宋" w:hAnsi="仿宋" w:eastAsia="仿宋"/>
              <w:b/>
              <w:sz w:val="24"/>
              <w:szCs w:val="24"/>
            </w:rPr>
            <w:fldChar w:fldCharType="begin"/>
          </w:r>
          <w:r>
            <w:rPr>
              <w:rFonts w:ascii="仿宋" w:hAnsi="仿宋" w:eastAsia="仿宋"/>
              <w:b/>
              <w:sz w:val="24"/>
              <w:szCs w:val="24"/>
            </w:rPr>
            <w:instrText xml:space="preserve"> PAGEREF _Toc15548473 \h </w:instrText>
          </w:r>
          <w:r>
            <w:rPr>
              <w:rFonts w:ascii="仿宋" w:hAnsi="仿宋" w:eastAsia="仿宋"/>
              <w:b/>
              <w:sz w:val="24"/>
              <w:szCs w:val="24"/>
            </w:rPr>
            <w:fldChar w:fldCharType="separate"/>
          </w:r>
          <w:r>
            <w:rPr>
              <w:rFonts w:ascii="仿宋" w:hAnsi="仿宋" w:eastAsia="仿宋"/>
              <w:b/>
              <w:sz w:val="24"/>
              <w:szCs w:val="24"/>
            </w:rPr>
            <w:t>11</w:t>
          </w:r>
          <w:r>
            <w:rPr>
              <w:rFonts w:ascii="仿宋" w:hAnsi="仿宋" w:eastAsia="仿宋"/>
              <w:b/>
              <w:sz w:val="24"/>
              <w:szCs w:val="24"/>
            </w:rPr>
            <w:fldChar w:fldCharType="end"/>
          </w:r>
          <w:r>
            <w:rPr>
              <w:rFonts w:ascii="仿宋" w:hAnsi="仿宋" w:eastAsia="仿宋"/>
              <w:b/>
              <w:sz w:val="24"/>
              <w:szCs w:val="24"/>
            </w:rPr>
            <w:fldChar w:fldCharType="end"/>
          </w:r>
        </w:p>
        <w:p w14:paraId="34609A52">
          <w:pPr>
            <w:pStyle w:val="15"/>
            <w:tabs>
              <w:tab w:val="right" w:leader="dot" w:pos="8693"/>
            </w:tabs>
            <w:spacing w:before="0" w:after="0" w:line="264" w:lineRule="auto"/>
            <w:ind w:firstLine="562"/>
            <w:rPr>
              <w:rFonts w:ascii="仿宋" w:hAnsi="仿宋" w:eastAsia="仿宋" w:cstheme="minorBidi"/>
              <w:bCs w:val="0"/>
              <w:caps w:val="0"/>
              <w:sz w:val="24"/>
              <w:szCs w:val="24"/>
            </w:rPr>
          </w:pPr>
          <w:r>
            <w:fldChar w:fldCharType="begin"/>
          </w:r>
          <w:r>
            <w:instrText xml:space="preserve"> HYPERLINK \l "_Toc15548474" </w:instrText>
          </w:r>
          <w:r>
            <w:fldChar w:fldCharType="separate"/>
          </w:r>
          <w:r>
            <w:rPr>
              <w:rStyle w:val="26"/>
              <w:rFonts w:hint="eastAsia" w:ascii="仿宋" w:hAnsi="仿宋" w:eastAsia="仿宋" w:cs="Arial Narrow"/>
              <w:sz w:val="24"/>
              <w:szCs w:val="24"/>
            </w:rPr>
            <w:t>五、其他需说明的问题</w:t>
          </w:r>
          <w:r>
            <w:rPr>
              <w:rFonts w:ascii="仿宋" w:hAnsi="仿宋" w:eastAsia="仿宋"/>
              <w:sz w:val="24"/>
              <w:szCs w:val="24"/>
            </w:rPr>
            <w:tab/>
          </w:r>
          <w:r>
            <w:rPr>
              <w:rFonts w:ascii="仿宋" w:hAnsi="仿宋" w:eastAsia="仿宋"/>
              <w:sz w:val="24"/>
              <w:szCs w:val="24"/>
            </w:rPr>
            <w:fldChar w:fldCharType="begin"/>
          </w:r>
          <w:r>
            <w:rPr>
              <w:rFonts w:ascii="仿宋" w:hAnsi="仿宋" w:eastAsia="仿宋"/>
              <w:sz w:val="24"/>
              <w:szCs w:val="24"/>
            </w:rPr>
            <w:instrText xml:space="preserve"> PAGEREF _Toc15548474 \h </w:instrText>
          </w:r>
          <w:r>
            <w:rPr>
              <w:rFonts w:ascii="仿宋" w:hAnsi="仿宋" w:eastAsia="仿宋"/>
              <w:sz w:val="24"/>
              <w:szCs w:val="24"/>
            </w:rPr>
            <w:fldChar w:fldCharType="separate"/>
          </w:r>
          <w:r>
            <w:rPr>
              <w:rFonts w:ascii="仿宋" w:hAnsi="仿宋" w:eastAsia="仿宋"/>
              <w:sz w:val="24"/>
              <w:szCs w:val="24"/>
            </w:rPr>
            <w:t>11</w:t>
          </w:r>
          <w:r>
            <w:rPr>
              <w:rFonts w:ascii="仿宋" w:hAnsi="仿宋" w:eastAsia="仿宋"/>
              <w:sz w:val="24"/>
              <w:szCs w:val="24"/>
            </w:rPr>
            <w:fldChar w:fldCharType="end"/>
          </w:r>
          <w:r>
            <w:rPr>
              <w:rFonts w:ascii="仿宋" w:hAnsi="仿宋" w:eastAsia="仿宋"/>
              <w:sz w:val="24"/>
              <w:szCs w:val="24"/>
            </w:rPr>
            <w:fldChar w:fldCharType="end"/>
          </w:r>
        </w:p>
        <w:p w14:paraId="00BA2803">
          <w:pPr>
            <w:pStyle w:val="18"/>
            <w:tabs>
              <w:tab w:val="right" w:leader="dot" w:pos="8693"/>
            </w:tabs>
            <w:spacing w:line="264" w:lineRule="auto"/>
            <w:ind w:firstLine="560"/>
            <w:rPr>
              <w:rFonts w:ascii="仿宋" w:hAnsi="仿宋" w:eastAsia="仿宋" w:cstheme="minorBidi"/>
              <w:b/>
              <w:smallCaps w:val="0"/>
              <w:sz w:val="24"/>
              <w:szCs w:val="24"/>
            </w:rPr>
          </w:pPr>
          <w:r>
            <w:fldChar w:fldCharType="begin"/>
          </w:r>
          <w:r>
            <w:instrText xml:space="preserve"> HYPERLINK \l "_Toc15548475" </w:instrText>
          </w:r>
          <w:r>
            <w:fldChar w:fldCharType="separate"/>
          </w:r>
          <w:r>
            <w:rPr>
              <w:rStyle w:val="26"/>
              <w:rFonts w:hint="eastAsia" w:ascii="仿宋" w:hAnsi="仿宋" w:eastAsia="仿宋" w:cs="Arial Narrow"/>
              <w:b/>
              <w:sz w:val="24"/>
              <w:szCs w:val="24"/>
            </w:rPr>
            <w:t>（一）关于评价责任的说明</w:t>
          </w:r>
          <w:r>
            <w:rPr>
              <w:rFonts w:ascii="仿宋" w:hAnsi="仿宋" w:eastAsia="仿宋"/>
              <w:b/>
              <w:sz w:val="24"/>
              <w:szCs w:val="24"/>
            </w:rPr>
            <w:tab/>
          </w:r>
          <w:r>
            <w:rPr>
              <w:rFonts w:ascii="仿宋" w:hAnsi="仿宋" w:eastAsia="仿宋"/>
              <w:b/>
              <w:sz w:val="24"/>
              <w:szCs w:val="24"/>
            </w:rPr>
            <w:fldChar w:fldCharType="begin"/>
          </w:r>
          <w:r>
            <w:rPr>
              <w:rFonts w:ascii="仿宋" w:hAnsi="仿宋" w:eastAsia="仿宋"/>
              <w:b/>
              <w:sz w:val="24"/>
              <w:szCs w:val="24"/>
            </w:rPr>
            <w:instrText xml:space="preserve"> PAGEREF _Toc15548475 \h </w:instrText>
          </w:r>
          <w:r>
            <w:rPr>
              <w:rFonts w:ascii="仿宋" w:hAnsi="仿宋" w:eastAsia="仿宋"/>
              <w:b/>
              <w:sz w:val="24"/>
              <w:szCs w:val="24"/>
            </w:rPr>
            <w:fldChar w:fldCharType="separate"/>
          </w:r>
          <w:r>
            <w:rPr>
              <w:rFonts w:ascii="仿宋" w:hAnsi="仿宋" w:eastAsia="仿宋"/>
              <w:b/>
              <w:sz w:val="24"/>
              <w:szCs w:val="24"/>
            </w:rPr>
            <w:t>11</w:t>
          </w:r>
          <w:r>
            <w:rPr>
              <w:rFonts w:ascii="仿宋" w:hAnsi="仿宋" w:eastAsia="仿宋"/>
              <w:b/>
              <w:sz w:val="24"/>
              <w:szCs w:val="24"/>
            </w:rPr>
            <w:fldChar w:fldCharType="end"/>
          </w:r>
          <w:r>
            <w:rPr>
              <w:rFonts w:ascii="仿宋" w:hAnsi="仿宋" w:eastAsia="仿宋"/>
              <w:b/>
              <w:sz w:val="24"/>
              <w:szCs w:val="24"/>
            </w:rPr>
            <w:fldChar w:fldCharType="end"/>
          </w:r>
        </w:p>
        <w:p w14:paraId="4757D089">
          <w:pPr>
            <w:pStyle w:val="18"/>
            <w:tabs>
              <w:tab w:val="right" w:leader="dot" w:pos="8693"/>
            </w:tabs>
            <w:spacing w:line="264" w:lineRule="auto"/>
            <w:ind w:firstLine="560"/>
            <w:rPr>
              <w:rFonts w:ascii="仿宋" w:hAnsi="仿宋" w:eastAsia="仿宋"/>
              <w:b/>
              <w:sz w:val="24"/>
              <w:szCs w:val="24"/>
            </w:rPr>
          </w:pPr>
          <w:r>
            <w:fldChar w:fldCharType="begin"/>
          </w:r>
          <w:r>
            <w:instrText xml:space="preserve"> HYPERLINK \l "_Toc15548476" </w:instrText>
          </w:r>
          <w:r>
            <w:fldChar w:fldCharType="separate"/>
          </w:r>
          <w:r>
            <w:rPr>
              <w:rStyle w:val="26"/>
              <w:rFonts w:hint="eastAsia" w:ascii="仿宋" w:hAnsi="仿宋" w:eastAsia="仿宋" w:cs="Arial Narrow"/>
              <w:b/>
              <w:sz w:val="24"/>
              <w:szCs w:val="24"/>
            </w:rPr>
            <w:t>（二）关于本项目评价中存在的局限性的说明</w:t>
          </w:r>
          <w:r>
            <w:rPr>
              <w:rFonts w:ascii="仿宋" w:hAnsi="仿宋" w:eastAsia="仿宋"/>
              <w:b/>
              <w:sz w:val="24"/>
              <w:szCs w:val="24"/>
            </w:rPr>
            <w:tab/>
          </w:r>
          <w:r>
            <w:rPr>
              <w:rFonts w:ascii="仿宋" w:hAnsi="仿宋" w:eastAsia="仿宋"/>
              <w:b/>
              <w:sz w:val="24"/>
              <w:szCs w:val="24"/>
            </w:rPr>
            <w:fldChar w:fldCharType="begin"/>
          </w:r>
          <w:r>
            <w:rPr>
              <w:rFonts w:ascii="仿宋" w:hAnsi="仿宋" w:eastAsia="仿宋"/>
              <w:b/>
              <w:sz w:val="24"/>
              <w:szCs w:val="24"/>
            </w:rPr>
            <w:instrText xml:space="preserve"> PAGEREF _Toc15548476 \h </w:instrText>
          </w:r>
          <w:r>
            <w:rPr>
              <w:rFonts w:ascii="仿宋" w:hAnsi="仿宋" w:eastAsia="仿宋"/>
              <w:b/>
              <w:sz w:val="24"/>
              <w:szCs w:val="24"/>
            </w:rPr>
            <w:fldChar w:fldCharType="separate"/>
          </w:r>
          <w:r>
            <w:rPr>
              <w:rFonts w:ascii="仿宋" w:hAnsi="仿宋" w:eastAsia="仿宋"/>
              <w:b/>
              <w:sz w:val="24"/>
              <w:szCs w:val="24"/>
            </w:rPr>
            <w:t>11</w:t>
          </w:r>
          <w:r>
            <w:rPr>
              <w:rFonts w:ascii="仿宋" w:hAnsi="仿宋" w:eastAsia="仿宋"/>
              <w:b/>
              <w:sz w:val="24"/>
              <w:szCs w:val="24"/>
            </w:rPr>
            <w:fldChar w:fldCharType="end"/>
          </w:r>
          <w:r>
            <w:rPr>
              <w:rFonts w:ascii="仿宋" w:hAnsi="仿宋" w:eastAsia="仿宋"/>
              <w:b/>
              <w:sz w:val="24"/>
              <w:szCs w:val="24"/>
            </w:rPr>
            <w:fldChar w:fldCharType="end"/>
          </w:r>
        </w:p>
        <w:p w14:paraId="50A4375C">
          <w:pPr>
            <w:pStyle w:val="9"/>
            <w:tabs>
              <w:tab w:val="right" w:leader="dot" w:pos="8693"/>
            </w:tabs>
            <w:spacing w:line="264" w:lineRule="auto"/>
            <w:ind w:left="0" w:firstLine="560"/>
            <w:rPr>
              <w:rFonts w:hint="eastAsia" w:ascii="仿宋" w:hAnsi="仿宋" w:eastAsia="仿宋" w:cs="仿宋"/>
              <w:b/>
              <w:iCs w:val="0"/>
              <w:sz w:val="24"/>
              <w:szCs w:val="24"/>
              <w:lang w:val="en-US" w:eastAsia="zh-CN"/>
            </w:rPr>
          </w:pPr>
          <w:r>
            <w:rPr>
              <w:rFonts w:ascii="仿宋" w:hAnsi="仿宋" w:eastAsia="仿宋"/>
              <w:b/>
              <w:bCs/>
              <w:lang w:val="zh-CN"/>
            </w:rPr>
            <w:fldChar w:fldCharType="end"/>
          </w:r>
          <w:r>
            <w:rPr>
              <w:rFonts w:hint="eastAsia" w:ascii="仿宋" w:hAnsi="仿宋" w:eastAsia="仿宋" w:cs="仿宋"/>
              <w:b/>
              <w:bCs/>
              <w:sz w:val="24"/>
              <w:szCs w:val="24"/>
              <w:lang w:val="en-US" w:eastAsia="zh-CN"/>
            </w:rPr>
            <w:t>附件</w:t>
          </w:r>
          <w:r>
            <w:rPr>
              <w:rFonts w:hint="eastAsia" w:ascii="仿宋" w:hAnsi="仿宋" w:eastAsia="仿宋" w:cs="仿宋"/>
              <w:sz w:val="24"/>
              <w:szCs w:val="24"/>
            </w:rPr>
            <w:fldChar w:fldCharType="begin"/>
          </w:r>
          <w:r>
            <w:rPr>
              <w:rFonts w:hint="eastAsia" w:ascii="仿宋" w:hAnsi="仿宋" w:eastAsia="仿宋" w:cs="仿宋"/>
              <w:sz w:val="24"/>
              <w:szCs w:val="24"/>
            </w:rPr>
            <w:instrText xml:space="preserve"> HYPERLINK \l "_Toc15548473" </w:instrText>
          </w:r>
          <w:r>
            <w:rPr>
              <w:rFonts w:hint="eastAsia" w:ascii="仿宋" w:hAnsi="仿宋" w:eastAsia="仿宋" w:cs="仿宋"/>
              <w:sz w:val="24"/>
              <w:szCs w:val="24"/>
            </w:rPr>
            <w:fldChar w:fldCharType="separate"/>
          </w:r>
          <w:r>
            <w:rPr>
              <w:rFonts w:hint="eastAsia" w:ascii="仿宋" w:hAnsi="仿宋" w:eastAsia="仿宋" w:cs="仿宋"/>
              <w:b/>
              <w:sz w:val="24"/>
              <w:szCs w:val="24"/>
            </w:rPr>
            <w:tab/>
          </w:r>
          <w:r>
            <w:rPr>
              <w:rFonts w:hint="eastAsia" w:ascii="仿宋" w:hAnsi="仿宋" w:eastAsia="仿宋" w:cs="仿宋"/>
              <w:b/>
              <w:sz w:val="24"/>
              <w:szCs w:val="24"/>
              <w:lang w:val="en-US" w:eastAsia="zh-CN"/>
            </w:rPr>
            <w:t>1</w:t>
          </w:r>
          <w:r>
            <w:rPr>
              <w:rFonts w:hint="eastAsia" w:ascii="仿宋" w:hAnsi="仿宋" w:eastAsia="仿宋" w:cs="仿宋"/>
              <w:b/>
              <w:sz w:val="24"/>
              <w:szCs w:val="24"/>
            </w:rPr>
            <w:fldChar w:fldCharType="end"/>
          </w:r>
          <w:r>
            <w:rPr>
              <w:rFonts w:hint="eastAsia" w:ascii="仿宋" w:hAnsi="仿宋" w:eastAsia="仿宋" w:cs="仿宋"/>
              <w:b/>
              <w:sz w:val="24"/>
              <w:szCs w:val="24"/>
              <w:lang w:val="en-US" w:eastAsia="zh-CN"/>
            </w:rPr>
            <w:t>2</w:t>
          </w:r>
        </w:p>
        <w:p w14:paraId="63A2ABD1">
          <w:pPr>
            <w:numPr>
              <w:ilvl w:val="0"/>
              <w:numId w:val="0"/>
            </w:numPr>
            <w:spacing w:line="264" w:lineRule="auto"/>
            <w:ind w:left="400" w:leftChars="0"/>
            <w:rPr>
              <w:rFonts w:hint="default" w:ascii="仿宋" w:hAnsi="仿宋" w:eastAsia="仿宋"/>
              <w:b/>
              <w:sz w:val="24"/>
              <w:szCs w:val="24"/>
              <w:lang w:val="en-US" w:eastAsia="zh-CN"/>
            </w:rPr>
          </w:pPr>
          <w:r>
            <w:rPr>
              <w:rFonts w:hint="eastAsia" w:ascii="仿宋" w:hAnsi="仿宋" w:eastAsia="仿宋"/>
              <w:b/>
              <w:bCs/>
              <w:lang w:val="en-US" w:eastAsia="zh-CN"/>
            </w:rPr>
            <w:t xml:space="preserve"> </w:t>
          </w:r>
        </w:p>
        <w:p w14:paraId="67B22BA2">
          <w:pPr>
            <w:spacing w:line="264" w:lineRule="auto"/>
            <w:ind w:firstLine="482"/>
          </w:pPr>
        </w:p>
      </w:sdtContent>
    </w:sdt>
    <w:p w14:paraId="130D99A3">
      <w:pPr>
        <w:adjustRightInd w:val="0"/>
        <w:snapToGrid w:val="0"/>
        <w:spacing w:line="520" w:lineRule="exact"/>
        <w:ind w:firstLine="0" w:firstLineChars="0"/>
        <w:jc w:val="left"/>
        <w:rPr>
          <w:rFonts w:ascii="仿宋_GB2312" w:hAnsi="Arial Narrow" w:cs="Arial Narrow"/>
        </w:rPr>
        <w:sectPr>
          <w:headerReference r:id="rId7" w:type="first"/>
          <w:footerReference r:id="rId10" w:type="first"/>
          <w:headerReference r:id="rId5" w:type="default"/>
          <w:footerReference r:id="rId8" w:type="default"/>
          <w:headerReference r:id="rId6" w:type="even"/>
          <w:footerReference r:id="rId9" w:type="even"/>
          <w:type w:val="continuous"/>
          <w:pgSz w:w="11906" w:h="16838"/>
          <w:pgMar w:top="1361" w:right="1406" w:bottom="1089" w:left="1797" w:header="1361" w:footer="992" w:gutter="0"/>
          <w:pgNumType w:start="0"/>
          <w:cols w:space="720" w:num="1"/>
          <w:docGrid w:type="lines" w:linePitch="408" w:charSpace="0"/>
        </w:sectPr>
      </w:pPr>
    </w:p>
    <w:p w14:paraId="0F8A872E">
      <w:pPr>
        <w:pStyle w:val="2"/>
        <w:jc w:val="center"/>
        <w:rPr>
          <w:rFonts w:ascii="华文宋体" w:hAnsi="华文宋体" w:eastAsia="华文宋体" w:cs="Arial Narrow"/>
          <w:b w:val="0"/>
          <w:sz w:val="36"/>
        </w:rPr>
      </w:pPr>
      <w:bookmarkStart w:id="0" w:name="_Toc14165722"/>
      <w:bookmarkStart w:id="1" w:name="_Toc15548452"/>
      <w:bookmarkStart w:id="2" w:name="_Toc406668024"/>
      <w:bookmarkStart w:id="3" w:name="_Toc406666351"/>
      <w:r>
        <w:rPr>
          <w:rFonts w:hint="eastAsia" w:ascii="华文宋体" w:hAnsi="华文宋体" w:eastAsia="华文宋体" w:cs="Arial Narrow"/>
          <w:sz w:val="36"/>
        </w:rPr>
        <w:t>摘   要</w:t>
      </w:r>
      <w:bookmarkEnd w:id="0"/>
      <w:bookmarkEnd w:id="1"/>
    </w:p>
    <w:p w14:paraId="7C3FB685">
      <w:pPr>
        <w:pStyle w:val="40"/>
        <w:numPr>
          <w:ilvl w:val="0"/>
          <w:numId w:val="1"/>
        </w:numPr>
        <w:ind w:firstLineChars="0"/>
        <w:jc w:val="left"/>
        <w:rPr>
          <w:rFonts w:ascii="仿宋" w:hAnsi="仿宋" w:eastAsia="仿宋" w:cs="Arial Narrow"/>
          <w:b/>
        </w:rPr>
      </w:pPr>
      <w:r>
        <w:rPr>
          <w:rFonts w:hint="eastAsia" w:ascii="仿宋" w:hAnsi="仿宋" w:eastAsia="仿宋" w:cs="Arial Narrow"/>
          <w:b/>
        </w:rPr>
        <w:t>基本情况</w:t>
      </w:r>
    </w:p>
    <w:p w14:paraId="71058C8E">
      <w:pPr>
        <w:ind w:firstLine="482"/>
        <w:jc w:val="left"/>
        <w:rPr>
          <w:rFonts w:ascii="仿宋" w:hAnsi="仿宋" w:eastAsia="仿宋" w:cs="Arial Narrow"/>
          <w:b/>
        </w:rPr>
      </w:pPr>
      <w:r>
        <w:rPr>
          <w:rFonts w:hint="eastAsia" w:ascii="仿宋" w:hAnsi="仿宋" w:eastAsia="仿宋" w:cs="Arial Narrow"/>
          <w:b/>
        </w:rPr>
        <w:t xml:space="preserve">（一）项目基本情况  </w:t>
      </w:r>
    </w:p>
    <w:p w14:paraId="2CF1E06B">
      <w:pPr>
        <w:spacing w:line="264" w:lineRule="auto"/>
        <w:ind w:firstLine="480"/>
        <w:jc w:val="left"/>
        <w:rPr>
          <w:rFonts w:ascii="仿宋" w:hAnsi="仿宋" w:eastAsia="仿宋" w:cs="Arial Narrow"/>
        </w:rPr>
      </w:pPr>
      <w:r>
        <w:rPr>
          <w:rFonts w:hint="eastAsia" w:ascii="仿宋" w:hAnsi="仿宋" w:eastAsia="仿宋" w:cs="Arial Narrow"/>
        </w:rPr>
        <w:t>1、项目名称：办公室运行经费</w:t>
      </w:r>
    </w:p>
    <w:p w14:paraId="1F19C4AB">
      <w:pPr>
        <w:spacing w:line="264" w:lineRule="auto"/>
        <w:ind w:firstLine="480"/>
        <w:jc w:val="left"/>
        <w:rPr>
          <w:rFonts w:ascii="仿宋" w:hAnsi="仿宋" w:eastAsia="仿宋" w:cs="Arial Narrow"/>
        </w:rPr>
      </w:pPr>
      <w:r>
        <w:rPr>
          <w:rFonts w:hint="eastAsia" w:ascii="仿宋" w:hAnsi="仿宋" w:eastAsia="仿宋" w:cs="Arial Narrow"/>
        </w:rPr>
        <w:t>2、项目预算金额：5,379,900.00元</w:t>
      </w:r>
    </w:p>
    <w:p w14:paraId="0344102B">
      <w:pPr>
        <w:ind w:firstLine="482"/>
        <w:jc w:val="left"/>
        <w:rPr>
          <w:rFonts w:ascii="仿宋" w:hAnsi="仿宋" w:eastAsia="仿宋" w:cs="Arial Narrow"/>
          <w:b/>
        </w:rPr>
      </w:pPr>
      <w:r>
        <w:rPr>
          <w:rFonts w:hint="eastAsia" w:ascii="仿宋" w:hAnsi="仿宋" w:eastAsia="仿宋" w:cs="Arial Narrow"/>
          <w:b/>
        </w:rPr>
        <w:t>（二）绩效评价工作情况</w:t>
      </w:r>
    </w:p>
    <w:p w14:paraId="1199B18D">
      <w:pPr>
        <w:snapToGrid w:val="0"/>
        <w:ind w:firstLine="480"/>
        <w:rPr>
          <w:rFonts w:ascii="仿宋" w:hAnsi="仿宋" w:eastAsia="仿宋" w:cs="Arial Narrow"/>
        </w:rPr>
      </w:pPr>
      <w:r>
        <w:rPr>
          <w:rFonts w:hint="eastAsia" w:ascii="仿宋" w:hAnsi="仿宋" w:eastAsia="仿宋" w:cs="Arial Narrow"/>
        </w:rPr>
        <w:t>绩效评价原则应当遵循科学规范、公正公开、分级分类及绩效相关的原则，严格执行规定的程序，按照科学可行的要求，采用定量与定性分析相结合的方法，且符合真实、客观、公正的要求，针对具体支出及其产出绩效进行评价；绩效评价指标是指衡量绩效目标实现程度的考核工具，具体分为共性指标和个性指标；绩效评价方法主要采用成本效益分析法、比较法、因素分析法、最低成本法、公评判法及其他评价方法等。</w:t>
      </w:r>
    </w:p>
    <w:p w14:paraId="2808813E">
      <w:pPr>
        <w:ind w:firstLine="0" w:firstLineChars="0"/>
        <w:jc w:val="left"/>
        <w:rPr>
          <w:rFonts w:ascii="仿宋" w:hAnsi="仿宋" w:eastAsia="仿宋" w:cs="Arial Narrow"/>
          <w:b/>
        </w:rPr>
      </w:pPr>
      <w:r>
        <w:rPr>
          <w:rFonts w:hint="eastAsia" w:ascii="仿宋" w:hAnsi="仿宋" w:eastAsia="仿宋" w:cs="Arial Narrow"/>
          <w:b/>
        </w:rPr>
        <w:t xml:space="preserve">二、  </w:t>
      </w:r>
      <w:r>
        <w:rPr>
          <w:rFonts w:ascii="仿宋" w:hAnsi="仿宋" w:eastAsia="仿宋" w:cs="Arial Narrow"/>
          <w:b/>
        </w:rPr>
        <w:t>绩效评价结</w:t>
      </w:r>
      <w:r>
        <w:rPr>
          <w:rFonts w:hint="eastAsia" w:ascii="仿宋" w:hAnsi="仿宋" w:eastAsia="仿宋" w:cs="Arial Narrow"/>
          <w:b/>
        </w:rPr>
        <w:t>论</w:t>
      </w:r>
    </w:p>
    <w:tbl>
      <w:tblPr>
        <w:tblStyle w:val="23"/>
        <w:tblW w:w="8017" w:type="dxa"/>
        <w:tblInd w:w="250" w:type="dxa"/>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Layout w:type="fixed"/>
        <w:tblCellMar>
          <w:top w:w="0" w:type="dxa"/>
          <w:left w:w="108" w:type="dxa"/>
          <w:bottom w:w="0" w:type="dxa"/>
          <w:right w:w="108" w:type="dxa"/>
        </w:tblCellMar>
      </w:tblPr>
      <w:tblGrid>
        <w:gridCol w:w="1897"/>
        <w:gridCol w:w="2044"/>
        <w:gridCol w:w="2038"/>
        <w:gridCol w:w="2038"/>
      </w:tblGrid>
      <w:tr w14:paraId="5932423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1897" w:type="dxa"/>
          </w:tcPr>
          <w:p w14:paraId="4BF6F1C1">
            <w:pPr>
              <w:ind w:firstLine="0" w:firstLineChars="0"/>
              <w:jc w:val="center"/>
              <w:rPr>
                <w:rFonts w:ascii="仿宋" w:hAnsi="仿宋" w:eastAsia="仿宋" w:cs="Arial Narrow"/>
              </w:rPr>
            </w:pPr>
            <w:r>
              <w:rPr>
                <w:rFonts w:hint="eastAsia" w:ascii="仿宋" w:hAnsi="仿宋" w:eastAsia="仿宋" w:cs="Arial Narrow"/>
              </w:rPr>
              <w:t>评价准则</w:t>
            </w:r>
          </w:p>
        </w:tc>
        <w:tc>
          <w:tcPr>
            <w:tcW w:w="2044" w:type="dxa"/>
          </w:tcPr>
          <w:p w14:paraId="53C0C497">
            <w:pPr>
              <w:ind w:firstLine="0" w:firstLineChars="0"/>
              <w:jc w:val="center"/>
              <w:rPr>
                <w:rFonts w:ascii="仿宋" w:hAnsi="仿宋" w:eastAsia="仿宋" w:cs="Arial Narrow"/>
              </w:rPr>
            </w:pPr>
            <w:r>
              <w:rPr>
                <w:rFonts w:hint="eastAsia" w:ascii="仿宋" w:hAnsi="仿宋" w:eastAsia="仿宋" w:cs="Arial Narrow"/>
              </w:rPr>
              <w:t>准则分值</w:t>
            </w:r>
          </w:p>
        </w:tc>
        <w:tc>
          <w:tcPr>
            <w:tcW w:w="2038" w:type="dxa"/>
          </w:tcPr>
          <w:p w14:paraId="60E92E1A">
            <w:pPr>
              <w:ind w:firstLine="0" w:firstLineChars="0"/>
              <w:jc w:val="center"/>
              <w:rPr>
                <w:rFonts w:ascii="仿宋" w:hAnsi="仿宋" w:eastAsia="仿宋" w:cs="Arial Narrow"/>
              </w:rPr>
            </w:pPr>
            <w:r>
              <w:rPr>
                <w:rFonts w:hint="eastAsia" w:ascii="仿宋" w:hAnsi="仿宋" w:eastAsia="仿宋" w:cs="Arial Narrow"/>
              </w:rPr>
              <w:t>评价得分</w:t>
            </w:r>
          </w:p>
        </w:tc>
        <w:tc>
          <w:tcPr>
            <w:tcW w:w="2038" w:type="dxa"/>
          </w:tcPr>
          <w:p w14:paraId="0941CD2F">
            <w:pPr>
              <w:ind w:firstLine="0" w:firstLineChars="0"/>
              <w:jc w:val="center"/>
              <w:rPr>
                <w:rFonts w:ascii="仿宋" w:hAnsi="仿宋" w:eastAsia="仿宋" w:cs="Arial Narrow"/>
              </w:rPr>
            </w:pPr>
            <w:r>
              <w:rPr>
                <w:rFonts w:hint="eastAsia" w:ascii="仿宋" w:hAnsi="仿宋" w:eastAsia="仿宋" w:cs="Arial Narrow"/>
              </w:rPr>
              <w:t>评价等级</w:t>
            </w:r>
          </w:p>
        </w:tc>
      </w:tr>
      <w:tr w14:paraId="5227B6D2">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592" w:hRule="atLeast"/>
        </w:trPr>
        <w:tc>
          <w:tcPr>
            <w:tcW w:w="1897" w:type="dxa"/>
          </w:tcPr>
          <w:p w14:paraId="28AA543E">
            <w:pPr>
              <w:ind w:firstLine="0" w:firstLineChars="0"/>
              <w:jc w:val="center"/>
              <w:rPr>
                <w:rFonts w:ascii="仿宋" w:hAnsi="仿宋" w:eastAsia="仿宋" w:cs="Arial Narrow"/>
              </w:rPr>
            </w:pPr>
            <w:r>
              <w:rPr>
                <w:rFonts w:hint="eastAsia" w:ascii="仿宋" w:hAnsi="仿宋" w:eastAsia="仿宋" w:cs="Arial Narrow"/>
              </w:rPr>
              <w:t>投入</w:t>
            </w:r>
          </w:p>
        </w:tc>
        <w:tc>
          <w:tcPr>
            <w:tcW w:w="2044" w:type="dxa"/>
          </w:tcPr>
          <w:p w14:paraId="56C81B23">
            <w:pPr>
              <w:ind w:firstLine="0" w:firstLineChars="0"/>
              <w:jc w:val="center"/>
              <w:rPr>
                <w:rFonts w:ascii="仿宋" w:hAnsi="仿宋" w:eastAsia="仿宋" w:cs="Arial Narrow"/>
              </w:rPr>
            </w:pPr>
            <w:r>
              <w:rPr>
                <w:rFonts w:hint="eastAsia" w:ascii="仿宋" w:hAnsi="仿宋" w:eastAsia="仿宋" w:cs="Arial Narrow"/>
              </w:rPr>
              <w:t>16分</w:t>
            </w:r>
          </w:p>
        </w:tc>
        <w:tc>
          <w:tcPr>
            <w:tcW w:w="2038" w:type="dxa"/>
          </w:tcPr>
          <w:p w14:paraId="7C386709">
            <w:pPr>
              <w:ind w:firstLine="0" w:firstLineChars="0"/>
              <w:jc w:val="center"/>
              <w:rPr>
                <w:rFonts w:ascii="仿宋" w:hAnsi="仿宋" w:eastAsia="仿宋" w:cs="Arial Narrow"/>
              </w:rPr>
            </w:pPr>
            <w:r>
              <w:rPr>
                <w:rFonts w:hint="eastAsia" w:ascii="仿宋" w:hAnsi="仿宋" w:eastAsia="仿宋" w:cs="Arial Narrow"/>
              </w:rPr>
              <w:t>15分</w:t>
            </w:r>
          </w:p>
        </w:tc>
        <w:tc>
          <w:tcPr>
            <w:tcW w:w="2038" w:type="dxa"/>
          </w:tcPr>
          <w:p w14:paraId="515B2392">
            <w:pPr>
              <w:ind w:firstLine="0" w:firstLineChars="0"/>
              <w:jc w:val="center"/>
              <w:rPr>
                <w:rFonts w:ascii="仿宋" w:hAnsi="仿宋" w:eastAsia="仿宋" w:cs="Arial Narrow"/>
              </w:rPr>
            </w:pPr>
            <w:r>
              <w:rPr>
                <w:rFonts w:ascii="仿宋" w:hAnsi="仿宋" w:eastAsia="仿宋" w:cs="Arial Narrow"/>
              </w:rPr>
              <w:t>优</w:t>
            </w:r>
          </w:p>
        </w:tc>
      </w:tr>
      <w:tr w14:paraId="3F7162D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403" w:hRule="atLeast"/>
        </w:trPr>
        <w:tc>
          <w:tcPr>
            <w:tcW w:w="1897" w:type="dxa"/>
          </w:tcPr>
          <w:p w14:paraId="7BAA2F46">
            <w:pPr>
              <w:ind w:firstLine="0" w:firstLineChars="0"/>
              <w:jc w:val="center"/>
              <w:rPr>
                <w:rFonts w:ascii="仿宋" w:hAnsi="仿宋" w:eastAsia="仿宋" w:cs="Arial Narrow"/>
              </w:rPr>
            </w:pPr>
            <w:r>
              <w:rPr>
                <w:rFonts w:hint="eastAsia" w:ascii="仿宋" w:hAnsi="仿宋" w:eastAsia="仿宋" w:cs="Arial Narrow"/>
              </w:rPr>
              <w:t>过程</w:t>
            </w:r>
          </w:p>
        </w:tc>
        <w:tc>
          <w:tcPr>
            <w:tcW w:w="2044" w:type="dxa"/>
          </w:tcPr>
          <w:p w14:paraId="0F215044">
            <w:pPr>
              <w:ind w:firstLine="0" w:firstLineChars="0"/>
              <w:jc w:val="center"/>
              <w:rPr>
                <w:rFonts w:ascii="仿宋" w:hAnsi="仿宋" w:eastAsia="仿宋" w:cs="Arial Narrow"/>
              </w:rPr>
            </w:pPr>
            <w:r>
              <w:rPr>
                <w:rFonts w:hint="eastAsia" w:ascii="仿宋" w:hAnsi="仿宋" w:eastAsia="仿宋" w:cs="Arial Narrow"/>
              </w:rPr>
              <w:t>24分</w:t>
            </w:r>
          </w:p>
        </w:tc>
        <w:tc>
          <w:tcPr>
            <w:tcW w:w="2038" w:type="dxa"/>
          </w:tcPr>
          <w:p w14:paraId="7C843684">
            <w:pPr>
              <w:ind w:firstLine="0" w:firstLineChars="0"/>
              <w:jc w:val="center"/>
              <w:rPr>
                <w:rFonts w:ascii="仿宋" w:hAnsi="仿宋" w:eastAsia="仿宋" w:cs="Arial Narrow"/>
              </w:rPr>
            </w:pPr>
            <w:r>
              <w:rPr>
                <w:rFonts w:hint="eastAsia" w:ascii="仿宋" w:hAnsi="仿宋" w:eastAsia="仿宋" w:cs="Arial Narrow"/>
              </w:rPr>
              <w:t>23分</w:t>
            </w:r>
          </w:p>
        </w:tc>
        <w:tc>
          <w:tcPr>
            <w:tcW w:w="2038" w:type="dxa"/>
          </w:tcPr>
          <w:p w14:paraId="2F6CBBC0">
            <w:pPr>
              <w:ind w:firstLine="0" w:firstLineChars="0"/>
              <w:jc w:val="center"/>
              <w:rPr>
                <w:rFonts w:ascii="仿宋" w:hAnsi="仿宋" w:eastAsia="仿宋" w:cs="Arial Narrow"/>
              </w:rPr>
            </w:pPr>
            <w:r>
              <w:rPr>
                <w:rFonts w:ascii="仿宋" w:hAnsi="仿宋" w:eastAsia="仿宋" w:cs="Arial Narrow"/>
              </w:rPr>
              <w:t>优</w:t>
            </w:r>
          </w:p>
        </w:tc>
      </w:tr>
      <w:tr w14:paraId="13F8128E">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1897" w:type="dxa"/>
          </w:tcPr>
          <w:p w14:paraId="7DF28C3F">
            <w:pPr>
              <w:ind w:firstLine="0" w:firstLineChars="0"/>
              <w:jc w:val="center"/>
              <w:rPr>
                <w:rFonts w:ascii="仿宋" w:hAnsi="仿宋" w:eastAsia="仿宋" w:cs="Arial Narrow"/>
              </w:rPr>
            </w:pPr>
            <w:r>
              <w:rPr>
                <w:rFonts w:hint="eastAsia" w:ascii="仿宋" w:hAnsi="仿宋" w:eastAsia="仿宋" w:cs="Arial Narrow"/>
              </w:rPr>
              <w:t>产出</w:t>
            </w:r>
          </w:p>
        </w:tc>
        <w:tc>
          <w:tcPr>
            <w:tcW w:w="2044" w:type="dxa"/>
          </w:tcPr>
          <w:p w14:paraId="53E6D154">
            <w:pPr>
              <w:ind w:firstLine="0" w:firstLineChars="0"/>
              <w:jc w:val="center"/>
              <w:rPr>
                <w:rFonts w:ascii="仿宋" w:hAnsi="仿宋" w:eastAsia="仿宋" w:cs="Arial Narrow"/>
              </w:rPr>
            </w:pPr>
            <w:r>
              <w:rPr>
                <w:rFonts w:hint="eastAsia" w:ascii="仿宋" w:hAnsi="仿宋" w:eastAsia="仿宋" w:cs="Arial Narrow"/>
              </w:rPr>
              <w:t>28分</w:t>
            </w:r>
          </w:p>
        </w:tc>
        <w:tc>
          <w:tcPr>
            <w:tcW w:w="2038" w:type="dxa"/>
          </w:tcPr>
          <w:p w14:paraId="0A9605F1">
            <w:pPr>
              <w:ind w:firstLine="0" w:firstLineChars="0"/>
              <w:jc w:val="center"/>
              <w:rPr>
                <w:rFonts w:ascii="仿宋" w:hAnsi="仿宋" w:eastAsia="仿宋" w:cs="Arial Narrow"/>
              </w:rPr>
            </w:pPr>
            <w:r>
              <w:rPr>
                <w:rFonts w:hint="eastAsia" w:ascii="仿宋" w:hAnsi="仿宋" w:eastAsia="仿宋" w:cs="Arial Narrow"/>
              </w:rPr>
              <w:t>26分</w:t>
            </w:r>
          </w:p>
        </w:tc>
        <w:tc>
          <w:tcPr>
            <w:tcW w:w="2038" w:type="dxa"/>
          </w:tcPr>
          <w:p w14:paraId="3C9BD99F">
            <w:pPr>
              <w:ind w:firstLine="0" w:firstLineChars="0"/>
              <w:jc w:val="center"/>
              <w:rPr>
                <w:rFonts w:ascii="仿宋" w:hAnsi="仿宋" w:eastAsia="仿宋" w:cs="Arial Narrow"/>
              </w:rPr>
            </w:pPr>
            <w:r>
              <w:rPr>
                <w:rFonts w:ascii="仿宋" w:hAnsi="仿宋" w:eastAsia="仿宋" w:cs="Arial Narrow"/>
              </w:rPr>
              <w:t>优</w:t>
            </w:r>
          </w:p>
        </w:tc>
      </w:tr>
      <w:tr w14:paraId="699A720A">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1897" w:type="dxa"/>
          </w:tcPr>
          <w:p w14:paraId="5F4779AB">
            <w:pPr>
              <w:ind w:firstLine="0" w:firstLineChars="0"/>
              <w:jc w:val="center"/>
              <w:rPr>
                <w:rFonts w:ascii="仿宋" w:hAnsi="仿宋" w:eastAsia="仿宋" w:cs="Arial Narrow"/>
              </w:rPr>
            </w:pPr>
            <w:r>
              <w:rPr>
                <w:rFonts w:hint="eastAsia" w:ascii="仿宋" w:hAnsi="仿宋" w:eastAsia="仿宋" w:cs="Arial Narrow"/>
              </w:rPr>
              <w:t>效果</w:t>
            </w:r>
          </w:p>
        </w:tc>
        <w:tc>
          <w:tcPr>
            <w:tcW w:w="2044" w:type="dxa"/>
          </w:tcPr>
          <w:p w14:paraId="58D0D22B">
            <w:pPr>
              <w:ind w:firstLine="0" w:firstLineChars="0"/>
              <w:jc w:val="center"/>
              <w:rPr>
                <w:rFonts w:ascii="仿宋" w:hAnsi="仿宋" w:eastAsia="仿宋" w:cs="Arial Narrow"/>
              </w:rPr>
            </w:pPr>
            <w:r>
              <w:rPr>
                <w:rFonts w:hint="eastAsia" w:ascii="仿宋" w:hAnsi="仿宋" w:eastAsia="仿宋" w:cs="Arial Narrow"/>
              </w:rPr>
              <w:t>32分</w:t>
            </w:r>
          </w:p>
        </w:tc>
        <w:tc>
          <w:tcPr>
            <w:tcW w:w="2038" w:type="dxa"/>
          </w:tcPr>
          <w:p w14:paraId="69A1378F">
            <w:pPr>
              <w:ind w:firstLine="0" w:firstLineChars="0"/>
              <w:jc w:val="center"/>
              <w:rPr>
                <w:rFonts w:ascii="仿宋" w:hAnsi="仿宋" w:eastAsia="仿宋" w:cs="Arial Narrow"/>
              </w:rPr>
            </w:pPr>
            <w:r>
              <w:rPr>
                <w:rFonts w:hint="eastAsia" w:ascii="仿宋" w:hAnsi="仿宋" w:eastAsia="仿宋" w:cs="Arial Narrow"/>
              </w:rPr>
              <w:t>26分</w:t>
            </w:r>
          </w:p>
        </w:tc>
        <w:tc>
          <w:tcPr>
            <w:tcW w:w="2038" w:type="dxa"/>
          </w:tcPr>
          <w:p w14:paraId="147BF835">
            <w:pPr>
              <w:ind w:firstLine="0" w:firstLineChars="0"/>
              <w:jc w:val="center"/>
              <w:rPr>
                <w:rFonts w:ascii="仿宋" w:hAnsi="仿宋" w:eastAsia="仿宋" w:cs="Arial Narrow"/>
              </w:rPr>
            </w:pPr>
            <w:r>
              <w:rPr>
                <w:rFonts w:ascii="仿宋" w:hAnsi="仿宋" w:eastAsia="仿宋" w:cs="Arial Narrow"/>
              </w:rPr>
              <w:t>良</w:t>
            </w:r>
          </w:p>
        </w:tc>
      </w:tr>
      <w:tr w14:paraId="273868A8">
        <w:tblPrEx>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CellMar>
            <w:top w:w="0" w:type="dxa"/>
            <w:left w:w="108" w:type="dxa"/>
            <w:bottom w:w="0" w:type="dxa"/>
            <w:right w:w="108" w:type="dxa"/>
          </w:tblCellMar>
        </w:tblPrEx>
        <w:trPr>
          <w:trHeight w:val="304" w:hRule="atLeast"/>
        </w:trPr>
        <w:tc>
          <w:tcPr>
            <w:tcW w:w="1897" w:type="dxa"/>
          </w:tcPr>
          <w:p w14:paraId="74480999">
            <w:pPr>
              <w:ind w:firstLine="0" w:firstLineChars="0"/>
              <w:jc w:val="center"/>
              <w:rPr>
                <w:rFonts w:ascii="仿宋" w:hAnsi="仿宋" w:eastAsia="仿宋" w:cs="Arial Narrow"/>
              </w:rPr>
            </w:pPr>
            <w:r>
              <w:rPr>
                <w:rFonts w:hint="eastAsia" w:ascii="仿宋" w:hAnsi="仿宋" w:eastAsia="仿宋" w:cs="Arial Narrow"/>
              </w:rPr>
              <w:t>综合绩效</w:t>
            </w:r>
          </w:p>
        </w:tc>
        <w:tc>
          <w:tcPr>
            <w:tcW w:w="2044" w:type="dxa"/>
          </w:tcPr>
          <w:p w14:paraId="5B8AA815">
            <w:pPr>
              <w:ind w:firstLine="0" w:firstLineChars="0"/>
              <w:jc w:val="center"/>
              <w:rPr>
                <w:rFonts w:ascii="仿宋" w:hAnsi="仿宋" w:eastAsia="仿宋" w:cs="Arial Narrow"/>
              </w:rPr>
            </w:pPr>
            <w:r>
              <w:rPr>
                <w:rFonts w:hint="eastAsia" w:ascii="仿宋" w:hAnsi="仿宋" w:eastAsia="仿宋" w:cs="Arial Narrow"/>
              </w:rPr>
              <w:t>100分</w:t>
            </w:r>
          </w:p>
        </w:tc>
        <w:tc>
          <w:tcPr>
            <w:tcW w:w="2038" w:type="dxa"/>
          </w:tcPr>
          <w:p w14:paraId="7E916764">
            <w:pPr>
              <w:ind w:firstLine="0" w:firstLineChars="0"/>
              <w:jc w:val="center"/>
              <w:rPr>
                <w:rFonts w:ascii="仿宋" w:hAnsi="仿宋" w:eastAsia="仿宋" w:cs="Arial Narrow"/>
              </w:rPr>
            </w:pPr>
            <w:r>
              <w:rPr>
                <w:rFonts w:hint="eastAsia" w:ascii="仿宋" w:hAnsi="仿宋" w:eastAsia="仿宋" w:cs="Arial Narrow"/>
              </w:rPr>
              <w:t>90分</w:t>
            </w:r>
          </w:p>
        </w:tc>
        <w:tc>
          <w:tcPr>
            <w:tcW w:w="2038" w:type="dxa"/>
          </w:tcPr>
          <w:p w14:paraId="34D637B8">
            <w:pPr>
              <w:ind w:firstLine="0" w:firstLineChars="0"/>
              <w:jc w:val="center"/>
              <w:rPr>
                <w:rFonts w:ascii="仿宋" w:hAnsi="仿宋" w:eastAsia="仿宋" w:cs="Arial Narrow"/>
              </w:rPr>
            </w:pPr>
            <w:r>
              <w:rPr>
                <w:rFonts w:ascii="仿宋" w:hAnsi="仿宋" w:eastAsia="仿宋" w:cs="Arial Narrow"/>
              </w:rPr>
              <w:t>优</w:t>
            </w:r>
          </w:p>
        </w:tc>
      </w:tr>
    </w:tbl>
    <w:p w14:paraId="51D5F8FA">
      <w:pPr>
        <w:ind w:firstLine="0" w:firstLineChars="0"/>
        <w:jc w:val="left"/>
        <w:rPr>
          <w:rFonts w:ascii="仿宋" w:hAnsi="仿宋" w:eastAsia="仿宋" w:cs="Arial Narrow"/>
          <w:b/>
          <w:sz w:val="28"/>
        </w:rPr>
      </w:pPr>
    </w:p>
    <w:p w14:paraId="734CC8AA">
      <w:pPr>
        <w:ind w:firstLine="0" w:firstLineChars="0"/>
        <w:rPr>
          <w:rFonts w:ascii="仿宋" w:hAnsi="仿宋" w:eastAsia="仿宋" w:cs="Arial Narrow"/>
          <w:b/>
        </w:rPr>
      </w:pPr>
      <w:r>
        <w:rPr>
          <w:rFonts w:hint="eastAsia" w:ascii="Arial Narrow" w:hAnsi="Arial Narrow" w:cs="Arial Narrow"/>
          <w:b/>
        </w:rPr>
        <w:t>三、项目经验与问题</w:t>
      </w:r>
    </w:p>
    <w:p w14:paraId="4D678C03">
      <w:pPr>
        <w:snapToGrid w:val="0"/>
        <w:ind w:firstLine="480"/>
        <w:rPr>
          <w:rFonts w:ascii="仿宋" w:hAnsi="仿宋" w:eastAsia="仿宋" w:cs="Arial Narrow"/>
        </w:rPr>
      </w:pPr>
      <w:r>
        <w:rPr>
          <w:rFonts w:hint="eastAsia" w:ascii="仿宋" w:hAnsi="仿宋" w:eastAsia="仿宋" w:cs="Arial Narrow"/>
        </w:rPr>
        <w:t xml:space="preserve">1、经验  </w:t>
      </w:r>
    </w:p>
    <w:p w14:paraId="7F0F9A17">
      <w:pPr>
        <w:snapToGrid w:val="0"/>
        <w:ind w:firstLine="480"/>
        <w:rPr>
          <w:rFonts w:ascii="仿宋" w:hAnsi="仿宋" w:eastAsia="仿宋" w:cs="Arial Narrow"/>
        </w:rPr>
      </w:pPr>
      <w:r>
        <w:rPr>
          <w:rFonts w:hint="eastAsia" w:ascii="仿宋" w:hAnsi="仿宋" w:eastAsia="仿宋" w:cs="Arial Narrow"/>
        </w:rPr>
        <w:t>全面加强了党的领导和党的建设。一是积极发挥党组织核心引领作用。学习贯彻习近平新时代中国特色社会主义思想和党的十九大精神，把加强党建工作贯穿到招商引资、项目建设全过程，突出基层党组织战斗堡垒和党员先锋模范作用。推动“两新组织”党建工作，实现了非公企业党建全覆盖。以抓党建带动了工会、共青团、妇联等群团组织建设,营造了齐抓共建的党建氛围。二是落实全面从严治党主体责任。牢固树立“四个意识”，深入推进党风廉政建设和作风建设，充分发挥内部管理和外部监督的作用，深入开展自查自纠，在企业、工地进行实地走访调研，利用自己找、企业提、互相查、领导点、组织评等方式，深入查找园区各项工作中存在的廉政风险点，制定了详尽全面的《内控制度》，规范人财物事管理，不断强化廉政风险防控，为园区经济建设和社会稳定营造了风清气正的发展环境。</w:t>
      </w:r>
    </w:p>
    <w:p w14:paraId="33A26BFA">
      <w:pPr>
        <w:snapToGrid w:val="0"/>
        <w:ind w:firstLine="480"/>
        <w:rPr>
          <w:rFonts w:ascii="仿宋" w:hAnsi="仿宋" w:eastAsia="仿宋" w:cs="Arial Narrow"/>
        </w:rPr>
      </w:pPr>
      <w:r>
        <w:rPr>
          <w:rFonts w:hint="eastAsia" w:ascii="仿宋" w:hAnsi="仿宋" w:eastAsia="仿宋" w:cs="Arial Narrow"/>
        </w:rPr>
        <w:t>2、问题</w:t>
      </w:r>
    </w:p>
    <w:p w14:paraId="709B1B0A">
      <w:pPr>
        <w:snapToGrid w:val="0"/>
        <w:ind w:firstLine="480"/>
        <w:rPr>
          <w:rFonts w:ascii="仿宋" w:hAnsi="仿宋" w:eastAsia="仿宋" w:cs="Arial Narrow"/>
        </w:rPr>
      </w:pPr>
      <w:r>
        <w:rPr>
          <w:rFonts w:hint="eastAsia" w:ascii="仿宋" w:hAnsi="仿宋" w:eastAsia="仿宋" w:cs="Arial Narrow"/>
        </w:rPr>
        <w:t>（1）目标体系不完善。项目单位设定了年度目标和绩效指标，但在设置指标时将各项工作内容糅合成一个绩效指标，使得指标内容过于笼统，不利于工作的绩效考核，使得一些绩效指标不具有可测性。</w:t>
      </w:r>
    </w:p>
    <w:p w14:paraId="7AF62894">
      <w:pPr>
        <w:snapToGrid w:val="0"/>
        <w:ind w:firstLine="480"/>
        <w:rPr>
          <w:rFonts w:ascii="仿宋" w:hAnsi="仿宋" w:eastAsia="仿宋" w:cs="Arial Narrow"/>
        </w:rPr>
      </w:pPr>
      <w:r>
        <w:rPr>
          <w:rFonts w:hint="eastAsia" w:ascii="仿宋" w:hAnsi="仿宋" w:eastAsia="仿宋" w:cs="Arial Narrow"/>
        </w:rPr>
        <w:t>（2）项目资金使用率偏低。2018年下达的项目预算资金为5,379,900.00元，该项目实际支出为</w:t>
      </w:r>
      <w:r>
        <w:rPr>
          <w:rFonts w:ascii="仿宋" w:hAnsi="仿宋" w:eastAsia="仿宋" w:cs="Arial Narrow"/>
        </w:rPr>
        <w:t>4,687,500.08</w:t>
      </w:r>
      <w:r>
        <w:rPr>
          <w:rFonts w:hint="eastAsia" w:ascii="仿宋" w:hAnsi="仿宋" w:eastAsia="仿宋" w:cs="Arial Narrow"/>
        </w:rPr>
        <w:t>元，资金使用率为87.13%。</w:t>
      </w:r>
    </w:p>
    <w:p w14:paraId="38329436">
      <w:pPr>
        <w:snapToGrid w:val="0"/>
        <w:ind w:firstLine="480"/>
        <w:rPr>
          <w:rFonts w:ascii="仿宋" w:hAnsi="仿宋" w:eastAsia="仿宋" w:cs="Arial Narrow"/>
        </w:rPr>
      </w:pPr>
      <w:r>
        <w:rPr>
          <w:rFonts w:hint="eastAsia" w:ascii="仿宋" w:hAnsi="仿宋" w:eastAsia="仿宋" w:cs="Arial Narrow"/>
        </w:rPr>
        <w:t>（3）项目经费变动率较大。项目经费变动率较大。2018年办公运行经费实际支出4,687,500.08元，2017年的办公运行经费实际支出1,741,258.55元，办公运行经费变动率为169.20%。</w:t>
      </w:r>
    </w:p>
    <w:p w14:paraId="0649F607">
      <w:pPr>
        <w:ind w:firstLine="0" w:firstLineChars="0"/>
        <w:rPr>
          <w:rFonts w:ascii="Arial Narrow" w:hAnsi="Arial Narrow" w:cs="Arial Narrow"/>
          <w:b/>
        </w:rPr>
      </w:pPr>
      <w:r>
        <w:rPr>
          <w:rFonts w:hint="eastAsia" w:ascii="Arial Narrow" w:hAnsi="Arial Narrow" w:cs="Arial Narrow"/>
          <w:b/>
        </w:rPr>
        <w:t>四、建议</w:t>
      </w:r>
    </w:p>
    <w:p w14:paraId="60D71B5A">
      <w:pPr>
        <w:snapToGrid w:val="0"/>
        <w:ind w:firstLine="480"/>
        <w:rPr>
          <w:rFonts w:ascii="仿宋" w:hAnsi="仿宋" w:eastAsia="仿宋" w:cs="Arial Narrow"/>
        </w:rPr>
      </w:pPr>
      <w:r>
        <w:rPr>
          <w:rFonts w:hint="eastAsia" w:ascii="仿宋" w:hAnsi="仿宋" w:eastAsia="仿宋" w:cs="Arial Narrow"/>
        </w:rPr>
        <w:t>1、完善目标体系。建议项目实施单位根据项目文件要求设置项目中长期目标，并将中长期目标分解成年度目标；年度目标细化成具体的绩效指标，细化指标体系，可避免将多项内容糅合为一个指标的情况，使得各项指标清晰可测，促进绩效评价工作的规范化。</w:t>
      </w:r>
    </w:p>
    <w:p w14:paraId="191C8069">
      <w:pPr>
        <w:snapToGrid w:val="0"/>
        <w:ind w:firstLine="480"/>
        <w:rPr>
          <w:rFonts w:ascii="仿宋" w:hAnsi="仿宋" w:eastAsia="仿宋" w:cs="Arial Narrow"/>
        </w:rPr>
      </w:pPr>
      <w:r>
        <w:rPr>
          <w:rFonts w:hint="eastAsia" w:ascii="仿宋" w:hAnsi="仿宋" w:eastAsia="仿宋" w:cs="Arial Narrow"/>
        </w:rPr>
        <w:t>2、根据项目执行情况及时调整预算。建议项目单位在编制预算前进行必要的可行性研究，在充分听取专家建议并进行集体决策的基础上进行预算编制并设立科学合理的绩效指标值，同时在执行过程中，结合项目的具体情况，据此科学合理地适度安排本年度项目预算资金。做到项目实施内容与项目预算资金相匹配，便于项目的绩效管理。</w:t>
      </w:r>
    </w:p>
    <w:bookmarkEnd w:id="2"/>
    <w:bookmarkEnd w:id="3"/>
    <w:p w14:paraId="772ACBCC">
      <w:pPr>
        <w:snapToGrid w:val="0"/>
        <w:ind w:firstLine="480"/>
        <w:jc w:val="left"/>
        <w:rPr>
          <w:rFonts w:ascii="仿宋_GB2312" w:hAnsi="Arial Narrow" w:cs="Arial Narrow"/>
        </w:rPr>
      </w:pPr>
    </w:p>
    <w:p w14:paraId="7D7D9994">
      <w:pPr>
        <w:widowControl/>
        <w:spacing w:line="240" w:lineRule="auto"/>
        <w:ind w:firstLine="0" w:firstLineChars="0"/>
        <w:jc w:val="left"/>
        <w:rPr>
          <w:rFonts w:ascii="仿宋_GB2312" w:hAnsi="Arial Narrow" w:cs="Arial Narrow"/>
        </w:rPr>
      </w:pPr>
      <w:r>
        <w:rPr>
          <w:rFonts w:ascii="仿宋_GB2312" w:hAnsi="Arial Narrow" w:cs="Arial Narrow"/>
        </w:rPr>
        <w:br w:type="page"/>
      </w:r>
    </w:p>
    <w:p w14:paraId="4462D758">
      <w:pPr>
        <w:snapToGrid w:val="0"/>
        <w:ind w:firstLine="0" w:firstLineChars="0"/>
        <w:outlineLvl w:val="0"/>
        <w:rPr>
          <w:rFonts w:ascii="Arial Narrow" w:hAnsi="Arial Narrow" w:cs="Arial Narrow"/>
          <w:b/>
          <w:bCs/>
        </w:rPr>
      </w:pPr>
      <w:bookmarkStart w:id="4" w:name="_Toc14165723"/>
      <w:bookmarkStart w:id="5" w:name="_Toc15548453"/>
      <w:bookmarkStart w:id="6" w:name="_Toc387957799"/>
      <w:bookmarkStart w:id="7" w:name="_Toc361304672"/>
      <w:bookmarkStart w:id="8" w:name="_Toc387957800"/>
      <w:bookmarkStart w:id="9" w:name="_Toc361304673"/>
      <w:r>
        <w:rPr>
          <w:rFonts w:hint="eastAsia" w:ascii="Arial Narrow" w:hAnsi="Arial Narrow" w:cs="Arial Narrow"/>
          <w:b/>
          <w:bCs/>
        </w:rPr>
        <w:t>一、项目基本情况</w:t>
      </w:r>
      <w:bookmarkEnd w:id="4"/>
      <w:bookmarkEnd w:id="5"/>
    </w:p>
    <w:p w14:paraId="1819C6DB">
      <w:pPr>
        <w:pStyle w:val="4"/>
        <w:ind w:firstLine="482" w:firstLineChars="200"/>
        <w:rPr>
          <w:rFonts w:ascii="Arial Narrow" w:hAnsi="Arial Narrow" w:cs="Arial Narrow"/>
          <w:b w:val="0"/>
          <w:bCs w:val="0"/>
        </w:rPr>
      </w:pPr>
      <w:bookmarkStart w:id="10" w:name="_Toc14165724"/>
      <w:bookmarkStart w:id="11" w:name="_Toc15548454"/>
      <w:r>
        <w:rPr>
          <w:rFonts w:hint="eastAsia" w:ascii="Arial Narrow" w:hAnsi="Arial Narrow" w:cs="Arial Narrow"/>
        </w:rPr>
        <w:t>（一）项目立项背景和依据</w:t>
      </w:r>
      <w:bookmarkEnd w:id="10"/>
      <w:bookmarkEnd w:id="11"/>
    </w:p>
    <w:bookmarkEnd w:id="6"/>
    <w:bookmarkEnd w:id="7"/>
    <w:p w14:paraId="64C90DCA">
      <w:pPr>
        <w:snapToGrid w:val="0"/>
        <w:ind w:firstLine="480"/>
        <w:rPr>
          <w:rFonts w:ascii="仿宋" w:hAnsi="仿宋" w:eastAsia="仿宋" w:cs="Arial Narrow"/>
        </w:rPr>
      </w:pPr>
      <w:bookmarkStart w:id="12" w:name="_Toc14165725"/>
      <w:bookmarkStart w:id="13" w:name="_Toc406666356"/>
      <w:bookmarkStart w:id="14" w:name="_Toc406668030"/>
      <w:bookmarkStart w:id="15" w:name="_Toc361304680"/>
      <w:bookmarkStart w:id="16" w:name="_Toc16351"/>
      <w:r>
        <w:rPr>
          <w:rFonts w:hint="eastAsia" w:ascii="仿宋" w:hAnsi="仿宋" w:eastAsia="仿宋" w:cs="Arial Narrow"/>
        </w:rPr>
        <w:t>1、项目的政策依据：</w:t>
      </w:r>
      <w:r>
        <w:rPr>
          <w:rFonts w:ascii="仿宋" w:hAnsi="仿宋" w:eastAsia="仿宋" w:cs="Arial Narrow"/>
        </w:rPr>
        <w:t>为保障智慧生态城工作的正常运行，推进园区各项工作有序开展，改善工作环境，提升工作质量</w:t>
      </w:r>
      <w:r>
        <w:rPr>
          <w:rFonts w:hint="eastAsia" w:ascii="仿宋" w:hAnsi="仿宋" w:eastAsia="仿宋" w:cs="Arial Narrow"/>
        </w:rPr>
        <w:t>。</w:t>
      </w:r>
    </w:p>
    <w:p w14:paraId="4D09EB51">
      <w:pPr>
        <w:snapToGrid w:val="0"/>
        <w:ind w:firstLine="480"/>
        <w:rPr>
          <w:rFonts w:ascii="仿宋" w:hAnsi="仿宋" w:eastAsia="仿宋" w:cs="Arial Narrow"/>
        </w:rPr>
      </w:pPr>
      <w:r>
        <w:rPr>
          <w:rFonts w:hint="eastAsia" w:ascii="仿宋" w:hAnsi="仿宋" w:eastAsia="仿宋" w:cs="Arial Narrow"/>
        </w:rPr>
        <w:t>2、项目与部门职能的相关性:  贯彻落实区委（政府）工委管委会决策部署提供保障，满足园区基础设施建设、安全生产及招商引资等相关工作的需要。</w:t>
      </w:r>
    </w:p>
    <w:p w14:paraId="20B3685F">
      <w:pPr>
        <w:snapToGrid w:val="0"/>
        <w:ind w:firstLine="480"/>
        <w:rPr>
          <w:rFonts w:ascii="仿宋" w:hAnsi="仿宋" w:eastAsia="仿宋" w:cs="Arial Narrow"/>
        </w:rPr>
      </w:pPr>
      <w:r>
        <w:rPr>
          <w:rFonts w:hint="eastAsia" w:ascii="仿宋" w:hAnsi="仿宋" w:eastAsia="仿宋" w:cs="Arial Narrow"/>
        </w:rPr>
        <w:t>3、项目实施的现实意义：为园区提供运转有序的办公室设施和良好的办公环境，保证园区办各项日常工作正常开展，为员工提供更好的服务，方便员工，以提高工作效率，全面完成上级下达的目标和任务。</w:t>
      </w:r>
    </w:p>
    <w:p w14:paraId="37A3704D">
      <w:pPr>
        <w:pStyle w:val="4"/>
        <w:ind w:firstLine="482" w:firstLineChars="200"/>
        <w:rPr>
          <w:rFonts w:ascii="Arial Narrow" w:hAnsi="Arial Narrow" w:cs="Arial Narrow"/>
          <w:b w:val="0"/>
          <w:bCs w:val="0"/>
        </w:rPr>
      </w:pPr>
      <w:bookmarkStart w:id="17" w:name="_Toc15548455"/>
      <w:r>
        <w:rPr>
          <w:rFonts w:hint="eastAsia" w:ascii="Arial Narrow" w:hAnsi="Arial Narrow" w:cs="Arial Narrow"/>
        </w:rPr>
        <w:t>（二）项目绩效目标</w:t>
      </w:r>
      <w:bookmarkEnd w:id="12"/>
      <w:bookmarkEnd w:id="17"/>
    </w:p>
    <w:bookmarkEnd w:id="13"/>
    <w:bookmarkEnd w:id="14"/>
    <w:bookmarkEnd w:id="15"/>
    <w:bookmarkEnd w:id="16"/>
    <w:p w14:paraId="6B2C19FB">
      <w:pPr>
        <w:snapToGrid w:val="0"/>
        <w:ind w:firstLine="480"/>
        <w:rPr>
          <w:rFonts w:ascii="仿宋" w:hAnsi="仿宋" w:eastAsia="仿宋" w:cs="Arial Narrow"/>
          <w:bCs/>
        </w:rPr>
      </w:pPr>
      <w:bookmarkStart w:id="18" w:name="_Toc14165726"/>
      <w:r>
        <w:rPr>
          <w:rFonts w:hint="eastAsia" w:ascii="仿宋" w:hAnsi="仿宋" w:eastAsia="仿宋" w:cs="Arial Narrow"/>
          <w:bCs/>
        </w:rPr>
        <w:t>保证园区日常工作的正常运行，提高员工的工作效率。</w:t>
      </w:r>
      <w:bookmarkStart w:id="19" w:name="_Toc15548456"/>
    </w:p>
    <w:p w14:paraId="74383C29">
      <w:pPr>
        <w:pStyle w:val="4"/>
        <w:rPr>
          <w:rFonts w:ascii="仿宋" w:hAnsi="仿宋" w:eastAsia="仿宋" w:cs="Arial Narrow"/>
          <w:b w:val="0"/>
        </w:rPr>
      </w:pPr>
      <w:r>
        <w:rPr>
          <w:rFonts w:hint="eastAsia" w:ascii="仿宋" w:hAnsi="仿宋" w:eastAsia="仿宋" w:cs="Arial Narrow"/>
          <w:b w:val="0"/>
        </w:rPr>
        <w:t>（三）</w:t>
      </w:r>
      <w:r>
        <w:rPr>
          <w:rFonts w:hint="eastAsia" w:ascii="仿宋" w:hAnsi="仿宋" w:eastAsia="仿宋" w:cs="Arial Narrow"/>
        </w:rPr>
        <w:t>项目经费来源和使用情况</w:t>
      </w:r>
      <w:bookmarkEnd w:id="18"/>
      <w:bookmarkEnd w:id="19"/>
    </w:p>
    <w:p w14:paraId="29854554">
      <w:pPr>
        <w:snapToGrid w:val="0"/>
        <w:ind w:firstLine="480"/>
        <w:rPr>
          <w:rFonts w:ascii="仿宋" w:hAnsi="仿宋" w:eastAsia="仿宋" w:cs="Arial Narrow"/>
        </w:rPr>
      </w:pPr>
      <w:r>
        <w:rPr>
          <w:rFonts w:hint="eastAsia" w:ascii="仿宋" w:hAnsi="仿宋" w:eastAsia="仿宋" w:cs="Arial Narrow"/>
        </w:rPr>
        <w:t>1、项目资金来源</w:t>
      </w:r>
    </w:p>
    <w:p w14:paraId="3FB3C8DB">
      <w:pPr>
        <w:snapToGrid w:val="0"/>
        <w:ind w:firstLine="480"/>
        <w:rPr>
          <w:rFonts w:ascii="仿宋" w:hAnsi="仿宋" w:eastAsia="仿宋" w:cs="Arial Narrow"/>
        </w:rPr>
      </w:pPr>
      <w:r>
        <w:rPr>
          <w:rFonts w:hint="eastAsia" w:ascii="仿宋" w:hAnsi="仿宋" w:eastAsia="仿宋" w:cs="Arial Narrow"/>
        </w:rPr>
        <w:t>根据武汉经济技术开发区（汉南区）财政局文件《开发区（汉南区）财政局关于批复智慧生态城2018年预算的函》（武经开财预[2018]31号）及项目支出预算表，武汉经济技术开发区智慧生态城管理办公室“办公室运行经费”项目预算批复的年初预算收支为5,379,900.00元，均系财政拨款。</w:t>
      </w:r>
    </w:p>
    <w:p w14:paraId="08D3FC72">
      <w:pPr>
        <w:snapToGrid w:val="0"/>
        <w:ind w:firstLine="480"/>
        <w:rPr>
          <w:rFonts w:ascii="仿宋" w:hAnsi="仿宋" w:eastAsia="仿宋" w:cs="Arial Narrow"/>
        </w:rPr>
      </w:pPr>
      <w:r>
        <w:rPr>
          <w:rFonts w:hint="eastAsia" w:ascii="仿宋" w:hAnsi="仿宋" w:eastAsia="仿宋" w:cs="Arial Narrow"/>
        </w:rPr>
        <w:t>2、项目资金使用概况</w:t>
      </w:r>
    </w:p>
    <w:p w14:paraId="3B9827D3">
      <w:pPr>
        <w:snapToGrid w:val="0"/>
        <w:ind w:firstLine="480"/>
        <w:rPr>
          <w:rFonts w:ascii="仿宋" w:hAnsi="仿宋" w:eastAsia="仿宋" w:cs="Arial Narrow"/>
        </w:rPr>
      </w:pPr>
      <w:r>
        <w:rPr>
          <w:rFonts w:hint="eastAsia" w:ascii="仿宋" w:hAnsi="仿宋" w:eastAsia="仿宋" w:cs="Arial Narrow"/>
        </w:rPr>
        <w:t>截止到绩效评价日，项目计划支出5,379,900.00元，实际支出为</w:t>
      </w:r>
      <w:r>
        <w:rPr>
          <w:rFonts w:ascii="仿宋" w:hAnsi="仿宋" w:eastAsia="仿宋" w:cs="Arial Narrow"/>
        </w:rPr>
        <w:t>4,687,500.08</w:t>
      </w:r>
      <w:r>
        <w:rPr>
          <w:rFonts w:hint="eastAsia" w:ascii="仿宋" w:hAnsi="仿宋" w:eastAsia="仿宋" w:cs="Arial Narrow"/>
        </w:rPr>
        <w:t xml:space="preserve">元。包括办公费 </w:t>
      </w:r>
      <w:r>
        <w:rPr>
          <w:rFonts w:ascii="仿宋" w:hAnsi="仿宋" w:eastAsia="仿宋" w:cs="Arial Narrow"/>
        </w:rPr>
        <w:t>54,730.16</w:t>
      </w:r>
      <w:r>
        <w:rPr>
          <w:rFonts w:hint="eastAsia" w:ascii="仿宋" w:hAnsi="仿宋" w:eastAsia="仿宋" w:cs="Arial Narrow"/>
        </w:rPr>
        <w:t>元，印刷费</w:t>
      </w:r>
      <w:r>
        <w:rPr>
          <w:rFonts w:ascii="仿宋" w:hAnsi="仿宋" w:eastAsia="仿宋" w:cs="Arial Narrow"/>
        </w:rPr>
        <w:t>2,840.00</w:t>
      </w:r>
      <w:r>
        <w:rPr>
          <w:rFonts w:hint="eastAsia" w:ascii="仿宋" w:hAnsi="仿宋" w:eastAsia="仿宋" w:cs="Arial Narrow"/>
        </w:rPr>
        <w:t>元，咨询费</w:t>
      </w:r>
      <w:r>
        <w:rPr>
          <w:rFonts w:ascii="仿宋" w:hAnsi="仿宋" w:eastAsia="仿宋" w:cs="Arial Narrow"/>
        </w:rPr>
        <w:t>18,000.00</w:t>
      </w:r>
      <w:r>
        <w:rPr>
          <w:rFonts w:hint="eastAsia" w:ascii="仿宋" w:hAnsi="仿宋" w:eastAsia="仿宋" w:cs="Arial Narrow"/>
        </w:rPr>
        <w:t>元，手续费200元，水费</w:t>
      </w:r>
      <w:r>
        <w:rPr>
          <w:rFonts w:ascii="仿宋" w:hAnsi="仿宋" w:eastAsia="仿宋" w:cs="Arial Narrow"/>
        </w:rPr>
        <w:t>4,161.85</w:t>
      </w:r>
      <w:r>
        <w:rPr>
          <w:rFonts w:hint="eastAsia" w:ascii="仿宋" w:hAnsi="仿宋" w:eastAsia="仿宋" w:cs="Arial Narrow"/>
        </w:rPr>
        <w:t>元，电费</w:t>
      </w:r>
      <w:r>
        <w:rPr>
          <w:rFonts w:ascii="仿宋" w:hAnsi="仿宋" w:eastAsia="仿宋" w:cs="Arial Narrow"/>
        </w:rPr>
        <w:t>106,257.44</w:t>
      </w:r>
      <w:r>
        <w:rPr>
          <w:rFonts w:hint="eastAsia" w:ascii="仿宋" w:hAnsi="仿宋" w:eastAsia="仿宋" w:cs="Arial Narrow"/>
        </w:rPr>
        <w:t>元，邮电费</w:t>
      </w:r>
      <w:r>
        <w:rPr>
          <w:rFonts w:ascii="仿宋" w:hAnsi="仿宋" w:eastAsia="仿宋" w:cs="Arial Narrow"/>
        </w:rPr>
        <w:t>4,240.13</w:t>
      </w:r>
      <w:r>
        <w:rPr>
          <w:rFonts w:hint="eastAsia" w:ascii="仿宋" w:hAnsi="仿宋" w:eastAsia="仿宋" w:cs="Arial Narrow"/>
        </w:rPr>
        <w:t>元，物业管理费</w:t>
      </w:r>
      <w:r>
        <w:rPr>
          <w:rFonts w:ascii="仿宋" w:hAnsi="仿宋" w:eastAsia="仿宋" w:cs="Arial Narrow"/>
        </w:rPr>
        <w:t>680,000.00</w:t>
      </w:r>
      <w:r>
        <w:rPr>
          <w:rFonts w:hint="eastAsia" w:ascii="仿宋" w:hAnsi="仿宋" w:eastAsia="仿宋" w:cs="Arial Narrow"/>
        </w:rPr>
        <w:t>元，差旅费</w:t>
      </w:r>
      <w:r>
        <w:rPr>
          <w:rFonts w:ascii="仿宋" w:hAnsi="仿宋" w:eastAsia="仿宋" w:cs="Arial Narrow"/>
        </w:rPr>
        <w:t>11,522.00</w:t>
      </w:r>
      <w:r>
        <w:rPr>
          <w:rFonts w:hint="eastAsia" w:ascii="仿宋" w:hAnsi="仿宋" w:eastAsia="仿宋" w:cs="Arial Narrow"/>
        </w:rPr>
        <w:t>元，维修（护）费</w:t>
      </w:r>
      <w:r>
        <w:rPr>
          <w:rFonts w:ascii="仿宋" w:hAnsi="仿宋" w:eastAsia="仿宋" w:cs="Arial Narrow"/>
        </w:rPr>
        <w:t>19,600.00</w:t>
      </w:r>
      <w:r>
        <w:rPr>
          <w:rFonts w:hint="eastAsia" w:ascii="仿宋" w:hAnsi="仿宋" w:eastAsia="仿宋" w:cs="Arial Narrow"/>
        </w:rPr>
        <w:t>元，租赁费</w:t>
      </w:r>
      <w:r>
        <w:rPr>
          <w:rFonts w:ascii="仿宋" w:hAnsi="仿宋" w:eastAsia="仿宋" w:cs="Arial Narrow"/>
        </w:rPr>
        <w:t>670,344.00</w:t>
      </w:r>
      <w:r>
        <w:rPr>
          <w:rFonts w:hint="eastAsia" w:ascii="仿宋" w:hAnsi="仿宋" w:eastAsia="仿宋" w:cs="Arial Narrow"/>
        </w:rPr>
        <w:t>元，培训费</w:t>
      </w:r>
      <w:r>
        <w:rPr>
          <w:rFonts w:ascii="仿宋" w:hAnsi="仿宋" w:eastAsia="仿宋" w:cs="Arial Narrow"/>
        </w:rPr>
        <w:t>2,226.00</w:t>
      </w:r>
      <w:r>
        <w:rPr>
          <w:rFonts w:hint="eastAsia" w:ascii="仿宋" w:hAnsi="仿宋" w:eastAsia="仿宋" w:cs="Arial Narrow"/>
        </w:rPr>
        <w:t>元，劳务费</w:t>
      </w:r>
      <w:r>
        <w:rPr>
          <w:rFonts w:ascii="仿宋" w:hAnsi="仿宋" w:eastAsia="仿宋" w:cs="Arial Narrow"/>
        </w:rPr>
        <w:t>2,809,090.00</w:t>
      </w:r>
      <w:r>
        <w:rPr>
          <w:rFonts w:hint="eastAsia" w:ascii="仿宋" w:hAnsi="仿宋" w:eastAsia="仿宋" w:cs="Arial Narrow"/>
        </w:rPr>
        <w:t>元，委托业务费</w:t>
      </w:r>
      <w:r>
        <w:rPr>
          <w:rFonts w:ascii="仿宋" w:hAnsi="仿宋" w:eastAsia="仿宋" w:cs="Arial Narrow"/>
        </w:rPr>
        <w:t>131,395.00</w:t>
      </w:r>
      <w:r>
        <w:rPr>
          <w:rFonts w:hint="eastAsia" w:ascii="仿宋" w:hAnsi="仿宋" w:eastAsia="仿宋" w:cs="Arial Narrow"/>
        </w:rPr>
        <w:t>元，福利费</w:t>
      </w:r>
      <w:r>
        <w:rPr>
          <w:rFonts w:ascii="仿宋" w:hAnsi="仿宋" w:eastAsia="仿宋" w:cs="Arial Narrow"/>
        </w:rPr>
        <w:t>174,919.50</w:t>
      </w:r>
      <w:r>
        <w:rPr>
          <w:rFonts w:hint="eastAsia" w:ascii="仿宋" w:hAnsi="仿宋" w:eastAsia="仿宋" w:cs="Arial Narrow"/>
        </w:rPr>
        <w:t>元，公务用车运行维护费</w:t>
      </w:r>
      <w:r>
        <w:rPr>
          <w:rFonts w:ascii="仿宋" w:hAnsi="仿宋" w:eastAsia="仿宋" w:cs="Arial Narrow"/>
        </w:rPr>
        <w:t>200.00</w:t>
      </w:r>
      <w:r>
        <w:rPr>
          <w:rFonts w:hint="eastAsia" w:ascii="仿宋" w:hAnsi="仿宋" w:eastAsia="仿宋" w:cs="Arial Narrow"/>
        </w:rPr>
        <w:t>元，资金使用率为87.13%。</w:t>
      </w:r>
    </w:p>
    <w:bookmarkEnd w:id="8"/>
    <w:bookmarkEnd w:id="9"/>
    <w:p w14:paraId="7B402E07">
      <w:pPr>
        <w:pStyle w:val="4"/>
        <w:ind w:firstLine="482" w:firstLineChars="200"/>
        <w:rPr>
          <w:rFonts w:ascii="仿宋" w:hAnsi="仿宋" w:eastAsia="仿宋" w:cs="Arial Narrow"/>
        </w:rPr>
      </w:pPr>
      <w:bookmarkStart w:id="20" w:name="_Toc14165727"/>
      <w:bookmarkStart w:id="21" w:name="_Toc15548457"/>
      <w:r>
        <w:rPr>
          <w:rFonts w:hint="eastAsia" w:ascii="仿宋" w:hAnsi="仿宋" w:eastAsia="仿宋" w:cs="Arial Narrow"/>
        </w:rPr>
        <w:t>（四）项目实施情况</w:t>
      </w:r>
      <w:bookmarkEnd w:id="20"/>
      <w:bookmarkEnd w:id="21"/>
    </w:p>
    <w:p w14:paraId="3AB943EF">
      <w:pPr>
        <w:snapToGrid w:val="0"/>
        <w:ind w:firstLine="480"/>
        <w:rPr>
          <w:rFonts w:ascii="仿宋" w:hAnsi="仿宋" w:eastAsia="仿宋" w:cs="Arial Narrow"/>
        </w:rPr>
      </w:pPr>
      <w:r>
        <w:rPr>
          <w:rFonts w:hint="eastAsia" w:ascii="仿宋" w:hAnsi="仿宋" w:eastAsia="仿宋" w:cs="Arial Narrow"/>
        </w:rPr>
        <w:t>1、项目实施单位：武汉经济技术开发区智慧生态城管理办公室</w:t>
      </w:r>
    </w:p>
    <w:p w14:paraId="3EACAA95">
      <w:pPr>
        <w:snapToGrid w:val="0"/>
        <w:ind w:firstLine="480"/>
        <w:rPr>
          <w:rFonts w:ascii="仿宋" w:hAnsi="仿宋" w:eastAsia="仿宋" w:cs="Arial Narrow"/>
        </w:rPr>
      </w:pPr>
      <w:r>
        <w:rPr>
          <w:rFonts w:hint="eastAsia" w:ascii="仿宋" w:hAnsi="仿宋" w:eastAsia="仿宋" w:cs="Arial Narrow"/>
        </w:rPr>
        <w:t>2、项目主要内容：明确当年申请预算资金的主要投向及工作任务。</w:t>
      </w:r>
      <w:r>
        <w:rPr>
          <w:rFonts w:ascii="Arial Narrow" w:hAnsi="Arial Narrow" w:cs="Arial Narrow"/>
        </w:rPr>
        <w:t>为智慧生态城</w:t>
      </w:r>
      <w:r>
        <w:rPr>
          <w:rFonts w:hint="eastAsia" w:ascii="Arial Narrow" w:hAnsi="Arial Narrow" w:cs="Arial Narrow"/>
        </w:rPr>
        <w:t>提</w:t>
      </w:r>
      <w:r>
        <w:rPr>
          <w:rFonts w:ascii="Arial Narrow" w:hAnsi="Arial Narrow" w:cs="Arial Narrow"/>
        </w:rPr>
        <w:t>供办公场所，确保办公环境的安全与稳定；购置日常办公设备，建立维护网络信息系统；开展园区内的党建工作；发放员工餐补，保障食堂正常运转和员工用餐。</w:t>
      </w:r>
    </w:p>
    <w:p w14:paraId="2A0AD8A8">
      <w:pPr>
        <w:snapToGrid w:val="0"/>
        <w:ind w:firstLine="0" w:firstLineChars="0"/>
        <w:outlineLvl w:val="0"/>
        <w:rPr>
          <w:rFonts w:ascii="仿宋" w:hAnsi="仿宋" w:eastAsia="仿宋" w:cs="Arial Narrow"/>
          <w:b/>
        </w:rPr>
      </w:pPr>
      <w:bookmarkStart w:id="22" w:name="_Toc14165728"/>
      <w:bookmarkStart w:id="23" w:name="_Toc387957806"/>
      <w:bookmarkStart w:id="24" w:name="_Toc14372"/>
      <w:bookmarkStart w:id="25" w:name="_Toc361304681"/>
      <w:bookmarkStart w:id="26" w:name="_Toc406666357"/>
      <w:bookmarkStart w:id="27" w:name="_Toc406668031"/>
      <w:bookmarkStart w:id="28" w:name="_Toc15548458"/>
      <w:r>
        <w:rPr>
          <w:rFonts w:ascii="仿宋" w:hAnsi="仿宋" w:eastAsia="仿宋" w:cs="Arial Narrow"/>
          <w:b/>
        </w:rPr>
        <w:t>二、绩效评价工作情况</w:t>
      </w:r>
      <w:bookmarkEnd w:id="22"/>
      <w:bookmarkEnd w:id="23"/>
      <w:bookmarkEnd w:id="24"/>
      <w:bookmarkEnd w:id="25"/>
      <w:bookmarkEnd w:id="26"/>
      <w:bookmarkEnd w:id="27"/>
      <w:bookmarkEnd w:id="28"/>
      <w:bookmarkStart w:id="29" w:name="_Toc361304682"/>
    </w:p>
    <w:p w14:paraId="731C1FE8">
      <w:pPr>
        <w:snapToGrid w:val="0"/>
        <w:ind w:firstLine="482"/>
        <w:outlineLvl w:val="1"/>
        <w:rPr>
          <w:rFonts w:ascii="仿宋" w:hAnsi="仿宋" w:eastAsia="仿宋" w:cs="Arial Narrow"/>
          <w:b/>
          <w:bCs/>
        </w:rPr>
      </w:pPr>
      <w:bookmarkStart w:id="30" w:name="_Toc387957807"/>
      <w:bookmarkStart w:id="31" w:name="_Toc15548459"/>
      <w:bookmarkStart w:id="32" w:name="_Toc14165729"/>
      <w:bookmarkStart w:id="33" w:name="_Toc406666358"/>
      <w:bookmarkStart w:id="34" w:name="_Toc29064"/>
      <w:bookmarkStart w:id="35" w:name="_Toc406668032"/>
      <w:r>
        <w:rPr>
          <w:rFonts w:ascii="仿宋" w:hAnsi="仿宋" w:eastAsia="仿宋" w:cs="Arial Narrow"/>
          <w:b/>
          <w:bCs/>
        </w:rPr>
        <w:t>（一）绩效评价目</w:t>
      </w:r>
      <w:bookmarkEnd w:id="29"/>
      <w:bookmarkEnd w:id="30"/>
      <w:r>
        <w:rPr>
          <w:rFonts w:ascii="仿宋" w:hAnsi="仿宋" w:eastAsia="仿宋" w:cs="Arial Narrow"/>
          <w:b/>
          <w:bCs/>
        </w:rPr>
        <w:t>的</w:t>
      </w:r>
      <w:bookmarkEnd w:id="31"/>
      <w:bookmarkEnd w:id="32"/>
      <w:bookmarkEnd w:id="33"/>
      <w:bookmarkEnd w:id="34"/>
      <w:bookmarkEnd w:id="35"/>
    </w:p>
    <w:p w14:paraId="1136735D">
      <w:pPr>
        <w:snapToGrid w:val="0"/>
        <w:ind w:firstLine="480"/>
        <w:rPr>
          <w:rFonts w:ascii="仿宋" w:hAnsi="仿宋" w:eastAsia="仿宋" w:cs="Arial Narrow"/>
          <w:bCs/>
        </w:rPr>
      </w:pPr>
      <w:r>
        <w:rPr>
          <w:rFonts w:hint="eastAsia" w:ascii="仿宋" w:hAnsi="仿宋" w:eastAsia="仿宋" w:cs="Arial Narrow"/>
          <w:bCs/>
        </w:rPr>
        <w:t>本次绩效评价的目的是通过对财政专项资金支出的“追踪问效”，考核、评价财政预算中由智慧生态城管理办公室承担的“办公室运行经费”专项支出的实施和运作情况，检验项目支出是否达到预期目标，以提高部门的绩效意识，为规范预算编制管理，优化支出结构，合理配置资源，提高财政资金使用效率和效益提供参考依据。</w:t>
      </w:r>
    </w:p>
    <w:p w14:paraId="4931FD63">
      <w:pPr>
        <w:snapToGrid w:val="0"/>
        <w:ind w:firstLine="482"/>
        <w:jc w:val="left"/>
        <w:outlineLvl w:val="1"/>
        <w:rPr>
          <w:rFonts w:ascii="仿宋" w:hAnsi="仿宋" w:eastAsia="仿宋" w:cs="Arial Narrow"/>
          <w:b/>
          <w:bCs/>
        </w:rPr>
      </w:pPr>
      <w:bookmarkStart w:id="36" w:name="_Toc14165730"/>
      <w:bookmarkStart w:id="37" w:name="_Toc15548460"/>
      <w:bookmarkStart w:id="38" w:name="_Toc32197"/>
      <w:bookmarkStart w:id="39" w:name="_Toc406666359"/>
      <w:bookmarkStart w:id="40" w:name="_Toc406668033"/>
      <w:bookmarkStart w:id="41" w:name="_Toc361304684"/>
      <w:bookmarkStart w:id="42" w:name="_Toc361302025"/>
      <w:bookmarkStart w:id="43" w:name="_Toc387957809"/>
      <w:r>
        <w:rPr>
          <w:rFonts w:ascii="仿宋" w:hAnsi="仿宋" w:eastAsia="仿宋" w:cs="Arial Narrow"/>
          <w:b/>
          <w:bCs/>
        </w:rPr>
        <w:t>（二）绩效评价</w:t>
      </w:r>
      <w:r>
        <w:rPr>
          <w:rFonts w:hint="eastAsia" w:ascii="仿宋" w:hAnsi="仿宋" w:eastAsia="仿宋" w:cs="Arial Narrow"/>
          <w:b/>
          <w:bCs/>
        </w:rPr>
        <w:t>工作</w:t>
      </w:r>
      <w:r>
        <w:rPr>
          <w:rFonts w:ascii="仿宋" w:hAnsi="仿宋" w:eastAsia="仿宋" w:cs="Arial Narrow"/>
          <w:b/>
          <w:bCs/>
        </w:rPr>
        <w:t>过程</w:t>
      </w:r>
      <w:bookmarkEnd w:id="36"/>
      <w:bookmarkEnd w:id="37"/>
      <w:bookmarkEnd w:id="38"/>
    </w:p>
    <w:p w14:paraId="3D3A9F74">
      <w:pPr>
        <w:snapToGrid w:val="0"/>
        <w:ind w:firstLine="480"/>
        <w:jc w:val="left"/>
        <w:rPr>
          <w:rFonts w:ascii="仿宋" w:hAnsi="仿宋" w:eastAsia="仿宋" w:cs="Arial Narrow"/>
          <w:bCs/>
        </w:rPr>
      </w:pPr>
      <w:r>
        <w:rPr>
          <w:rFonts w:hint="eastAsia" w:ascii="仿宋" w:hAnsi="仿宋" w:eastAsia="仿宋" w:cs="Arial Narrow"/>
          <w:bCs/>
        </w:rPr>
        <w:t>1、绩效评价准备阶段</w:t>
      </w:r>
    </w:p>
    <w:p w14:paraId="490C0EA7">
      <w:pPr>
        <w:snapToGrid w:val="0"/>
        <w:ind w:firstLine="480"/>
        <w:jc w:val="left"/>
        <w:rPr>
          <w:rFonts w:ascii="仿宋" w:hAnsi="仿宋" w:eastAsia="仿宋" w:cs="Arial Narrow"/>
          <w:bCs/>
        </w:rPr>
      </w:pPr>
      <w:r>
        <w:rPr>
          <w:rFonts w:hint="eastAsia" w:ascii="仿宋" w:hAnsi="仿宋" w:eastAsia="仿宋" w:cs="Arial Narrow"/>
          <w:bCs/>
        </w:rPr>
        <w:t>确定评价对象。根据下达的绩效评价通知书，制订绩效评价工作方案。</w:t>
      </w:r>
    </w:p>
    <w:p w14:paraId="382B1C92">
      <w:pPr>
        <w:snapToGrid w:val="0"/>
        <w:ind w:firstLine="480"/>
        <w:jc w:val="left"/>
        <w:rPr>
          <w:rFonts w:ascii="仿宋" w:hAnsi="仿宋" w:eastAsia="仿宋" w:cs="Arial Narrow"/>
          <w:bCs/>
        </w:rPr>
      </w:pPr>
      <w:r>
        <w:rPr>
          <w:rFonts w:hint="eastAsia" w:ascii="仿宋" w:hAnsi="仿宋" w:eastAsia="仿宋" w:cs="Arial Narrow"/>
          <w:bCs/>
        </w:rPr>
        <w:t>2、绩效评价实施阶段</w:t>
      </w:r>
    </w:p>
    <w:p w14:paraId="1355B454">
      <w:pPr>
        <w:snapToGrid w:val="0"/>
        <w:ind w:firstLine="480"/>
        <w:jc w:val="left"/>
        <w:rPr>
          <w:rFonts w:ascii="仿宋" w:hAnsi="仿宋" w:eastAsia="仿宋" w:cs="Arial Narrow"/>
          <w:bCs/>
        </w:rPr>
      </w:pPr>
      <w:r>
        <w:rPr>
          <w:rFonts w:hint="eastAsia" w:ascii="仿宋" w:hAnsi="仿宋" w:eastAsia="仿宋" w:cs="Arial Narrow"/>
          <w:bCs/>
        </w:rPr>
        <w:t>（1）拟定评价工作方案；</w:t>
      </w:r>
    </w:p>
    <w:p w14:paraId="208485DD">
      <w:pPr>
        <w:snapToGrid w:val="0"/>
        <w:ind w:firstLine="480"/>
        <w:jc w:val="left"/>
        <w:rPr>
          <w:rFonts w:ascii="仿宋" w:hAnsi="仿宋" w:eastAsia="仿宋" w:cs="Arial Narrow"/>
          <w:bCs/>
        </w:rPr>
      </w:pPr>
      <w:r>
        <w:rPr>
          <w:rFonts w:hint="eastAsia" w:ascii="仿宋" w:hAnsi="仿宋" w:eastAsia="仿宋" w:cs="Arial Narrow"/>
          <w:bCs/>
        </w:rPr>
        <w:t>（2）资料审核；</w:t>
      </w:r>
    </w:p>
    <w:p w14:paraId="397FFDE3">
      <w:pPr>
        <w:snapToGrid w:val="0"/>
        <w:ind w:firstLine="480"/>
        <w:jc w:val="left"/>
        <w:rPr>
          <w:rFonts w:ascii="仿宋" w:hAnsi="仿宋" w:eastAsia="仿宋" w:cs="Arial Narrow"/>
          <w:bCs/>
        </w:rPr>
      </w:pPr>
      <w:r>
        <w:rPr>
          <w:rFonts w:hint="eastAsia" w:ascii="仿宋" w:hAnsi="仿宋" w:eastAsia="仿宋" w:cs="Arial Narrow"/>
          <w:bCs/>
        </w:rPr>
        <w:t>（3）撰写绩效报告；</w:t>
      </w:r>
    </w:p>
    <w:p w14:paraId="4429377D">
      <w:pPr>
        <w:snapToGrid w:val="0"/>
        <w:ind w:firstLine="480"/>
        <w:jc w:val="left"/>
        <w:rPr>
          <w:rFonts w:ascii="仿宋" w:hAnsi="仿宋" w:eastAsia="仿宋" w:cs="Arial Narrow"/>
          <w:bCs/>
        </w:rPr>
      </w:pPr>
      <w:r>
        <w:rPr>
          <w:rFonts w:hint="eastAsia" w:ascii="仿宋" w:hAnsi="仿宋" w:eastAsia="仿宋" w:cs="Arial Narrow"/>
          <w:bCs/>
        </w:rPr>
        <w:t>（4）实施绩效评价。</w:t>
      </w:r>
    </w:p>
    <w:p w14:paraId="528070E2">
      <w:pPr>
        <w:snapToGrid w:val="0"/>
        <w:ind w:firstLine="480"/>
        <w:jc w:val="left"/>
        <w:rPr>
          <w:rFonts w:ascii="仿宋" w:hAnsi="仿宋" w:eastAsia="仿宋" w:cs="Arial Narrow"/>
          <w:bCs/>
        </w:rPr>
      </w:pPr>
      <w:r>
        <w:rPr>
          <w:rFonts w:hint="eastAsia" w:ascii="仿宋" w:hAnsi="仿宋" w:eastAsia="仿宋" w:cs="Arial Narrow"/>
          <w:bCs/>
        </w:rPr>
        <w:t>3、绩效评价总结阶段</w:t>
      </w:r>
    </w:p>
    <w:p w14:paraId="62D488F8">
      <w:pPr>
        <w:snapToGrid w:val="0"/>
        <w:ind w:firstLine="480"/>
        <w:jc w:val="left"/>
        <w:rPr>
          <w:rFonts w:ascii="仿宋" w:hAnsi="仿宋" w:eastAsia="仿宋" w:cs="Arial Narrow"/>
          <w:bCs/>
        </w:rPr>
      </w:pPr>
      <w:r>
        <w:rPr>
          <w:rFonts w:hint="eastAsia" w:ascii="仿宋" w:hAnsi="仿宋" w:eastAsia="仿宋" w:cs="Arial Narrow"/>
          <w:bCs/>
        </w:rPr>
        <w:t>（1）撰写报告；</w:t>
      </w:r>
    </w:p>
    <w:p w14:paraId="296D50E6">
      <w:pPr>
        <w:snapToGrid w:val="0"/>
        <w:ind w:firstLine="480"/>
        <w:jc w:val="left"/>
        <w:rPr>
          <w:rFonts w:ascii="仿宋" w:hAnsi="仿宋" w:eastAsia="仿宋" w:cs="Arial Narrow"/>
          <w:bCs/>
        </w:rPr>
      </w:pPr>
      <w:r>
        <w:rPr>
          <w:rFonts w:hint="eastAsia" w:ascii="仿宋" w:hAnsi="仿宋" w:eastAsia="仿宋" w:cs="Arial Narrow"/>
          <w:bCs/>
        </w:rPr>
        <w:t>（2）提交报告。</w:t>
      </w:r>
    </w:p>
    <w:p w14:paraId="340475AF">
      <w:pPr>
        <w:snapToGrid w:val="0"/>
        <w:ind w:firstLine="482"/>
        <w:jc w:val="left"/>
        <w:outlineLvl w:val="1"/>
        <w:rPr>
          <w:rFonts w:ascii="仿宋" w:hAnsi="仿宋" w:eastAsia="仿宋" w:cs="Arial Narrow"/>
          <w:b/>
        </w:rPr>
      </w:pPr>
      <w:bookmarkStart w:id="44" w:name="_Toc15548461"/>
      <w:bookmarkStart w:id="45" w:name="_Toc14165731"/>
      <w:r>
        <w:rPr>
          <w:rFonts w:hint="eastAsia" w:ascii="仿宋" w:hAnsi="仿宋" w:eastAsia="仿宋" w:cs="Arial Narrow"/>
          <w:b/>
        </w:rPr>
        <w:t>（三）绩效评价框架</w:t>
      </w:r>
      <w:bookmarkEnd w:id="44"/>
      <w:bookmarkEnd w:id="45"/>
    </w:p>
    <w:p w14:paraId="4CBF4FB0">
      <w:pPr>
        <w:snapToGrid w:val="0"/>
        <w:ind w:firstLine="482"/>
        <w:jc w:val="left"/>
        <w:rPr>
          <w:rFonts w:ascii="仿宋" w:hAnsi="仿宋" w:eastAsia="仿宋" w:cs="Arial Narrow"/>
          <w:b/>
        </w:rPr>
      </w:pPr>
      <w:r>
        <w:rPr>
          <w:rFonts w:hint="eastAsia" w:ascii="仿宋" w:hAnsi="仿宋" w:eastAsia="仿宋" w:cs="Arial Narrow"/>
          <w:b/>
        </w:rPr>
        <w:t>1、评价原则</w:t>
      </w:r>
    </w:p>
    <w:p w14:paraId="7E2D4961">
      <w:pPr>
        <w:snapToGrid w:val="0"/>
        <w:ind w:firstLine="480"/>
        <w:jc w:val="left"/>
        <w:rPr>
          <w:rFonts w:ascii="仿宋" w:hAnsi="仿宋" w:eastAsia="仿宋" w:cs="Arial Narrow"/>
        </w:rPr>
      </w:pPr>
      <w:r>
        <w:rPr>
          <w:rFonts w:hint="eastAsia" w:ascii="仿宋" w:hAnsi="仿宋" w:eastAsia="仿宋" w:cs="Arial Narrow"/>
        </w:rPr>
        <w:t>绩效评价原则应当遵循科学规范、公正公开、分级分类及绩效相关的原则，严格执行规定的程序，按照科学可行的要求，采用定量与定性分析相结合的方法，且符合真实、客观、公正的要求，针对具体支出及其产出绩效进行评价。本次绩效评价，我们遵循相关性原则、重要性原则、可比性原则、系统性原则、经济性原则。</w:t>
      </w:r>
    </w:p>
    <w:p w14:paraId="7A33DA07">
      <w:pPr>
        <w:snapToGrid w:val="0"/>
        <w:ind w:firstLine="482"/>
        <w:jc w:val="left"/>
        <w:rPr>
          <w:rFonts w:ascii="仿宋" w:hAnsi="仿宋" w:eastAsia="仿宋" w:cs="Arial Narrow"/>
          <w:b/>
        </w:rPr>
      </w:pPr>
      <w:r>
        <w:rPr>
          <w:rFonts w:hint="eastAsia" w:ascii="仿宋" w:hAnsi="仿宋" w:eastAsia="仿宋" w:cs="Arial Narrow"/>
          <w:b/>
        </w:rPr>
        <w:t>2、评价依据</w:t>
      </w:r>
    </w:p>
    <w:p w14:paraId="0E2EA085">
      <w:pPr>
        <w:snapToGrid w:val="0"/>
        <w:ind w:firstLine="480"/>
        <w:jc w:val="left"/>
        <w:rPr>
          <w:rFonts w:ascii="仿宋" w:hAnsi="仿宋" w:eastAsia="仿宋" w:cs="Arial Narrow"/>
        </w:rPr>
      </w:pPr>
      <w:r>
        <w:rPr>
          <w:rFonts w:hint="eastAsia" w:ascii="仿宋" w:hAnsi="仿宋" w:eastAsia="仿宋" w:cs="Arial Narrow"/>
        </w:rPr>
        <w:t>（1）《中华人民共和国预算法》；</w:t>
      </w:r>
    </w:p>
    <w:p w14:paraId="15334583">
      <w:pPr>
        <w:snapToGrid w:val="0"/>
        <w:ind w:firstLine="480"/>
        <w:jc w:val="left"/>
        <w:rPr>
          <w:rFonts w:ascii="仿宋" w:hAnsi="仿宋" w:eastAsia="仿宋" w:cs="Arial Narrow"/>
        </w:rPr>
      </w:pPr>
      <w:r>
        <w:rPr>
          <w:rFonts w:hint="eastAsia" w:ascii="仿宋" w:hAnsi="仿宋" w:eastAsia="仿宋" w:cs="Arial Narrow"/>
        </w:rPr>
        <w:t>（2）《财政支出绩效评价管理暂行办法》（财预[2011]285号）；</w:t>
      </w:r>
    </w:p>
    <w:p w14:paraId="60C4C360">
      <w:pPr>
        <w:snapToGrid w:val="0"/>
        <w:ind w:firstLine="480"/>
        <w:jc w:val="left"/>
        <w:rPr>
          <w:rFonts w:ascii="仿宋" w:hAnsi="仿宋" w:eastAsia="仿宋" w:cs="Arial Narrow"/>
        </w:rPr>
      </w:pPr>
      <w:r>
        <w:rPr>
          <w:rFonts w:hint="eastAsia" w:ascii="仿宋" w:hAnsi="仿宋" w:eastAsia="仿宋" w:cs="Arial Narrow"/>
        </w:rPr>
        <w:t>（3）《财政部关于推进预算绩效管理的指导意见》（财预[2011]416号）；</w:t>
      </w:r>
    </w:p>
    <w:p w14:paraId="3E265E7F">
      <w:pPr>
        <w:snapToGrid w:val="0"/>
        <w:ind w:firstLine="480"/>
        <w:jc w:val="left"/>
        <w:rPr>
          <w:rFonts w:ascii="仿宋" w:hAnsi="仿宋" w:eastAsia="仿宋" w:cs="Arial Narrow"/>
        </w:rPr>
      </w:pPr>
      <w:r>
        <w:rPr>
          <w:rFonts w:hint="eastAsia" w:ascii="仿宋" w:hAnsi="仿宋" w:eastAsia="仿宋" w:cs="Arial Narrow"/>
        </w:rPr>
        <w:t>（4）《湖北省省级财政项目资金绩效评价实施暂行办法》（鄂财绩发[2012]5号）；</w:t>
      </w:r>
    </w:p>
    <w:p w14:paraId="038A1C1C">
      <w:pPr>
        <w:snapToGrid w:val="0"/>
        <w:ind w:firstLine="480"/>
        <w:jc w:val="left"/>
        <w:rPr>
          <w:rFonts w:ascii="仿宋" w:hAnsi="仿宋" w:eastAsia="仿宋" w:cs="Arial Narrow"/>
        </w:rPr>
      </w:pPr>
      <w:r>
        <w:rPr>
          <w:rFonts w:hint="eastAsia" w:ascii="仿宋" w:hAnsi="仿宋" w:eastAsia="仿宋" w:cs="Arial Narrow"/>
        </w:rPr>
        <w:t>（5）《关于推进预算绩效管理的意见》(武政[2013]95号)；</w:t>
      </w:r>
    </w:p>
    <w:p w14:paraId="7151D399">
      <w:pPr>
        <w:snapToGrid w:val="0"/>
        <w:ind w:firstLine="480"/>
        <w:jc w:val="left"/>
        <w:rPr>
          <w:rFonts w:ascii="仿宋" w:hAnsi="仿宋" w:eastAsia="仿宋" w:cs="Arial Narrow"/>
        </w:rPr>
      </w:pPr>
      <w:r>
        <w:rPr>
          <w:rFonts w:hint="eastAsia" w:ascii="仿宋" w:hAnsi="仿宋" w:eastAsia="仿宋" w:cs="Arial Narrow"/>
        </w:rPr>
        <w:t>（6） 武汉市财政局《关于进一步推进预算绩效管理改革工作的通知》；</w:t>
      </w:r>
    </w:p>
    <w:p w14:paraId="68F661ED">
      <w:pPr>
        <w:snapToGrid w:val="0"/>
        <w:ind w:firstLine="480"/>
        <w:jc w:val="left"/>
        <w:rPr>
          <w:rFonts w:ascii="仿宋" w:hAnsi="仿宋" w:eastAsia="仿宋" w:cs="Arial Narrow"/>
        </w:rPr>
      </w:pPr>
      <w:r>
        <w:rPr>
          <w:rFonts w:hint="eastAsia" w:ascii="仿宋" w:hAnsi="仿宋" w:eastAsia="仿宋" w:cs="Arial Narrow"/>
        </w:rPr>
        <w:t>（7）《武汉经济技术开发区（汉南区）预算绩效评价管理暂行办法》；</w:t>
      </w:r>
    </w:p>
    <w:p w14:paraId="3905CFE5">
      <w:pPr>
        <w:snapToGrid w:val="0"/>
        <w:ind w:firstLine="480"/>
        <w:jc w:val="left"/>
        <w:rPr>
          <w:rFonts w:ascii="仿宋" w:hAnsi="仿宋" w:eastAsia="仿宋" w:cs="Arial Narrow"/>
        </w:rPr>
      </w:pPr>
      <w:r>
        <w:rPr>
          <w:rFonts w:hint="eastAsia" w:ascii="仿宋" w:hAnsi="仿宋" w:eastAsia="仿宋" w:cs="Arial Narrow"/>
        </w:rPr>
        <w:t>（8）《中共武汉开发区工委（汉南区委）武汉开发区管委会（汉南区政府）关于全面推进预算绩效管理的实施意见》（武开〔2019〕11号）；</w:t>
      </w:r>
    </w:p>
    <w:p w14:paraId="2F8633C2">
      <w:pPr>
        <w:snapToGrid w:val="0"/>
        <w:ind w:firstLine="480"/>
        <w:jc w:val="left"/>
        <w:rPr>
          <w:rFonts w:ascii="仿宋" w:hAnsi="仿宋" w:eastAsia="仿宋" w:cs="Arial Narrow"/>
        </w:rPr>
      </w:pPr>
      <w:r>
        <w:rPr>
          <w:rFonts w:hint="eastAsia" w:ascii="仿宋" w:hAnsi="仿宋" w:eastAsia="仿宋" w:cs="Arial Narrow"/>
        </w:rPr>
        <w:t>（9）《区财政局关于2019年开展预算绩效评价工作的通知》 武经开财〔2019〕29号</w:t>
      </w:r>
    </w:p>
    <w:p w14:paraId="46BA1E94">
      <w:pPr>
        <w:snapToGrid w:val="0"/>
        <w:ind w:firstLine="480"/>
        <w:jc w:val="left"/>
        <w:rPr>
          <w:rFonts w:ascii="仿宋" w:hAnsi="仿宋" w:eastAsia="仿宋" w:cs="Arial Narrow"/>
        </w:rPr>
      </w:pPr>
      <w:r>
        <w:rPr>
          <w:rFonts w:hint="eastAsia" w:ascii="仿宋" w:hAnsi="仿宋" w:eastAsia="仿宋" w:cs="Arial Narrow"/>
        </w:rPr>
        <w:t>（10）项目资金使用明细表、与项目相关的财务账等资料；</w:t>
      </w:r>
    </w:p>
    <w:p w14:paraId="0760CC76">
      <w:pPr>
        <w:snapToGrid w:val="0"/>
        <w:ind w:firstLine="480"/>
        <w:jc w:val="left"/>
        <w:rPr>
          <w:rFonts w:ascii="仿宋" w:hAnsi="仿宋" w:eastAsia="仿宋" w:cs="Arial Narrow"/>
        </w:rPr>
      </w:pPr>
      <w:r>
        <w:rPr>
          <w:rFonts w:hint="eastAsia" w:ascii="仿宋" w:hAnsi="仿宋" w:eastAsia="仿宋" w:cs="Arial Narrow"/>
        </w:rPr>
        <w:t>（11）其他与项目评价相关的资料。</w:t>
      </w:r>
    </w:p>
    <w:p w14:paraId="42D458C9">
      <w:pPr>
        <w:snapToGrid w:val="0"/>
        <w:ind w:firstLine="482"/>
        <w:jc w:val="left"/>
        <w:rPr>
          <w:rFonts w:ascii="仿宋" w:hAnsi="仿宋" w:eastAsia="仿宋" w:cs="Arial Narrow"/>
          <w:b/>
        </w:rPr>
      </w:pPr>
      <w:r>
        <w:rPr>
          <w:rFonts w:hint="eastAsia" w:ascii="仿宋" w:hAnsi="仿宋" w:eastAsia="仿宋" w:cs="Arial Narrow"/>
          <w:b/>
        </w:rPr>
        <w:t>3、评价方法</w:t>
      </w:r>
    </w:p>
    <w:p w14:paraId="144A3888">
      <w:pPr>
        <w:snapToGrid w:val="0"/>
        <w:ind w:firstLine="480"/>
        <w:jc w:val="left"/>
        <w:rPr>
          <w:rFonts w:ascii="仿宋" w:hAnsi="仿宋" w:eastAsia="仿宋" w:cs="Arial Narrow"/>
        </w:rPr>
      </w:pPr>
      <w:r>
        <w:rPr>
          <w:rFonts w:hint="eastAsia" w:ascii="仿宋" w:hAnsi="仿宋" w:eastAsia="仿宋" w:cs="Arial Narrow"/>
        </w:rPr>
        <w:t>主要采用成本效益分析法、比较法、因素分析法、最低成本法、公众评判法等。</w:t>
      </w:r>
    </w:p>
    <w:p w14:paraId="540DCBD8">
      <w:pPr>
        <w:snapToGrid w:val="0"/>
        <w:ind w:firstLine="480"/>
        <w:jc w:val="left"/>
        <w:rPr>
          <w:rFonts w:ascii="仿宋" w:hAnsi="仿宋" w:eastAsia="仿宋" w:cs="Arial Narrow"/>
        </w:rPr>
      </w:pPr>
      <w:r>
        <w:rPr>
          <w:rFonts w:hint="eastAsia" w:ascii="仿宋" w:hAnsi="仿宋" w:eastAsia="仿宋" w:cs="Arial Narrow"/>
        </w:rPr>
        <w:t>（1）成本效益分析法。是指将一定时期内的支出与效益进行对比分析，以评价绩效目标实现程度。</w:t>
      </w:r>
    </w:p>
    <w:p w14:paraId="581841B8">
      <w:pPr>
        <w:snapToGrid w:val="0"/>
        <w:ind w:firstLine="480"/>
        <w:jc w:val="left"/>
        <w:rPr>
          <w:rFonts w:ascii="仿宋" w:hAnsi="仿宋" w:eastAsia="仿宋" w:cs="Arial Narrow"/>
        </w:rPr>
      </w:pPr>
      <w:r>
        <w:rPr>
          <w:rFonts w:hint="eastAsia" w:ascii="仿宋" w:hAnsi="仿宋" w:eastAsia="仿宋" w:cs="Arial Narrow"/>
        </w:rPr>
        <w:t>（2）比较法。是指通过对绩效目标与实施效果、历史与当期情况、不同部门和地区同类支出的比较，综合分析绩效目标实现程度。</w:t>
      </w:r>
    </w:p>
    <w:p w14:paraId="43E58CC2">
      <w:pPr>
        <w:snapToGrid w:val="0"/>
        <w:ind w:firstLine="480"/>
        <w:jc w:val="left"/>
        <w:rPr>
          <w:rFonts w:ascii="仿宋" w:hAnsi="仿宋" w:eastAsia="仿宋" w:cs="Arial Narrow"/>
        </w:rPr>
      </w:pPr>
      <w:r>
        <w:rPr>
          <w:rFonts w:hint="eastAsia" w:ascii="仿宋" w:hAnsi="仿宋" w:eastAsia="仿宋" w:cs="Arial Narrow"/>
        </w:rPr>
        <w:t>（3）因素分析法。是指通过综合分析影响绩效目标实现、实施效果的内外因素，评价绩效目标实现程度。</w:t>
      </w:r>
    </w:p>
    <w:p w14:paraId="79C3F8FD">
      <w:pPr>
        <w:snapToGrid w:val="0"/>
        <w:ind w:firstLine="480"/>
        <w:jc w:val="left"/>
        <w:rPr>
          <w:rFonts w:ascii="仿宋" w:hAnsi="仿宋" w:eastAsia="仿宋" w:cs="Arial Narrow"/>
        </w:rPr>
      </w:pPr>
      <w:r>
        <w:rPr>
          <w:rFonts w:hint="eastAsia" w:ascii="仿宋" w:hAnsi="仿宋" w:eastAsia="仿宋" w:cs="Arial Narrow"/>
        </w:rPr>
        <w:t>（4）最低成本法。是指对效益确定却不易计量的多个同类对象的实施成本进行比较，评价绩效目标实现程度。</w:t>
      </w:r>
    </w:p>
    <w:p w14:paraId="1882E157">
      <w:pPr>
        <w:snapToGrid w:val="0"/>
        <w:ind w:firstLine="480"/>
        <w:jc w:val="left"/>
        <w:rPr>
          <w:rFonts w:ascii="仿宋" w:hAnsi="仿宋" w:eastAsia="仿宋" w:cs="Arial Narrow"/>
        </w:rPr>
      </w:pPr>
      <w:r>
        <w:rPr>
          <w:rFonts w:hint="eastAsia" w:ascii="仿宋" w:hAnsi="仿宋" w:eastAsia="仿宋" w:cs="Arial Narrow"/>
        </w:rPr>
        <w:t>（5）公众评判法。是指通过专家评估、公众问卷及抽样调查等对财政支出效果进行评判，评价绩效目标实现程度。</w:t>
      </w:r>
    </w:p>
    <w:p w14:paraId="4F1243C5">
      <w:pPr>
        <w:snapToGrid w:val="0"/>
        <w:ind w:firstLine="482"/>
        <w:jc w:val="left"/>
        <w:outlineLvl w:val="1"/>
        <w:rPr>
          <w:rFonts w:ascii="仿宋" w:hAnsi="仿宋" w:eastAsia="仿宋" w:cs="Arial Narrow"/>
          <w:b/>
        </w:rPr>
      </w:pPr>
      <w:bookmarkStart w:id="46" w:name="_Toc14165732"/>
      <w:bookmarkStart w:id="47" w:name="_Toc15548462"/>
      <w:r>
        <w:rPr>
          <w:rFonts w:hint="eastAsia" w:ascii="仿宋" w:hAnsi="仿宋" w:eastAsia="仿宋" w:cs="Arial Narrow"/>
          <w:b/>
        </w:rPr>
        <w:t>（四）评价抽样情况概述</w:t>
      </w:r>
      <w:bookmarkEnd w:id="39"/>
      <w:bookmarkEnd w:id="40"/>
      <w:bookmarkEnd w:id="41"/>
      <w:bookmarkEnd w:id="42"/>
      <w:bookmarkEnd w:id="43"/>
      <w:bookmarkEnd w:id="46"/>
      <w:bookmarkEnd w:id="47"/>
      <w:bookmarkStart w:id="48" w:name="_Toc406668044"/>
      <w:bookmarkStart w:id="49" w:name="_Toc361304693"/>
      <w:bookmarkStart w:id="50" w:name="_Toc387957819"/>
      <w:bookmarkStart w:id="51" w:name="_Toc406666370"/>
      <w:bookmarkStart w:id="52" w:name="_Toc18443"/>
      <w:bookmarkStart w:id="53" w:name="_Toc14165733"/>
    </w:p>
    <w:p w14:paraId="7792B78B">
      <w:pPr>
        <w:snapToGrid w:val="0"/>
        <w:ind w:firstLine="480"/>
        <w:jc w:val="left"/>
        <w:rPr>
          <w:rFonts w:ascii="仿宋" w:hAnsi="仿宋" w:eastAsia="仿宋" w:cs="Arial Narrow"/>
        </w:rPr>
      </w:pPr>
      <w:r>
        <w:rPr>
          <w:rFonts w:hint="eastAsia" w:ascii="仿宋" w:hAnsi="仿宋" w:eastAsia="仿宋" w:cs="Arial Narrow"/>
        </w:rPr>
        <w:t>绩效评价小组遵循代表性原则、独立性原则和方便性原则，根据项目属性、区域分布、资金规模进行抽样调查。抽样调查项目个数及总金额可以代表项目实施的总体情况。对被抽样单位进行实地抽查，了解项目的具体实施情况，在反复沟通中了解被抽样单位项目资金的使用情况、项目资金的到位情况及产生的效益，使绩效评价量化指标更加充分，也确保绩效评价与项目的衔接度更高。</w:t>
      </w:r>
    </w:p>
    <w:p w14:paraId="573ECB84">
      <w:pPr>
        <w:pStyle w:val="2"/>
        <w:spacing w:line="240" w:lineRule="auto"/>
        <w:rPr>
          <w:rFonts w:ascii="仿宋" w:hAnsi="仿宋" w:eastAsia="仿宋" w:cs="Arial Narrow"/>
          <w:b w:val="0"/>
          <w:sz w:val="24"/>
        </w:rPr>
      </w:pPr>
      <w:bookmarkStart w:id="54" w:name="_Toc15548463"/>
      <w:r>
        <w:rPr>
          <w:rFonts w:ascii="仿宋" w:hAnsi="仿宋" w:eastAsia="仿宋" w:cs="Arial Narrow"/>
          <w:sz w:val="24"/>
        </w:rPr>
        <w:t>三、绩效分析</w:t>
      </w:r>
      <w:bookmarkEnd w:id="48"/>
      <w:bookmarkEnd w:id="49"/>
      <w:bookmarkEnd w:id="50"/>
      <w:bookmarkEnd w:id="51"/>
      <w:bookmarkEnd w:id="52"/>
      <w:r>
        <w:rPr>
          <w:rFonts w:ascii="仿宋" w:hAnsi="仿宋" w:eastAsia="仿宋" w:cs="Arial Narrow"/>
          <w:sz w:val="24"/>
        </w:rPr>
        <w:t>及评价结论</w:t>
      </w:r>
      <w:bookmarkEnd w:id="53"/>
      <w:bookmarkEnd w:id="54"/>
    </w:p>
    <w:p w14:paraId="4547EF36">
      <w:pPr>
        <w:pStyle w:val="3"/>
        <w:spacing w:before="0" w:after="0" w:line="240" w:lineRule="auto"/>
        <w:ind w:firstLine="482"/>
        <w:rPr>
          <w:rFonts w:ascii="仿宋" w:hAnsi="仿宋" w:eastAsia="仿宋" w:cs="Arial Narrow"/>
          <w:b w:val="0"/>
          <w:sz w:val="24"/>
        </w:rPr>
      </w:pPr>
      <w:bookmarkStart w:id="55" w:name="_Toc14165734"/>
      <w:bookmarkStart w:id="56" w:name="_Toc15548464"/>
      <w:r>
        <w:rPr>
          <w:rFonts w:hint="eastAsia" w:ascii="仿宋" w:hAnsi="仿宋" w:eastAsia="仿宋" w:cs="Arial Narrow"/>
          <w:sz w:val="24"/>
        </w:rPr>
        <w:t>（一）</w:t>
      </w:r>
      <w:r>
        <w:rPr>
          <w:rFonts w:ascii="仿宋" w:hAnsi="仿宋" w:eastAsia="仿宋" w:cs="Arial Narrow"/>
          <w:sz w:val="24"/>
        </w:rPr>
        <w:t>绩效分析</w:t>
      </w:r>
      <w:bookmarkEnd w:id="55"/>
      <w:bookmarkEnd w:id="56"/>
    </w:p>
    <w:p w14:paraId="2954ABF0">
      <w:pPr>
        <w:pStyle w:val="4"/>
        <w:spacing w:line="240" w:lineRule="auto"/>
        <w:ind w:firstLine="482" w:firstLineChars="200"/>
        <w:rPr>
          <w:rFonts w:ascii="仿宋" w:hAnsi="仿宋" w:eastAsia="仿宋"/>
        </w:rPr>
      </w:pPr>
      <w:bookmarkStart w:id="57" w:name="_Toc15548465"/>
      <w:bookmarkStart w:id="58" w:name="_Toc14165735"/>
      <w:bookmarkStart w:id="59" w:name="_Toc2992"/>
      <w:bookmarkStart w:id="60" w:name="_Toc387957822"/>
      <w:bookmarkStart w:id="61" w:name="_Toc406668047"/>
      <w:bookmarkStart w:id="62" w:name="_Toc406666373"/>
      <w:bookmarkStart w:id="63" w:name="_Toc361302034"/>
      <w:bookmarkStart w:id="64" w:name="_Toc361304697"/>
      <w:r>
        <w:rPr>
          <w:rFonts w:hint="eastAsia" w:ascii="仿宋" w:hAnsi="仿宋" w:eastAsia="仿宋"/>
        </w:rPr>
        <w:t>1、</w:t>
      </w:r>
      <w:r>
        <w:rPr>
          <w:rFonts w:ascii="仿宋" w:hAnsi="仿宋" w:eastAsia="仿宋"/>
        </w:rPr>
        <w:t>项目</w:t>
      </w:r>
      <w:bookmarkStart w:id="65" w:name="_Toc394181010"/>
      <w:r>
        <w:rPr>
          <w:rFonts w:hint="eastAsia" w:ascii="仿宋" w:hAnsi="仿宋" w:eastAsia="仿宋"/>
        </w:rPr>
        <w:t>投入</w:t>
      </w:r>
      <w:r>
        <w:rPr>
          <w:rFonts w:ascii="仿宋" w:hAnsi="仿宋" w:eastAsia="仿宋"/>
        </w:rPr>
        <w:t>（</w:t>
      </w:r>
      <w:r>
        <w:rPr>
          <w:rFonts w:hint="eastAsia" w:ascii="仿宋" w:hAnsi="仿宋" w:eastAsia="仿宋"/>
        </w:rPr>
        <w:t>16</w:t>
      </w:r>
      <w:r>
        <w:rPr>
          <w:rFonts w:ascii="仿宋" w:hAnsi="仿宋" w:eastAsia="仿宋"/>
        </w:rPr>
        <w:t>分）</w:t>
      </w:r>
      <w:bookmarkEnd w:id="57"/>
      <w:bookmarkEnd w:id="58"/>
      <w:bookmarkEnd w:id="59"/>
      <w:bookmarkEnd w:id="65"/>
    </w:p>
    <w:p w14:paraId="4574D6E2">
      <w:pPr>
        <w:snapToGrid w:val="0"/>
        <w:spacing w:before="204" w:beforeLines="50"/>
        <w:ind w:firstLine="480"/>
        <w:rPr>
          <w:rFonts w:ascii="仿宋" w:hAnsi="仿宋" w:eastAsia="仿宋" w:cs="Arial Narrow"/>
        </w:rPr>
      </w:pPr>
      <w:r>
        <w:rPr>
          <w:rFonts w:hint="eastAsia" w:ascii="仿宋" w:hAnsi="仿宋" w:eastAsia="仿宋" w:cs="Arial Narrow"/>
        </w:rPr>
        <w:t>项目投入方面主要评价项目立项和资金落实的实际情况。对于该项的评价，评价小组主要通过卷宗研究、现场访谈等方式对资料进行收集、整理和分析，查看了项目立项的相关资料、财政预算的批复文件，对项目决策涉及的指标进行打分，并逐级加权计算结果。经过综合计分，该指标得分为15分，评价等级为优。</w:t>
      </w:r>
    </w:p>
    <w:p w14:paraId="5EB0BA3C">
      <w:pPr>
        <w:snapToGrid w:val="0"/>
        <w:ind w:firstLine="480"/>
        <w:rPr>
          <w:rFonts w:ascii="仿宋" w:hAnsi="仿宋" w:eastAsia="仿宋" w:cs="Arial Narrow"/>
        </w:rPr>
      </w:pPr>
      <w:r>
        <w:rPr>
          <w:rFonts w:hint="eastAsia" w:ascii="仿宋" w:hAnsi="仿宋" w:eastAsia="仿宋" w:cs="Arial Narrow"/>
        </w:rPr>
        <w:t>①项目立项（8分）</w:t>
      </w:r>
    </w:p>
    <w:p w14:paraId="22BF4852">
      <w:pPr>
        <w:snapToGrid w:val="0"/>
        <w:ind w:firstLine="480"/>
        <w:rPr>
          <w:rFonts w:ascii="仿宋" w:hAnsi="仿宋" w:eastAsia="仿宋" w:cs="Arial Narrow"/>
        </w:rPr>
      </w:pPr>
      <w:r>
        <w:rPr>
          <w:rFonts w:hint="eastAsia" w:ascii="仿宋" w:hAnsi="仿宋" w:eastAsia="仿宋" w:cs="Arial Narrow"/>
        </w:rPr>
        <w:t>项目立项是指项目的设立和设定的绩效目标是否参考相关的依据，并且对项目的具体目标进行细化、量化。项目立项主要通过项目立项规范性和绩效目标合理性两个指标反映。经过综合计分，项目立项指标得分为7分。</w:t>
      </w:r>
    </w:p>
    <w:p w14:paraId="7B020D4E">
      <w:pPr>
        <w:snapToGrid w:val="0"/>
        <w:ind w:firstLine="480"/>
        <w:rPr>
          <w:rFonts w:ascii="仿宋" w:hAnsi="仿宋" w:eastAsia="仿宋" w:cs="Arial Narrow"/>
        </w:rPr>
      </w:pPr>
      <w:r>
        <w:rPr>
          <w:rFonts w:hint="eastAsia" w:ascii="仿宋" w:hAnsi="仿宋" w:eastAsia="仿宋" w:cs="Arial Narrow"/>
        </w:rPr>
        <w:t>a.</w:t>
      </w:r>
      <w:r>
        <w:rPr>
          <w:rFonts w:hint="eastAsia" w:ascii="仿宋" w:hAnsi="仿宋" w:eastAsia="仿宋" w:cs="Arial Narrow"/>
        </w:rPr>
        <w:tab/>
      </w:r>
      <w:r>
        <w:rPr>
          <w:rFonts w:hint="eastAsia" w:ascii="仿宋" w:hAnsi="仿宋" w:eastAsia="仿宋" w:cs="Arial Narrow"/>
        </w:rPr>
        <w:t>项目立项规范性，是指项目的申请、设立过程是否符合相关要求，用以反映和考核项目立项的规范情况。该项目依据武汉经济技术开发区（汉南区）财政局文件《开发区（汉南区）财政局关于批复智慧生态城2018年预算的函》（武经开财预[2018]31号）及项目支出预算表 、《2018年开发区部门项目申报及绩效目标表》项目立项按照程序申请设立，所提交的文件、材料符合相关要求。</w:t>
      </w:r>
    </w:p>
    <w:p w14:paraId="50DB5533">
      <w:pPr>
        <w:snapToGrid w:val="0"/>
        <w:ind w:firstLine="480"/>
        <w:rPr>
          <w:rFonts w:ascii="仿宋" w:hAnsi="仿宋" w:eastAsia="仿宋" w:cs="Arial Narrow"/>
        </w:rPr>
      </w:pPr>
      <w:r>
        <w:rPr>
          <w:rFonts w:hint="eastAsia" w:ascii="仿宋" w:hAnsi="仿宋" w:eastAsia="仿宋" w:cs="Arial Narrow"/>
        </w:rPr>
        <w:t>b. 绩效目标合理性，是指项目所设定的绩效目标依据是否充分，是否符合客观事实，可以反映和考核项目绩效目标与项目实施的：“办公室运行经费”相符情况。项目实施单位并对项目预算金额进行了测算分解，对项目的具体执行进行了细化，设定了长期目标、年度目标，目标的设计符合目标管理规范，虽然设定了绩效指标但绩效目标设立不合理性、不具有可测性，扣1分。</w:t>
      </w:r>
    </w:p>
    <w:p w14:paraId="180478BF">
      <w:pPr>
        <w:snapToGrid w:val="0"/>
        <w:ind w:firstLine="480"/>
        <w:rPr>
          <w:rFonts w:ascii="仿宋" w:hAnsi="仿宋" w:eastAsia="仿宋" w:cs="Arial Narrow"/>
        </w:rPr>
      </w:pPr>
      <w:r>
        <w:rPr>
          <w:rFonts w:hint="eastAsia" w:ascii="仿宋" w:hAnsi="仿宋" w:eastAsia="仿宋" w:cs="Arial Narrow"/>
        </w:rPr>
        <w:t>②资金落实（8分）</w:t>
      </w:r>
    </w:p>
    <w:p w14:paraId="412E9091">
      <w:pPr>
        <w:snapToGrid w:val="0"/>
        <w:ind w:firstLine="480"/>
        <w:rPr>
          <w:rFonts w:ascii="仿宋" w:hAnsi="仿宋" w:eastAsia="仿宋" w:cs="Arial Narrow"/>
        </w:rPr>
      </w:pPr>
      <w:r>
        <w:rPr>
          <w:rFonts w:hint="eastAsia" w:ascii="仿宋" w:hAnsi="仿宋" w:eastAsia="仿宋" w:cs="Arial Narrow"/>
        </w:rPr>
        <w:t>资金落实主要评价财政预算资金是否全额发放、资金到位是否及时。该情况主要是通过资金到位率和到位及时率两个指标来反映。指标评价得分为8分。</w:t>
      </w:r>
    </w:p>
    <w:p w14:paraId="2AEAE824">
      <w:pPr>
        <w:snapToGrid w:val="0"/>
        <w:ind w:firstLine="480"/>
        <w:rPr>
          <w:rFonts w:ascii="仿宋" w:hAnsi="仿宋" w:eastAsia="仿宋" w:cs="Arial Narrow"/>
        </w:rPr>
      </w:pPr>
      <w:r>
        <w:rPr>
          <w:rFonts w:hint="eastAsia" w:ascii="仿宋" w:hAnsi="仿宋" w:eastAsia="仿宋" w:cs="Arial Narrow"/>
        </w:rPr>
        <w:t>a.</w:t>
      </w:r>
      <w:r>
        <w:rPr>
          <w:rFonts w:hint="eastAsia" w:ascii="仿宋" w:hAnsi="仿宋" w:eastAsia="仿宋" w:cs="Arial Narrow"/>
        </w:rPr>
        <w:tab/>
      </w:r>
      <w:r>
        <w:rPr>
          <w:rFonts w:hint="eastAsia" w:ascii="仿宋" w:hAnsi="仿宋" w:eastAsia="仿宋" w:cs="Arial Narrow"/>
        </w:rPr>
        <w:t>资金到位率，是指实际到位资金与计划投入资金的比率，用以反映和考核资金落实情况对项目实施的总体保障程度。2018年初该项目计划投入资金5,379,900.00元，实际到位资金共5,379,900.00元，资金到位率100%。</w:t>
      </w:r>
    </w:p>
    <w:p w14:paraId="68F93A5F">
      <w:pPr>
        <w:snapToGrid w:val="0"/>
        <w:ind w:firstLine="480"/>
        <w:rPr>
          <w:rFonts w:ascii="仿宋" w:hAnsi="仿宋" w:eastAsia="仿宋" w:cs="Arial Narrow"/>
        </w:rPr>
      </w:pPr>
      <w:r>
        <w:rPr>
          <w:rFonts w:hint="eastAsia" w:ascii="仿宋" w:hAnsi="仿宋" w:eastAsia="仿宋" w:cs="Arial Narrow"/>
        </w:rPr>
        <w:t>b.</w:t>
      </w:r>
      <w:r>
        <w:rPr>
          <w:rFonts w:hint="eastAsia" w:ascii="仿宋" w:hAnsi="仿宋" w:eastAsia="仿宋" w:cs="Arial Narrow"/>
        </w:rPr>
        <w:tab/>
      </w:r>
      <w:r>
        <w:rPr>
          <w:rFonts w:hint="eastAsia" w:ascii="仿宋" w:hAnsi="仿宋" w:eastAsia="仿宋" w:cs="Arial Narrow"/>
        </w:rPr>
        <w:t>到位及时率，是指项目及时到位资金与应到位资金的比率，用以反映和考核项目资金落实的及时性程度。武汉经济技术开发区（汉南区）财政局下达项目年初预算申报资金5,379,900.00元，下达及时，到位及时率100%。</w:t>
      </w:r>
    </w:p>
    <w:p w14:paraId="4AEA1E27">
      <w:pPr>
        <w:pStyle w:val="4"/>
        <w:ind w:firstLine="482" w:firstLineChars="200"/>
        <w:rPr>
          <w:rFonts w:ascii="仿宋" w:hAnsi="仿宋" w:eastAsia="仿宋" w:cs="Arial Narrow"/>
          <w:b w:val="0"/>
          <w:bCs w:val="0"/>
        </w:rPr>
      </w:pPr>
      <w:bookmarkStart w:id="66" w:name="_Toc15548466"/>
      <w:r>
        <w:rPr>
          <w:rFonts w:hint="eastAsia" w:ascii="仿宋" w:hAnsi="仿宋" w:eastAsia="仿宋" w:cs="Arial Narrow"/>
        </w:rPr>
        <w:t>2、</w:t>
      </w:r>
      <w:r>
        <w:rPr>
          <w:rFonts w:ascii="仿宋" w:hAnsi="仿宋" w:eastAsia="仿宋" w:cs="Arial Narrow"/>
        </w:rPr>
        <w:t>决策过程（</w:t>
      </w:r>
      <w:r>
        <w:rPr>
          <w:rFonts w:hint="eastAsia" w:ascii="仿宋" w:hAnsi="仿宋" w:eastAsia="仿宋" w:cs="Arial Narrow"/>
          <w:bCs w:val="0"/>
        </w:rPr>
        <w:t>24</w:t>
      </w:r>
      <w:r>
        <w:rPr>
          <w:rFonts w:ascii="仿宋" w:hAnsi="仿宋" w:eastAsia="仿宋" w:cs="Arial Narrow"/>
        </w:rPr>
        <w:t>分）</w:t>
      </w:r>
      <w:bookmarkEnd w:id="66"/>
    </w:p>
    <w:p w14:paraId="0A40C789">
      <w:pPr>
        <w:snapToGrid w:val="0"/>
        <w:ind w:firstLine="480"/>
        <w:rPr>
          <w:rFonts w:ascii="仿宋" w:hAnsi="仿宋" w:eastAsia="仿宋" w:cs="Arial Narrow"/>
        </w:rPr>
      </w:pPr>
      <w:r>
        <w:rPr>
          <w:rFonts w:hint="eastAsia" w:ascii="仿宋" w:hAnsi="仿宋" w:eastAsia="仿宋" w:cs="Arial Narrow"/>
        </w:rPr>
        <w:t>过程指标主要从项目管理、财务管理两个方面来具体评价；主要考核项目管理制度的健全性、制度执行的有效性和项目质量的可控性，财务制度的健全性、资金使用的合规性</w:t>
      </w:r>
      <w:bookmarkStart w:id="114" w:name="_GoBack"/>
      <w:bookmarkEnd w:id="114"/>
      <w:r>
        <w:rPr>
          <w:rFonts w:hint="eastAsia" w:ascii="仿宋" w:hAnsi="仿宋" w:eastAsia="仿宋" w:cs="Arial Narrow"/>
        </w:rPr>
        <w:t>及财务监控的有效性。对于该项的评价，评价小组主要采取了卷宗研究、现场访谈的方式进行资料收集、整理、核实和分析，收集了项目具体实施单位的业务管理制度、财务管理制度等相关文件和项目档案资料管理相关文件；对项目管理、资金使用情况进行评价，对项目过程涉及的指标进行打分，并逐级加权计算结果。经过综合计分，该指标得分为23分，评价结果为优。</w:t>
      </w:r>
    </w:p>
    <w:p w14:paraId="7FF087C7">
      <w:pPr>
        <w:snapToGrid w:val="0"/>
        <w:ind w:firstLine="480"/>
        <w:rPr>
          <w:rFonts w:ascii="仿宋" w:hAnsi="仿宋" w:eastAsia="仿宋" w:cs="Arial Narrow"/>
        </w:rPr>
      </w:pPr>
      <w:r>
        <w:rPr>
          <w:rFonts w:hint="eastAsia" w:ascii="仿宋" w:hAnsi="仿宋" w:eastAsia="仿宋" w:cs="Arial Narrow"/>
        </w:rPr>
        <w:t>①项目管理（12分）</w:t>
      </w:r>
    </w:p>
    <w:p w14:paraId="73B6E203">
      <w:pPr>
        <w:snapToGrid w:val="0"/>
        <w:ind w:firstLine="480"/>
        <w:rPr>
          <w:rFonts w:ascii="仿宋" w:hAnsi="仿宋" w:eastAsia="仿宋" w:cs="Arial Narrow"/>
        </w:rPr>
      </w:pPr>
      <w:r>
        <w:rPr>
          <w:rFonts w:hint="eastAsia" w:ascii="仿宋" w:hAnsi="仿宋" w:eastAsia="仿宋" w:cs="Arial Narrow"/>
        </w:rPr>
        <w:t>项目管理主要评价管理制度是否健全、制度的执行是否有效、项目的质量是否可控。该指标主要通过管理制度健全性、制度执行有效性、项目质量可控性三个三级指标来反映。该项指标评价得分为12分。</w:t>
      </w:r>
    </w:p>
    <w:p w14:paraId="3C183933">
      <w:pPr>
        <w:snapToGrid w:val="0"/>
        <w:ind w:firstLine="480"/>
        <w:rPr>
          <w:rFonts w:ascii="仿宋" w:hAnsi="仿宋" w:eastAsia="仿宋" w:cs="Arial Narrow"/>
        </w:rPr>
      </w:pPr>
      <w:r>
        <w:rPr>
          <w:rFonts w:hint="eastAsia" w:ascii="仿宋" w:hAnsi="仿宋" w:eastAsia="仿宋" w:cs="Arial Narrow"/>
        </w:rPr>
        <w:t>a.</w:t>
      </w:r>
      <w:r>
        <w:rPr>
          <w:rFonts w:hint="eastAsia" w:ascii="仿宋" w:hAnsi="仿宋" w:eastAsia="仿宋" w:cs="Arial Narrow"/>
        </w:rPr>
        <w:tab/>
      </w:r>
      <w:r>
        <w:rPr>
          <w:rFonts w:hint="eastAsia" w:ascii="仿宋" w:hAnsi="仿宋" w:eastAsia="仿宋" w:cs="Arial Narrow"/>
        </w:rPr>
        <w:t>管理制度健全性，是指项目管理制度是否健全，用以反映和考核项目管理制度对项目顺利实施的保障情况。项目实施单位制定并执行了《武汉经济技术开发区智慧生态城管理办公室管理工作制度汇编》、《食堂消防安全管理制度》、《食堂食品采购制度》保障项目依照规范运行，业务管理制度合法、合规。</w:t>
      </w:r>
    </w:p>
    <w:p w14:paraId="2DC77065">
      <w:pPr>
        <w:snapToGrid w:val="0"/>
        <w:ind w:firstLine="480"/>
        <w:rPr>
          <w:rFonts w:ascii="仿宋" w:hAnsi="仿宋" w:eastAsia="仿宋" w:cs="Arial Narrow"/>
        </w:rPr>
      </w:pPr>
      <w:r>
        <w:rPr>
          <w:rFonts w:hint="eastAsia" w:ascii="仿宋" w:hAnsi="仿宋" w:eastAsia="仿宋" w:cs="Arial Narrow"/>
        </w:rPr>
        <w:t>b.</w:t>
      </w:r>
      <w:r>
        <w:rPr>
          <w:rFonts w:hint="eastAsia" w:ascii="仿宋" w:hAnsi="仿宋" w:eastAsia="仿宋" w:cs="Arial Narrow"/>
        </w:rPr>
        <w:tab/>
      </w:r>
      <w:r>
        <w:rPr>
          <w:rFonts w:hint="eastAsia" w:ascii="仿宋" w:hAnsi="仿宋" w:eastAsia="仿宋" w:cs="Arial Narrow"/>
        </w:rPr>
        <w:t>制度执行有效性，是指项目实施是否符合相关项目管理规定，用以反映和考核项目管理制度的有效执行情况。项目实施单位严格遵守相关法律法规、严格执行会议制度、考勤制度、资产及办公用品管理规定等，通过查阅《2018年度区管干部年度考核等次反馈意见》、《事业单位工作人员年度考核统计表》、《物品申领记录表》、食堂餐具消毒记录、厨房用气安全记录表、原材料验收表、每日试菜记录表等，可得知办公制度运行良好，项目实施的人员条件、场地设备、信息支撑等落实到位。</w:t>
      </w:r>
    </w:p>
    <w:p w14:paraId="726AD073">
      <w:pPr>
        <w:snapToGrid w:val="0"/>
        <w:ind w:firstLine="480"/>
        <w:rPr>
          <w:rFonts w:ascii="仿宋" w:hAnsi="仿宋" w:eastAsia="仿宋" w:cs="Arial Narrow"/>
        </w:rPr>
      </w:pPr>
      <w:r>
        <w:rPr>
          <w:rFonts w:hint="eastAsia" w:ascii="仿宋" w:hAnsi="仿宋" w:eastAsia="仿宋" w:cs="Arial Narrow"/>
        </w:rPr>
        <w:t>c.</w:t>
      </w:r>
      <w:r>
        <w:rPr>
          <w:rFonts w:hint="eastAsia" w:ascii="仿宋" w:hAnsi="仿宋" w:eastAsia="仿宋" w:cs="Arial Narrow"/>
        </w:rPr>
        <w:tab/>
      </w:r>
      <w:r>
        <w:rPr>
          <w:rFonts w:hint="eastAsia" w:ascii="仿宋" w:hAnsi="仿宋" w:eastAsia="仿宋" w:cs="Arial Narrow"/>
        </w:rPr>
        <w:t>项目质量可控性，是指项目实施单位是否为达到项目质量要求而采取了必需的措施，用以反映和考核项目实施单位对项目质量的控制情况。项目实施单位制定了绩效考核制度、考勤制度、办公用品管理制度、机关食堂管理制度，制定了项目质量要求或标准，并采取了相应的质量检查，形成检查记录。</w:t>
      </w:r>
    </w:p>
    <w:p w14:paraId="5D715EC8">
      <w:pPr>
        <w:snapToGrid w:val="0"/>
        <w:ind w:firstLine="480"/>
        <w:rPr>
          <w:rFonts w:ascii="仿宋" w:hAnsi="仿宋" w:eastAsia="仿宋" w:cs="Arial Narrow"/>
        </w:rPr>
      </w:pPr>
      <w:r>
        <w:rPr>
          <w:rFonts w:hint="eastAsia" w:ascii="仿宋" w:hAnsi="仿宋" w:eastAsia="仿宋" w:cs="Arial Narrow"/>
        </w:rPr>
        <w:t>（2）财务管理（12分）</w:t>
      </w:r>
    </w:p>
    <w:p w14:paraId="0E02806E">
      <w:pPr>
        <w:snapToGrid w:val="0"/>
        <w:ind w:firstLine="480"/>
        <w:rPr>
          <w:rFonts w:ascii="仿宋" w:hAnsi="仿宋" w:eastAsia="仿宋" w:cs="Arial Narrow"/>
        </w:rPr>
      </w:pPr>
      <w:r>
        <w:rPr>
          <w:rFonts w:hint="eastAsia" w:ascii="仿宋" w:hAnsi="仿宋" w:eastAsia="仿宋" w:cs="Arial Narrow"/>
        </w:rPr>
        <w:t>财务管理指标主要评价项目实施单位的财务制度情况，资金使用情况以及财务监控措施的实施情况。该指标主要由财务制度健全性、资金使用合规性、财务监控有效性三个三级指标反映。该项指标评价得分为11分。</w:t>
      </w:r>
    </w:p>
    <w:p w14:paraId="0D7781B1">
      <w:pPr>
        <w:snapToGrid w:val="0"/>
        <w:ind w:firstLine="480"/>
        <w:rPr>
          <w:rFonts w:ascii="仿宋" w:hAnsi="仿宋" w:eastAsia="仿宋" w:cs="Arial Narrow"/>
        </w:rPr>
      </w:pPr>
      <w:r>
        <w:rPr>
          <w:rFonts w:hint="eastAsia" w:ascii="仿宋" w:hAnsi="仿宋" w:eastAsia="仿宋" w:cs="Arial Narrow"/>
        </w:rPr>
        <w:t>①财务制度健全性，是指项目实施单位的资金管理、费用支出等制度是否健全，是否严格执行，会计核算是否规范，用以反映和考核财务管理制度对资金规范、安全运行的保障情况。项目实施单位制定了财务管理制度，且财务管理制度符合相关财务会计制度的规定，但未针对安全生产项目资金制定专门的项目资金管理制度，扣1分。</w:t>
      </w:r>
    </w:p>
    <w:p w14:paraId="742D3924">
      <w:pPr>
        <w:snapToGrid w:val="0"/>
        <w:ind w:firstLine="480"/>
        <w:rPr>
          <w:rFonts w:ascii="仿宋" w:hAnsi="仿宋" w:eastAsia="仿宋" w:cs="Arial Narrow"/>
        </w:rPr>
      </w:pPr>
      <w:r>
        <w:rPr>
          <w:rFonts w:hint="eastAsia" w:ascii="仿宋" w:hAnsi="仿宋" w:eastAsia="仿宋" w:cs="Arial Narrow"/>
        </w:rPr>
        <w:t>②资金使用合规性，是指项目实施单位是否存在支出依据不合规、虚列项目支出的情况；是否存在截留、挤占、挪用项目资金情况；是否存在超标准开支情况，用以反映和考核项目实施单位对项目资金使用的规范情况。评价小组通过查阅《2018年部门预算批复文件》、《2018项目经费明细账》以及抽查相关记账凭证了解到，项目实施单位资金的拨付及支出符合国家财经法规和财务管理制度，项目的的支出符合预算批复规定的用途，且不存在截留、挤占、挪用、虚列支出等情况。</w:t>
      </w:r>
    </w:p>
    <w:p w14:paraId="37EF83E0">
      <w:pPr>
        <w:snapToGrid w:val="0"/>
        <w:ind w:firstLine="480"/>
        <w:rPr>
          <w:rFonts w:ascii="仿宋" w:hAnsi="仿宋" w:eastAsia="仿宋" w:cs="Arial Narrow"/>
        </w:rPr>
      </w:pPr>
      <w:r>
        <w:rPr>
          <w:rFonts w:hint="eastAsia" w:ascii="仿宋" w:hAnsi="仿宋" w:eastAsia="仿宋" w:cs="Arial Narrow"/>
        </w:rPr>
        <w:t>③财务监控有效性，是指项目实施单位是否为保障资金的安全、规范运行而采取了必要的监控措施，用以反映和考核项目实施单位对资金运行的控制情况。评价小组通过查阅生态城内控手册，了解到该项目实施单位的资金管理、费用支出等制度健全，并制定了相关生态城内控手册，严格按照相关财务管理制度执行，对于项目的重大开支，项目实施单位有进行集体决策，资金的拨付有完整的审批程序和手续。</w:t>
      </w:r>
    </w:p>
    <w:p w14:paraId="3D9F6A79">
      <w:pPr>
        <w:pStyle w:val="4"/>
        <w:ind w:firstLine="482" w:firstLineChars="200"/>
        <w:rPr>
          <w:rFonts w:ascii="仿宋" w:hAnsi="仿宋" w:eastAsia="仿宋" w:cs="Arial Narrow"/>
        </w:rPr>
      </w:pPr>
      <w:bookmarkStart w:id="67" w:name="_Toc15548467"/>
      <w:r>
        <w:rPr>
          <w:rFonts w:hint="eastAsia" w:ascii="仿宋" w:hAnsi="仿宋" w:eastAsia="仿宋" w:cs="Arial Narrow"/>
        </w:rPr>
        <w:t>3、项目产出（28分）</w:t>
      </w:r>
      <w:bookmarkEnd w:id="67"/>
    </w:p>
    <w:p w14:paraId="2C24B961">
      <w:pPr>
        <w:snapToGrid w:val="0"/>
        <w:ind w:firstLine="480"/>
        <w:rPr>
          <w:rFonts w:ascii="仿宋" w:hAnsi="仿宋" w:eastAsia="仿宋" w:cs="Arial Narrow"/>
        </w:rPr>
      </w:pPr>
      <w:r>
        <w:rPr>
          <w:rFonts w:hint="eastAsia" w:ascii="仿宋" w:hAnsi="仿宋" w:eastAsia="仿宋" w:cs="Arial Narrow"/>
        </w:rPr>
        <w:t>项目产出方面主要评价项目实施内容的完成情况，包括完成数量、质量以及时效。对于该项的评价，绩效评价工作小组主要采取了卷宗研究、现场访谈等方式进行资料收集、整理和分析，对项目产出涉及的指标进行打分和评价。经过综合计分，该指标得分为26分，评价结果为优。</w:t>
      </w:r>
    </w:p>
    <w:p w14:paraId="6AC659DD">
      <w:pPr>
        <w:snapToGrid w:val="0"/>
        <w:ind w:firstLine="480"/>
        <w:rPr>
          <w:rFonts w:ascii="仿宋" w:hAnsi="仿宋" w:eastAsia="仿宋" w:cs="Arial Narrow"/>
          <w:highlight w:val="yellow"/>
        </w:rPr>
      </w:pPr>
      <w:r>
        <w:rPr>
          <w:rFonts w:hint="eastAsia" w:ascii="仿宋" w:hAnsi="仿宋" w:eastAsia="仿宋" w:cs="Arial Narrow"/>
        </w:rPr>
        <w:t>①实际完成率（7分），是指项目实施的实际产出数与计划产出数的比率，用以反映和考核项目产出数量目标的实现程度。</w:t>
      </w:r>
    </w:p>
    <w:p w14:paraId="2AFB2C83">
      <w:pPr>
        <w:snapToGrid w:val="0"/>
        <w:ind w:firstLine="480"/>
        <w:rPr>
          <w:rFonts w:ascii="仿宋" w:hAnsi="仿宋" w:eastAsia="仿宋" w:cs="Arial Narrow"/>
        </w:rPr>
      </w:pPr>
      <w:r>
        <w:rPr>
          <w:rFonts w:hint="eastAsia" w:ascii="仿宋" w:hAnsi="仿宋" w:eastAsia="仿宋" w:cs="Arial Narrow"/>
        </w:rPr>
        <w:t>②完成及时率（7分），是指项目实际提前完成时间与计划完成时间的比率，用以反映和考核项目产出时效目标的实现程度。是指项目实际提前完成时间与计划完成时间的比率，用以反映和考核项目产出时效目标的实现程度。评价小组通过访谈得知，项目实施单位每月按标准及时发放餐补；网络每月定时专人维护；设备购置及时。</w:t>
      </w:r>
    </w:p>
    <w:p w14:paraId="60B0A1CB">
      <w:pPr>
        <w:snapToGrid w:val="0"/>
        <w:ind w:firstLine="480"/>
        <w:rPr>
          <w:rFonts w:ascii="仿宋" w:hAnsi="仿宋" w:eastAsia="仿宋" w:cs="Arial Narrow"/>
        </w:rPr>
      </w:pPr>
      <w:r>
        <w:rPr>
          <w:rFonts w:hint="eastAsia" w:ascii="仿宋" w:hAnsi="仿宋" w:eastAsia="仿宋" w:cs="Arial Narrow"/>
        </w:rPr>
        <w:t>③质量达标率（7分），是指项目完成的质量达标产出数与实际产出数的比率，用以反映和考核项目产出质量目标的实现程度。</w:t>
      </w:r>
    </w:p>
    <w:p w14:paraId="4FA09B65">
      <w:pPr>
        <w:snapToGrid w:val="0"/>
        <w:ind w:firstLine="480"/>
        <w:rPr>
          <w:rFonts w:ascii="仿宋" w:hAnsi="仿宋" w:eastAsia="仿宋" w:cs="Arial Narrow"/>
        </w:rPr>
      </w:pPr>
      <w:r>
        <w:rPr>
          <w:rFonts w:hint="eastAsia" w:ascii="仿宋" w:hAnsi="仿宋" w:eastAsia="仿宋" w:cs="Arial Narrow"/>
        </w:rPr>
        <w:t>④资金使用率（7分），是指项目实际支出与项目到位资金的比率，用以反映和考核项目资金使用情况。通过查看项目预算批复文件和支出明细表以及记账凭证得知，该项目计划支出5,379，900.00元，实际支出为</w:t>
      </w:r>
      <w:r>
        <w:rPr>
          <w:rFonts w:ascii="仿宋" w:hAnsi="仿宋" w:eastAsia="仿宋" w:cs="Arial Narrow"/>
        </w:rPr>
        <w:t>4,687,500.08</w:t>
      </w:r>
      <w:r>
        <w:rPr>
          <w:rFonts w:hint="eastAsia" w:ascii="仿宋" w:hAnsi="仿宋" w:eastAsia="仿宋" w:cs="Arial Narrow"/>
        </w:rPr>
        <w:t>元，资金使用率为87.13%，扣2分。</w:t>
      </w:r>
    </w:p>
    <w:p w14:paraId="182C09E8">
      <w:pPr>
        <w:pStyle w:val="4"/>
        <w:ind w:firstLine="482" w:firstLineChars="200"/>
        <w:rPr>
          <w:rFonts w:ascii="仿宋" w:hAnsi="仿宋" w:eastAsia="仿宋" w:cs="Arial Narrow"/>
        </w:rPr>
      </w:pPr>
      <w:bookmarkStart w:id="68" w:name="_Toc15548468"/>
      <w:r>
        <w:rPr>
          <w:rFonts w:hint="eastAsia" w:ascii="仿宋" w:hAnsi="仿宋" w:eastAsia="仿宋" w:cs="Arial Narrow"/>
        </w:rPr>
        <w:t>4、项目效果（32分）</w:t>
      </w:r>
      <w:bookmarkEnd w:id="68"/>
    </w:p>
    <w:p w14:paraId="67A46321">
      <w:pPr>
        <w:snapToGrid w:val="0"/>
        <w:ind w:firstLine="480"/>
        <w:rPr>
          <w:rFonts w:ascii="仿宋" w:hAnsi="仿宋" w:eastAsia="仿宋" w:cs="Arial Narrow"/>
        </w:rPr>
      </w:pPr>
      <w:r>
        <w:rPr>
          <w:rFonts w:hint="eastAsia" w:ascii="仿宋" w:hAnsi="仿宋" w:eastAsia="仿宋" w:cs="Arial Narrow"/>
        </w:rPr>
        <w:t>项目效果方面主要评价项目实施所产生的经济效益，以及对社会的需求和发展所带来的直接或间接影响，反映项目后续运行及成效发挥的可持续影响情况。对于该项的评价，绩效评价工作小组主要采取了卷宗研究、现场访谈等方式进行资料收集、整理和分析，查看了项目实施单位的绩效报告，采集相关信息，对项目效果涉及的指标进行打分和评价。</w:t>
      </w:r>
    </w:p>
    <w:p w14:paraId="7FAD7A86">
      <w:pPr>
        <w:snapToGrid w:val="0"/>
        <w:ind w:firstLine="480"/>
        <w:rPr>
          <w:rFonts w:ascii="仿宋" w:hAnsi="仿宋" w:eastAsia="仿宋" w:cs="Arial Narrow"/>
        </w:rPr>
      </w:pPr>
      <w:r>
        <w:rPr>
          <w:rFonts w:hint="eastAsia" w:ascii="仿宋" w:hAnsi="仿宋" w:eastAsia="仿宋" w:cs="Arial Narrow"/>
        </w:rPr>
        <w:t>经过综合计分，该指标得分为26分，评价结果为良。</w:t>
      </w:r>
    </w:p>
    <w:p w14:paraId="7E9D4B27">
      <w:pPr>
        <w:snapToGrid w:val="0"/>
        <w:ind w:firstLine="480"/>
        <w:rPr>
          <w:rFonts w:ascii="仿宋" w:hAnsi="仿宋" w:eastAsia="仿宋" w:cs="Arial Narrow"/>
        </w:rPr>
      </w:pPr>
      <w:r>
        <w:rPr>
          <w:rFonts w:hint="eastAsia" w:ascii="仿宋" w:hAnsi="仿宋" w:eastAsia="仿宋" w:cs="Arial Narrow"/>
        </w:rPr>
        <w:t>（1）数量指标（8分）</w:t>
      </w:r>
    </w:p>
    <w:p w14:paraId="58938404">
      <w:pPr>
        <w:snapToGrid w:val="0"/>
        <w:ind w:firstLine="480"/>
        <w:rPr>
          <w:rFonts w:ascii="仿宋" w:hAnsi="仿宋" w:eastAsia="仿宋" w:cs="Arial Narrow"/>
        </w:rPr>
      </w:pPr>
      <w:r>
        <w:rPr>
          <w:rFonts w:hint="eastAsia" w:ascii="仿宋" w:hAnsi="仿宋" w:eastAsia="仿宋" w:cs="Arial Narrow"/>
        </w:rPr>
        <w:t>①餐补发放完成率，是指项目实施单位是否足额发放餐补，用以反映和考核项目产出数量目标的实现程度。评价小组通过现场访谈和抽查相关记账凭证了解到，项目实施单位严格按照每人每月800元的要求发放餐补，无少发多发的情况，餐补发放完成率100%。</w:t>
      </w:r>
    </w:p>
    <w:p w14:paraId="7DA6C881">
      <w:pPr>
        <w:snapToGrid w:val="0"/>
        <w:ind w:firstLine="480"/>
        <w:rPr>
          <w:rFonts w:ascii="仿宋" w:hAnsi="仿宋" w:eastAsia="仿宋" w:cs="Arial Narrow"/>
        </w:rPr>
      </w:pPr>
      <w:r>
        <w:rPr>
          <w:rFonts w:hint="eastAsia" w:ascii="仿宋" w:hAnsi="仿宋" w:eastAsia="仿宋" w:cs="Arial Narrow"/>
        </w:rPr>
        <w:t>②办公运行经费变动率，是指2018年办公运行经费实际变动支出与2017年实际支出的比率，用以反映和考核项目经费变动情况，用以反映和考核项目经费变动情况。评价小组通过查看2018年的项目支出明细账得知，2018年办公运行经费实际支出4,687,500.08元，2017年的办公运行经费实际支出1,741,258.55元，办公运行经费变动率为169.20%，扣3分。</w:t>
      </w:r>
    </w:p>
    <w:p w14:paraId="726BC976">
      <w:pPr>
        <w:snapToGrid w:val="0"/>
        <w:ind w:firstLine="480"/>
        <w:rPr>
          <w:rFonts w:ascii="仿宋" w:hAnsi="仿宋" w:eastAsia="仿宋" w:cs="Arial Narrow"/>
        </w:rPr>
      </w:pPr>
      <w:r>
        <w:rPr>
          <w:rFonts w:hint="eastAsia" w:ascii="仿宋" w:hAnsi="仿宋" w:eastAsia="仿宋" w:cs="Arial Narrow"/>
        </w:rPr>
        <w:t>（2）质量指标（6分）</w:t>
      </w:r>
    </w:p>
    <w:p w14:paraId="001929A2">
      <w:pPr>
        <w:snapToGrid w:val="0"/>
        <w:ind w:firstLine="480"/>
        <w:rPr>
          <w:rFonts w:ascii="仿宋" w:hAnsi="仿宋" w:eastAsia="仿宋" w:cs="Arial Narrow"/>
        </w:rPr>
      </w:pPr>
      <w:r>
        <w:rPr>
          <w:rFonts w:hint="eastAsia" w:ascii="仿宋" w:hAnsi="仿宋" w:eastAsia="仿宋" w:cs="Arial Narrow"/>
        </w:rPr>
        <w:t>党建工作完成率，是指党建工作的实际完成数与计划完成数的对比情况，用以反映和考核项目产出数量目标的实现程度。项目实施单位严格根据上级下达文件开展党建工作，按要求完成了党建工作,党建工作完成率100%，得分6分。</w:t>
      </w:r>
    </w:p>
    <w:p w14:paraId="0C077CB9">
      <w:pPr>
        <w:snapToGrid w:val="0"/>
        <w:ind w:firstLine="480"/>
        <w:rPr>
          <w:rFonts w:ascii="仿宋" w:hAnsi="仿宋" w:eastAsia="仿宋" w:cs="Arial Narrow"/>
        </w:rPr>
      </w:pPr>
      <w:r>
        <w:rPr>
          <w:rFonts w:hint="eastAsia" w:ascii="仿宋" w:hAnsi="仿宋" w:eastAsia="仿宋" w:cs="Arial Narrow"/>
        </w:rPr>
        <w:t>（3）社会效益指标（6分），是指项目实施对社会发展所带来的的直接或间接影响情况。营造了廉洁勤政务实高效的作风氛围，推动了反腐倡廉建设，计5分。</w:t>
      </w:r>
    </w:p>
    <w:p w14:paraId="3BA4ABFB">
      <w:pPr>
        <w:snapToGrid w:val="0"/>
        <w:ind w:firstLine="480"/>
        <w:rPr>
          <w:rFonts w:ascii="仿宋" w:hAnsi="仿宋" w:eastAsia="仿宋" w:cs="Arial Narrow"/>
        </w:rPr>
      </w:pPr>
      <w:r>
        <w:rPr>
          <w:rFonts w:hint="eastAsia" w:ascii="仿宋" w:hAnsi="仿宋" w:eastAsia="仿宋" w:cs="Arial Narrow"/>
        </w:rPr>
        <w:t>（4）可持续影响性（6分），是指项目实施单位是否有充足的人员配置，用以保障和支持项目的长期运行，用以反映和考核项目的可持续性。评价小组通过查阅《智慧生态城管理办公室关于调整组织构架和工作人员分工的通知》和现场访谈了解到，项目实施单位已经配备充足的人员，并对项目进行后续跟踪监督，计5分。</w:t>
      </w:r>
    </w:p>
    <w:p w14:paraId="53190DE6">
      <w:pPr>
        <w:snapToGrid w:val="0"/>
        <w:ind w:firstLine="480"/>
        <w:rPr>
          <w:rFonts w:ascii="仿宋" w:hAnsi="仿宋" w:eastAsia="仿宋" w:cs="Arial Narrow"/>
        </w:rPr>
      </w:pPr>
      <w:r>
        <w:rPr>
          <w:rFonts w:hint="eastAsia" w:ascii="仿宋" w:hAnsi="仿宋" w:eastAsia="仿宋" w:cs="Arial Narrow"/>
        </w:rPr>
        <w:t>（5）服务对象满意度（6分）</w:t>
      </w:r>
      <w:bookmarkEnd w:id="60"/>
      <w:bookmarkEnd w:id="61"/>
      <w:bookmarkEnd w:id="62"/>
      <w:bookmarkEnd w:id="63"/>
      <w:bookmarkEnd w:id="64"/>
      <w:bookmarkStart w:id="69" w:name="_Toc387957826"/>
      <w:bookmarkStart w:id="70" w:name="_Toc406668051"/>
      <w:bookmarkStart w:id="71" w:name="_Toc361302038"/>
      <w:bookmarkStart w:id="72" w:name="_Toc406666377"/>
      <w:bookmarkStart w:id="73" w:name="_Toc14165738"/>
      <w:bookmarkStart w:id="74" w:name="_Toc361304701"/>
      <w:bookmarkStart w:id="75" w:name="_Toc17932"/>
      <w:r>
        <w:rPr>
          <w:rFonts w:hint="eastAsia" w:ascii="仿宋" w:hAnsi="仿宋" w:eastAsia="仿宋" w:cs="Arial Narrow"/>
        </w:rPr>
        <w:t>，</w:t>
      </w:r>
      <w:r>
        <w:rPr>
          <w:rFonts w:ascii="仿宋" w:hAnsi="仿宋" w:eastAsia="仿宋" w:cs="Arial Narrow"/>
        </w:rPr>
        <w:t>是指服务对象对项目实施效果的满意程度。评价小组共发放了20份调查问卷，其中满意为19份，服务对象满意度为9</w:t>
      </w:r>
      <w:r>
        <w:rPr>
          <w:rFonts w:hint="eastAsia" w:ascii="仿宋" w:hAnsi="仿宋" w:eastAsia="仿宋" w:cs="Arial Narrow"/>
        </w:rPr>
        <w:t>5</w:t>
      </w:r>
      <w:r>
        <w:rPr>
          <w:rFonts w:ascii="仿宋" w:hAnsi="仿宋" w:eastAsia="仿宋" w:cs="Arial Narrow"/>
        </w:rPr>
        <w:t>%，满意度较高</w:t>
      </w:r>
      <w:r>
        <w:rPr>
          <w:rFonts w:hint="eastAsia" w:ascii="仿宋" w:hAnsi="仿宋" w:eastAsia="仿宋" w:cs="Arial Narrow"/>
        </w:rPr>
        <w:t>，计5分。</w:t>
      </w:r>
    </w:p>
    <w:p w14:paraId="69DD576D">
      <w:pPr>
        <w:pStyle w:val="3"/>
        <w:spacing w:before="0" w:after="0" w:line="360" w:lineRule="auto"/>
        <w:ind w:firstLine="482"/>
        <w:rPr>
          <w:rFonts w:ascii="仿宋" w:hAnsi="仿宋" w:eastAsia="仿宋" w:cs="Arial Narrow"/>
          <w:sz w:val="24"/>
        </w:rPr>
      </w:pPr>
      <w:bookmarkStart w:id="76" w:name="_Toc15548469"/>
      <w:r>
        <w:rPr>
          <w:rFonts w:hint="eastAsia" w:ascii="仿宋" w:hAnsi="仿宋" w:eastAsia="仿宋" w:cs="Arial Narrow"/>
          <w:sz w:val="24"/>
        </w:rPr>
        <w:t>（二）</w:t>
      </w:r>
      <w:r>
        <w:rPr>
          <w:rFonts w:ascii="仿宋" w:hAnsi="仿宋" w:eastAsia="仿宋" w:cs="Arial Narrow"/>
          <w:sz w:val="24"/>
        </w:rPr>
        <w:t>评价结论</w:t>
      </w:r>
      <w:bookmarkEnd w:id="69"/>
      <w:bookmarkEnd w:id="70"/>
      <w:bookmarkEnd w:id="71"/>
      <w:bookmarkEnd w:id="72"/>
      <w:bookmarkEnd w:id="73"/>
      <w:bookmarkEnd w:id="74"/>
      <w:bookmarkEnd w:id="75"/>
      <w:bookmarkEnd w:id="76"/>
      <w:bookmarkStart w:id="77" w:name="_Toc361302039"/>
      <w:bookmarkStart w:id="78" w:name="_Toc361304702"/>
    </w:p>
    <w:bookmarkEnd w:id="77"/>
    <w:bookmarkEnd w:id="78"/>
    <w:p w14:paraId="453E3C0E">
      <w:pPr>
        <w:snapToGrid w:val="0"/>
        <w:ind w:firstLine="480"/>
        <w:rPr>
          <w:rFonts w:ascii="仿宋" w:hAnsi="仿宋" w:eastAsia="仿宋" w:cs="Arial Narrow"/>
          <w:bCs/>
        </w:rPr>
      </w:pPr>
      <w:r>
        <w:rPr>
          <w:rFonts w:ascii="仿宋" w:hAnsi="仿宋" w:eastAsia="仿宋" w:cs="Arial Narrow"/>
          <w:bCs/>
        </w:rPr>
        <w:t>1</w:t>
      </w:r>
      <w:r>
        <w:rPr>
          <w:rFonts w:hint="eastAsia" w:ascii="仿宋" w:hAnsi="仿宋" w:eastAsia="仿宋" w:cs="Arial Narrow"/>
          <w:bCs/>
        </w:rPr>
        <w:t>、</w:t>
      </w:r>
      <w:r>
        <w:rPr>
          <w:rFonts w:ascii="仿宋" w:hAnsi="仿宋" w:eastAsia="仿宋" w:cs="Arial Narrow"/>
          <w:bCs/>
        </w:rPr>
        <w:t>评分结果</w:t>
      </w:r>
    </w:p>
    <w:p w14:paraId="03619E79">
      <w:pPr>
        <w:snapToGrid w:val="0"/>
        <w:ind w:firstLine="480"/>
        <w:rPr>
          <w:rFonts w:ascii="仿宋" w:hAnsi="仿宋" w:eastAsia="仿宋" w:cs="Arial Narrow"/>
        </w:rPr>
      </w:pPr>
      <w:bookmarkStart w:id="79" w:name="_Toc361304705"/>
      <w:bookmarkStart w:id="80" w:name="_Toc387957829"/>
      <w:bookmarkStart w:id="81" w:name="_Toc406668054"/>
      <w:bookmarkStart w:id="82" w:name="_Toc406666380"/>
      <w:r>
        <w:rPr>
          <w:rFonts w:hint="eastAsia" w:ascii="仿宋" w:hAnsi="仿宋" w:eastAsia="仿宋" w:cs="Arial Narrow"/>
        </w:rPr>
        <w:t>武汉经济技术开发区智慧生态城管理办公室“办公室运行经费”项目绩效评价综合得分为90分，评价结果为优。</w:t>
      </w:r>
    </w:p>
    <w:p w14:paraId="2D085078">
      <w:pPr>
        <w:snapToGrid w:val="0"/>
        <w:ind w:firstLine="480"/>
        <w:rPr>
          <w:rFonts w:ascii="仿宋" w:hAnsi="仿宋" w:eastAsia="仿宋" w:cs="Arial Narrow"/>
          <w:bCs/>
        </w:rPr>
      </w:pPr>
      <w:r>
        <w:rPr>
          <w:rFonts w:hint="eastAsia" w:ascii="仿宋" w:hAnsi="仿宋" w:eastAsia="仿宋" w:cs="Arial Narrow"/>
          <w:bCs/>
        </w:rPr>
        <w:t>2、主要结论</w:t>
      </w:r>
    </w:p>
    <w:p w14:paraId="25D1E0A7">
      <w:pPr>
        <w:snapToGrid w:val="0"/>
        <w:ind w:firstLine="480"/>
        <w:rPr>
          <w:rFonts w:ascii="仿宋" w:hAnsi="仿宋" w:eastAsia="仿宋" w:cs="Arial Narrow"/>
          <w:bCs/>
        </w:rPr>
      </w:pPr>
      <w:bookmarkStart w:id="83" w:name="_Toc14373"/>
      <w:bookmarkStart w:id="84" w:name="_Toc14165739"/>
      <w:r>
        <w:rPr>
          <w:rFonts w:hint="eastAsia" w:ascii="仿宋" w:hAnsi="仿宋" w:eastAsia="仿宋" w:cs="Arial Narrow"/>
          <w:bCs/>
        </w:rPr>
        <w:t>按照年度工作安排要求，</w:t>
      </w:r>
      <w:r>
        <w:rPr>
          <w:rFonts w:hint="eastAsia" w:ascii="仿宋" w:hAnsi="仿宋" w:eastAsia="仿宋" w:cs="Arial Narrow"/>
        </w:rPr>
        <w:t>办公室运行经费</w:t>
      </w:r>
      <w:r>
        <w:rPr>
          <w:rFonts w:hint="eastAsia" w:ascii="仿宋" w:hAnsi="仿宋" w:eastAsia="仿宋" w:cs="Arial Narrow"/>
          <w:bCs/>
        </w:rPr>
        <w:t>专项绩效已按要求的时间节点展开工作。</w:t>
      </w:r>
    </w:p>
    <w:p w14:paraId="45D69F56">
      <w:pPr>
        <w:pStyle w:val="2"/>
        <w:rPr>
          <w:rFonts w:ascii="仿宋" w:hAnsi="仿宋" w:eastAsia="仿宋" w:cs="Arial Narrow"/>
          <w:b w:val="0"/>
          <w:sz w:val="24"/>
        </w:rPr>
      </w:pPr>
      <w:bookmarkStart w:id="85" w:name="_Toc15548470"/>
      <w:r>
        <w:rPr>
          <w:rFonts w:hint="eastAsia" w:ascii="仿宋" w:hAnsi="仿宋" w:eastAsia="仿宋" w:cs="Arial Narrow"/>
          <w:sz w:val="24"/>
        </w:rPr>
        <w:t>四</w:t>
      </w:r>
      <w:r>
        <w:rPr>
          <w:rFonts w:ascii="仿宋" w:hAnsi="仿宋" w:eastAsia="仿宋" w:cs="Arial Narrow"/>
          <w:sz w:val="24"/>
        </w:rPr>
        <w:t>、</w:t>
      </w:r>
      <w:bookmarkEnd w:id="79"/>
      <w:bookmarkEnd w:id="80"/>
      <w:bookmarkEnd w:id="81"/>
      <w:bookmarkEnd w:id="82"/>
      <w:r>
        <w:rPr>
          <w:rFonts w:ascii="仿宋" w:hAnsi="仿宋" w:eastAsia="仿宋" w:cs="Arial Narrow"/>
          <w:sz w:val="24"/>
        </w:rPr>
        <w:t>主要</w:t>
      </w:r>
      <w:r>
        <w:rPr>
          <w:rFonts w:hint="eastAsia" w:ascii="仿宋" w:hAnsi="仿宋" w:eastAsia="仿宋" w:cs="Arial Narrow"/>
          <w:sz w:val="24"/>
        </w:rPr>
        <w:t>经验</w:t>
      </w:r>
      <w:r>
        <w:rPr>
          <w:rFonts w:ascii="仿宋" w:hAnsi="仿宋" w:eastAsia="仿宋" w:cs="Arial Narrow"/>
          <w:sz w:val="24"/>
        </w:rPr>
        <w:t>及做法、存在的问题和建议</w:t>
      </w:r>
      <w:bookmarkEnd w:id="83"/>
      <w:bookmarkEnd w:id="84"/>
      <w:bookmarkEnd w:id="85"/>
    </w:p>
    <w:p w14:paraId="7362C098">
      <w:pPr>
        <w:pStyle w:val="4"/>
        <w:ind w:firstLine="482" w:firstLineChars="200"/>
        <w:rPr>
          <w:rFonts w:ascii="仿宋" w:hAnsi="仿宋" w:eastAsia="仿宋" w:cs="Arial Narrow"/>
          <w:bCs w:val="0"/>
        </w:rPr>
      </w:pPr>
      <w:bookmarkStart w:id="86" w:name="_Toc361304706"/>
      <w:bookmarkStart w:id="87" w:name="_Toc406666381"/>
      <w:bookmarkStart w:id="88" w:name="_Toc387957830"/>
      <w:bookmarkStart w:id="89" w:name="_Toc406668055"/>
      <w:bookmarkStart w:id="90" w:name="_Toc15548471"/>
      <w:bookmarkStart w:id="91" w:name="_Toc27928"/>
      <w:bookmarkStart w:id="92" w:name="_Toc14165740"/>
      <w:r>
        <w:rPr>
          <w:rFonts w:hint="eastAsia" w:ascii="仿宋" w:hAnsi="仿宋" w:eastAsia="仿宋" w:cs="Arial Narrow"/>
          <w:bCs w:val="0"/>
        </w:rPr>
        <w:t>（一）</w:t>
      </w:r>
      <w:r>
        <w:rPr>
          <w:rFonts w:ascii="仿宋" w:hAnsi="仿宋" w:eastAsia="仿宋" w:cs="Arial Narrow"/>
        </w:rPr>
        <w:t>主要经验及做法</w:t>
      </w:r>
      <w:bookmarkEnd w:id="86"/>
      <w:bookmarkEnd w:id="87"/>
      <w:bookmarkEnd w:id="88"/>
      <w:bookmarkEnd w:id="89"/>
      <w:bookmarkEnd w:id="90"/>
      <w:bookmarkEnd w:id="91"/>
      <w:bookmarkEnd w:id="92"/>
      <w:bookmarkStart w:id="93" w:name="_Toc16696"/>
      <w:bookmarkStart w:id="94" w:name="_Toc406666382"/>
      <w:bookmarkStart w:id="95" w:name="_Toc406668056"/>
      <w:bookmarkStart w:id="96" w:name="_Toc14165741"/>
      <w:bookmarkStart w:id="97" w:name="_Toc387957833"/>
    </w:p>
    <w:p w14:paraId="2D9A3F35">
      <w:pPr>
        <w:snapToGrid w:val="0"/>
        <w:ind w:firstLine="480"/>
        <w:rPr>
          <w:rFonts w:ascii="仿宋" w:hAnsi="仿宋" w:eastAsia="仿宋" w:cs="Arial Narrow"/>
        </w:rPr>
      </w:pPr>
      <w:r>
        <w:rPr>
          <w:rFonts w:hint="eastAsia" w:ascii="仿宋" w:hAnsi="仿宋" w:eastAsia="仿宋" w:cs="Arial Narrow"/>
        </w:rPr>
        <w:t>全面加强了党的领导和党的建设。一是积极发挥党组织核心引领作用。学习贯彻习近平新时代中国特色社会主义思想和党的十九大精神，把加强党建工作贯穿到招商引资、项目建设全过程，突出基层党组织战斗堡垒和党员先锋模范作用。推动“两新组织”党建工作，实现了非公企业党建全覆盖。以抓党建带动了工会、共青团、妇联等群团组织建设,营造了齐抓共建的党建氛围。二是落实全面从严治党主体责任。牢固树立“四个意识”，深入推进党风廉政建设和作风建设，充分发挥内部管理和外部监督的作用，深入开展自查自纠，在企业、工地进行实地走访调研，利用自己找、企业提、互相查、领导点、组织评等方式，深入查找园区各项工作中存在的廉政风险点，制定了详尽全面的《内控制度》，规范人财物事管理，不断强化廉政风险防控，为园区经济建设和社会稳定营造了风清气正的发展环境。</w:t>
      </w:r>
    </w:p>
    <w:p w14:paraId="4D180756">
      <w:pPr>
        <w:pStyle w:val="4"/>
        <w:ind w:firstLine="482" w:firstLineChars="200"/>
        <w:rPr>
          <w:rFonts w:ascii="仿宋" w:hAnsi="仿宋" w:eastAsia="仿宋" w:cs="Arial Narrow"/>
          <w:bCs w:val="0"/>
        </w:rPr>
      </w:pPr>
      <w:bookmarkStart w:id="98" w:name="_Toc15548472"/>
      <w:r>
        <w:rPr>
          <w:rFonts w:hint="eastAsia" w:ascii="仿宋" w:hAnsi="仿宋" w:eastAsia="仿宋" w:cs="Arial Narrow"/>
          <w:bCs w:val="0"/>
        </w:rPr>
        <w:t>（二）</w:t>
      </w:r>
      <w:r>
        <w:rPr>
          <w:rFonts w:ascii="仿宋" w:hAnsi="仿宋" w:eastAsia="仿宋" w:cs="Arial Narrow"/>
        </w:rPr>
        <w:t>存在的问题</w:t>
      </w:r>
      <w:bookmarkEnd w:id="93"/>
      <w:bookmarkEnd w:id="94"/>
      <w:bookmarkEnd w:id="95"/>
      <w:bookmarkEnd w:id="96"/>
      <w:bookmarkEnd w:id="98"/>
    </w:p>
    <w:p w14:paraId="0326AF39">
      <w:pPr>
        <w:snapToGrid w:val="0"/>
        <w:ind w:firstLine="480"/>
        <w:rPr>
          <w:rFonts w:ascii="仿宋" w:hAnsi="仿宋" w:eastAsia="仿宋" w:cs="Arial Narrow"/>
        </w:rPr>
      </w:pPr>
      <w:bookmarkStart w:id="99" w:name="_Toc14165742"/>
      <w:bookmarkStart w:id="100" w:name="_Toc28128"/>
      <w:r>
        <w:rPr>
          <w:rFonts w:hint="eastAsia" w:ascii="仿宋" w:hAnsi="仿宋" w:eastAsia="仿宋" w:cs="Arial Narrow"/>
        </w:rPr>
        <w:t>（1）目标体系不完善。项目单位设定了年度目标和绩效指标，但在设置指标时将各项工作内容糅合成一个绩效指标，使得指标内容过于笼统，不利于工作的绩效考核，使得一些绩效指标不具有可测性。</w:t>
      </w:r>
    </w:p>
    <w:p w14:paraId="194E096F">
      <w:pPr>
        <w:snapToGrid w:val="0"/>
        <w:ind w:firstLine="480"/>
        <w:rPr>
          <w:rFonts w:ascii="仿宋" w:hAnsi="仿宋" w:eastAsia="仿宋" w:cs="Arial Narrow"/>
        </w:rPr>
      </w:pPr>
      <w:r>
        <w:rPr>
          <w:rFonts w:hint="eastAsia" w:ascii="仿宋" w:hAnsi="仿宋" w:eastAsia="仿宋" w:cs="Arial Narrow"/>
        </w:rPr>
        <w:t>（2）项目资金使用率偏低。2018年下达的项目预算资金为5,379,900.00元，该项目实际支出为</w:t>
      </w:r>
      <w:r>
        <w:rPr>
          <w:rFonts w:ascii="仿宋" w:hAnsi="仿宋" w:eastAsia="仿宋" w:cs="Arial Narrow"/>
        </w:rPr>
        <w:t>4,687,500.08</w:t>
      </w:r>
      <w:r>
        <w:rPr>
          <w:rFonts w:hint="eastAsia" w:ascii="仿宋" w:hAnsi="仿宋" w:eastAsia="仿宋" w:cs="Arial Narrow"/>
        </w:rPr>
        <w:t>元，资金使用率为87.13%。</w:t>
      </w:r>
    </w:p>
    <w:p w14:paraId="76270110">
      <w:pPr>
        <w:snapToGrid w:val="0"/>
        <w:ind w:firstLine="480"/>
        <w:rPr>
          <w:rFonts w:ascii="仿宋" w:hAnsi="仿宋" w:eastAsia="仿宋" w:cs="Arial Narrow"/>
        </w:rPr>
      </w:pPr>
      <w:r>
        <w:rPr>
          <w:rFonts w:hint="eastAsia" w:ascii="仿宋" w:hAnsi="仿宋" w:eastAsia="仿宋" w:cs="Arial Narrow"/>
        </w:rPr>
        <w:t>（3）项目经费变动率较大。2018年办公运行经费实际支出4,687,500.08元，2017年的办公运行经费实际支出1,741,258.55元，办公运行经费变动率为169.20%。</w:t>
      </w:r>
    </w:p>
    <w:p w14:paraId="0C901F98">
      <w:pPr>
        <w:pStyle w:val="4"/>
        <w:ind w:firstLine="482" w:firstLineChars="200"/>
        <w:rPr>
          <w:rFonts w:ascii="仿宋" w:hAnsi="仿宋" w:eastAsia="仿宋" w:cs="Arial Narrow"/>
        </w:rPr>
      </w:pPr>
      <w:bookmarkStart w:id="101" w:name="_Toc15548473"/>
      <w:r>
        <w:rPr>
          <w:rFonts w:hint="eastAsia" w:ascii="仿宋" w:hAnsi="仿宋" w:eastAsia="仿宋" w:cs="Arial Narrow"/>
          <w:bCs w:val="0"/>
        </w:rPr>
        <w:t>（三）</w:t>
      </w:r>
      <w:r>
        <w:rPr>
          <w:rFonts w:ascii="仿宋" w:hAnsi="仿宋" w:eastAsia="仿宋" w:cs="Arial Narrow"/>
        </w:rPr>
        <w:t>建议</w:t>
      </w:r>
      <w:bookmarkEnd w:id="97"/>
      <w:bookmarkEnd w:id="99"/>
      <w:bookmarkEnd w:id="100"/>
      <w:bookmarkEnd w:id="101"/>
      <w:bookmarkStart w:id="102" w:name="_Toc387957834"/>
    </w:p>
    <w:p w14:paraId="4AFFABFF">
      <w:pPr>
        <w:snapToGrid w:val="0"/>
        <w:ind w:firstLine="480"/>
        <w:rPr>
          <w:rFonts w:ascii="仿宋" w:hAnsi="仿宋" w:eastAsia="仿宋" w:cs="Arial Narrow"/>
        </w:rPr>
      </w:pPr>
      <w:r>
        <w:rPr>
          <w:rFonts w:hint="eastAsia" w:ascii="仿宋" w:hAnsi="仿宋" w:eastAsia="仿宋" w:cs="Arial Narrow"/>
        </w:rPr>
        <w:t>（1）完善目标体系。建议项目实施单位根据项目文件要求设置项目中长期目标，并将中长期目标分解成年度目标；年度目标细化成具体的绩效指标，细化指标体系，可避免将多项内容糅合为一个指标的情况，使得各项指标清晰可测，促进绩效评价工作的规范化。</w:t>
      </w:r>
    </w:p>
    <w:p w14:paraId="2E2F3380">
      <w:pPr>
        <w:snapToGrid w:val="0"/>
        <w:ind w:firstLine="480"/>
        <w:rPr>
          <w:rFonts w:ascii="仿宋" w:hAnsi="仿宋" w:eastAsia="仿宋" w:cs="Arial Narrow"/>
        </w:rPr>
      </w:pPr>
      <w:r>
        <w:rPr>
          <w:rFonts w:hint="eastAsia" w:ascii="仿宋" w:hAnsi="仿宋" w:eastAsia="仿宋" w:cs="Arial Narrow"/>
        </w:rPr>
        <w:t>（2）根据项目执行情况及时调整预算。建议项目单位在编制预算前进行必要的可行性研究，在充分听取专家建议并进行集体决策的基础上进行预算编制并设立科学合理的绩效指标值，同时在执行过程中，结合项目的具体情况，据此科学合理地适度安排本年度项目预算资金。做到项目实施内容与项目预算资金相匹配，便于项目的绩效管理。</w:t>
      </w:r>
    </w:p>
    <w:p w14:paraId="5322F52B">
      <w:pPr>
        <w:pStyle w:val="2"/>
        <w:rPr>
          <w:rFonts w:ascii="仿宋" w:hAnsi="仿宋" w:eastAsia="仿宋" w:cs="Arial Narrow"/>
          <w:sz w:val="24"/>
        </w:rPr>
      </w:pPr>
      <w:bookmarkStart w:id="103" w:name="_Toc9981"/>
      <w:bookmarkStart w:id="104" w:name="_Toc15548474"/>
      <w:bookmarkStart w:id="105" w:name="_Toc14165743"/>
      <w:r>
        <w:rPr>
          <w:rFonts w:hint="eastAsia" w:ascii="仿宋" w:hAnsi="仿宋" w:eastAsia="仿宋" w:cs="Arial Narrow"/>
          <w:sz w:val="24"/>
        </w:rPr>
        <w:t>五</w:t>
      </w:r>
      <w:r>
        <w:rPr>
          <w:rFonts w:ascii="仿宋" w:hAnsi="仿宋" w:eastAsia="仿宋" w:cs="Arial Narrow"/>
          <w:sz w:val="24"/>
        </w:rPr>
        <w:t>、其他需说明的问题</w:t>
      </w:r>
      <w:bookmarkEnd w:id="103"/>
      <w:bookmarkEnd w:id="104"/>
      <w:bookmarkEnd w:id="105"/>
    </w:p>
    <w:bookmarkEnd w:id="102"/>
    <w:p w14:paraId="68185F78">
      <w:pPr>
        <w:snapToGrid w:val="0"/>
        <w:ind w:firstLine="482"/>
        <w:outlineLvl w:val="1"/>
        <w:rPr>
          <w:rFonts w:ascii="仿宋" w:hAnsi="仿宋" w:eastAsia="仿宋" w:cs="Arial Narrow"/>
          <w:b/>
        </w:rPr>
      </w:pPr>
      <w:bookmarkStart w:id="106" w:name="_Toc14165744"/>
      <w:bookmarkStart w:id="107" w:name="_Toc15548475"/>
      <w:bookmarkStart w:id="108" w:name="_Toc387957836"/>
      <w:bookmarkStart w:id="109" w:name="_Toc406668061"/>
      <w:bookmarkStart w:id="110" w:name="_Toc406666387"/>
      <w:bookmarkStart w:id="111" w:name="_Toc5673"/>
      <w:r>
        <w:rPr>
          <w:rFonts w:hint="eastAsia" w:ascii="仿宋" w:hAnsi="仿宋" w:eastAsia="仿宋" w:cs="Arial Narrow"/>
          <w:b/>
        </w:rPr>
        <w:t>（一）关于评价责任的说明</w:t>
      </w:r>
      <w:bookmarkEnd w:id="106"/>
      <w:bookmarkEnd w:id="107"/>
    </w:p>
    <w:p w14:paraId="35694C5F">
      <w:pPr>
        <w:snapToGrid w:val="0"/>
        <w:ind w:firstLine="480"/>
        <w:rPr>
          <w:rFonts w:ascii="仿宋" w:hAnsi="仿宋" w:eastAsia="仿宋" w:cs="Arial Narrow"/>
        </w:rPr>
      </w:pPr>
      <w:r>
        <w:rPr>
          <w:rFonts w:hint="eastAsia" w:ascii="仿宋" w:hAnsi="仿宋" w:eastAsia="仿宋" w:cs="Arial Narrow"/>
        </w:rPr>
        <w:t>本评价结果依据评价客体提供的各项基础资料，运用规定的评价方法，评价工作组保证本次评价工作全过程的公正和公平，各项评价基础资料的真实性与完整性由评价客体负责，未经评价组织机构同意，任何单位和个人不得将本评价结果对外公布。</w:t>
      </w:r>
    </w:p>
    <w:p w14:paraId="382BFE2C">
      <w:pPr>
        <w:snapToGrid w:val="0"/>
        <w:ind w:firstLine="482"/>
        <w:outlineLvl w:val="1"/>
        <w:rPr>
          <w:rFonts w:ascii="仿宋" w:hAnsi="仿宋" w:eastAsia="仿宋" w:cs="Arial Narrow"/>
          <w:b/>
        </w:rPr>
      </w:pPr>
      <w:bookmarkStart w:id="112" w:name="_Toc15548476"/>
      <w:bookmarkStart w:id="113" w:name="_Toc14165745"/>
      <w:r>
        <w:rPr>
          <w:rFonts w:hint="eastAsia" w:ascii="仿宋" w:hAnsi="仿宋" w:eastAsia="仿宋" w:cs="Arial Narrow"/>
          <w:b/>
        </w:rPr>
        <w:t>（二）关于本项目评价中存在的局限性的说明</w:t>
      </w:r>
      <w:bookmarkEnd w:id="112"/>
      <w:bookmarkEnd w:id="113"/>
    </w:p>
    <w:p w14:paraId="57D202DE">
      <w:pPr>
        <w:snapToGrid w:val="0"/>
        <w:ind w:firstLine="480"/>
        <w:rPr>
          <w:rFonts w:ascii="仿宋" w:hAnsi="仿宋" w:eastAsia="仿宋" w:cs="Arial Narrow"/>
        </w:rPr>
      </w:pPr>
      <w:r>
        <w:rPr>
          <w:rFonts w:hint="eastAsia" w:ascii="仿宋" w:hAnsi="仿宋" w:eastAsia="仿宋" w:cs="Arial Narrow"/>
        </w:rPr>
        <w:t>1、评价结论是湖北正大会计师事务有限责任公司出具的，受具体参加本次项目的评价人员的水平和能力的限制。鉴于这种评价工作存在资料的有限性和调查、分析、判断的局限性，评价结论无法考虑影响资金使用的所有因素，评价结论存在一定的局限性。</w:t>
      </w:r>
    </w:p>
    <w:p w14:paraId="5DAEBC2F">
      <w:pPr>
        <w:snapToGrid w:val="0"/>
        <w:ind w:firstLine="480"/>
        <w:rPr>
          <w:rFonts w:ascii="仿宋" w:hAnsi="仿宋" w:eastAsia="仿宋" w:cs="Arial Narrow"/>
        </w:rPr>
      </w:pPr>
      <w:r>
        <w:rPr>
          <w:rFonts w:hint="eastAsia" w:ascii="仿宋" w:hAnsi="仿宋" w:eastAsia="仿宋" w:cs="Arial Narrow"/>
        </w:rPr>
        <w:t>2、本项目是经常性的资金使用项目，而且专业性较强。受具体参加本次项目的评价人员的专业能力的影响，对专业指标设定的全面性可能存在一定的局限性。</w:t>
      </w:r>
    </w:p>
    <w:p w14:paraId="53EBB0E8">
      <w:pPr>
        <w:snapToGrid w:val="0"/>
        <w:ind w:firstLine="480"/>
        <w:rPr>
          <w:rFonts w:ascii="仿宋" w:hAnsi="仿宋" w:eastAsia="仿宋" w:cs="Arial Narrow"/>
        </w:rPr>
      </w:pPr>
    </w:p>
    <w:p w14:paraId="122DC895">
      <w:pPr>
        <w:snapToGrid w:val="0"/>
        <w:ind w:firstLine="482"/>
        <w:rPr>
          <w:rFonts w:ascii="仿宋" w:hAnsi="仿宋" w:eastAsia="仿宋" w:cs="Arial Narrow"/>
          <w:b/>
          <w:bCs/>
        </w:rPr>
      </w:pPr>
    </w:p>
    <w:p w14:paraId="0085BA25">
      <w:pPr>
        <w:snapToGrid w:val="0"/>
        <w:ind w:firstLine="0" w:firstLineChars="0"/>
        <w:rPr>
          <w:rFonts w:ascii="仿宋" w:hAnsi="仿宋" w:eastAsia="仿宋" w:cs="Arial Narrow"/>
        </w:rPr>
      </w:pPr>
      <w:r>
        <w:rPr>
          <w:rFonts w:ascii="仿宋" w:hAnsi="仿宋" w:eastAsia="仿宋" w:cs="Arial Narrow"/>
          <w:b/>
          <w:bCs/>
        </w:rPr>
        <w:t>附件</w:t>
      </w:r>
      <w:bookmarkEnd w:id="108"/>
      <w:r>
        <w:rPr>
          <w:rFonts w:ascii="仿宋" w:hAnsi="仿宋" w:eastAsia="仿宋" w:cs="Arial Narrow"/>
          <w:b/>
          <w:bCs/>
        </w:rPr>
        <w:t>：</w:t>
      </w:r>
      <w:bookmarkEnd w:id="109"/>
      <w:bookmarkEnd w:id="110"/>
      <w:bookmarkEnd w:id="111"/>
    </w:p>
    <w:p w14:paraId="23E94083">
      <w:pPr>
        <w:snapToGrid w:val="0"/>
        <w:ind w:firstLine="480"/>
        <w:rPr>
          <w:rFonts w:ascii="仿宋" w:hAnsi="仿宋" w:eastAsia="仿宋" w:cs="Arial Narrow"/>
        </w:rPr>
      </w:pPr>
      <w:r>
        <w:rPr>
          <w:rFonts w:ascii="仿宋" w:hAnsi="仿宋" w:eastAsia="仿宋" w:cs="Arial Narrow"/>
        </w:rPr>
        <w:t>1：项目绩效评价评分表</w:t>
      </w:r>
      <w:r>
        <w:rPr>
          <w:rFonts w:hint="eastAsia" w:ascii="仿宋" w:hAnsi="仿宋" w:eastAsia="仿宋" w:cs="Arial Narrow"/>
        </w:rPr>
        <w:t>及说明</w:t>
      </w:r>
    </w:p>
    <w:p w14:paraId="08303B58">
      <w:pPr>
        <w:snapToGrid w:val="0"/>
        <w:ind w:firstLine="480"/>
        <w:rPr>
          <w:rFonts w:ascii="仿宋" w:hAnsi="仿宋" w:eastAsia="仿宋" w:cs="Arial Narrow"/>
        </w:rPr>
      </w:pPr>
      <w:r>
        <w:rPr>
          <w:rFonts w:hint="eastAsia" w:ascii="仿宋" w:hAnsi="仿宋" w:eastAsia="仿宋" w:cs="Arial Narrow"/>
        </w:rPr>
        <w:t>2：评价机构营业执照（复印件）</w:t>
      </w:r>
    </w:p>
    <w:p w14:paraId="6E5E73B7">
      <w:pPr>
        <w:snapToGrid w:val="0"/>
        <w:ind w:firstLine="480"/>
        <w:rPr>
          <w:rFonts w:ascii="仿宋" w:hAnsi="仿宋" w:eastAsia="仿宋" w:cs="Arial Narrow"/>
        </w:rPr>
      </w:pPr>
      <w:r>
        <w:rPr>
          <w:rFonts w:hint="eastAsia" w:ascii="仿宋" w:hAnsi="仿宋" w:eastAsia="仿宋" w:cs="Arial Narrow"/>
        </w:rPr>
        <w:t>3：相关评价人员执业证明文件（复印件）</w:t>
      </w:r>
    </w:p>
    <w:p w14:paraId="56AACD0B">
      <w:pPr>
        <w:snapToGrid w:val="0"/>
        <w:ind w:firstLine="480"/>
        <w:rPr>
          <w:rFonts w:ascii="仿宋" w:hAnsi="仿宋" w:eastAsia="仿宋" w:cs="Arial Narrow"/>
        </w:rPr>
      </w:pPr>
    </w:p>
    <w:p w14:paraId="050A38B8">
      <w:pPr>
        <w:snapToGrid w:val="0"/>
        <w:ind w:firstLine="480"/>
        <w:jc w:val="right"/>
        <w:rPr>
          <w:rFonts w:ascii="仿宋" w:hAnsi="仿宋" w:eastAsia="仿宋" w:cs="Arial Narrow"/>
        </w:rPr>
      </w:pPr>
      <w:r>
        <w:rPr>
          <w:rFonts w:hint="eastAsia" w:ascii="仿宋" w:hAnsi="仿宋" w:eastAsia="仿宋" w:cs="Arial Narrow"/>
        </w:rPr>
        <w:t>湖北正大会计师事务有限责任公司</w:t>
      </w:r>
    </w:p>
    <w:p w14:paraId="2CF3BCD6">
      <w:pPr>
        <w:snapToGrid w:val="0"/>
        <w:ind w:firstLine="6000" w:firstLineChars="2500"/>
        <w:rPr>
          <w:rFonts w:ascii="仿宋" w:hAnsi="仿宋" w:eastAsia="仿宋" w:cs="Arial Narrow"/>
        </w:rPr>
      </w:pPr>
      <w:r>
        <w:rPr>
          <w:rFonts w:hint="eastAsia" w:ascii="仿宋" w:hAnsi="仿宋" w:eastAsia="仿宋" w:cs="Arial Narrow"/>
        </w:rPr>
        <w:t>2019年7月30日</w:t>
      </w:r>
    </w:p>
    <w:sectPr>
      <w:headerReference r:id="rId11" w:type="default"/>
      <w:footerReference r:id="rId12" w:type="default"/>
      <w:pgSz w:w="11906" w:h="16838"/>
      <w:pgMar w:top="1440" w:right="1406" w:bottom="1089" w:left="1800" w:header="1134" w:footer="1134" w:gutter="0"/>
      <w:pgNumType w:start="1"/>
      <w:cols w:space="720" w:num="1"/>
      <w:docGrid w:type="lines" w:linePitch="408"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仿宋">
    <w:panose1 w:val="02010609060101010101"/>
    <w:charset w:val="86"/>
    <w:family w:val="modern"/>
    <w:pitch w:val="default"/>
    <w:sig w:usb0="800002BF" w:usb1="38CF7CFA" w:usb2="00000016" w:usb3="00000000" w:csb0="00040001" w:csb1="00000000"/>
  </w:font>
  <w:font w:name="Arial Narrow">
    <w:altName w:val="Arial"/>
    <w:panose1 w:val="020B0606020202030204"/>
    <w:charset w:val="00"/>
    <w:family w:val="swiss"/>
    <w:pitch w:val="default"/>
    <w:sig w:usb0="00000000" w:usb1="00000000" w:usb2="00000000" w:usb3="00000000" w:csb0="0000009F" w:csb1="00000000"/>
  </w:font>
  <w:font w:name="华文宋体">
    <w:altName w:val="宋体"/>
    <w:panose1 w:val="02010600040101010101"/>
    <w:charset w:val="86"/>
    <w:family w:val="auto"/>
    <w:pitch w:val="default"/>
    <w:sig w:usb0="00000000" w:usb1="00000000" w:usb2="00000010" w:usb3="00000000" w:csb0="0004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8491784">
    <w:pPr>
      <w:pStyle w:val="13"/>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BC9CFA">
    <w:pPr>
      <w:pStyle w:val="13"/>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8FDC90">
    <w:pPr>
      <w:ind w:firstLine="480"/>
    </w:pPr>
    <w:r>
      <w:cr/>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5F6DDD5">
    <w:pPr>
      <w:pStyle w:val="13"/>
      <w:framePr w:wrap="around" w:vAnchor="text" w:hAnchor="margin" w:xAlign="center" w:y="1"/>
      <w:ind w:firstLine="210" w:firstLineChars="100"/>
      <w:jc w:val="center"/>
      <w:rPr>
        <w:rStyle w:val="25"/>
        <w:rFonts w:ascii="Arial Narrow" w:hAnsi="Arial Narrow" w:eastAsia="宋体"/>
        <w:sz w:val="21"/>
        <w:szCs w:val="21"/>
      </w:rPr>
    </w:pPr>
    <w:r>
      <w:rPr>
        <w:rFonts w:ascii="Arial Narrow" w:hAnsi="Arial Narrow"/>
        <w:sz w:val="21"/>
        <w:szCs w:val="21"/>
      </w:rPr>
      <w:fldChar w:fldCharType="begin"/>
    </w:r>
    <w:r>
      <w:rPr>
        <w:rFonts w:ascii="Arial Narrow" w:hAnsi="Arial Narrow"/>
        <w:sz w:val="21"/>
        <w:szCs w:val="21"/>
      </w:rPr>
      <w:instrText xml:space="preserve"> PAGE </w:instrText>
    </w:r>
    <w:r>
      <w:rPr>
        <w:rFonts w:ascii="Arial Narrow" w:hAnsi="Arial Narrow"/>
        <w:sz w:val="21"/>
        <w:szCs w:val="21"/>
      </w:rPr>
      <w:fldChar w:fldCharType="separate"/>
    </w:r>
    <w:r>
      <w:rPr>
        <w:rFonts w:ascii="Arial Narrow" w:hAnsi="Arial Narrow"/>
        <w:sz w:val="21"/>
        <w:szCs w:val="21"/>
      </w:rPr>
      <w:t>3</w:t>
    </w:r>
    <w:r>
      <w:rPr>
        <w:rFonts w:ascii="Arial Narrow" w:hAnsi="Arial Narrow"/>
        <w:sz w:val="21"/>
        <w:szCs w:val="21"/>
      </w:rPr>
      <w:fldChar w:fldCharType="end"/>
    </w:r>
  </w:p>
  <w:p w14:paraId="7432E41F">
    <w:pPr>
      <w:pStyle w:val="13"/>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14A59D">
    <w:pPr>
      <w:pStyle w:val="14"/>
      <w:pBdr>
        <w:bottom w:val="none" w:color="auto" w:sz="0" w:space="0"/>
      </w:pBdr>
      <w:ind w:firstLine="360"/>
      <w:jc w:val="both"/>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2CE1DC">
    <w:pPr>
      <w:pStyle w:val="14"/>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B98C7EA">
    <w:pPr>
      <w:pStyle w:val="14"/>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A536022">
    <w:pPr>
      <w:pStyle w:val="14"/>
      <w:pBdr>
        <w:bottom w:val="none" w:color="auto" w:sz="0" w:space="0"/>
      </w:pBdr>
      <w:ind w:firstLine="0" w:firstLineChars="0"/>
      <w:jc w:val="both"/>
    </w:pPr>
    <w:r>
      <w:rPr>
        <w:rFonts w:ascii="Calibri" w:hAnsi="Calibri" w:eastAsia="黑体" w:cs="黑体"/>
        <w:b/>
        <w:sz w:val="14"/>
        <w:szCs w:val="14"/>
      </w:rPr>
      <w:pict>
        <v:rect id="文本框 26" o:spid="_x0000_s4097" o:spt="1" style="position:absolute;left:0pt;margin-left:359.05pt;margin-top:39.95pt;height:74.45pt;width:150.15pt;mso-position-horizontal-relative:page;mso-position-vertical-relative:page;z-index:251659264;mso-width-relative:page;mso-height-relative:page;" filled="f" stroked="f" coordsize="21600,21600">
          <v:path/>
          <v:fill on="f" focussize="0,0"/>
          <v:stroke on="f"/>
          <v:imagedata o:title=""/>
          <o:lock v:ext="edit"/>
          <v:textbox>
            <w:txbxContent>
              <w:p w14:paraId="5729B64E">
                <w:pPr>
                  <w:ind w:firstLine="280"/>
                  <w:rPr>
                    <w:rFonts w:ascii="Arial Narrow" w:hAnsi="Arial Narrow" w:eastAsia="黑体" w:cs="Arial Narrow"/>
                    <w:sz w:val="14"/>
                    <w:szCs w:val="14"/>
                  </w:rPr>
                </w:pPr>
              </w:p>
            </w:txbxContent>
          </v:textbox>
        </v:rect>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9C8481A"/>
    <w:multiLevelType w:val="multilevel"/>
    <w:tmpl w:val="79C8481A"/>
    <w:lvl w:ilvl="0" w:tentative="0">
      <w:start w:val="1"/>
      <w:numFmt w:val="japaneseCounting"/>
      <w:lvlText w:val="%1、"/>
      <w:lvlJc w:val="left"/>
      <w:pPr>
        <w:ind w:left="510" w:hanging="510"/>
      </w:pPr>
      <w:rPr>
        <w:rFonts w:hint="default"/>
      </w:r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drawingGridHorizontalSpacing w:val="120"/>
  <w:drawingGridVerticalSpacing w:val="204"/>
  <w:displayHorizontalDrawingGridEvery w:val="0"/>
  <w:displayVerticalDrawingGridEvery w:val="2"/>
  <w:characterSpacingControl w:val="compressPunctuation"/>
  <w:doNotValidateAgainstSchema/>
  <w:doNotDemarcateInvalidXml/>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2"/>
  </w:compat>
  <w:docVars>
    <w:docVar w:name="commondata" w:val="eyJoZGlkIjoiYjhjNmVhOTU5ODM3OWQ1M2MxMjk1OGZlZmIyMzhkOWYifQ=="/>
  </w:docVars>
  <w:rsids>
    <w:rsidRoot w:val="00172A27"/>
    <w:rsid w:val="00002A69"/>
    <w:rsid w:val="000107B2"/>
    <w:rsid w:val="00011E0B"/>
    <w:rsid w:val="00012B09"/>
    <w:rsid w:val="00012B47"/>
    <w:rsid w:val="000147C2"/>
    <w:rsid w:val="000153F5"/>
    <w:rsid w:val="00016011"/>
    <w:rsid w:val="00017CD1"/>
    <w:rsid w:val="000225A4"/>
    <w:rsid w:val="000231B2"/>
    <w:rsid w:val="000235EA"/>
    <w:rsid w:val="0002369C"/>
    <w:rsid w:val="00027617"/>
    <w:rsid w:val="00030459"/>
    <w:rsid w:val="00034CB1"/>
    <w:rsid w:val="00037160"/>
    <w:rsid w:val="00037FDA"/>
    <w:rsid w:val="00041931"/>
    <w:rsid w:val="000435FD"/>
    <w:rsid w:val="00051092"/>
    <w:rsid w:val="0005129C"/>
    <w:rsid w:val="0005263F"/>
    <w:rsid w:val="000578E1"/>
    <w:rsid w:val="00057BBE"/>
    <w:rsid w:val="00060B99"/>
    <w:rsid w:val="000647BB"/>
    <w:rsid w:val="00065443"/>
    <w:rsid w:val="00070099"/>
    <w:rsid w:val="0007044D"/>
    <w:rsid w:val="00071B04"/>
    <w:rsid w:val="00071C74"/>
    <w:rsid w:val="000772CD"/>
    <w:rsid w:val="00082AA1"/>
    <w:rsid w:val="000839C4"/>
    <w:rsid w:val="00083F0C"/>
    <w:rsid w:val="000850E9"/>
    <w:rsid w:val="0008556C"/>
    <w:rsid w:val="00086B6B"/>
    <w:rsid w:val="00092652"/>
    <w:rsid w:val="00092834"/>
    <w:rsid w:val="00095860"/>
    <w:rsid w:val="00097F61"/>
    <w:rsid w:val="000A2B58"/>
    <w:rsid w:val="000A38CF"/>
    <w:rsid w:val="000B0707"/>
    <w:rsid w:val="000B351B"/>
    <w:rsid w:val="000B479D"/>
    <w:rsid w:val="000B67E5"/>
    <w:rsid w:val="000C0AC8"/>
    <w:rsid w:val="000C2C67"/>
    <w:rsid w:val="000C4653"/>
    <w:rsid w:val="000C4C40"/>
    <w:rsid w:val="000C613D"/>
    <w:rsid w:val="000C7932"/>
    <w:rsid w:val="000C793B"/>
    <w:rsid w:val="000D124B"/>
    <w:rsid w:val="000D1F28"/>
    <w:rsid w:val="000D264B"/>
    <w:rsid w:val="000D32E5"/>
    <w:rsid w:val="000D34A6"/>
    <w:rsid w:val="000D37BE"/>
    <w:rsid w:val="000D50DC"/>
    <w:rsid w:val="000D5CCA"/>
    <w:rsid w:val="000D7608"/>
    <w:rsid w:val="000E16BD"/>
    <w:rsid w:val="000E1A4F"/>
    <w:rsid w:val="000E3E46"/>
    <w:rsid w:val="000E5026"/>
    <w:rsid w:val="000E5B9F"/>
    <w:rsid w:val="000E67B0"/>
    <w:rsid w:val="000E7A33"/>
    <w:rsid w:val="000F1F5E"/>
    <w:rsid w:val="000F2AE1"/>
    <w:rsid w:val="000F482F"/>
    <w:rsid w:val="000F62A4"/>
    <w:rsid w:val="000F6B8E"/>
    <w:rsid w:val="00101AA1"/>
    <w:rsid w:val="00107C77"/>
    <w:rsid w:val="00107E2F"/>
    <w:rsid w:val="00115891"/>
    <w:rsid w:val="00117519"/>
    <w:rsid w:val="001247D7"/>
    <w:rsid w:val="001346FF"/>
    <w:rsid w:val="00134F95"/>
    <w:rsid w:val="001373D3"/>
    <w:rsid w:val="00142BA0"/>
    <w:rsid w:val="00143DA4"/>
    <w:rsid w:val="001441F8"/>
    <w:rsid w:val="00144210"/>
    <w:rsid w:val="0014542F"/>
    <w:rsid w:val="00146219"/>
    <w:rsid w:val="00147E31"/>
    <w:rsid w:val="00152FB6"/>
    <w:rsid w:val="001542F3"/>
    <w:rsid w:val="001548CF"/>
    <w:rsid w:val="00156601"/>
    <w:rsid w:val="00157614"/>
    <w:rsid w:val="0016074D"/>
    <w:rsid w:val="00164900"/>
    <w:rsid w:val="001676D8"/>
    <w:rsid w:val="00172A27"/>
    <w:rsid w:val="00173694"/>
    <w:rsid w:val="0017597C"/>
    <w:rsid w:val="0018053D"/>
    <w:rsid w:val="00180C97"/>
    <w:rsid w:val="00182EEA"/>
    <w:rsid w:val="0018363A"/>
    <w:rsid w:val="001871E1"/>
    <w:rsid w:val="001907A0"/>
    <w:rsid w:val="001907BC"/>
    <w:rsid w:val="0019172C"/>
    <w:rsid w:val="00191C51"/>
    <w:rsid w:val="00191FE0"/>
    <w:rsid w:val="00197977"/>
    <w:rsid w:val="001A02C6"/>
    <w:rsid w:val="001A4611"/>
    <w:rsid w:val="001A6E1D"/>
    <w:rsid w:val="001A7035"/>
    <w:rsid w:val="001A71D3"/>
    <w:rsid w:val="001A7BCC"/>
    <w:rsid w:val="001B156C"/>
    <w:rsid w:val="001B206F"/>
    <w:rsid w:val="001B2C2B"/>
    <w:rsid w:val="001B564E"/>
    <w:rsid w:val="001C1AB0"/>
    <w:rsid w:val="001C4A11"/>
    <w:rsid w:val="001C6498"/>
    <w:rsid w:val="001C7FC5"/>
    <w:rsid w:val="001D1C1D"/>
    <w:rsid w:val="001D2B8D"/>
    <w:rsid w:val="001D4085"/>
    <w:rsid w:val="001D50A9"/>
    <w:rsid w:val="001D6F04"/>
    <w:rsid w:val="001E1192"/>
    <w:rsid w:val="001E3766"/>
    <w:rsid w:val="001E4BCA"/>
    <w:rsid w:val="001E4DD7"/>
    <w:rsid w:val="001E57AC"/>
    <w:rsid w:val="001E63EB"/>
    <w:rsid w:val="001E73FF"/>
    <w:rsid w:val="001F0DE7"/>
    <w:rsid w:val="001F3D0C"/>
    <w:rsid w:val="001F50AE"/>
    <w:rsid w:val="00203E55"/>
    <w:rsid w:val="0020464E"/>
    <w:rsid w:val="00205C9D"/>
    <w:rsid w:val="002060DB"/>
    <w:rsid w:val="00206B01"/>
    <w:rsid w:val="00206B46"/>
    <w:rsid w:val="0020706B"/>
    <w:rsid w:val="0021013D"/>
    <w:rsid w:val="00214270"/>
    <w:rsid w:val="00214BA4"/>
    <w:rsid w:val="00217BE1"/>
    <w:rsid w:val="00220AE1"/>
    <w:rsid w:val="00226CA1"/>
    <w:rsid w:val="00227F82"/>
    <w:rsid w:val="002331CD"/>
    <w:rsid w:val="00242395"/>
    <w:rsid w:val="00242589"/>
    <w:rsid w:val="00243172"/>
    <w:rsid w:val="00243D70"/>
    <w:rsid w:val="00244813"/>
    <w:rsid w:val="0024753B"/>
    <w:rsid w:val="0024762E"/>
    <w:rsid w:val="00247BA5"/>
    <w:rsid w:val="00251B7B"/>
    <w:rsid w:val="002520DB"/>
    <w:rsid w:val="002604FB"/>
    <w:rsid w:val="002612E9"/>
    <w:rsid w:val="00263172"/>
    <w:rsid w:val="00263E33"/>
    <w:rsid w:val="00263E5D"/>
    <w:rsid w:val="00264E80"/>
    <w:rsid w:val="00267DA6"/>
    <w:rsid w:val="002706C6"/>
    <w:rsid w:val="00273665"/>
    <w:rsid w:val="0027412C"/>
    <w:rsid w:val="00275D0D"/>
    <w:rsid w:val="00280B02"/>
    <w:rsid w:val="0028633D"/>
    <w:rsid w:val="0028764F"/>
    <w:rsid w:val="002911A7"/>
    <w:rsid w:val="00291951"/>
    <w:rsid w:val="002933BC"/>
    <w:rsid w:val="002953EE"/>
    <w:rsid w:val="002A0822"/>
    <w:rsid w:val="002A0862"/>
    <w:rsid w:val="002A1870"/>
    <w:rsid w:val="002A731C"/>
    <w:rsid w:val="002A75B9"/>
    <w:rsid w:val="002A7693"/>
    <w:rsid w:val="002B49DE"/>
    <w:rsid w:val="002B55AD"/>
    <w:rsid w:val="002B5984"/>
    <w:rsid w:val="002B60B2"/>
    <w:rsid w:val="002B7986"/>
    <w:rsid w:val="002C012C"/>
    <w:rsid w:val="002C05DC"/>
    <w:rsid w:val="002C21EB"/>
    <w:rsid w:val="002C439E"/>
    <w:rsid w:val="002C5757"/>
    <w:rsid w:val="002C5D77"/>
    <w:rsid w:val="002D1D84"/>
    <w:rsid w:val="002E11FA"/>
    <w:rsid w:val="002E21D6"/>
    <w:rsid w:val="002E6EE7"/>
    <w:rsid w:val="002F1C3F"/>
    <w:rsid w:val="002F44AB"/>
    <w:rsid w:val="002F7973"/>
    <w:rsid w:val="003019E0"/>
    <w:rsid w:val="00306DEA"/>
    <w:rsid w:val="0031024E"/>
    <w:rsid w:val="00312F11"/>
    <w:rsid w:val="003132F6"/>
    <w:rsid w:val="00313ABC"/>
    <w:rsid w:val="00315407"/>
    <w:rsid w:val="00322C3A"/>
    <w:rsid w:val="003309B7"/>
    <w:rsid w:val="003313C3"/>
    <w:rsid w:val="00333EE7"/>
    <w:rsid w:val="003363C3"/>
    <w:rsid w:val="0034018A"/>
    <w:rsid w:val="00343216"/>
    <w:rsid w:val="00344CC3"/>
    <w:rsid w:val="0034515E"/>
    <w:rsid w:val="00347FD1"/>
    <w:rsid w:val="003506E6"/>
    <w:rsid w:val="00352038"/>
    <w:rsid w:val="00352DF8"/>
    <w:rsid w:val="003531EC"/>
    <w:rsid w:val="00356E00"/>
    <w:rsid w:val="0036466F"/>
    <w:rsid w:val="003712A9"/>
    <w:rsid w:val="00372944"/>
    <w:rsid w:val="00374FFF"/>
    <w:rsid w:val="003750CC"/>
    <w:rsid w:val="0037593E"/>
    <w:rsid w:val="00376DC7"/>
    <w:rsid w:val="0038083D"/>
    <w:rsid w:val="00387964"/>
    <w:rsid w:val="0039007B"/>
    <w:rsid w:val="00390399"/>
    <w:rsid w:val="0039079D"/>
    <w:rsid w:val="00390BD3"/>
    <w:rsid w:val="003919EC"/>
    <w:rsid w:val="003920BE"/>
    <w:rsid w:val="0039236F"/>
    <w:rsid w:val="00392AA2"/>
    <w:rsid w:val="00392F5E"/>
    <w:rsid w:val="00394FAF"/>
    <w:rsid w:val="0039690B"/>
    <w:rsid w:val="003A0090"/>
    <w:rsid w:val="003A29E5"/>
    <w:rsid w:val="003A377A"/>
    <w:rsid w:val="003B1278"/>
    <w:rsid w:val="003C0622"/>
    <w:rsid w:val="003C10E7"/>
    <w:rsid w:val="003C49E8"/>
    <w:rsid w:val="003C5736"/>
    <w:rsid w:val="003C7E9C"/>
    <w:rsid w:val="003D37E8"/>
    <w:rsid w:val="003D3CD8"/>
    <w:rsid w:val="003D5E40"/>
    <w:rsid w:val="003D6BE5"/>
    <w:rsid w:val="003D7EF3"/>
    <w:rsid w:val="003D7FF0"/>
    <w:rsid w:val="003E0D20"/>
    <w:rsid w:val="003E16C4"/>
    <w:rsid w:val="003E2919"/>
    <w:rsid w:val="003E3C53"/>
    <w:rsid w:val="003E6369"/>
    <w:rsid w:val="003E68B6"/>
    <w:rsid w:val="003F0641"/>
    <w:rsid w:val="003F2581"/>
    <w:rsid w:val="003F3003"/>
    <w:rsid w:val="003F4A08"/>
    <w:rsid w:val="003F640B"/>
    <w:rsid w:val="003F77E0"/>
    <w:rsid w:val="003F78E3"/>
    <w:rsid w:val="004016BF"/>
    <w:rsid w:val="00402380"/>
    <w:rsid w:val="00406090"/>
    <w:rsid w:val="0040727E"/>
    <w:rsid w:val="004102C2"/>
    <w:rsid w:val="00412C52"/>
    <w:rsid w:val="0041356F"/>
    <w:rsid w:val="00414470"/>
    <w:rsid w:val="004156F2"/>
    <w:rsid w:val="0041689F"/>
    <w:rsid w:val="00417F32"/>
    <w:rsid w:val="0042114C"/>
    <w:rsid w:val="0042187B"/>
    <w:rsid w:val="00424A8D"/>
    <w:rsid w:val="004251FE"/>
    <w:rsid w:val="00432769"/>
    <w:rsid w:val="00436630"/>
    <w:rsid w:val="00436685"/>
    <w:rsid w:val="00436978"/>
    <w:rsid w:val="00437ABF"/>
    <w:rsid w:val="004406CE"/>
    <w:rsid w:val="004416B6"/>
    <w:rsid w:val="00444C92"/>
    <w:rsid w:val="00444F7A"/>
    <w:rsid w:val="00446C56"/>
    <w:rsid w:val="00446E9B"/>
    <w:rsid w:val="00447CE1"/>
    <w:rsid w:val="00461176"/>
    <w:rsid w:val="004637D6"/>
    <w:rsid w:val="00465728"/>
    <w:rsid w:val="004720AA"/>
    <w:rsid w:val="00475D0F"/>
    <w:rsid w:val="00477022"/>
    <w:rsid w:val="0049123B"/>
    <w:rsid w:val="004913B9"/>
    <w:rsid w:val="00496736"/>
    <w:rsid w:val="00497DCD"/>
    <w:rsid w:val="004A0E40"/>
    <w:rsid w:val="004A4024"/>
    <w:rsid w:val="004A4C34"/>
    <w:rsid w:val="004A5982"/>
    <w:rsid w:val="004A5CFE"/>
    <w:rsid w:val="004A5E6A"/>
    <w:rsid w:val="004B0A18"/>
    <w:rsid w:val="004B2A1B"/>
    <w:rsid w:val="004B2DE5"/>
    <w:rsid w:val="004B331B"/>
    <w:rsid w:val="004B6F1C"/>
    <w:rsid w:val="004C2F4D"/>
    <w:rsid w:val="004C3638"/>
    <w:rsid w:val="004C39A4"/>
    <w:rsid w:val="004C52FF"/>
    <w:rsid w:val="004D070B"/>
    <w:rsid w:val="004D33DF"/>
    <w:rsid w:val="004D4350"/>
    <w:rsid w:val="004D452C"/>
    <w:rsid w:val="004D749D"/>
    <w:rsid w:val="004D7DEA"/>
    <w:rsid w:val="004E04DA"/>
    <w:rsid w:val="004E1D06"/>
    <w:rsid w:val="004E1FA4"/>
    <w:rsid w:val="004E20B1"/>
    <w:rsid w:val="004E3DAA"/>
    <w:rsid w:val="004E4EB8"/>
    <w:rsid w:val="004E6203"/>
    <w:rsid w:val="004F183B"/>
    <w:rsid w:val="004F42A1"/>
    <w:rsid w:val="004F5FA6"/>
    <w:rsid w:val="00500581"/>
    <w:rsid w:val="00500A9A"/>
    <w:rsid w:val="00501013"/>
    <w:rsid w:val="005041BE"/>
    <w:rsid w:val="00505635"/>
    <w:rsid w:val="00507805"/>
    <w:rsid w:val="00511296"/>
    <w:rsid w:val="00511689"/>
    <w:rsid w:val="005134B0"/>
    <w:rsid w:val="0051441E"/>
    <w:rsid w:val="005155D3"/>
    <w:rsid w:val="005204D6"/>
    <w:rsid w:val="00520795"/>
    <w:rsid w:val="005215DF"/>
    <w:rsid w:val="00525692"/>
    <w:rsid w:val="00527E66"/>
    <w:rsid w:val="00533BB5"/>
    <w:rsid w:val="00534945"/>
    <w:rsid w:val="00534E3A"/>
    <w:rsid w:val="005360A1"/>
    <w:rsid w:val="00537C3E"/>
    <w:rsid w:val="00543555"/>
    <w:rsid w:val="0054431F"/>
    <w:rsid w:val="00544890"/>
    <w:rsid w:val="00547FC6"/>
    <w:rsid w:val="00552615"/>
    <w:rsid w:val="00552BED"/>
    <w:rsid w:val="005567B3"/>
    <w:rsid w:val="005632D3"/>
    <w:rsid w:val="005655D1"/>
    <w:rsid w:val="005658C9"/>
    <w:rsid w:val="00565929"/>
    <w:rsid w:val="005659EE"/>
    <w:rsid w:val="00565D9A"/>
    <w:rsid w:val="00566498"/>
    <w:rsid w:val="005708E6"/>
    <w:rsid w:val="00580B1E"/>
    <w:rsid w:val="005812C2"/>
    <w:rsid w:val="00583F95"/>
    <w:rsid w:val="00596AF0"/>
    <w:rsid w:val="00597947"/>
    <w:rsid w:val="005A0AF1"/>
    <w:rsid w:val="005A21FC"/>
    <w:rsid w:val="005B1178"/>
    <w:rsid w:val="005B159F"/>
    <w:rsid w:val="005C6776"/>
    <w:rsid w:val="005C7BB8"/>
    <w:rsid w:val="005D0FBF"/>
    <w:rsid w:val="005D24E1"/>
    <w:rsid w:val="005D7826"/>
    <w:rsid w:val="005E016C"/>
    <w:rsid w:val="005E0E0C"/>
    <w:rsid w:val="005E1EC1"/>
    <w:rsid w:val="005E31A5"/>
    <w:rsid w:val="005E38D2"/>
    <w:rsid w:val="005E4DF6"/>
    <w:rsid w:val="005E6A5B"/>
    <w:rsid w:val="005E6CD3"/>
    <w:rsid w:val="005E7290"/>
    <w:rsid w:val="005F072F"/>
    <w:rsid w:val="005F0A83"/>
    <w:rsid w:val="005F0D41"/>
    <w:rsid w:val="005F234F"/>
    <w:rsid w:val="005F3C50"/>
    <w:rsid w:val="00601607"/>
    <w:rsid w:val="006047F8"/>
    <w:rsid w:val="006066A6"/>
    <w:rsid w:val="00606CC4"/>
    <w:rsid w:val="006138EE"/>
    <w:rsid w:val="0061452E"/>
    <w:rsid w:val="00615D9E"/>
    <w:rsid w:val="00621643"/>
    <w:rsid w:val="006225E3"/>
    <w:rsid w:val="00624274"/>
    <w:rsid w:val="00624F9D"/>
    <w:rsid w:val="00626CD9"/>
    <w:rsid w:val="00627966"/>
    <w:rsid w:val="00630956"/>
    <w:rsid w:val="00636115"/>
    <w:rsid w:val="00640016"/>
    <w:rsid w:val="00641EED"/>
    <w:rsid w:val="00642106"/>
    <w:rsid w:val="00644429"/>
    <w:rsid w:val="00646876"/>
    <w:rsid w:val="00647079"/>
    <w:rsid w:val="00650DEF"/>
    <w:rsid w:val="00651741"/>
    <w:rsid w:val="00656BC8"/>
    <w:rsid w:val="0066273D"/>
    <w:rsid w:val="00662D0D"/>
    <w:rsid w:val="006642D3"/>
    <w:rsid w:val="006711A5"/>
    <w:rsid w:val="00676441"/>
    <w:rsid w:val="00677567"/>
    <w:rsid w:val="00682BA7"/>
    <w:rsid w:val="00687B7B"/>
    <w:rsid w:val="00691499"/>
    <w:rsid w:val="00692356"/>
    <w:rsid w:val="0069340D"/>
    <w:rsid w:val="006A71EF"/>
    <w:rsid w:val="006A769A"/>
    <w:rsid w:val="006A7A55"/>
    <w:rsid w:val="006B2DDC"/>
    <w:rsid w:val="006B5939"/>
    <w:rsid w:val="006B6D45"/>
    <w:rsid w:val="006B776D"/>
    <w:rsid w:val="006C0C87"/>
    <w:rsid w:val="006C2D83"/>
    <w:rsid w:val="006C3F2E"/>
    <w:rsid w:val="006C4D9E"/>
    <w:rsid w:val="006D10DC"/>
    <w:rsid w:val="006D22CB"/>
    <w:rsid w:val="006D281E"/>
    <w:rsid w:val="006D3823"/>
    <w:rsid w:val="006D3E5C"/>
    <w:rsid w:val="006D41F1"/>
    <w:rsid w:val="006D431A"/>
    <w:rsid w:val="006D6DB9"/>
    <w:rsid w:val="006E149F"/>
    <w:rsid w:val="006E4514"/>
    <w:rsid w:val="006E5C42"/>
    <w:rsid w:val="006F2B5C"/>
    <w:rsid w:val="006F581B"/>
    <w:rsid w:val="006F74F7"/>
    <w:rsid w:val="006F7E68"/>
    <w:rsid w:val="00702AE3"/>
    <w:rsid w:val="0070567E"/>
    <w:rsid w:val="00705ADC"/>
    <w:rsid w:val="0070659F"/>
    <w:rsid w:val="007078C7"/>
    <w:rsid w:val="00710F73"/>
    <w:rsid w:val="007148E9"/>
    <w:rsid w:val="007165EC"/>
    <w:rsid w:val="00721C9B"/>
    <w:rsid w:val="0072285B"/>
    <w:rsid w:val="00722909"/>
    <w:rsid w:val="00723249"/>
    <w:rsid w:val="007260DC"/>
    <w:rsid w:val="00726E74"/>
    <w:rsid w:val="00727EF2"/>
    <w:rsid w:val="007309B9"/>
    <w:rsid w:val="00731661"/>
    <w:rsid w:val="00733038"/>
    <w:rsid w:val="0073421A"/>
    <w:rsid w:val="00735F2C"/>
    <w:rsid w:val="00737E3E"/>
    <w:rsid w:val="00744BE7"/>
    <w:rsid w:val="007455A5"/>
    <w:rsid w:val="00747C3E"/>
    <w:rsid w:val="00750C7B"/>
    <w:rsid w:val="00751783"/>
    <w:rsid w:val="00753FB8"/>
    <w:rsid w:val="00756213"/>
    <w:rsid w:val="00757369"/>
    <w:rsid w:val="00760264"/>
    <w:rsid w:val="0076125E"/>
    <w:rsid w:val="007614A0"/>
    <w:rsid w:val="00763A86"/>
    <w:rsid w:val="00766CC5"/>
    <w:rsid w:val="0076789B"/>
    <w:rsid w:val="00771519"/>
    <w:rsid w:val="0077612D"/>
    <w:rsid w:val="00781D8D"/>
    <w:rsid w:val="0078403F"/>
    <w:rsid w:val="00784977"/>
    <w:rsid w:val="007857C2"/>
    <w:rsid w:val="007951AE"/>
    <w:rsid w:val="007960FC"/>
    <w:rsid w:val="007A1325"/>
    <w:rsid w:val="007A1B2F"/>
    <w:rsid w:val="007A260C"/>
    <w:rsid w:val="007A3D65"/>
    <w:rsid w:val="007A4561"/>
    <w:rsid w:val="007A7FFA"/>
    <w:rsid w:val="007B096A"/>
    <w:rsid w:val="007B5BCC"/>
    <w:rsid w:val="007B63BA"/>
    <w:rsid w:val="007C0582"/>
    <w:rsid w:val="007C2929"/>
    <w:rsid w:val="007C5116"/>
    <w:rsid w:val="007C5815"/>
    <w:rsid w:val="007D08CF"/>
    <w:rsid w:val="007D0A9C"/>
    <w:rsid w:val="007D12ED"/>
    <w:rsid w:val="007D518A"/>
    <w:rsid w:val="007D6002"/>
    <w:rsid w:val="007D6F8A"/>
    <w:rsid w:val="007E062F"/>
    <w:rsid w:val="007E5FF6"/>
    <w:rsid w:val="007F0CD4"/>
    <w:rsid w:val="007F15F0"/>
    <w:rsid w:val="007F3EA6"/>
    <w:rsid w:val="007F581B"/>
    <w:rsid w:val="00800E4A"/>
    <w:rsid w:val="008015DF"/>
    <w:rsid w:val="00801640"/>
    <w:rsid w:val="0080288E"/>
    <w:rsid w:val="008053EB"/>
    <w:rsid w:val="00805A0A"/>
    <w:rsid w:val="00811019"/>
    <w:rsid w:val="0081201D"/>
    <w:rsid w:val="00812ECD"/>
    <w:rsid w:val="0081473D"/>
    <w:rsid w:val="00815623"/>
    <w:rsid w:val="008157AE"/>
    <w:rsid w:val="008167AB"/>
    <w:rsid w:val="00820A25"/>
    <w:rsid w:val="0082440D"/>
    <w:rsid w:val="00825D97"/>
    <w:rsid w:val="008325FA"/>
    <w:rsid w:val="00833B9B"/>
    <w:rsid w:val="00835356"/>
    <w:rsid w:val="00836D67"/>
    <w:rsid w:val="00844F4F"/>
    <w:rsid w:val="008453B8"/>
    <w:rsid w:val="0084547F"/>
    <w:rsid w:val="00845BD8"/>
    <w:rsid w:val="00845CE4"/>
    <w:rsid w:val="008468CD"/>
    <w:rsid w:val="00847827"/>
    <w:rsid w:val="0085148F"/>
    <w:rsid w:val="00852C63"/>
    <w:rsid w:val="00854541"/>
    <w:rsid w:val="008616A6"/>
    <w:rsid w:val="00862075"/>
    <w:rsid w:val="008642C8"/>
    <w:rsid w:val="008662A2"/>
    <w:rsid w:val="0087108E"/>
    <w:rsid w:val="00871DE9"/>
    <w:rsid w:val="00872A32"/>
    <w:rsid w:val="00880CA7"/>
    <w:rsid w:val="00885CF7"/>
    <w:rsid w:val="00886E69"/>
    <w:rsid w:val="008934FA"/>
    <w:rsid w:val="00896F6A"/>
    <w:rsid w:val="008A0F83"/>
    <w:rsid w:val="008A175E"/>
    <w:rsid w:val="008A2E40"/>
    <w:rsid w:val="008B0C24"/>
    <w:rsid w:val="008B15BE"/>
    <w:rsid w:val="008B328C"/>
    <w:rsid w:val="008B7645"/>
    <w:rsid w:val="008C1976"/>
    <w:rsid w:val="008C5857"/>
    <w:rsid w:val="008D0512"/>
    <w:rsid w:val="008D1468"/>
    <w:rsid w:val="008D33D6"/>
    <w:rsid w:val="008D5A00"/>
    <w:rsid w:val="008E0EA8"/>
    <w:rsid w:val="008E573D"/>
    <w:rsid w:val="008E5FB9"/>
    <w:rsid w:val="008F5689"/>
    <w:rsid w:val="008F5B6F"/>
    <w:rsid w:val="008F69BF"/>
    <w:rsid w:val="009003B0"/>
    <w:rsid w:val="009015AD"/>
    <w:rsid w:val="009036DE"/>
    <w:rsid w:val="00903AAF"/>
    <w:rsid w:val="0090416C"/>
    <w:rsid w:val="009043EF"/>
    <w:rsid w:val="00907956"/>
    <w:rsid w:val="0091079F"/>
    <w:rsid w:val="009153E3"/>
    <w:rsid w:val="0091597F"/>
    <w:rsid w:val="009177D8"/>
    <w:rsid w:val="00921DCF"/>
    <w:rsid w:val="00923D59"/>
    <w:rsid w:val="0092464E"/>
    <w:rsid w:val="00924F4C"/>
    <w:rsid w:val="009337F2"/>
    <w:rsid w:val="00934B5A"/>
    <w:rsid w:val="0094138A"/>
    <w:rsid w:val="009428CC"/>
    <w:rsid w:val="00946554"/>
    <w:rsid w:val="00953385"/>
    <w:rsid w:val="009536E4"/>
    <w:rsid w:val="00954CFF"/>
    <w:rsid w:val="009553EB"/>
    <w:rsid w:val="009556E8"/>
    <w:rsid w:val="00960332"/>
    <w:rsid w:val="00963C82"/>
    <w:rsid w:val="009754A1"/>
    <w:rsid w:val="00977B6C"/>
    <w:rsid w:val="00981B94"/>
    <w:rsid w:val="0098388D"/>
    <w:rsid w:val="009850DD"/>
    <w:rsid w:val="009852EE"/>
    <w:rsid w:val="009918A8"/>
    <w:rsid w:val="00995CC6"/>
    <w:rsid w:val="009964F7"/>
    <w:rsid w:val="009A07B6"/>
    <w:rsid w:val="009A2934"/>
    <w:rsid w:val="009A3167"/>
    <w:rsid w:val="009A488C"/>
    <w:rsid w:val="009A6B01"/>
    <w:rsid w:val="009B0E77"/>
    <w:rsid w:val="009B2A09"/>
    <w:rsid w:val="009B7C3D"/>
    <w:rsid w:val="009C21D3"/>
    <w:rsid w:val="009C3BDF"/>
    <w:rsid w:val="009C6399"/>
    <w:rsid w:val="009C700D"/>
    <w:rsid w:val="009D117E"/>
    <w:rsid w:val="009D2C81"/>
    <w:rsid w:val="009D3BCE"/>
    <w:rsid w:val="009D4762"/>
    <w:rsid w:val="009D61D3"/>
    <w:rsid w:val="009D63C3"/>
    <w:rsid w:val="009D6CA4"/>
    <w:rsid w:val="009D6FD8"/>
    <w:rsid w:val="009D7E0C"/>
    <w:rsid w:val="009E0181"/>
    <w:rsid w:val="009E17BB"/>
    <w:rsid w:val="009E1ED3"/>
    <w:rsid w:val="009E37ED"/>
    <w:rsid w:val="009E4A95"/>
    <w:rsid w:val="009E6004"/>
    <w:rsid w:val="009F0897"/>
    <w:rsid w:val="009F5345"/>
    <w:rsid w:val="009F53C2"/>
    <w:rsid w:val="009F58A2"/>
    <w:rsid w:val="009F6F50"/>
    <w:rsid w:val="00A00406"/>
    <w:rsid w:val="00A0057C"/>
    <w:rsid w:val="00A0210F"/>
    <w:rsid w:val="00A058CF"/>
    <w:rsid w:val="00A072FE"/>
    <w:rsid w:val="00A073DA"/>
    <w:rsid w:val="00A07475"/>
    <w:rsid w:val="00A07496"/>
    <w:rsid w:val="00A10865"/>
    <w:rsid w:val="00A11537"/>
    <w:rsid w:val="00A11A7A"/>
    <w:rsid w:val="00A128C5"/>
    <w:rsid w:val="00A143FC"/>
    <w:rsid w:val="00A20055"/>
    <w:rsid w:val="00A210A1"/>
    <w:rsid w:val="00A22D6C"/>
    <w:rsid w:val="00A231F8"/>
    <w:rsid w:val="00A24CA1"/>
    <w:rsid w:val="00A25163"/>
    <w:rsid w:val="00A269A7"/>
    <w:rsid w:val="00A31277"/>
    <w:rsid w:val="00A33350"/>
    <w:rsid w:val="00A34428"/>
    <w:rsid w:val="00A36D1C"/>
    <w:rsid w:val="00A44C1F"/>
    <w:rsid w:val="00A46DAF"/>
    <w:rsid w:val="00A47C58"/>
    <w:rsid w:val="00A529A1"/>
    <w:rsid w:val="00A52BA6"/>
    <w:rsid w:val="00A52F2C"/>
    <w:rsid w:val="00A54B3F"/>
    <w:rsid w:val="00A60500"/>
    <w:rsid w:val="00A60D6D"/>
    <w:rsid w:val="00A61261"/>
    <w:rsid w:val="00A61FD4"/>
    <w:rsid w:val="00A63AA9"/>
    <w:rsid w:val="00A669E9"/>
    <w:rsid w:val="00A67D0F"/>
    <w:rsid w:val="00A8609D"/>
    <w:rsid w:val="00A86542"/>
    <w:rsid w:val="00A87F7C"/>
    <w:rsid w:val="00A908A5"/>
    <w:rsid w:val="00A91DAE"/>
    <w:rsid w:val="00A95658"/>
    <w:rsid w:val="00A9633A"/>
    <w:rsid w:val="00AA099E"/>
    <w:rsid w:val="00AA46EA"/>
    <w:rsid w:val="00AA559B"/>
    <w:rsid w:val="00AB29C4"/>
    <w:rsid w:val="00AB60C4"/>
    <w:rsid w:val="00AC14F0"/>
    <w:rsid w:val="00AC2DF7"/>
    <w:rsid w:val="00AC548A"/>
    <w:rsid w:val="00AD5C59"/>
    <w:rsid w:val="00AE270B"/>
    <w:rsid w:val="00AE5064"/>
    <w:rsid w:val="00AE5365"/>
    <w:rsid w:val="00AE55CB"/>
    <w:rsid w:val="00AE71DB"/>
    <w:rsid w:val="00AF0CB9"/>
    <w:rsid w:val="00AF28D6"/>
    <w:rsid w:val="00AF3FDF"/>
    <w:rsid w:val="00AF5069"/>
    <w:rsid w:val="00AF564E"/>
    <w:rsid w:val="00B01326"/>
    <w:rsid w:val="00B0164D"/>
    <w:rsid w:val="00B019F5"/>
    <w:rsid w:val="00B02152"/>
    <w:rsid w:val="00B02459"/>
    <w:rsid w:val="00B04CC4"/>
    <w:rsid w:val="00B04F4E"/>
    <w:rsid w:val="00B052BC"/>
    <w:rsid w:val="00B05BCA"/>
    <w:rsid w:val="00B05CB2"/>
    <w:rsid w:val="00B05F14"/>
    <w:rsid w:val="00B146C7"/>
    <w:rsid w:val="00B222AE"/>
    <w:rsid w:val="00B22D6C"/>
    <w:rsid w:val="00B31B65"/>
    <w:rsid w:val="00B33B98"/>
    <w:rsid w:val="00B349F7"/>
    <w:rsid w:val="00B3578A"/>
    <w:rsid w:val="00B422E2"/>
    <w:rsid w:val="00B431EF"/>
    <w:rsid w:val="00B46A16"/>
    <w:rsid w:val="00B51ADD"/>
    <w:rsid w:val="00B553D8"/>
    <w:rsid w:val="00B569AD"/>
    <w:rsid w:val="00B56E34"/>
    <w:rsid w:val="00B57039"/>
    <w:rsid w:val="00B57263"/>
    <w:rsid w:val="00B6093A"/>
    <w:rsid w:val="00B62EAA"/>
    <w:rsid w:val="00B668D2"/>
    <w:rsid w:val="00B67BA9"/>
    <w:rsid w:val="00B72C1F"/>
    <w:rsid w:val="00B73C5F"/>
    <w:rsid w:val="00B74177"/>
    <w:rsid w:val="00B76D53"/>
    <w:rsid w:val="00B82656"/>
    <w:rsid w:val="00B83704"/>
    <w:rsid w:val="00B90CC2"/>
    <w:rsid w:val="00B92D04"/>
    <w:rsid w:val="00B93330"/>
    <w:rsid w:val="00B943BA"/>
    <w:rsid w:val="00B96017"/>
    <w:rsid w:val="00B96778"/>
    <w:rsid w:val="00BA2BEC"/>
    <w:rsid w:val="00BA498C"/>
    <w:rsid w:val="00BA4E80"/>
    <w:rsid w:val="00BA56B6"/>
    <w:rsid w:val="00BB60A8"/>
    <w:rsid w:val="00BC3E88"/>
    <w:rsid w:val="00BC7EFD"/>
    <w:rsid w:val="00BD0BA4"/>
    <w:rsid w:val="00BD1529"/>
    <w:rsid w:val="00BD1F78"/>
    <w:rsid w:val="00BD1FC3"/>
    <w:rsid w:val="00BD2D01"/>
    <w:rsid w:val="00BE1259"/>
    <w:rsid w:val="00BE73A7"/>
    <w:rsid w:val="00BF0647"/>
    <w:rsid w:val="00BF33D3"/>
    <w:rsid w:val="00C00CEE"/>
    <w:rsid w:val="00C06624"/>
    <w:rsid w:val="00C10B17"/>
    <w:rsid w:val="00C117C2"/>
    <w:rsid w:val="00C11868"/>
    <w:rsid w:val="00C16188"/>
    <w:rsid w:val="00C22374"/>
    <w:rsid w:val="00C2276F"/>
    <w:rsid w:val="00C23FFB"/>
    <w:rsid w:val="00C2698A"/>
    <w:rsid w:val="00C308CC"/>
    <w:rsid w:val="00C30A7C"/>
    <w:rsid w:val="00C30E54"/>
    <w:rsid w:val="00C32BC8"/>
    <w:rsid w:val="00C34157"/>
    <w:rsid w:val="00C348C3"/>
    <w:rsid w:val="00C3653A"/>
    <w:rsid w:val="00C41CE3"/>
    <w:rsid w:val="00C41EAE"/>
    <w:rsid w:val="00C44CDE"/>
    <w:rsid w:val="00C515F8"/>
    <w:rsid w:val="00C5195C"/>
    <w:rsid w:val="00C52063"/>
    <w:rsid w:val="00C60D35"/>
    <w:rsid w:val="00C61427"/>
    <w:rsid w:val="00C6411B"/>
    <w:rsid w:val="00C66CD2"/>
    <w:rsid w:val="00C67C10"/>
    <w:rsid w:val="00C72429"/>
    <w:rsid w:val="00C75D95"/>
    <w:rsid w:val="00C76049"/>
    <w:rsid w:val="00C770CC"/>
    <w:rsid w:val="00C770DB"/>
    <w:rsid w:val="00C80786"/>
    <w:rsid w:val="00C807F9"/>
    <w:rsid w:val="00C81852"/>
    <w:rsid w:val="00C81D03"/>
    <w:rsid w:val="00C830AA"/>
    <w:rsid w:val="00C83E2E"/>
    <w:rsid w:val="00C853F1"/>
    <w:rsid w:val="00C8640F"/>
    <w:rsid w:val="00C90C57"/>
    <w:rsid w:val="00C927C0"/>
    <w:rsid w:val="00C92A41"/>
    <w:rsid w:val="00CB0887"/>
    <w:rsid w:val="00CB1C4E"/>
    <w:rsid w:val="00CC1988"/>
    <w:rsid w:val="00CC19AA"/>
    <w:rsid w:val="00CC3865"/>
    <w:rsid w:val="00CC5C28"/>
    <w:rsid w:val="00CC6A6D"/>
    <w:rsid w:val="00CD01A6"/>
    <w:rsid w:val="00CD1CE5"/>
    <w:rsid w:val="00CD314C"/>
    <w:rsid w:val="00CD4E1A"/>
    <w:rsid w:val="00CD5D7A"/>
    <w:rsid w:val="00CD740C"/>
    <w:rsid w:val="00CE1BE6"/>
    <w:rsid w:val="00CE36B8"/>
    <w:rsid w:val="00CE4D5D"/>
    <w:rsid w:val="00CE6E37"/>
    <w:rsid w:val="00CE7334"/>
    <w:rsid w:val="00CF161B"/>
    <w:rsid w:val="00CF4907"/>
    <w:rsid w:val="00CF7BA7"/>
    <w:rsid w:val="00D00EA8"/>
    <w:rsid w:val="00D01135"/>
    <w:rsid w:val="00D015C5"/>
    <w:rsid w:val="00D03455"/>
    <w:rsid w:val="00D05BF5"/>
    <w:rsid w:val="00D0705D"/>
    <w:rsid w:val="00D10173"/>
    <w:rsid w:val="00D14C73"/>
    <w:rsid w:val="00D23BBE"/>
    <w:rsid w:val="00D24121"/>
    <w:rsid w:val="00D27AF2"/>
    <w:rsid w:val="00D27DC8"/>
    <w:rsid w:val="00D32D8D"/>
    <w:rsid w:val="00D33266"/>
    <w:rsid w:val="00D33644"/>
    <w:rsid w:val="00D413DB"/>
    <w:rsid w:val="00D41D85"/>
    <w:rsid w:val="00D41E86"/>
    <w:rsid w:val="00D4220E"/>
    <w:rsid w:val="00D42316"/>
    <w:rsid w:val="00D427FC"/>
    <w:rsid w:val="00D44D3A"/>
    <w:rsid w:val="00D44F9B"/>
    <w:rsid w:val="00D45885"/>
    <w:rsid w:val="00D45961"/>
    <w:rsid w:val="00D45983"/>
    <w:rsid w:val="00D459BF"/>
    <w:rsid w:val="00D47231"/>
    <w:rsid w:val="00D47A53"/>
    <w:rsid w:val="00D52E6E"/>
    <w:rsid w:val="00D54B02"/>
    <w:rsid w:val="00D54B69"/>
    <w:rsid w:val="00D554CB"/>
    <w:rsid w:val="00D564B6"/>
    <w:rsid w:val="00D60680"/>
    <w:rsid w:val="00D61B4E"/>
    <w:rsid w:val="00D726C9"/>
    <w:rsid w:val="00D740C4"/>
    <w:rsid w:val="00D76C66"/>
    <w:rsid w:val="00D77B55"/>
    <w:rsid w:val="00D77F22"/>
    <w:rsid w:val="00D800EA"/>
    <w:rsid w:val="00D83991"/>
    <w:rsid w:val="00D83A75"/>
    <w:rsid w:val="00D848FF"/>
    <w:rsid w:val="00D86515"/>
    <w:rsid w:val="00D9107E"/>
    <w:rsid w:val="00D92DBF"/>
    <w:rsid w:val="00D942F0"/>
    <w:rsid w:val="00D95DA1"/>
    <w:rsid w:val="00D9704A"/>
    <w:rsid w:val="00DA2837"/>
    <w:rsid w:val="00DA2C69"/>
    <w:rsid w:val="00DA3DE8"/>
    <w:rsid w:val="00DA4A1F"/>
    <w:rsid w:val="00DB0341"/>
    <w:rsid w:val="00DB1144"/>
    <w:rsid w:val="00DB1A6E"/>
    <w:rsid w:val="00DB3373"/>
    <w:rsid w:val="00DB3ACE"/>
    <w:rsid w:val="00DB4415"/>
    <w:rsid w:val="00DB5555"/>
    <w:rsid w:val="00DB662D"/>
    <w:rsid w:val="00DB6793"/>
    <w:rsid w:val="00DC4310"/>
    <w:rsid w:val="00DC69A7"/>
    <w:rsid w:val="00DC7E56"/>
    <w:rsid w:val="00DD027C"/>
    <w:rsid w:val="00DD07D3"/>
    <w:rsid w:val="00DD19A1"/>
    <w:rsid w:val="00DD2557"/>
    <w:rsid w:val="00DD4087"/>
    <w:rsid w:val="00DE0934"/>
    <w:rsid w:val="00DE105F"/>
    <w:rsid w:val="00DE658A"/>
    <w:rsid w:val="00DE6720"/>
    <w:rsid w:val="00DF0BEC"/>
    <w:rsid w:val="00DF47DD"/>
    <w:rsid w:val="00DF6599"/>
    <w:rsid w:val="00DF73FE"/>
    <w:rsid w:val="00DF7AC0"/>
    <w:rsid w:val="00E01478"/>
    <w:rsid w:val="00E01655"/>
    <w:rsid w:val="00E01E5D"/>
    <w:rsid w:val="00E04274"/>
    <w:rsid w:val="00E11DC5"/>
    <w:rsid w:val="00E12295"/>
    <w:rsid w:val="00E20C05"/>
    <w:rsid w:val="00E22B62"/>
    <w:rsid w:val="00E2632C"/>
    <w:rsid w:val="00E31C4A"/>
    <w:rsid w:val="00E377AB"/>
    <w:rsid w:val="00E40AE7"/>
    <w:rsid w:val="00E41741"/>
    <w:rsid w:val="00E42612"/>
    <w:rsid w:val="00E53A1D"/>
    <w:rsid w:val="00E560DE"/>
    <w:rsid w:val="00E56786"/>
    <w:rsid w:val="00E63C72"/>
    <w:rsid w:val="00E66114"/>
    <w:rsid w:val="00E67CC2"/>
    <w:rsid w:val="00E720E0"/>
    <w:rsid w:val="00E735DF"/>
    <w:rsid w:val="00E77782"/>
    <w:rsid w:val="00E77DC4"/>
    <w:rsid w:val="00E84161"/>
    <w:rsid w:val="00E854ED"/>
    <w:rsid w:val="00E8595D"/>
    <w:rsid w:val="00E94946"/>
    <w:rsid w:val="00E957DC"/>
    <w:rsid w:val="00E96F22"/>
    <w:rsid w:val="00EA2BEB"/>
    <w:rsid w:val="00EA35ED"/>
    <w:rsid w:val="00EA7259"/>
    <w:rsid w:val="00EA7F9E"/>
    <w:rsid w:val="00EB1926"/>
    <w:rsid w:val="00EB2560"/>
    <w:rsid w:val="00EB44D6"/>
    <w:rsid w:val="00EB5268"/>
    <w:rsid w:val="00EB5CE9"/>
    <w:rsid w:val="00EB69EC"/>
    <w:rsid w:val="00EB7D02"/>
    <w:rsid w:val="00EC0D33"/>
    <w:rsid w:val="00EC243C"/>
    <w:rsid w:val="00EC3D5E"/>
    <w:rsid w:val="00EC5C8F"/>
    <w:rsid w:val="00EC7F43"/>
    <w:rsid w:val="00ED3252"/>
    <w:rsid w:val="00ED625C"/>
    <w:rsid w:val="00EE1A96"/>
    <w:rsid w:val="00EE3359"/>
    <w:rsid w:val="00EE6CEB"/>
    <w:rsid w:val="00EF2329"/>
    <w:rsid w:val="00EF3750"/>
    <w:rsid w:val="00EF3AD0"/>
    <w:rsid w:val="00EF51D9"/>
    <w:rsid w:val="00EF6670"/>
    <w:rsid w:val="00EF7867"/>
    <w:rsid w:val="00F007F5"/>
    <w:rsid w:val="00F034DE"/>
    <w:rsid w:val="00F050C5"/>
    <w:rsid w:val="00F105BB"/>
    <w:rsid w:val="00F11D13"/>
    <w:rsid w:val="00F1559A"/>
    <w:rsid w:val="00F15BC0"/>
    <w:rsid w:val="00F22E11"/>
    <w:rsid w:val="00F245AA"/>
    <w:rsid w:val="00F32201"/>
    <w:rsid w:val="00F346F0"/>
    <w:rsid w:val="00F34780"/>
    <w:rsid w:val="00F42462"/>
    <w:rsid w:val="00F42C07"/>
    <w:rsid w:val="00F43025"/>
    <w:rsid w:val="00F43CA0"/>
    <w:rsid w:val="00F45F12"/>
    <w:rsid w:val="00F474C1"/>
    <w:rsid w:val="00F479AC"/>
    <w:rsid w:val="00F47AC0"/>
    <w:rsid w:val="00F50C5F"/>
    <w:rsid w:val="00F537E6"/>
    <w:rsid w:val="00F54C72"/>
    <w:rsid w:val="00F5586D"/>
    <w:rsid w:val="00F56BEC"/>
    <w:rsid w:val="00F56F36"/>
    <w:rsid w:val="00F579C1"/>
    <w:rsid w:val="00F605C6"/>
    <w:rsid w:val="00F61705"/>
    <w:rsid w:val="00F75A94"/>
    <w:rsid w:val="00F7643C"/>
    <w:rsid w:val="00F866DF"/>
    <w:rsid w:val="00F875C5"/>
    <w:rsid w:val="00F87BB1"/>
    <w:rsid w:val="00F91449"/>
    <w:rsid w:val="00F91525"/>
    <w:rsid w:val="00F93A2D"/>
    <w:rsid w:val="00F945F2"/>
    <w:rsid w:val="00F9546E"/>
    <w:rsid w:val="00F9606C"/>
    <w:rsid w:val="00F96E1E"/>
    <w:rsid w:val="00F973C9"/>
    <w:rsid w:val="00FA017F"/>
    <w:rsid w:val="00FA5652"/>
    <w:rsid w:val="00FA614A"/>
    <w:rsid w:val="00FA66DE"/>
    <w:rsid w:val="00FB1DF1"/>
    <w:rsid w:val="00FB2DEF"/>
    <w:rsid w:val="00FB4149"/>
    <w:rsid w:val="00FB57F6"/>
    <w:rsid w:val="00FB7D78"/>
    <w:rsid w:val="00FC429A"/>
    <w:rsid w:val="00FC451B"/>
    <w:rsid w:val="00FC4EB6"/>
    <w:rsid w:val="00FC52B0"/>
    <w:rsid w:val="00FC5AAE"/>
    <w:rsid w:val="00FC69D4"/>
    <w:rsid w:val="00FD1348"/>
    <w:rsid w:val="00FD2BB2"/>
    <w:rsid w:val="00FD4B23"/>
    <w:rsid w:val="00FE15C5"/>
    <w:rsid w:val="00FE1DB5"/>
    <w:rsid w:val="00FE1F54"/>
    <w:rsid w:val="00FE5BA5"/>
    <w:rsid w:val="00FE7174"/>
    <w:rsid w:val="00FF018C"/>
    <w:rsid w:val="00FF0713"/>
    <w:rsid w:val="00FF1DC6"/>
    <w:rsid w:val="00FF6F97"/>
    <w:rsid w:val="00FF7089"/>
    <w:rsid w:val="02572AE5"/>
    <w:rsid w:val="0DE37A2D"/>
    <w:rsid w:val="11E33AA5"/>
    <w:rsid w:val="3A2A1B78"/>
    <w:rsid w:val="3AC577F8"/>
    <w:rsid w:val="42187EFF"/>
    <w:rsid w:val="4E0C1ED3"/>
    <w:rsid w:val="517E0914"/>
    <w:rsid w:val="60276A99"/>
    <w:rsid w:val="70344EA3"/>
    <w:rsid w:val="71C852BA"/>
    <w:rsid w:val="7DDF5E0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alibri" w:hAnsi="Calibri"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nhideWhenUsed="0" w:uiPriority="0"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39" w:semiHidden="0" w:name="toc 7"/>
    <w:lsdException w:qFormat="1" w:unhideWhenUsed="0" w:uiPriority="39" w:semiHidden="0" w:name="toc 8"/>
    <w:lsdException w:qFormat="1" w:unhideWhenUsed="0" w:uiPriority="39" w:semiHidden="0" w:name="toc 9"/>
    <w:lsdException w:uiPriority="99" w:name="Normal Indent"/>
    <w:lsdException w:uiPriority="99" w:name="footnote text"/>
    <w:lsdException w:qFormat="1" w:uiPriority="99" w:semiHidden="0" w:name="annotation text"/>
    <w:lsdException w:qFormat="1" w:unhideWhenUsed="0" w:uiPriority="0" w:semiHidden="0"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qFormat="1" w:unhideWhenUsed="0" w:uiPriority="0" w:semiHidden="0"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qFormat="1" w:uiPriority="99" w:semiHidden="0"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nhideWhenUsed="0" w:uiPriority="0" w:semiHidden="0" w:name="Balloon Text"/>
    <w:lsdException w:qFormat="1" w:unhideWhenUsed="0" w:uiPriority="9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line="360" w:lineRule="auto"/>
      <w:ind w:firstLine="200" w:firstLineChars="200"/>
      <w:jc w:val="both"/>
    </w:pPr>
    <w:rPr>
      <w:rFonts w:ascii="Times New Roman" w:hAnsi="Times New Roman" w:eastAsia="仿宋_GB2312" w:cs="Times New Roman"/>
      <w:kern w:val="2"/>
      <w:sz w:val="24"/>
      <w:szCs w:val="24"/>
      <w:lang w:val="en-US" w:eastAsia="zh-CN" w:bidi="ar-SA"/>
    </w:rPr>
  </w:style>
  <w:style w:type="paragraph" w:styleId="2">
    <w:name w:val="heading 1"/>
    <w:basedOn w:val="1"/>
    <w:next w:val="1"/>
    <w:qFormat/>
    <w:uiPriority w:val="0"/>
    <w:pPr>
      <w:keepNext/>
      <w:keepLines/>
      <w:ind w:firstLine="0" w:firstLineChars="0"/>
      <w:jc w:val="left"/>
      <w:outlineLvl w:val="0"/>
    </w:pPr>
    <w:rPr>
      <w:b/>
      <w:bCs/>
      <w:kern w:val="44"/>
      <w:sz w:val="28"/>
      <w:szCs w:val="44"/>
    </w:rPr>
  </w:style>
  <w:style w:type="paragraph" w:styleId="3">
    <w:name w:val="heading 2"/>
    <w:basedOn w:val="1"/>
    <w:next w:val="1"/>
    <w:link w:val="42"/>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4">
    <w:name w:val="heading 3"/>
    <w:basedOn w:val="1"/>
    <w:next w:val="1"/>
    <w:qFormat/>
    <w:uiPriority w:val="0"/>
    <w:pPr>
      <w:keepNext/>
      <w:keepLines/>
      <w:ind w:firstLine="0" w:firstLineChars="0"/>
      <w:jc w:val="left"/>
      <w:outlineLvl w:val="2"/>
    </w:pPr>
    <w:rPr>
      <w:b/>
      <w:bCs/>
      <w:szCs w:val="32"/>
    </w:rPr>
  </w:style>
  <w:style w:type="character" w:default="1" w:styleId="24">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5">
    <w:name w:val="toc 7"/>
    <w:basedOn w:val="1"/>
    <w:next w:val="1"/>
    <w:qFormat/>
    <w:uiPriority w:val="39"/>
    <w:pPr>
      <w:ind w:left="1800"/>
      <w:jc w:val="left"/>
    </w:pPr>
    <w:rPr>
      <w:sz w:val="18"/>
      <w:szCs w:val="18"/>
    </w:rPr>
  </w:style>
  <w:style w:type="paragraph" w:styleId="6">
    <w:name w:val="Document Map"/>
    <w:basedOn w:val="1"/>
    <w:link w:val="35"/>
    <w:unhideWhenUsed/>
    <w:qFormat/>
    <w:uiPriority w:val="99"/>
    <w:rPr>
      <w:rFonts w:ascii="宋体" w:eastAsia="宋体"/>
      <w:sz w:val="18"/>
      <w:szCs w:val="18"/>
    </w:rPr>
  </w:style>
  <w:style w:type="paragraph" w:styleId="7">
    <w:name w:val="annotation text"/>
    <w:basedOn w:val="1"/>
    <w:link w:val="32"/>
    <w:unhideWhenUsed/>
    <w:qFormat/>
    <w:uiPriority w:val="99"/>
    <w:pPr>
      <w:jc w:val="left"/>
    </w:pPr>
  </w:style>
  <w:style w:type="paragraph" w:styleId="8">
    <w:name w:val="toc 5"/>
    <w:basedOn w:val="1"/>
    <w:next w:val="1"/>
    <w:qFormat/>
    <w:uiPriority w:val="39"/>
    <w:pPr>
      <w:ind w:left="1200"/>
      <w:jc w:val="left"/>
    </w:pPr>
    <w:rPr>
      <w:sz w:val="18"/>
      <w:szCs w:val="18"/>
    </w:rPr>
  </w:style>
  <w:style w:type="paragraph" w:styleId="9">
    <w:name w:val="toc 3"/>
    <w:basedOn w:val="1"/>
    <w:next w:val="1"/>
    <w:qFormat/>
    <w:uiPriority w:val="39"/>
    <w:pPr>
      <w:spacing w:line="300" w:lineRule="exact"/>
      <w:ind w:left="567"/>
      <w:jc w:val="left"/>
    </w:pPr>
    <w:rPr>
      <w:iCs/>
      <w:sz w:val="28"/>
      <w:szCs w:val="20"/>
    </w:rPr>
  </w:style>
  <w:style w:type="paragraph" w:styleId="10">
    <w:name w:val="toc 8"/>
    <w:basedOn w:val="1"/>
    <w:next w:val="1"/>
    <w:qFormat/>
    <w:uiPriority w:val="39"/>
    <w:pPr>
      <w:ind w:left="2100"/>
      <w:jc w:val="left"/>
    </w:pPr>
    <w:rPr>
      <w:sz w:val="18"/>
      <w:szCs w:val="18"/>
    </w:rPr>
  </w:style>
  <w:style w:type="paragraph" w:styleId="11">
    <w:name w:val="Date"/>
    <w:basedOn w:val="1"/>
    <w:next w:val="1"/>
    <w:qFormat/>
    <w:uiPriority w:val="0"/>
    <w:pPr>
      <w:ind w:left="100" w:leftChars="2500"/>
    </w:pPr>
    <w:rPr>
      <w:rFonts w:eastAsia="宋体"/>
      <w:sz w:val="21"/>
    </w:rPr>
  </w:style>
  <w:style w:type="paragraph" w:styleId="12">
    <w:name w:val="Balloon Text"/>
    <w:basedOn w:val="1"/>
    <w:link w:val="29"/>
    <w:qFormat/>
    <w:uiPriority w:val="0"/>
    <w:rPr>
      <w:sz w:val="18"/>
      <w:szCs w:val="18"/>
    </w:rPr>
  </w:style>
  <w:style w:type="paragraph" w:styleId="13">
    <w:name w:val="footer"/>
    <w:basedOn w:val="1"/>
    <w:link w:val="30"/>
    <w:qFormat/>
    <w:uiPriority w:val="99"/>
    <w:pPr>
      <w:tabs>
        <w:tab w:val="center" w:pos="4153"/>
        <w:tab w:val="right" w:pos="8306"/>
      </w:tabs>
      <w:snapToGrid w:val="0"/>
      <w:jc w:val="left"/>
    </w:pPr>
    <w:rPr>
      <w:sz w:val="18"/>
      <w:szCs w:val="18"/>
    </w:rPr>
  </w:style>
  <w:style w:type="paragraph" w:styleId="14">
    <w:name w:val="header"/>
    <w:basedOn w:val="1"/>
    <w:link w:val="33"/>
    <w:qFormat/>
    <w:uiPriority w:val="0"/>
    <w:pPr>
      <w:pBdr>
        <w:bottom w:val="single" w:color="auto" w:sz="6" w:space="1"/>
      </w:pBdr>
      <w:tabs>
        <w:tab w:val="center" w:pos="4153"/>
        <w:tab w:val="right" w:pos="8306"/>
      </w:tabs>
      <w:snapToGrid w:val="0"/>
      <w:jc w:val="center"/>
    </w:pPr>
    <w:rPr>
      <w:sz w:val="18"/>
      <w:szCs w:val="18"/>
    </w:rPr>
  </w:style>
  <w:style w:type="paragraph" w:styleId="15">
    <w:name w:val="toc 1"/>
    <w:basedOn w:val="1"/>
    <w:next w:val="1"/>
    <w:qFormat/>
    <w:uiPriority w:val="39"/>
    <w:pPr>
      <w:spacing w:before="120" w:after="120"/>
      <w:jc w:val="left"/>
    </w:pPr>
    <w:rPr>
      <w:b/>
      <w:bCs/>
      <w:caps/>
      <w:sz w:val="28"/>
      <w:szCs w:val="20"/>
    </w:rPr>
  </w:style>
  <w:style w:type="paragraph" w:styleId="16">
    <w:name w:val="toc 4"/>
    <w:basedOn w:val="1"/>
    <w:next w:val="1"/>
    <w:qFormat/>
    <w:uiPriority w:val="39"/>
    <w:pPr>
      <w:tabs>
        <w:tab w:val="right" w:leader="dot" w:pos="8693"/>
      </w:tabs>
      <w:spacing w:line="300" w:lineRule="exact"/>
      <w:ind w:left="902"/>
      <w:jc w:val="left"/>
    </w:pPr>
    <w:rPr>
      <w:sz w:val="28"/>
      <w:szCs w:val="18"/>
    </w:rPr>
  </w:style>
  <w:style w:type="paragraph" w:styleId="17">
    <w:name w:val="toc 6"/>
    <w:basedOn w:val="1"/>
    <w:next w:val="1"/>
    <w:qFormat/>
    <w:uiPriority w:val="39"/>
    <w:pPr>
      <w:ind w:left="1500"/>
      <w:jc w:val="left"/>
    </w:pPr>
    <w:rPr>
      <w:sz w:val="18"/>
      <w:szCs w:val="18"/>
    </w:rPr>
  </w:style>
  <w:style w:type="paragraph" w:styleId="18">
    <w:name w:val="toc 2"/>
    <w:basedOn w:val="1"/>
    <w:next w:val="1"/>
    <w:qFormat/>
    <w:uiPriority w:val="39"/>
    <w:pPr>
      <w:spacing w:line="300" w:lineRule="exact"/>
      <w:jc w:val="left"/>
    </w:pPr>
    <w:rPr>
      <w:smallCaps/>
      <w:sz w:val="28"/>
      <w:szCs w:val="20"/>
    </w:rPr>
  </w:style>
  <w:style w:type="paragraph" w:styleId="19">
    <w:name w:val="toc 9"/>
    <w:basedOn w:val="1"/>
    <w:next w:val="1"/>
    <w:qFormat/>
    <w:uiPriority w:val="39"/>
    <w:pPr>
      <w:ind w:left="2400"/>
      <w:jc w:val="left"/>
    </w:pPr>
    <w:rPr>
      <w:sz w:val="18"/>
      <w:szCs w:val="18"/>
    </w:rPr>
  </w:style>
  <w:style w:type="paragraph" w:styleId="20">
    <w:name w:val="Title"/>
    <w:basedOn w:val="1"/>
    <w:next w:val="1"/>
    <w:link w:val="28"/>
    <w:qFormat/>
    <w:uiPriority w:val="10"/>
    <w:pPr>
      <w:jc w:val="left"/>
      <w:outlineLvl w:val="3"/>
    </w:pPr>
    <w:rPr>
      <w:rFonts w:ascii="Cambria" w:hAnsi="Cambria"/>
      <w:bCs/>
      <w:szCs w:val="32"/>
    </w:rPr>
  </w:style>
  <w:style w:type="paragraph" w:styleId="21">
    <w:name w:val="annotation subject"/>
    <w:basedOn w:val="7"/>
    <w:next w:val="7"/>
    <w:link w:val="34"/>
    <w:unhideWhenUsed/>
    <w:qFormat/>
    <w:uiPriority w:val="99"/>
    <w:rPr>
      <w:b/>
      <w:bCs/>
    </w:rPr>
  </w:style>
  <w:style w:type="table" w:styleId="23">
    <w:name w:val="Table Grid"/>
    <w:basedOn w:val="22"/>
    <w:qFormat/>
    <w:uiPriority w:val="99"/>
    <w:tblPr>
      <w:tblBorders>
        <w:top w:val="single" w:color="000000" w:themeColor="text1" w:sz="4" w:space="0"/>
        <w:left w:val="single" w:color="000000" w:themeColor="text1" w:sz="4" w:space="0"/>
        <w:bottom w:val="single" w:color="000000" w:themeColor="text1" w:sz="4" w:space="0"/>
        <w:right w:val="single" w:color="000000" w:themeColor="text1" w:sz="4" w:space="0"/>
        <w:insideH w:val="single" w:color="000000" w:themeColor="text1" w:sz="4" w:space="0"/>
        <w:insideV w:val="single" w:color="000000" w:themeColor="text1" w:sz="4" w:space="0"/>
      </w:tblBorders>
    </w:tblPr>
  </w:style>
  <w:style w:type="character" w:styleId="25">
    <w:name w:val="page number"/>
    <w:basedOn w:val="24"/>
    <w:qFormat/>
    <w:uiPriority w:val="0"/>
  </w:style>
  <w:style w:type="character" w:styleId="26">
    <w:name w:val="Hyperlink"/>
    <w:qFormat/>
    <w:uiPriority w:val="99"/>
    <w:rPr>
      <w:color w:val="0000FF"/>
      <w:u w:val="single"/>
    </w:rPr>
  </w:style>
  <w:style w:type="character" w:styleId="27">
    <w:name w:val="annotation reference"/>
    <w:basedOn w:val="24"/>
    <w:unhideWhenUsed/>
    <w:qFormat/>
    <w:uiPriority w:val="99"/>
    <w:rPr>
      <w:sz w:val="21"/>
      <w:szCs w:val="21"/>
    </w:rPr>
  </w:style>
  <w:style w:type="character" w:customStyle="1" w:styleId="28">
    <w:name w:val="标题 Char"/>
    <w:basedOn w:val="24"/>
    <w:link w:val="20"/>
    <w:qFormat/>
    <w:uiPriority w:val="10"/>
    <w:rPr>
      <w:rFonts w:ascii="Cambria" w:hAnsi="Cambria" w:eastAsia="仿宋_GB2312" w:cs="Times New Roman"/>
      <w:bCs/>
      <w:kern w:val="2"/>
      <w:sz w:val="24"/>
      <w:szCs w:val="32"/>
    </w:rPr>
  </w:style>
  <w:style w:type="character" w:customStyle="1" w:styleId="29">
    <w:name w:val="批注框文本 Char"/>
    <w:link w:val="12"/>
    <w:qFormat/>
    <w:uiPriority w:val="0"/>
    <w:rPr>
      <w:rFonts w:eastAsia="仿宋_GB2312"/>
      <w:kern w:val="2"/>
      <w:sz w:val="18"/>
      <w:szCs w:val="18"/>
    </w:rPr>
  </w:style>
  <w:style w:type="character" w:customStyle="1" w:styleId="30">
    <w:name w:val="页脚 Char"/>
    <w:link w:val="13"/>
    <w:qFormat/>
    <w:uiPriority w:val="99"/>
    <w:rPr>
      <w:rFonts w:eastAsia="仿宋_GB2312"/>
      <w:kern w:val="2"/>
      <w:sz w:val="18"/>
      <w:szCs w:val="18"/>
    </w:rPr>
  </w:style>
  <w:style w:type="character" w:customStyle="1" w:styleId="31">
    <w:name w:val="apple-converted-space"/>
    <w:basedOn w:val="24"/>
    <w:qFormat/>
    <w:uiPriority w:val="0"/>
  </w:style>
  <w:style w:type="character" w:customStyle="1" w:styleId="32">
    <w:name w:val="批注文字 Char"/>
    <w:basedOn w:val="24"/>
    <w:link w:val="7"/>
    <w:semiHidden/>
    <w:qFormat/>
    <w:uiPriority w:val="99"/>
    <w:rPr>
      <w:rFonts w:eastAsia="仿宋_GB2312"/>
      <w:kern w:val="2"/>
      <w:sz w:val="24"/>
      <w:szCs w:val="24"/>
    </w:rPr>
  </w:style>
  <w:style w:type="character" w:customStyle="1" w:styleId="33">
    <w:name w:val="页眉 Char"/>
    <w:link w:val="14"/>
    <w:qFormat/>
    <w:uiPriority w:val="0"/>
    <w:rPr>
      <w:rFonts w:eastAsia="仿宋_GB2312"/>
      <w:kern w:val="2"/>
      <w:sz w:val="18"/>
      <w:szCs w:val="18"/>
    </w:rPr>
  </w:style>
  <w:style w:type="character" w:customStyle="1" w:styleId="34">
    <w:name w:val="批注主题 Char"/>
    <w:basedOn w:val="32"/>
    <w:link w:val="21"/>
    <w:semiHidden/>
    <w:qFormat/>
    <w:uiPriority w:val="99"/>
    <w:rPr>
      <w:rFonts w:eastAsia="仿宋_GB2312"/>
      <w:b/>
      <w:bCs/>
      <w:kern w:val="2"/>
      <w:sz w:val="24"/>
      <w:szCs w:val="24"/>
    </w:rPr>
  </w:style>
  <w:style w:type="character" w:customStyle="1" w:styleId="35">
    <w:name w:val="文档结构图 Char"/>
    <w:basedOn w:val="24"/>
    <w:link w:val="6"/>
    <w:semiHidden/>
    <w:qFormat/>
    <w:uiPriority w:val="99"/>
    <w:rPr>
      <w:rFonts w:ascii="宋体"/>
      <w:kern w:val="2"/>
      <w:sz w:val="18"/>
      <w:szCs w:val="18"/>
    </w:rPr>
  </w:style>
  <w:style w:type="paragraph" w:customStyle="1" w:styleId="36">
    <w:name w:val="_Style 1"/>
    <w:basedOn w:val="1"/>
    <w:qFormat/>
    <w:uiPriority w:val="0"/>
    <w:rPr>
      <w:rFonts w:eastAsia="宋体"/>
      <w:sz w:val="21"/>
    </w:rPr>
  </w:style>
  <w:style w:type="paragraph" w:styleId="37">
    <w:name w:val="No Spacing"/>
    <w:qFormat/>
    <w:uiPriority w:val="1"/>
    <w:pPr>
      <w:widowControl w:val="0"/>
      <w:spacing w:line="360" w:lineRule="auto"/>
      <w:ind w:firstLine="200" w:firstLineChars="200"/>
      <w:outlineLvl w:val="2"/>
    </w:pPr>
    <w:rPr>
      <w:rFonts w:ascii="Times New Roman" w:hAnsi="Times New Roman" w:eastAsia="仿宋_GB2312" w:cs="Times New Roman"/>
      <w:kern w:val="2"/>
      <w:sz w:val="24"/>
      <w:szCs w:val="24"/>
      <w:lang w:val="en-US" w:eastAsia="zh-CN" w:bidi="ar-SA"/>
    </w:rPr>
  </w:style>
  <w:style w:type="paragraph" w:customStyle="1" w:styleId="38">
    <w:name w:val="TOC Heading"/>
    <w:basedOn w:val="2"/>
    <w:next w:val="1"/>
    <w:qFormat/>
    <w:uiPriority w:val="39"/>
    <w:pPr>
      <w:widowControl/>
      <w:spacing w:before="480" w:line="276" w:lineRule="auto"/>
      <w:outlineLvl w:val="9"/>
    </w:pPr>
    <w:rPr>
      <w:rFonts w:ascii="Cambria" w:hAnsi="Cambria" w:eastAsia="宋体"/>
      <w:color w:val="365F91"/>
      <w:kern w:val="0"/>
      <w:szCs w:val="28"/>
    </w:rPr>
  </w:style>
  <w:style w:type="paragraph" w:customStyle="1" w:styleId="39">
    <w:name w:val="列出段落1"/>
    <w:basedOn w:val="1"/>
    <w:qFormat/>
    <w:uiPriority w:val="34"/>
    <w:pPr>
      <w:ind w:firstLine="420"/>
    </w:pPr>
  </w:style>
  <w:style w:type="paragraph" w:styleId="40">
    <w:name w:val="List Paragraph"/>
    <w:basedOn w:val="1"/>
    <w:qFormat/>
    <w:uiPriority w:val="34"/>
    <w:pPr>
      <w:ind w:firstLine="420"/>
    </w:pPr>
  </w:style>
  <w:style w:type="paragraph" w:customStyle="1" w:styleId="41">
    <w:name w:val="Revision"/>
    <w:semiHidden/>
    <w:qFormat/>
    <w:uiPriority w:val="99"/>
    <w:rPr>
      <w:rFonts w:ascii="Times New Roman" w:hAnsi="Times New Roman" w:eastAsia="仿宋_GB2312" w:cs="Times New Roman"/>
      <w:kern w:val="2"/>
      <w:sz w:val="24"/>
      <w:szCs w:val="24"/>
      <w:lang w:val="en-US" w:eastAsia="zh-CN" w:bidi="ar-SA"/>
    </w:rPr>
  </w:style>
  <w:style w:type="character" w:customStyle="1" w:styleId="42">
    <w:name w:val="标题 2 Char"/>
    <w:basedOn w:val="24"/>
    <w:link w:val="3"/>
    <w:qFormat/>
    <w:uiPriority w:val="9"/>
    <w:rPr>
      <w:rFonts w:asciiTheme="majorHAnsi" w:hAnsiTheme="majorHAnsi" w:eastAsiaTheme="majorEastAsia" w:cstheme="majorBidi"/>
      <w:b/>
      <w:bCs/>
      <w:kern w:val="2"/>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numbering" Target="numbering.xml"/><Relationship Id="rId14" Type="http://schemas.openxmlformats.org/officeDocument/2006/relationships/customXml" Target="../customXml/item1.xml"/><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4097"/>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14</Pages>
  <Words>8547</Words>
  <Characters>9094</Characters>
  <Lines>77</Lines>
  <Paragraphs>21</Paragraphs>
  <TotalTime>7</TotalTime>
  <ScaleCrop>false</ScaleCrop>
  <LinksUpToDate>false</LinksUpToDate>
  <CharactersWithSpaces>9198</CharactersWithSpaces>
  <Application>WPS Office_12.1.0.19302_F1E327BC-269C-435d-A152-05C5408002CA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2017-03-14T02:32:00Z</dcterms:created>
  <dc:creator>lhn</dc:creator>
  <cp:lastModifiedBy>Administrator</cp:lastModifiedBy>
  <cp:lastPrinted>2015-12-10T09:13:00Z</cp:lastPrinted>
  <dcterms:modified xsi:type="dcterms:W3CDTF">2025-02-12T08:14:15Z</dcterms:modified>
  <dc:title>财政支出绩效评价报告</dc:title>
  <cp:revision>214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2052-12.1.0.19302</vt:lpwstr>
  </property>
  <property fmtid="{D5CDD505-2E9C-101B-9397-08002B2CF9AE}" pid="3" name="ICV">
    <vt:lpwstr>A6216E03187E47DAA273CAAF35CB0645_12</vt:lpwstr>
  </property>
  <property fmtid="{D5CDD505-2E9C-101B-9397-08002B2CF9AE}" pid="4" name="KSOTemplateDocerSaveRecord">
    <vt:lpwstr>eyJoZGlkIjoiYjhjNmVhOTU5ODM3OWQ1M2MxMjk1OGZlZmIyMzhkOWYifQ==</vt:lpwstr>
  </property>
</Properties>
</file>