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A19E5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3E46BBAB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748E73DA">
      <w:pPr>
        <w:ind w:firstLine="0" w:firstLineChars="0"/>
        <w:jc w:val="center"/>
        <w:rPr>
          <w:rFonts w:ascii="仿宋" w:hAnsi="仿宋" w:eastAsia="仿宋"/>
          <w:b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highlight w:val="none"/>
        </w:rPr>
        <w:t>武汉经济技术开发区（汉南区）行政审批局</w:t>
      </w:r>
    </w:p>
    <w:p w14:paraId="703F5CD9">
      <w:pPr>
        <w:ind w:firstLine="0" w:firstLineChars="0"/>
        <w:jc w:val="center"/>
        <w:rPr>
          <w:rFonts w:hint="default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  <w:t>物业管理费、维修费</w:t>
      </w:r>
    </w:p>
    <w:p w14:paraId="5007E37E">
      <w:pPr>
        <w:ind w:firstLine="0" w:firstLineChars="0"/>
        <w:jc w:val="center"/>
        <w:rPr>
          <w:rFonts w:ascii="仿宋" w:hAnsi="仿宋" w:eastAsia="仿宋"/>
          <w:b/>
          <w:bCs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</w:rPr>
        <w:t>2018年度绩效评价报告</w:t>
      </w:r>
    </w:p>
    <w:p w14:paraId="4E928F72">
      <w:pPr>
        <w:ind w:firstLine="480"/>
        <w:rPr>
          <w:highlight w:val="none"/>
        </w:rPr>
      </w:pPr>
    </w:p>
    <w:p w14:paraId="65635D63">
      <w:pPr>
        <w:ind w:firstLine="480"/>
        <w:rPr>
          <w:highlight w:val="none"/>
        </w:rPr>
      </w:pPr>
    </w:p>
    <w:p w14:paraId="73C27A6D">
      <w:pPr>
        <w:ind w:firstLine="480"/>
        <w:rPr>
          <w:highlight w:val="none"/>
        </w:rPr>
      </w:pPr>
    </w:p>
    <w:p w14:paraId="1ADAE136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3AC8988B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0DD97570">
      <w:pPr>
        <w:widowControl/>
        <w:spacing w:line="480" w:lineRule="auto"/>
        <w:ind w:right="-192" w:rightChars="-80" w:firstLine="790" w:firstLineChars="246"/>
        <w:jc w:val="left"/>
        <w:rPr>
          <w:rFonts w:hint="default" w:eastAsia="仿宋_GB2312"/>
          <w:b/>
          <w:bCs/>
          <w:sz w:val="32"/>
          <w:szCs w:val="32"/>
          <w:highlight w:val="none"/>
          <w:lang w:val="en-US" w:eastAsia="zh-CN"/>
        </w:rPr>
      </w:pPr>
      <w:r>
        <w:rPr>
          <w:b/>
          <w:bCs/>
          <w:kern w:val="32"/>
          <w:sz w:val="32"/>
          <w:highlight w:val="none"/>
          <w:lang w:bidi="he-IL"/>
        </w:rPr>
        <w:t>项目名称：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物业管理费、维修费</w:t>
      </w:r>
    </w:p>
    <w:p w14:paraId="17AF2B08">
      <w:pPr>
        <w:widowControl/>
        <w:spacing w:line="480" w:lineRule="auto"/>
        <w:ind w:right="-192" w:rightChars="-80"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项目单位：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5D3029AB">
      <w:pPr>
        <w:widowControl/>
        <w:spacing w:line="480" w:lineRule="auto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  <w:r>
        <w:rPr>
          <w:b/>
          <w:bCs/>
          <w:kern w:val="32"/>
          <w:sz w:val="32"/>
          <w:highlight w:val="none"/>
          <w:lang w:bidi="he-IL"/>
        </w:rPr>
        <w:t>主管部门：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3206A202">
      <w:pPr>
        <w:widowControl/>
        <w:spacing w:line="480" w:lineRule="auto"/>
        <w:ind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评价机构：</w:t>
      </w:r>
      <w:r>
        <w:rPr>
          <w:rFonts w:hint="eastAsia"/>
          <w:b/>
          <w:bCs/>
          <w:sz w:val="32"/>
          <w:szCs w:val="32"/>
          <w:highlight w:val="none"/>
        </w:rPr>
        <w:t>湖北正大会计师事务有限责任公司</w:t>
      </w:r>
    </w:p>
    <w:p w14:paraId="29E71716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76416BE1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0BAF538D">
      <w:pPr>
        <w:spacing w:line="800" w:lineRule="exact"/>
        <w:ind w:firstLine="0" w:firstLineChars="0"/>
        <w:jc w:val="center"/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二〇</w:t>
      </w:r>
      <w:r>
        <w:rPr>
          <w:rFonts w:hint="eastAsia"/>
          <w:b/>
          <w:bCs/>
          <w:sz w:val="32"/>
          <w:szCs w:val="32"/>
          <w:highlight w:val="none"/>
        </w:rPr>
        <w:t>一九</w:t>
      </w:r>
      <w:r>
        <w:rPr>
          <w:b/>
          <w:bCs/>
          <w:sz w:val="32"/>
          <w:szCs w:val="32"/>
          <w:highlight w:val="none"/>
        </w:rPr>
        <w:t>年</w:t>
      </w:r>
      <w:r>
        <w:rPr>
          <w:rFonts w:hint="eastAsia"/>
          <w:b/>
          <w:bCs/>
          <w:sz w:val="32"/>
          <w:szCs w:val="32"/>
          <w:highlight w:val="none"/>
        </w:rPr>
        <w:t>七</w:t>
      </w:r>
      <w:r>
        <w:rPr>
          <w:b/>
          <w:bCs/>
          <w:sz w:val="32"/>
          <w:szCs w:val="32"/>
          <w:highlight w:val="none"/>
        </w:rPr>
        <w:t>月</w:t>
      </w:r>
    </w:p>
    <w:p w14:paraId="45299D41">
      <w:pPr>
        <w:pStyle w:val="15"/>
        <w:tabs>
          <w:tab w:val="right" w:leader="dot" w:pos="8693"/>
        </w:tabs>
        <w:ind w:firstLine="0" w:firstLineChars="0"/>
        <w:rPr>
          <w:rFonts w:ascii="Arial Narrow" w:hAnsi="Arial Narrow" w:cs="Arial Narrow"/>
          <w:bCs w:val="0"/>
          <w:caps w:val="0"/>
          <w:sz w:val="32"/>
          <w:szCs w:val="32"/>
          <w:highlight w:val="none"/>
        </w:rPr>
      </w:pPr>
    </w:p>
    <w:sdt>
      <w:sdt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  <w:id w:val="-1191839909"/>
        <w:docPartObj>
          <w:docPartGallery w:val="Table of Contents"/>
          <w:docPartUnique/>
        </w:docPartObj>
      </w:sdtPr>
      <w:sdtEnd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</w:sdtEndPr>
      <w:sdtContent>
        <w:p w14:paraId="13ED856B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after="0" w:afterLines="0" w:line="300" w:lineRule="exact"/>
            <w:ind w:left="0" w:leftChars="0" w:right="0" w:rightChars="0" w:firstLine="0" w:firstLineChars="0"/>
            <w:jc w:val="center"/>
            <w:textAlignment w:val="auto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7F3BDC5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instrText xml:space="preserve"> TOC \o "1-3" \h \z \u </w:instrText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separate"/>
          </w:r>
          <w:r>
            <w:rPr>
              <w:rFonts w:ascii="仿宋" w:hAnsi="仿宋" w:eastAsia="仿宋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Cs w:val="24"/>
              <w:highlight w:val="none"/>
            </w:rPr>
            <w:instrText xml:space="preserve"> HYPERLINK \l _Toc30459 </w:instrText>
          </w:r>
          <w:r>
            <w:rPr>
              <w:rFonts w:ascii="仿宋" w:hAnsi="仿宋" w:eastAsia="仿宋"/>
              <w:szCs w:val="24"/>
              <w:highlight w:val="none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一、</w:t>
          </w:r>
          <w:r>
            <w:rPr>
              <w:rFonts w:hint="eastAsia" w:ascii="仿宋" w:hAnsi="仿宋" w:eastAsia="仿宋" w:cs="仿宋"/>
              <w:szCs w:val="32"/>
              <w:highlight w:val="none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_Toc30459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szCs w:val="24"/>
              <w:highlight w:val="none"/>
            </w:rPr>
            <w:fldChar w:fldCharType="end"/>
          </w:r>
        </w:p>
        <w:p w14:paraId="754D5E4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_Toc32065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</w:t>
          </w:r>
          <w:r>
            <w:rPr>
              <w:rFonts w:hint="eastAsia" w:ascii="仿宋" w:hAnsi="仿宋" w:eastAsia="仿宋" w:cs="Arial Narrow"/>
              <w:szCs w:val="28"/>
              <w:highlight w:val="none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_Toc32065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168B90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_Toc11136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1、项目基本情况</w:t>
          </w:r>
          <w:r>
            <w:tab/>
          </w:r>
          <w:r>
            <w:fldChar w:fldCharType="begin"/>
          </w:r>
          <w:r>
            <w:instrText xml:space="preserve"> PAGEREF _Toc11136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535413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_Toc23675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2、绩效评价工作情况</w:t>
          </w:r>
          <w:r>
            <w:tab/>
          </w:r>
          <w:r>
            <w:fldChar w:fldCharType="begin"/>
          </w:r>
          <w:r>
            <w:instrText xml:space="preserve"> PAGEREF _Toc23675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0426DB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_Toc22932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yellow"/>
              <w:lang w:val="en-US" w:eastAsia="zh-CN"/>
            </w:rPr>
            <w:t>（二）绩效评价结论</w:t>
          </w:r>
          <w:r>
            <w:tab/>
          </w:r>
          <w:r>
            <w:fldChar w:fldCharType="begin"/>
          </w:r>
          <w:r>
            <w:instrText xml:space="preserve"> PAGEREF _Toc22932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EDA17F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_Toc10394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（三）项目经验与问题</w:t>
          </w:r>
          <w:r>
            <w:tab/>
          </w:r>
          <w:r>
            <w:fldChar w:fldCharType="begin"/>
          </w:r>
          <w:r>
            <w:instrText xml:space="preserve"> PAGEREF _Toc10394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1E44E2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_Toc17738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1、经验</w:t>
          </w:r>
          <w:r>
            <w:tab/>
          </w:r>
          <w:r>
            <w:fldChar w:fldCharType="begin"/>
          </w:r>
          <w:r>
            <w:instrText xml:space="preserve"> PAGEREF _Toc17738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FB5BA2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_Toc31715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2、问题</w:t>
          </w:r>
          <w:r>
            <w:tab/>
          </w:r>
          <w:r>
            <w:fldChar w:fldCharType="begin"/>
          </w:r>
          <w:r>
            <w:instrText xml:space="preserve"> PAGEREF _Toc31715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EB8317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_Toc29769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（四）建议</w:t>
          </w:r>
          <w:r>
            <w:tab/>
          </w:r>
          <w:r>
            <w:fldChar w:fldCharType="begin"/>
          </w:r>
          <w:r>
            <w:instrText xml:space="preserve"> PAGEREF _Toc29769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5E91A9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_Toc12281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二、正文</w:t>
          </w:r>
          <w:r>
            <w:tab/>
          </w:r>
          <w:r>
            <w:fldChar w:fldCharType="begin"/>
          </w:r>
          <w:r>
            <w:instrText xml:space="preserve"> PAGEREF _Toc12281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6A337D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_Toc25076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（一）项目基本情况</w:t>
          </w:r>
          <w:r>
            <w:tab/>
          </w:r>
          <w:r>
            <w:fldChar w:fldCharType="begin"/>
          </w:r>
          <w:r>
            <w:instrText xml:space="preserve"> PAGEREF _Toc25076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A2E07D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项目立项背景和依据</w:t>
          </w:r>
          <w:r>
            <w:tab/>
          </w:r>
          <w:r>
            <w:fldChar w:fldCharType="begin"/>
          </w:r>
          <w:r>
            <w:instrText xml:space="preserve"> PAGEREF _Toc25038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994DED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_Toc4625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项目绩效目标</w:t>
          </w:r>
          <w:r>
            <w:tab/>
          </w:r>
          <w:r>
            <w:fldChar w:fldCharType="begin"/>
          </w:r>
          <w:r>
            <w:instrText xml:space="preserve"> PAGEREF _Toc4625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55E012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_Toc24134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项目经费来源和使用情况</w:t>
          </w:r>
          <w:r>
            <w:tab/>
          </w:r>
          <w:r>
            <w:fldChar w:fldCharType="begin"/>
          </w:r>
          <w:r>
            <w:instrText xml:space="preserve"> PAGEREF _Toc24134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F14D05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_Toc23899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项目实施情况</w:t>
          </w:r>
          <w:r>
            <w:tab/>
          </w:r>
          <w:r>
            <w:fldChar w:fldCharType="begin"/>
          </w:r>
          <w:r>
            <w:instrText xml:space="preserve"> PAGEREF _Toc23899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F9886B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_Toc1264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（二）绩效评价工作情况</w:t>
          </w:r>
          <w:r>
            <w:tab/>
          </w:r>
          <w:r>
            <w:fldChar w:fldCharType="begin"/>
          </w:r>
          <w:r>
            <w:instrText xml:space="preserve"> PAGEREF _Toc1264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62EDAE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_Toc28639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绩效评价目的</w:t>
          </w:r>
          <w:r>
            <w:tab/>
          </w:r>
          <w:r>
            <w:fldChar w:fldCharType="begin"/>
          </w:r>
          <w:r>
            <w:instrText xml:space="preserve"> PAGEREF _Toc28639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FB0F03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_Toc22908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绩效评价工作过程</w:t>
          </w:r>
          <w:r>
            <w:tab/>
          </w:r>
          <w:r>
            <w:fldChar w:fldCharType="begin"/>
          </w:r>
          <w:r>
            <w:instrText xml:space="preserve"> PAGEREF _Toc22908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5FEAA8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_Toc28441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绩效评价框架</w:t>
          </w:r>
          <w:r>
            <w:tab/>
          </w:r>
          <w:r>
            <w:fldChar w:fldCharType="begin"/>
          </w:r>
          <w:r>
            <w:instrText xml:space="preserve"> PAGEREF _Toc28441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527D32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评价抽样情况概述</w:t>
          </w:r>
          <w:r>
            <w:tab/>
          </w:r>
          <w:r>
            <w:fldChar w:fldCharType="begin"/>
          </w:r>
          <w:r>
            <w:instrText xml:space="preserve"> PAGEREF _Toc465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1B20260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_Toc11822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（三）绩效分析及评价结论</w:t>
          </w:r>
          <w:r>
            <w:tab/>
          </w:r>
          <w:r>
            <w:fldChar w:fldCharType="begin"/>
          </w:r>
          <w:r>
            <w:instrText xml:space="preserve"> PAGEREF _Toc11822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58AFAA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_Toc7670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绩效分析</w:t>
          </w:r>
          <w:r>
            <w:tab/>
          </w:r>
          <w:r>
            <w:fldChar w:fldCharType="begin"/>
          </w:r>
          <w:r>
            <w:instrText xml:space="preserve"> PAGEREF _Toc7670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1A70F9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_Toc18612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评价结论</w:t>
          </w:r>
          <w:r>
            <w:tab/>
          </w:r>
          <w:r>
            <w:fldChar w:fldCharType="begin"/>
          </w:r>
          <w:r>
            <w:instrText xml:space="preserve"> PAGEREF _Toc18612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DF85DF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_Toc4140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（四）主要经验及做法、存在的问题和建议</w:t>
          </w:r>
          <w:r>
            <w:tab/>
          </w:r>
          <w:r>
            <w:fldChar w:fldCharType="begin"/>
          </w:r>
          <w:r>
            <w:instrText xml:space="preserve"> PAGEREF _Toc4140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C67FCA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1、主要经验及做法</w:t>
          </w:r>
          <w:r>
            <w:tab/>
          </w:r>
          <w:r>
            <w:fldChar w:fldCharType="begin"/>
          </w:r>
          <w:r>
            <w:instrText xml:space="preserve"> PAGEREF _Toc221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81E24B6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_Toc16106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2、存在的问题</w:t>
          </w:r>
          <w:r>
            <w:tab/>
          </w:r>
          <w:r>
            <w:fldChar w:fldCharType="begin"/>
          </w:r>
          <w:r>
            <w:instrText xml:space="preserve"> PAGEREF _Toc16106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89A6C5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_Toc25620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3、建议</w:t>
          </w:r>
          <w:r>
            <w:tab/>
          </w:r>
          <w:r>
            <w:fldChar w:fldCharType="begin"/>
          </w:r>
          <w:r>
            <w:instrText xml:space="preserve"> PAGEREF _Toc25620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1C2E7B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_Toc26517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（五）其他需说明的问题</w:t>
          </w:r>
          <w:r>
            <w:tab/>
          </w:r>
          <w:r>
            <w:fldChar w:fldCharType="begin"/>
          </w:r>
          <w:r>
            <w:instrText xml:space="preserve"> PAGEREF _Toc26517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E9529E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_Toc4414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关于评价责任的说明</w:t>
          </w:r>
          <w:r>
            <w:tab/>
          </w:r>
          <w:r>
            <w:fldChar w:fldCharType="begin"/>
          </w:r>
          <w:r>
            <w:instrText xml:space="preserve"> PAGEREF _Toc4414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4917D4B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_Toc4147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关于本项目评价中存在的局限性的说明</w:t>
          </w:r>
          <w:r>
            <w:tab/>
          </w:r>
          <w:r>
            <w:fldChar w:fldCharType="begin"/>
          </w:r>
          <w:r>
            <w:instrText xml:space="preserve"> PAGEREF _Toc4147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34CB678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ind w:firstLine="482"/>
            <w:textAlignment w:val="auto"/>
            <w:rPr>
              <w:highlight w:val="none"/>
            </w:rPr>
            <w:sectPr>
              <w:headerReference r:id="rId7" w:type="first"/>
              <w:footerReference r:id="rId10" w:type="first"/>
              <w:headerReference r:id="rId5" w:type="default"/>
              <w:footerReference r:id="rId8" w:type="default"/>
              <w:headerReference r:id="rId6" w:type="even"/>
              <w:footerReference r:id="rId9" w:type="even"/>
              <w:type w:val="continuous"/>
              <w:pgSz w:w="11906" w:h="16838"/>
              <w:pgMar w:top="1361" w:right="1406" w:bottom="1089" w:left="1797" w:header="1361" w:footer="992" w:gutter="0"/>
              <w:pgNumType w:start="0"/>
              <w:cols w:space="720" w:num="1"/>
              <w:docGrid w:type="lines" w:linePitch="408" w:charSpace="0"/>
            </w:sectPr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</w:sdtContent>
    </w:sdt>
    <w:p w14:paraId="7201E6E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sz w:val="32"/>
          <w:szCs w:val="32"/>
          <w:highlight w:val="none"/>
        </w:rPr>
      </w:pPr>
      <w:bookmarkStart w:id="0" w:name="_Toc30459"/>
      <w:bookmarkStart w:id="1" w:name="_Toc14165722"/>
      <w:bookmarkStart w:id="2" w:name="_Toc406666351"/>
      <w:bookmarkStart w:id="3" w:name="_Toc406668024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摘要</w:t>
      </w:r>
      <w:bookmarkEnd w:id="0"/>
      <w:bookmarkEnd w:id="1"/>
    </w:p>
    <w:p w14:paraId="780CD8F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</w:rPr>
      </w:pPr>
      <w:bookmarkStart w:id="4" w:name="_Toc3206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Arial Narrow"/>
          <w:sz w:val="28"/>
          <w:szCs w:val="28"/>
          <w:highlight w:val="none"/>
        </w:rPr>
        <w:t>基本情况</w:t>
      </w:r>
      <w:bookmarkEnd w:id="4"/>
    </w:p>
    <w:p w14:paraId="664786E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5" w:name="_Toc11136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1、项目基本情况</w:t>
      </w:r>
      <w:bookmarkEnd w:id="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 xml:space="preserve">  </w:t>
      </w:r>
    </w:p>
    <w:p w14:paraId="22B64983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（1）项目名称：物业管理费、维修费</w:t>
      </w:r>
    </w:p>
    <w:p w14:paraId="3A8AF943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（2）项目预算金额：177万元</w:t>
      </w:r>
    </w:p>
    <w:p w14:paraId="191947F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6" w:name="_Toc2367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2、绩效评价工作情况</w:t>
      </w:r>
      <w:bookmarkEnd w:id="6"/>
    </w:p>
    <w:p w14:paraId="6ABF197A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；绩效评价指标是指衡量绩效目标实现程度的考核工具，具体分为共性指标和个性指标；绩效评价方法主要采用成本效益分析法、比较法、因素分析法、最低成本法、公评判法及其他评价方法等。</w:t>
      </w:r>
    </w:p>
    <w:p w14:paraId="723DBD1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yellow"/>
          <w:lang w:val="en-US" w:eastAsia="zh-CN"/>
        </w:rPr>
      </w:pPr>
      <w:bookmarkStart w:id="7" w:name="_Toc22932"/>
      <w:r>
        <w:rPr>
          <w:rFonts w:hint="eastAsia" w:ascii="仿宋" w:hAnsi="仿宋" w:eastAsia="仿宋" w:cs="Arial Narrow"/>
          <w:sz w:val="28"/>
          <w:szCs w:val="28"/>
          <w:highlight w:val="yellow"/>
          <w:lang w:val="en-US" w:eastAsia="zh-CN"/>
        </w:rPr>
        <w:t>（二）绩效评价结论</w:t>
      </w:r>
      <w:bookmarkEnd w:id="7"/>
    </w:p>
    <w:tbl>
      <w:tblPr>
        <w:tblStyle w:val="23"/>
        <w:tblW w:w="8363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132"/>
        <w:gridCol w:w="2126"/>
        <w:gridCol w:w="2126"/>
      </w:tblGrid>
      <w:tr w14:paraId="74172C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7A70711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评价准则</w:t>
            </w:r>
          </w:p>
        </w:tc>
        <w:tc>
          <w:tcPr>
            <w:tcW w:w="2132" w:type="dxa"/>
          </w:tcPr>
          <w:p w14:paraId="31AA654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准则分值</w:t>
            </w:r>
          </w:p>
        </w:tc>
        <w:tc>
          <w:tcPr>
            <w:tcW w:w="2126" w:type="dxa"/>
          </w:tcPr>
          <w:p w14:paraId="3BB7743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评价得分</w:t>
            </w:r>
          </w:p>
        </w:tc>
        <w:tc>
          <w:tcPr>
            <w:tcW w:w="2126" w:type="dxa"/>
          </w:tcPr>
          <w:p w14:paraId="5CB2600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评价等级</w:t>
            </w:r>
          </w:p>
        </w:tc>
      </w:tr>
      <w:tr w14:paraId="7E06A2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08983E0C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投入</w:t>
            </w:r>
          </w:p>
        </w:tc>
        <w:tc>
          <w:tcPr>
            <w:tcW w:w="2132" w:type="dxa"/>
          </w:tcPr>
          <w:p w14:paraId="3245238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0979FD3C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21080AA6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中</w:t>
            </w:r>
          </w:p>
        </w:tc>
      </w:tr>
      <w:tr w14:paraId="506785E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77D178A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过程</w:t>
            </w:r>
          </w:p>
        </w:tc>
        <w:tc>
          <w:tcPr>
            <w:tcW w:w="2132" w:type="dxa"/>
          </w:tcPr>
          <w:p w14:paraId="2B2AB2F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2835DA0B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19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616CBDEE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35E187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085FD86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产出</w:t>
            </w:r>
          </w:p>
        </w:tc>
        <w:tc>
          <w:tcPr>
            <w:tcW w:w="2132" w:type="dxa"/>
          </w:tcPr>
          <w:p w14:paraId="0462F13A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2A104402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28分</w:t>
            </w:r>
          </w:p>
        </w:tc>
        <w:tc>
          <w:tcPr>
            <w:tcW w:w="2126" w:type="dxa"/>
          </w:tcPr>
          <w:p w14:paraId="6717708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7E612A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6A5841C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效果</w:t>
            </w:r>
          </w:p>
        </w:tc>
        <w:tc>
          <w:tcPr>
            <w:tcW w:w="2132" w:type="dxa"/>
          </w:tcPr>
          <w:p w14:paraId="75CFF8E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43EF4F2D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0A5B128B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  <w:tr w14:paraId="704881A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7AC815C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综合绩效</w:t>
            </w:r>
          </w:p>
        </w:tc>
        <w:tc>
          <w:tcPr>
            <w:tcW w:w="2132" w:type="dxa"/>
          </w:tcPr>
          <w:p w14:paraId="114A135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100分</w:t>
            </w:r>
          </w:p>
        </w:tc>
        <w:tc>
          <w:tcPr>
            <w:tcW w:w="2126" w:type="dxa"/>
          </w:tcPr>
          <w:p w14:paraId="3821C2B1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87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133A0C8E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</w:tbl>
    <w:p w14:paraId="29516484">
      <w:pPr>
        <w:ind w:firstLine="0" w:firstLineChars="0"/>
        <w:jc w:val="left"/>
        <w:rPr>
          <w:rFonts w:ascii="仿宋" w:hAnsi="仿宋" w:eastAsia="仿宋" w:cs="Arial Narrow"/>
          <w:b/>
          <w:sz w:val="28"/>
          <w:highlight w:val="none"/>
        </w:rPr>
      </w:pPr>
    </w:p>
    <w:p w14:paraId="6FB7CFC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" w:name="_Toc10394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（三）项目经验与问题</w:t>
      </w:r>
      <w:bookmarkEnd w:id="8"/>
    </w:p>
    <w:p w14:paraId="68C69D06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全年未发生火灾事故；未发生危险品进大楼事件；；大楼各项维护维修工作严格按照规定进行推进 ,圆满完成各项工作，完全达到预算目标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。</w:t>
      </w:r>
    </w:p>
    <w:p w14:paraId="2FDF9F2B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项目预算支出177万元，实际支出80万元，预算不准确。</w:t>
      </w:r>
    </w:p>
    <w:p w14:paraId="36B5837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9" w:name="_Toc2976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（四）建议</w:t>
      </w:r>
      <w:bookmarkEnd w:id="9"/>
    </w:p>
    <w:p w14:paraId="6F98116B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今后在各项管理制度制定中应力求更具体精细，采用合适的方法，制定准确的项目预算。</w:t>
      </w:r>
    </w:p>
    <w:bookmarkEnd w:id="2"/>
    <w:bookmarkEnd w:id="3"/>
    <w:p w14:paraId="15693791">
      <w:pPr>
        <w:snapToGrid w:val="0"/>
        <w:ind w:firstLine="480"/>
        <w:jc w:val="left"/>
        <w:rPr>
          <w:rFonts w:ascii="仿宋_GB2312" w:hAnsi="Arial Narrow" w:cs="Arial Narrow"/>
          <w:highlight w:val="none"/>
        </w:rPr>
      </w:pPr>
    </w:p>
    <w:p w14:paraId="7FB2D36D">
      <w:pPr>
        <w:widowControl/>
        <w:spacing w:line="240" w:lineRule="auto"/>
        <w:ind w:firstLine="0" w:firstLineChars="0"/>
        <w:jc w:val="left"/>
        <w:rPr>
          <w:rFonts w:ascii="仿宋_GB2312" w:hAnsi="Arial Narrow" w:cs="Arial Narrow"/>
          <w:highlight w:val="none"/>
        </w:rPr>
      </w:pPr>
      <w:r>
        <w:rPr>
          <w:rFonts w:ascii="仿宋_GB2312" w:hAnsi="Arial Narrow" w:cs="Arial Narrow"/>
          <w:highlight w:val="none"/>
        </w:rPr>
        <w:br w:type="page"/>
      </w:r>
    </w:p>
    <w:p w14:paraId="2EBEF29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10" w:name="_Toc12281"/>
      <w:bookmarkStart w:id="11" w:name="_Toc14165723"/>
      <w:bookmarkStart w:id="12" w:name="_Toc361304672"/>
      <w:bookmarkStart w:id="13" w:name="_Toc387957799"/>
      <w:bookmarkStart w:id="14" w:name="_Toc361304673"/>
      <w:bookmarkStart w:id="15" w:name="_Toc38795780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二、正文</w:t>
      </w:r>
      <w:bookmarkEnd w:id="10"/>
    </w:p>
    <w:p w14:paraId="212E814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6" w:name="_Toc25076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（一）项目基本情况</w:t>
      </w:r>
      <w:bookmarkEnd w:id="11"/>
      <w:bookmarkEnd w:id="16"/>
    </w:p>
    <w:p w14:paraId="2606F67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7" w:name="_Toc14165724"/>
      <w:bookmarkStart w:id="18" w:name="_Toc25038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项目立项背景和依据</w:t>
      </w:r>
      <w:bookmarkEnd w:id="17"/>
      <w:bookmarkEnd w:id="18"/>
    </w:p>
    <w:bookmarkEnd w:id="12"/>
    <w:bookmarkEnd w:id="13"/>
    <w:p w14:paraId="50BE0AAB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9" w:name="_Toc14165725"/>
      <w:bookmarkStart w:id="20" w:name="_Toc361304680"/>
      <w:bookmarkStart w:id="21" w:name="_Toc16351"/>
      <w:bookmarkStart w:id="22" w:name="_Toc406668030"/>
      <w:bookmarkStart w:id="23" w:name="_Toc406666356"/>
      <w:r>
        <w:rPr>
          <w:rFonts w:hint="eastAsia" w:ascii="仿宋" w:hAnsi="仿宋" w:eastAsia="仿宋" w:cs="Arial Narrow"/>
          <w:highlight w:val="none"/>
          <w:lang w:val="en-US" w:eastAsia="zh-CN"/>
        </w:rPr>
        <w:t>为了维持开发区汉南政务中心的公共秩序、资产安全，确保大楼设施设备运行良好、公共环境卫生、绿化生长正常、车辆停放有序和物业管理规范化，提高物业管理费、维修费使用效率建立本项目</w:t>
      </w:r>
      <w:r>
        <w:rPr>
          <w:rFonts w:hint="eastAsia" w:ascii="仿宋" w:hAnsi="仿宋" w:eastAsia="仿宋" w:cs="Arial Narrow"/>
          <w:highlight w:val="none"/>
        </w:rPr>
        <w:t>。</w:t>
      </w:r>
      <w:r>
        <w:rPr>
          <w:rFonts w:hint="eastAsia" w:ascii="仿宋" w:hAnsi="仿宋" w:eastAsia="仿宋" w:cs="Arial Narrow"/>
          <w:highlight w:val="none"/>
        </w:rPr>
        <w:tab/>
      </w:r>
    </w:p>
    <w:p w14:paraId="7882B29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4" w:name="_Toc462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项目绩效目标</w:t>
      </w:r>
      <w:bookmarkEnd w:id="19"/>
      <w:bookmarkEnd w:id="24"/>
    </w:p>
    <w:bookmarkEnd w:id="20"/>
    <w:bookmarkEnd w:id="21"/>
    <w:bookmarkEnd w:id="22"/>
    <w:bookmarkEnd w:id="23"/>
    <w:p w14:paraId="3BA80AE3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bookmarkStart w:id="25" w:name="_Toc14165726"/>
      <w:r>
        <w:rPr>
          <w:rFonts w:hint="eastAsia" w:ascii="仿宋" w:hAnsi="仿宋" w:eastAsia="仿宋" w:cs="Arial Narrow"/>
          <w:highlight w:val="none"/>
          <w:lang w:val="en-US" w:eastAsia="zh-CN"/>
        </w:rPr>
        <w:t>绩效目标：预算总费用180.36万元，主要用于汉南政务中心物业管理费、水电费。</w:t>
      </w:r>
    </w:p>
    <w:p w14:paraId="182CD22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6" w:name="_Toc2413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项目经费来源和使用情况</w:t>
      </w:r>
      <w:bookmarkEnd w:id="25"/>
      <w:bookmarkEnd w:id="26"/>
    </w:p>
    <w:p w14:paraId="02491DF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项目资金来源</w:t>
      </w:r>
    </w:p>
    <w:p w14:paraId="5086F46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武汉经济技术开发区（汉南区）行政审批局“物业管理费、维修费”</w:t>
      </w:r>
      <w:r>
        <w:rPr>
          <w:rFonts w:hint="eastAsia" w:ascii="仿宋" w:hAnsi="仿宋" w:eastAsia="仿宋" w:cs="Arial Narrow"/>
          <w:highlight w:val="none"/>
        </w:rPr>
        <w:t>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支出</w:t>
      </w:r>
      <w:r>
        <w:rPr>
          <w:rFonts w:hint="eastAsia" w:ascii="仿宋" w:hAnsi="仿宋" w:eastAsia="仿宋" w:cs="Arial Narrow"/>
          <w:highlight w:val="none"/>
        </w:rPr>
        <w:t>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批复为180.36万元</w:t>
      </w:r>
      <w:r>
        <w:rPr>
          <w:rFonts w:hint="eastAsia" w:ascii="仿宋" w:hAnsi="仿宋" w:eastAsia="仿宋" w:cs="Arial Narrow"/>
          <w:highlight w:val="none"/>
        </w:rPr>
        <w:t>，均系财政拨款。</w:t>
      </w:r>
    </w:p>
    <w:p w14:paraId="61C1289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项目资金使用概况</w:t>
      </w:r>
    </w:p>
    <w:p w14:paraId="7E6DE70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2018年“物业管理费、维修费”</w:t>
      </w:r>
      <w:r>
        <w:rPr>
          <w:rFonts w:hint="eastAsia" w:ascii="仿宋" w:hAnsi="仿宋" w:eastAsia="仿宋" w:cs="Arial Narrow"/>
          <w:highlight w:val="none"/>
        </w:rPr>
        <w:t>项目计划支出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180.36万元</w:t>
      </w:r>
      <w:r>
        <w:rPr>
          <w:rFonts w:hint="eastAsia" w:ascii="仿宋" w:hAnsi="仿宋" w:eastAsia="仿宋" w:cs="Arial Narrow"/>
          <w:highlight w:val="none"/>
        </w:rPr>
        <w:t>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92.51万元</w:t>
      </w:r>
      <w:r>
        <w:rPr>
          <w:rFonts w:hint="eastAsia" w:ascii="仿宋" w:hAnsi="仿宋" w:eastAsia="仿宋" w:cs="Arial Narrow"/>
          <w:highlight w:val="none"/>
        </w:rPr>
        <w:t>。资金使用率为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51.29</w:t>
      </w:r>
      <w:r>
        <w:rPr>
          <w:rFonts w:hint="eastAsia" w:ascii="仿宋" w:hAnsi="仿宋" w:eastAsia="仿宋" w:cs="Arial Narrow"/>
          <w:highlight w:val="none"/>
        </w:rPr>
        <w:t>%。</w:t>
      </w:r>
    </w:p>
    <w:bookmarkEnd w:id="14"/>
    <w:bookmarkEnd w:id="15"/>
    <w:p w14:paraId="2FF5819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7" w:name="_Toc23899"/>
      <w:bookmarkStart w:id="28" w:name="_Toc1416572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项目实施情况</w:t>
      </w:r>
      <w:bookmarkEnd w:id="27"/>
      <w:bookmarkEnd w:id="28"/>
    </w:p>
    <w:p w14:paraId="5A4D6904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依托机关服务中心选专业物业管理公司进行管理；项目实施过程制定严格的管理制度，物业管理合同明确约定服务质量。实际资金到位及时,按合同每季度及时支付相关款项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。</w:t>
      </w:r>
    </w:p>
    <w:p w14:paraId="180C4A9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29" w:name="_Toc387957806"/>
      <w:bookmarkStart w:id="30" w:name="_Toc1264"/>
      <w:bookmarkStart w:id="31" w:name="_Toc14165728"/>
      <w:bookmarkStart w:id="32" w:name="_Toc406668031"/>
      <w:bookmarkStart w:id="33" w:name="_Toc361304681"/>
      <w:bookmarkStart w:id="34" w:name="_Toc14372"/>
      <w:bookmarkStart w:id="35" w:name="_Toc40666635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（二）绩效评价工作情况</w:t>
      </w:r>
      <w:bookmarkEnd w:id="29"/>
      <w:bookmarkEnd w:id="30"/>
      <w:bookmarkEnd w:id="31"/>
      <w:bookmarkEnd w:id="32"/>
      <w:bookmarkEnd w:id="33"/>
      <w:bookmarkEnd w:id="34"/>
      <w:bookmarkEnd w:id="35"/>
      <w:bookmarkStart w:id="36" w:name="_Toc361304682"/>
    </w:p>
    <w:p w14:paraId="4D09E4E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37" w:name="_Toc387957807"/>
      <w:bookmarkStart w:id="38" w:name="_Toc28639"/>
      <w:bookmarkStart w:id="39" w:name="_Toc14165729"/>
      <w:bookmarkStart w:id="40" w:name="_Toc29064"/>
      <w:bookmarkStart w:id="41" w:name="_Toc406668032"/>
      <w:bookmarkStart w:id="42" w:name="_Toc406666358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绩效评价目</w:t>
      </w:r>
      <w:bookmarkEnd w:id="36"/>
      <w:bookmarkEnd w:id="37"/>
      <w:r>
        <w:rPr>
          <w:rFonts w:hint="eastAsia" w:ascii="仿宋" w:hAnsi="仿宋" w:eastAsia="仿宋" w:cs="Arial Narrow"/>
          <w:sz w:val="24"/>
          <w:highlight w:val="none"/>
        </w:rPr>
        <w:t>的</w:t>
      </w:r>
      <w:bookmarkEnd w:id="38"/>
      <w:bookmarkEnd w:id="39"/>
      <w:bookmarkEnd w:id="40"/>
      <w:bookmarkEnd w:id="41"/>
      <w:bookmarkEnd w:id="42"/>
    </w:p>
    <w:p w14:paraId="6D4DE013">
      <w:pPr>
        <w:snapToGrid w:val="0"/>
        <w:ind w:firstLine="480"/>
        <w:rPr>
          <w:rFonts w:hint="eastAsia"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本次绩效评价的主要目的是加强项目资金管理，提高“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物业管理费、维修费</w:t>
      </w:r>
      <w:r>
        <w:rPr>
          <w:rFonts w:hint="eastAsia" w:ascii="仿宋" w:hAnsi="仿宋" w:eastAsia="仿宋" w:cs="Arial Narrow"/>
          <w:bCs/>
          <w:highlight w:val="none"/>
        </w:rPr>
        <w:t>”支出补贴资金使用效益。</w:t>
      </w:r>
    </w:p>
    <w:p w14:paraId="4A4A3197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通过绩效评价，能够核查201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度行政审批中心项目绩效目标、指标的实现程度，考核资金使用效率和综合绩效，总结项目管理与执行经验，管理部门决策、管理提供参考依据；推动建立以绩效评价结果为导向的财政资金分配与管理制度，提升财政资金科学化、精细化管理水平。</w:t>
      </w:r>
    </w:p>
    <w:p w14:paraId="0705C69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43" w:name="_Toc14165730"/>
      <w:bookmarkStart w:id="44" w:name="_Toc22908"/>
      <w:bookmarkStart w:id="45" w:name="_Toc32197"/>
      <w:bookmarkStart w:id="46" w:name="_Toc406666359"/>
      <w:bookmarkStart w:id="47" w:name="_Toc406668033"/>
      <w:bookmarkStart w:id="48" w:name="_Toc387957809"/>
      <w:bookmarkStart w:id="49" w:name="_Toc361302025"/>
      <w:bookmarkStart w:id="50" w:name="_Toc36130468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绩效评价工作过程</w:t>
      </w:r>
      <w:bookmarkEnd w:id="43"/>
      <w:bookmarkEnd w:id="44"/>
      <w:bookmarkEnd w:id="45"/>
    </w:p>
    <w:p w14:paraId="536C40FA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1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绩效评价准备阶段</w:t>
      </w:r>
    </w:p>
    <w:p w14:paraId="51B0063E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确定评价对象。根据下达的绩效评价通知书，制订绩效评价工作方案。</w:t>
      </w:r>
    </w:p>
    <w:p w14:paraId="77181E02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2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绩效评价实施阶段</w:t>
      </w:r>
    </w:p>
    <w:p w14:paraId="392DB249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拟定评价工作方案；</w:t>
      </w:r>
    </w:p>
    <w:p w14:paraId="6511F9D4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资料审核；</w:t>
      </w:r>
    </w:p>
    <w:p w14:paraId="5388A27A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宋体" w:hAnsi="宋体" w:eastAsia="宋体" w:cs="宋体"/>
          <w:bCs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bCs/>
          <w:highlight w:val="none"/>
        </w:rPr>
        <w:t>撰写绩效报告；</w:t>
      </w:r>
    </w:p>
    <w:p w14:paraId="40813778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bCs/>
          <w:highlight w:val="none"/>
        </w:rPr>
        <w:t>实施绩效评价。</w:t>
      </w:r>
    </w:p>
    <w:p w14:paraId="1EDC903F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3）</w:t>
      </w:r>
      <w:r>
        <w:rPr>
          <w:rFonts w:hint="eastAsia" w:ascii="仿宋" w:hAnsi="仿宋" w:eastAsia="仿宋" w:cs="Arial Narrow"/>
          <w:bCs/>
          <w:highlight w:val="none"/>
        </w:rPr>
        <w:t>绩效评价总结阶段</w:t>
      </w:r>
    </w:p>
    <w:p w14:paraId="2B274901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撰写报告；</w:t>
      </w:r>
    </w:p>
    <w:p w14:paraId="51645261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提交报告。</w:t>
      </w:r>
    </w:p>
    <w:p w14:paraId="32C3224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1" w:name="_Toc28441"/>
      <w:bookmarkStart w:id="52" w:name="_Toc1416573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绩效评价框架</w:t>
      </w:r>
      <w:bookmarkEnd w:id="51"/>
      <w:bookmarkEnd w:id="52"/>
    </w:p>
    <w:p w14:paraId="2DD7923A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评价原则</w:t>
      </w:r>
    </w:p>
    <w:p w14:paraId="17E1113E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。本次绩效评价，我们遵循相关性原则、重要性原则、可比性原则、系统性原则、经济性原则。</w:t>
      </w:r>
    </w:p>
    <w:p w14:paraId="78648419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评价依据</w:t>
      </w:r>
    </w:p>
    <w:p w14:paraId="02F65E0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《中华人民共和国预算法》；</w:t>
      </w:r>
    </w:p>
    <w:p w14:paraId="168406F0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②《财政支出绩效评价管理暂行办法》（财预[2011]285号）；</w:t>
      </w:r>
    </w:p>
    <w:p w14:paraId="337E5A99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③《财政部关于推进预算绩效管理的指导意见》（财预[2011]416号）；</w:t>
      </w:r>
    </w:p>
    <w:p w14:paraId="5C649F2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  <w:lang w:eastAsia="zh-CN"/>
        </w:rPr>
        <w:t>《</w:t>
      </w:r>
      <w:r>
        <w:rPr>
          <w:rFonts w:hint="eastAsia" w:ascii="仿宋" w:hAnsi="仿宋" w:eastAsia="仿宋" w:cs="Arial Narrow"/>
          <w:highlight w:val="none"/>
        </w:rPr>
        <w:t>湖北省省级财政项目资金绩效评价实施暂行办法》（鄂财绩发[2012]5号）；</w:t>
      </w:r>
    </w:p>
    <w:p w14:paraId="3AE415AD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《关于推进预算绩效管理的意见》(武政[2013]95号)；</w:t>
      </w:r>
    </w:p>
    <w:p w14:paraId="6AF8A488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⑥</w:t>
      </w:r>
      <w:r>
        <w:rPr>
          <w:rFonts w:hint="eastAsia" w:ascii="仿宋" w:hAnsi="仿宋" w:eastAsia="仿宋" w:cs="Arial Narrow"/>
          <w:highlight w:val="none"/>
        </w:rPr>
        <w:t>武汉市财政局《关于进一步推进预算绩效管理改革工作的通知》；</w:t>
      </w:r>
    </w:p>
    <w:p w14:paraId="7DE7BC34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⑦</w:t>
      </w:r>
      <w:r>
        <w:rPr>
          <w:rFonts w:hint="eastAsia" w:ascii="仿宋" w:hAnsi="仿宋" w:eastAsia="仿宋" w:cs="Arial Narrow"/>
          <w:highlight w:val="none"/>
        </w:rPr>
        <w:t>《武汉经济技术开发区（汉南区）预算绩效评价管理暂行办法》；</w:t>
      </w:r>
    </w:p>
    <w:p w14:paraId="0E8ECD75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⑧</w:t>
      </w:r>
      <w:r>
        <w:rPr>
          <w:rFonts w:hint="eastAsia" w:ascii="仿宋" w:hAnsi="仿宋" w:eastAsia="仿宋" w:cs="Arial Narrow"/>
          <w:highlight w:val="none"/>
        </w:rPr>
        <w:t>《中共武汉开发区工委（汉南区委）武汉开发区管委会（汉南区政府）关于全面推进预算绩效管理的实施意见》（武开〔2019〕11号）；</w:t>
      </w:r>
    </w:p>
    <w:p w14:paraId="1CA13BB3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⑨</w:t>
      </w:r>
      <w:r>
        <w:rPr>
          <w:rFonts w:hint="eastAsia" w:ascii="仿宋" w:hAnsi="仿宋" w:eastAsia="仿宋" w:cs="Arial Narrow"/>
          <w:highlight w:val="none"/>
        </w:rPr>
        <w:t>《区财政局关于2019年开展预算绩效评价工作的通知》 武经开财〔2019〕29号</w:t>
      </w:r>
    </w:p>
    <w:p w14:paraId="05D59810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⑩</w:t>
      </w:r>
      <w:r>
        <w:rPr>
          <w:rFonts w:hint="eastAsia" w:ascii="仿宋" w:hAnsi="仿宋" w:eastAsia="仿宋" w:cs="Arial Narrow"/>
          <w:highlight w:val="none"/>
        </w:rPr>
        <w:t>项目资金使用明细表、与项目相关的财务账等资料；</w:t>
      </w:r>
    </w:p>
    <w:p w14:paraId="559C045C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⑪</w:t>
      </w:r>
      <w:r>
        <w:rPr>
          <w:rFonts w:hint="eastAsia" w:ascii="仿宋" w:hAnsi="仿宋" w:eastAsia="仿宋" w:cs="Arial Narrow"/>
          <w:highlight w:val="none"/>
        </w:rPr>
        <w:t>其他与项目评价相关的资料。</w:t>
      </w:r>
    </w:p>
    <w:p w14:paraId="4F335414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评价方法</w:t>
      </w:r>
    </w:p>
    <w:p w14:paraId="02C4D3B8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主要采用成本效益分析法、比较法、因素分析法、最低成本法、公众评判法等。</w:t>
      </w:r>
    </w:p>
    <w:p w14:paraId="64CD5E1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成本效益分析法。是指将一定时期内的支出与效益进行对比分析，以评价绩效目标实现程度。</w:t>
      </w:r>
    </w:p>
    <w:p w14:paraId="0107E73A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highlight w:val="none"/>
        </w:rPr>
        <w:t>比较法。是指通过对绩效目标与实施效果、历史与当期情况、不同部门和地区同类支出的比较，综合分析绩效目标实现程度。</w:t>
      </w:r>
    </w:p>
    <w:p w14:paraId="7ACC2A28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highlight w:val="none"/>
        </w:rPr>
        <w:t>因素分析法。是指通过综合分析影响绩效目标实现、实施效果的内外因素，评价绩效目标实现程度。</w:t>
      </w:r>
    </w:p>
    <w:p w14:paraId="3C9D1AD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</w:rPr>
        <w:t>最低成本法。是指对效益确定却不易计量的多个同类对象的实施成本进行比较，评价绩效目标实现程度。</w:t>
      </w:r>
    </w:p>
    <w:p w14:paraId="6F47AFC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公众评判法。是指通过专家评估、公众问卷及抽样调查等对财政支出效果进行评判，评价绩效目标实现程度。</w:t>
      </w:r>
    </w:p>
    <w:p w14:paraId="302E3BB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3" w:name="_Toc14165732"/>
      <w:bookmarkStart w:id="54" w:name="_Toc46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评价抽样情况概述</w:t>
      </w:r>
      <w:bookmarkEnd w:id="46"/>
      <w:bookmarkEnd w:id="47"/>
      <w:bookmarkEnd w:id="48"/>
      <w:bookmarkEnd w:id="49"/>
      <w:bookmarkEnd w:id="50"/>
      <w:bookmarkEnd w:id="53"/>
      <w:bookmarkEnd w:id="54"/>
      <w:bookmarkStart w:id="55" w:name="_Toc361304693"/>
      <w:bookmarkStart w:id="56" w:name="_Toc406668044"/>
      <w:bookmarkStart w:id="57" w:name="_Toc18443"/>
      <w:bookmarkStart w:id="58" w:name="_Toc387957819"/>
      <w:bookmarkStart w:id="59" w:name="_Toc406666370"/>
      <w:bookmarkStart w:id="60" w:name="_Toc14165733"/>
    </w:p>
    <w:p w14:paraId="3811F64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小组遵循代表性原则、独立性原则和方便性原则，根据项目属性、区域分布、资金规模进行抽样调查。抽样调查项目个数及总金额可以代表项目实施的总体情况。对被抽样单位进行实地抽查，了解项目的具体实施情况，在反复沟通中了解被抽样单位项目资金的使用情况、项目资金的到位情况及产生的效益，使绩效评价量化指标更加充分，也确保绩效评价与项目的衔接度更高。</w:t>
      </w:r>
    </w:p>
    <w:p w14:paraId="238F7C3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61" w:name="_Toc11822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（三）绩效分析</w:t>
      </w:r>
      <w:bookmarkEnd w:id="55"/>
      <w:bookmarkEnd w:id="56"/>
      <w:bookmarkEnd w:id="57"/>
      <w:bookmarkEnd w:id="58"/>
      <w:bookmarkEnd w:id="5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及评价结论</w:t>
      </w:r>
      <w:bookmarkEnd w:id="60"/>
      <w:bookmarkEnd w:id="61"/>
    </w:p>
    <w:p w14:paraId="01E1950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62" w:name="_Toc7670"/>
      <w:bookmarkStart w:id="63" w:name="_Toc1416573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绩效分析</w:t>
      </w:r>
      <w:bookmarkEnd w:id="62"/>
      <w:bookmarkEnd w:id="63"/>
    </w:p>
    <w:p w14:paraId="081F4F34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bookmarkStart w:id="64" w:name="_Toc2992"/>
      <w:bookmarkStart w:id="65" w:name="_Toc14165735"/>
      <w:bookmarkStart w:id="66" w:name="_Toc406666373"/>
      <w:bookmarkStart w:id="67" w:name="_Toc406668047"/>
      <w:bookmarkStart w:id="68" w:name="_Toc387957822"/>
      <w:bookmarkStart w:id="69" w:name="_Toc361304697"/>
      <w:bookmarkStart w:id="70" w:name="_Toc361302034"/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</w:t>
      </w:r>
      <w:bookmarkStart w:id="71" w:name="_Toc394181010"/>
      <w:r>
        <w:rPr>
          <w:rFonts w:hint="eastAsia" w:ascii="仿宋" w:hAnsi="仿宋" w:eastAsia="仿宋" w:cs="Arial Narrow"/>
          <w:b/>
          <w:bCs/>
          <w:sz w:val="24"/>
          <w:highlight w:val="yellow"/>
        </w:rPr>
        <w:t>投入（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  <w:bookmarkEnd w:id="64"/>
      <w:bookmarkEnd w:id="65"/>
      <w:bookmarkEnd w:id="71"/>
    </w:p>
    <w:p w14:paraId="42F6BE7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投入方面主要评价项目立项和资金落实的实际情况。对于该项的评价，评价小组主要通过卷宗研究、现场访谈等方式对资料进行收集、整理和分析，查看了项目立项的相关资料、财政预算的批复文件，对项目决策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15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中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3A565D8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①项目立项（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5B8DF8A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项目立项是指项目的设立和设定的绩效目标是否参考相关的依据，并且对项目的具体目标进行细化、量化。项目立项主要通过项目立项规范性和绩效目标合理性两个指标反映。经过综合计分，项目立项指标得分为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792E978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项目立项规范性，是指项目的申请、设立过程是否符合相关要求，用以反映和考核项目立项的规范情况。项目立项按照程序申请设立，所提交的文件、材料符合相关要求。</w:t>
      </w:r>
    </w:p>
    <w:p w14:paraId="4341CCF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 绩效目标合理性，是指项目所设定的绩效目标依据是否充分，是否符合客观事实，可以反映和考核项目绩效目标与项目实施的相符情况。项目实施单位设计了项目年度绩效目标和项目绩效指标，指标设定合理，基本具有可测性。</w:t>
      </w:r>
    </w:p>
    <w:p w14:paraId="27A4E31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②资金落实（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0F9BCEF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资金落实主要评价财政预算资金是否全额发放、资金到位是否及时。该情况主要是通过资金到位率和到位及时率两个指标来反映。</w:t>
      </w:r>
      <w:r>
        <w:rPr>
          <w:rFonts w:hint="eastAsia" w:ascii="仿宋" w:hAnsi="仿宋" w:eastAsia="仿宋" w:cs="Arial Narrow"/>
          <w:highlight w:val="yellow"/>
        </w:rPr>
        <w:t>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5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差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6ACC798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资金到位率，是指实际到位资金与计划投入资金的比率，用以反映和考核资金落实情况对项目实施的总体保障程度。2018年该项目计划投入资金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180.36</w:t>
      </w:r>
      <w:r>
        <w:rPr>
          <w:rFonts w:hint="eastAsia" w:ascii="仿宋" w:hAnsi="仿宋" w:eastAsia="仿宋" w:cs="Arial Narrow"/>
          <w:highlight w:val="none"/>
        </w:rPr>
        <w:t>万元，实际到位资金共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92.51</w:t>
      </w:r>
      <w:r>
        <w:rPr>
          <w:rFonts w:hint="eastAsia" w:ascii="仿宋" w:hAnsi="仿宋" w:eastAsia="仿宋" w:cs="Arial Narrow"/>
          <w:highlight w:val="none"/>
        </w:rPr>
        <w:t>万元，资金到位率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51.29</w:t>
      </w:r>
      <w:r>
        <w:rPr>
          <w:rFonts w:hint="eastAsia" w:ascii="仿宋" w:hAnsi="仿宋" w:eastAsia="仿宋" w:cs="Arial Narrow"/>
          <w:highlight w:val="none"/>
        </w:rPr>
        <w:t>%。</w:t>
      </w:r>
    </w:p>
    <w:p w14:paraId="3A15E17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到位及时率，是指项目及时到位资金与应到位资金的比率，用以反映和考核项目资金落实的及时性程度。武汉经济技术开发区（汉南区）财政局下达项目预算申报资金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92.51</w:t>
      </w:r>
      <w:r>
        <w:rPr>
          <w:rFonts w:hint="eastAsia" w:ascii="仿宋" w:hAnsi="仿宋" w:eastAsia="仿宋" w:cs="Arial Narrow"/>
          <w:highlight w:val="none"/>
        </w:rPr>
        <w:t>万元，下达及时，到位及时率100%。</w:t>
      </w:r>
    </w:p>
    <w:p w14:paraId="60527BF5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决策过程（2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56F0AB3A">
      <w:pPr>
        <w:snapToGrid w:val="0"/>
        <w:ind w:firstLine="480"/>
        <w:rPr>
          <w:rFonts w:ascii="仿宋" w:hAnsi="仿宋" w:eastAsia="仿宋" w:cs="Arial Narrow"/>
          <w:highlight w:val="yellow"/>
        </w:rPr>
      </w:pPr>
      <w:r>
        <w:rPr>
          <w:rFonts w:hint="eastAsia" w:ascii="仿宋" w:hAnsi="仿宋" w:eastAsia="仿宋" w:cs="Arial Narrow"/>
          <w:highlight w:val="none"/>
        </w:rPr>
        <w:t>过程指标主要从项目管理、财务管理两个方面来具体评价；主要考核项目管理制度的健全性、制度执行的有效性和项目质量的可控性，财务制度的健全性、资金使用的合规性及财务监控的有效性。对于该项的评价，评价小组主要采取了卷宗研究、现场访谈的方式进行</w:t>
      </w:r>
      <w:bookmarkStart w:id="117" w:name="_GoBack"/>
      <w:bookmarkEnd w:id="117"/>
      <w:r>
        <w:rPr>
          <w:rFonts w:hint="eastAsia" w:ascii="仿宋" w:hAnsi="仿宋" w:eastAsia="仿宋" w:cs="Arial Narrow"/>
          <w:highlight w:val="none"/>
        </w:rPr>
        <w:t>资料收集、整理、核实和分析，收集了项目具体实施单位的业务管理制度、财务管理制度等相关文件和项目档案资料管理相关文件；对项目管理、资金使用情况进行评价，对项目过程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19</w:t>
      </w:r>
      <w:r>
        <w:rPr>
          <w:rFonts w:hint="eastAsia" w:ascii="仿宋" w:hAnsi="仿宋" w:eastAsia="仿宋" w:cs="Arial Narrow"/>
          <w:highlight w:val="yellow"/>
        </w:rPr>
        <w:t>分，评价结果为优。</w:t>
      </w:r>
    </w:p>
    <w:p w14:paraId="056E1F2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6E79CB9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项目管理主要评价管理制度是否健全、制度的执行是否有效、项目的质量是否可控。该指标主要通过管理制度健全性、制度执行有效性、项目质量可控性三个三级指标来反映。</w:t>
      </w:r>
      <w:r>
        <w:rPr>
          <w:rFonts w:hint="eastAsia" w:ascii="仿宋" w:hAnsi="仿宋" w:eastAsia="仿宋" w:cs="Arial Narrow"/>
          <w:highlight w:val="yellow"/>
        </w:rPr>
        <w:t>该项指标评价得分为1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456A907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管理制度健全性，是指项目管理制度是否健全，用以反映和考核项目管理制度对项目顺利实施的保障情况。项目实施单位制定了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管理制度、收入管理制度、支出管理制度（包含办公费管理、会议费管理、差旅费管理、培训费管理、公务接待管理、用车管理、电话费、水电费管理、基本工程建设和其他项目支出管理、工会经费管理制度）、固定资产管理制度、采购管理制度、票据使用管理制度、财务监督与审计等制度</w:t>
      </w:r>
      <w:r>
        <w:rPr>
          <w:rFonts w:hint="eastAsia" w:ascii="仿宋" w:hAnsi="仿宋" w:eastAsia="仿宋" w:cs="Arial Narrow"/>
          <w:highlight w:val="none"/>
        </w:rPr>
        <w:t>，项目管理制度健全。</w:t>
      </w:r>
    </w:p>
    <w:p w14:paraId="6C28F20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制度执行有效性，是指项目实施是否符合相关项目管理规定，用以反映和考核项目管理制度的有效执行情况。通过查阅项目相关资料以及抽查记账凭证得知，项目实施单位严格执行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项目支出</w:t>
      </w:r>
      <w:r>
        <w:rPr>
          <w:rFonts w:hint="eastAsia" w:ascii="仿宋" w:hAnsi="仿宋" w:eastAsia="仿宋" w:cs="Arial Narrow"/>
          <w:highlight w:val="none"/>
        </w:rPr>
        <w:t>管理制度，重大事项均经过会议决议，审批程序合规。</w:t>
      </w:r>
    </w:p>
    <w:p w14:paraId="3861CCA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项目质量可控性，是指项目实施单位是否为达到项目质量要求而采取了必需的措施，用以反映和考核项目实施单位对项目质量的控制情况。通过查看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关于印发</w:t>
      </w:r>
      <w:r>
        <w:rPr>
          <w:rFonts w:hint="eastAsia" w:ascii="仿宋" w:hAnsi="仿宋" w:eastAsia="仿宋" w:cs="Arial Narrow"/>
          <w:highlight w:val="none"/>
        </w:rPr>
        <w:t>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区行政审批局公文处理实施细则</w:t>
      </w:r>
      <w:r>
        <w:rPr>
          <w:rFonts w:hint="eastAsia" w:ascii="仿宋" w:hAnsi="仿宋" w:eastAsia="仿宋" w:cs="Arial Narrow"/>
          <w:highlight w:val="none"/>
        </w:rPr>
        <w:t>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等有关制度的通知（武经开行审[2018]23号）</w:t>
      </w:r>
      <w:r>
        <w:rPr>
          <w:rFonts w:hint="eastAsia" w:ascii="仿宋" w:hAnsi="仿宋" w:eastAsia="仿宋" w:cs="Arial Narrow"/>
          <w:highlight w:val="none"/>
        </w:rPr>
        <w:t>、《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2018年度项目支出绩效目标申报表</w:t>
      </w:r>
      <w:r>
        <w:rPr>
          <w:rFonts w:hint="eastAsia" w:ascii="仿宋" w:hAnsi="仿宋" w:eastAsia="仿宋" w:cs="Arial Narrow"/>
          <w:highlight w:val="none"/>
        </w:rPr>
        <w:t>》、《武汉经济技术开发区（汉南区）行政审批局2018年工作总结》等项目相关资料，了解到项目实施单位制度了相应的质量评估办法或质量控制制度，相关资料均整理归档，且保存完整。</w:t>
      </w:r>
    </w:p>
    <w:p w14:paraId="3A93871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②财务管理（1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348527C1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财务管理指标主要评价项目实施单位的财务制度情况，资金使用情况以及财务监控措施的实施情况。该指标主要由财务制度健全性、资金使用合规性、财务监控有效性三个三级指标反映。</w:t>
      </w:r>
      <w:r>
        <w:rPr>
          <w:rFonts w:hint="eastAsia" w:ascii="仿宋" w:hAnsi="仿宋" w:eastAsia="仿宋" w:cs="Arial Narrow"/>
          <w:highlight w:val="yellow"/>
        </w:rPr>
        <w:t>该项指标评价得分为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9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0D8F01D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制度健全性，是指项目实施单位的资金管理、费用支出等制度是否健全，是否严格执行，会计核算是否规范，用以反映和考核财务管理制度对资金规范、安全运行的保障情况。项目实施单位具有《财务管理办法》，对经费审批程序和各类费用有所规定，其中差旅费的管理是根据《武汉市市级党政机关差旅费管理办法》的规定执行；公务接待费管理是根据按照省、市和区规定的标准内办理公务接待事项；会议经费管理是根据《武汉市市级党政机关会议费管理办法》的规定执行；培训费管理是根据《武汉市市级党政机关会议费管理办法》的规定执行。</w:t>
      </w:r>
    </w:p>
    <w:p w14:paraId="19B9547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资金使用合规性，是指项目实施单位项目资金使用是否符合相关的财务管理制度规定，用以反映和考核项目资金的规范运行情况。通过查阅项目支出凭证，了解到项目支出符合《中华人民共和国会计法》、《行政单位财务制度》等国家财经法规和财务管理制。项目实际支出包括办公费、印刷费、培训费、差旅费、维修维护费、会议费等费用类别，资金使用符合项目合同规定的用途，不存在截留、挤占、挪用、虚列支出等情况。</w:t>
      </w:r>
    </w:p>
    <w:p w14:paraId="021CBE7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监控有效性，是指项目实施单位是否为保障资金的安全、规范运行而采取了必要的监控措施，用以反映和考核项目实施单位对资金运行的控制情况。项目绩效评价小组通过查阅项目支出凭证，但未形成与监控相关的总结资料可供查证，扣1分。</w:t>
      </w:r>
    </w:p>
    <w:p w14:paraId="641760F3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项目产出（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1B98B5D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产出方面主要评价项目实施内容的完成情况，包括完成数量、质量以及时效。对于该项的评价，绩效评价工作小组主要采取了卷宗研究、现场访谈等方式进行资料收集、整理和分析，对项目产出涉及的指标进行打分和评价。经过综合计分，该指标得分为28分，评价结果为优。</w:t>
      </w:r>
    </w:p>
    <w:p w14:paraId="12D6CFF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①数量指标，是指办公大楼设备设施维修次数</w:t>
      </w:r>
      <w:r>
        <w:rPr>
          <w:rFonts w:hint="eastAsia" w:ascii="仿宋" w:hAnsi="仿宋" w:eastAsia="仿宋" w:cs="Arial Narrow"/>
          <w:highlight w:val="none"/>
          <w:lang w:eastAsia="zh-CN"/>
        </w:rPr>
        <w:t>、组织安全事件排查次、机关办公区绿化面积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7E5AE96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②质量指标，是指卫生达标率</w:t>
      </w:r>
      <w:r>
        <w:rPr>
          <w:rFonts w:hint="eastAsia" w:ascii="仿宋" w:hAnsi="仿宋" w:eastAsia="仿宋" w:cs="Arial Narrow"/>
          <w:highlight w:val="none"/>
          <w:lang w:eastAsia="zh-CN"/>
        </w:rPr>
        <w:t>、维修质量合格率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5EAA8BD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③时效指标，是指项目实际提前完成时间与计划完成时间的比率，用以反映和考核项目产出时效目标的实现程度。</w:t>
      </w:r>
    </w:p>
    <w:p w14:paraId="78D820FB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④成本指标，是指项目完成时成本不高于计划支出。通过查看项目预算批复文件和支出明细表以及记账凭证得知，该项目项目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计划支出</w:t>
      </w:r>
      <w:r>
        <w:rPr>
          <w:rFonts w:hint="eastAsia" w:ascii="仿宋" w:hAnsi="仿宋" w:eastAsia="仿宋" w:cs="Arial Narrow"/>
          <w:highlight w:val="none"/>
        </w:rPr>
        <w:t>资金为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180.36万</w:t>
      </w:r>
      <w:r>
        <w:rPr>
          <w:rFonts w:hint="eastAsia" w:ascii="仿宋" w:hAnsi="仿宋" w:eastAsia="仿宋" w:cs="Arial Narrow"/>
          <w:highlight w:val="none"/>
        </w:rPr>
        <w:t>元，实际支出为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92.51万</w:t>
      </w:r>
      <w:r>
        <w:rPr>
          <w:rFonts w:hint="eastAsia" w:ascii="仿宋" w:hAnsi="仿宋" w:eastAsia="仿宋" w:cs="Arial Narrow"/>
          <w:highlight w:val="none"/>
        </w:rPr>
        <w:t>元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未超过预算成本。</w:t>
      </w:r>
    </w:p>
    <w:p w14:paraId="2B219067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4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项目效果（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bookmarkEnd w:id="66"/>
    <w:bookmarkEnd w:id="67"/>
    <w:bookmarkEnd w:id="68"/>
    <w:bookmarkEnd w:id="69"/>
    <w:bookmarkEnd w:id="70"/>
    <w:p w14:paraId="58E852E2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72" w:name="_Toc387957826"/>
      <w:bookmarkStart w:id="73" w:name="_Toc361302038"/>
      <w:bookmarkStart w:id="74" w:name="_Toc361304701"/>
      <w:bookmarkStart w:id="75" w:name="_Toc406666377"/>
      <w:bookmarkStart w:id="76" w:name="_Toc17932"/>
      <w:bookmarkStart w:id="77" w:name="_Toc406668051"/>
      <w:bookmarkStart w:id="78" w:name="_Toc14165738"/>
      <w:r>
        <w:rPr>
          <w:rFonts w:hint="eastAsia" w:ascii="仿宋" w:hAnsi="仿宋" w:eastAsia="仿宋" w:cs="Arial Narrow"/>
          <w:highlight w:val="none"/>
        </w:rPr>
        <w:t>项目效果方面主要评价项目实施所产生的经济效益，以及对社会的需求和发展所带来的直接或间接影响，反映项目后续运行及成效发挥的可持续影响情况。对于该项的评价，绩效评价工作小组主要采取了卷宗研究、现场访谈等方式进行资料收集、整理和分析，采集相关信息，对项目效果涉及的指标进行打分和评价。</w:t>
      </w:r>
      <w:r>
        <w:rPr>
          <w:rFonts w:hint="eastAsia" w:ascii="仿宋" w:hAnsi="仿宋" w:eastAsia="仿宋" w:cs="Arial Narrow"/>
          <w:highlight w:val="yellow"/>
        </w:rPr>
        <w:t>满分3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分，最后得分2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5</w:t>
      </w:r>
      <w:r>
        <w:rPr>
          <w:rFonts w:hint="eastAsia" w:ascii="仿宋" w:hAnsi="仿宋" w:eastAsia="仿宋" w:cs="Arial Narrow"/>
          <w:highlight w:val="yellow"/>
        </w:rPr>
        <w:t>分，评价结果为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2B248524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①可持续影响指标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是指机构、人员、制度满足需要，项目经费有保障。</w:t>
      </w:r>
    </w:p>
    <w:p w14:paraId="40334757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②服务对象满意度指标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是指服务对象满意度意。</w:t>
      </w:r>
    </w:p>
    <w:p w14:paraId="19BD8A8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79" w:name="_Toc1861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评价结论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Start w:id="80" w:name="_Toc361304702"/>
      <w:bookmarkStart w:id="81" w:name="_Toc361302039"/>
    </w:p>
    <w:bookmarkEnd w:id="80"/>
    <w:bookmarkEnd w:id="81"/>
    <w:p w14:paraId="76A8EDD3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评分结果</w:t>
      </w:r>
    </w:p>
    <w:p w14:paraId="5A4292EB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82" w:name="_Toc387957829"/>
      <w:bookmarkStart w:id="83" w:name="_Toc406666380"/>
      <w:bookmarkStart w:id="84" w:name="_Toc361304705"/>
      <w:bookmarkStart w:id="85" w:name="_Toc406668054"/>
      <w:r>
        <w:rPr>
          <w:rFonts w:hint="eastAsia" w:ascii="仿宋" w:hAnsi="仿宋" w:eastAsia="仿宋" w:cs="Arial Narrow"/>
          <w:highlight w:val="none"/>
        </w:rPr>
        <w:t>武汉经济技术开发区（汉南区）行政审批局“</w:t>
      </w:r>
      <w:r>
        <w:rPr>
          <w:rFonts w:hint="eastAsia" w:ascii="仿宋" w:hAnsi="仿宋" w:eastAsia="仿宋" w:cs="Arial Narrow"/>
          <w:highlight w:val="none"/>
          <w:lang w:eastAsia="zh-CN"/>
        </w:rPr>
        <w:t>物业管理费、维修费</w:t>
      </w:r>
      <w:r>
        <w:rPr>
          <w:rFonts w:hint="eastAsia" w:ascii="仿宋" w:hAnsi="仿宋" w:eastAsia="仿宋" w:cs="Arial Narrow"/>
          <w:highlight w:val="none"/>
        </w:rPr>
        <w:t>”项目绩效评价综合得分为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87</w:t>
      </w:r>
      <w:r>
        <w:rPr>
          <w:rFonts w:hint="eastAsia" w:ascii="仿宋" w:hAnsi="仿宋" w:eastAsia="仿宋" w:cs="Arial Narrow"/>
          <w:highlight w:val="none"/>
        </w:rPr>
        <w:t>分，评价结果为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5405753A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主要结论</w:t>
      </w:r>
    </w:p>
    <w:p w14:paraId="75445EE4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bookmarkStart w:id="86" w:name="_Toc14373"/>
      <w:bookmarkStart w:id="87" w:name="_Toc14165739"/>
      <w:r>
        <w:rPr>
          <w:rFonts w:hint="eastAsia" w:ascii="仿宋" w:hAnsi="仿宋" w:eastAsia="仿宋" w:cs="Arial Narrow"/>
          <w:bCs/>
          <w:highlight w:val="none"/>
        </w:rPr>
        <w:t>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年行政审批局“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物业管理费、维修费</w:t>
      </w:r>
      <w:r>
        <w:rPr>
          <w:rFonts w:hint="eastAsia" w:ascii="仿宋" w:hAnsi="仿宋" w:eastAsia="仿宋" w:cs="Arial Narrow"/>
          <w:bCs/>
          <w:highlight w:val="none"/>
        </w:rPr>
        <w:t>”项目绩效指标评分结果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为良</w:t>
      </w:r>
      <w:r>
        <w:rPr>
          <w:rFonts w:hint="eastAsia" w:ascii="仿宋" w:hAnsi="仿宋" w:eastAsia="仿宋" w:cs="Arial Narrow"/>
          <w:bCs/>
          <w:highlight w:val="none"/>
        </w:rPr>
        <w:t>。</w:t>
      </w:r>
    </w:p>
    <w:p w14:paraId="10F0E05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8" w:name="_Toc4140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</w:t>
      </w:r>
      <w:bookmarkEnd w:id="82"/>
      <w:bookmarkEnd w:id="83"/>
      <w:bookmarkEnd w:id="84"/>
      <w:bookmarkEnd w:id="8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）主要经验及做法、存在的问题和建议</w:t>
      </w:r>
      <w:bookmarkEnd w:id="86"/>
      <w:bookmarkEnd w:id="87"/>
      <w:bookmarkEnd w:id="88"/>
    </w:p>
    <w:p w14:paraId="46CAAB3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89" w:name="_Toc387957830"/>
      <w:bookmarkStart w:id="90" w:name="_Toc14165740"/>
      <w:bookmarkStart w:id="91" w:name="_Toc27928"/>
      <w:bookmarkStart w:id="92" w:name="_Toc361304706"/>
      <w:bookmarkStart w:id="93" w:name="_Toc406666381"/>
      <w:bookmarkStart w:id="94" w:name="_Toc221"/>
      <w:bookmarkStart w:id="95" w:name="_Toc40666805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1、主要经验及做法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745E6654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通过绩效评价，发现项目实施中的一些经验及做法值得关注与推广，具体如下：</w:t>
      </w:r>
    </w:p>
    <w:p w14:paraId="4B39C942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深化行政审批综合改革，推进政府职能进一步转变。</w:t>
      </w:r>
    </w:p>
    <w:p w14:paraId="074011B8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创新政务服务运行模式，营造高效便捷政务服务环境。</w:t>
      </w:r>
    </w:p>
    <w:p w14:paraId="44266594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3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坚持统筹兼顾，有序推进各项工作科学发展。</w:t>
      </w:r>
    </w:p>
    <w:p w14:paraId="17F55AB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 w:ascii="仿宋" w:hAnsi="仿宋" w:eastAsia="仿宋" w:cs="Arial Narrow"/>
          <w:sz w:val="24"/>
          <w:highlight w:val="none"/>
          <w:lang w:val="en-US" w:eastAsia="zh-CN"/>
        </w:rPr>
      </w:pPr>
      <w:bookmarkStart w:id="96" w:name="_Toc16106"/>
      <w:bookmarkStart w:id="97" w:name="_Toc14165741"/>
      <w:bookmarkStart w:id="98" w:name="_Toc406666382"/>
      <w:bookmarkStart w:id="99" w:name="_Toc406668056"/>
      <w:bookmarkStart w:id="100" w:name="_Toc16696"/>
      <w:bookmarkStart w:id="101" w:name="_Toc38795783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2、存在的问题</w:t>
      </w:r>
      <w:bookmarkEnd w:id="96"/>
      <w:bookmarkEnd w:id="97"/>
      <w:bookmarkEnd w:id="98"/>
      <w:bookmarkEnd w:id="99"/>
      <w:bookmarkEnd w:id="100"/>
    </w:p>
    <w:p w14:paraId="251BB641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行政审批局项目预算经财政批复预算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180.36</w:t>
      </w:r>
      <w:r>
        <w:rPr>
          <w:rFonts w:hint="eastAsia" w:ascii="仿宋" w:hAnsi="仿宋" w:eastAsia="仿宋" w:cs="Arial Narrow"/>
          <w:highlight w:val="none"/>
        </w:rPr>
        <w:t>万元，账面项目支出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92.51</w:t>
      </w:r>
      <w:r>
        <w:rPr>
          <w:rFonts w:hint="eastAsia" w:ascii="仿宋" w:hAnsi="仿宋" w:eastAsia="仿宋" w:cs="Arial Narrow"/>
          <w:highlight w:val="none"/>
        </w:rPr>
        <w:t>万元，项目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预算不准确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7E689B9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102" w:name="_Toc25620"/>
      <w:bookmarkStart w:id="103" w:name="_Toc28128"/>
      <w:bookmarkStart w:id="104" w:name="_Toc1416574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3、建议</w:t>
      </w:r>
      <w:bookmarkEnd w:id="101"/>
      <w:bookmarkEnd w:id="102"/>
      <w:bookmarkEnd w:id="103"/>
      <w:bookmarkEnd w:id="104"/>
      <w:bookmarkStart w:id="105" w:name="_Toc387957834"/>
    </w:p>
    <w:p w14:paraId="357543A6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06" w:name="_Toc9981"/>
      <w:bookmarkStart w:id="107" w:name="_Toc14165743"/>
      <w:r>
        <w:rPr>
          <w:rFonts w:hint="eastAsia" w:ascii="仿宋" w:hAnsi="仿宋" w:eastAsia="仿宋" w:cs="Arial Narrow"/>
          <w:highlight w:val="none"/>
          <w:lang w:val="en-US" w:eastAsia="zh-CN"/>
        </w:rPr>
        <w:t>今后在各项管理制度制定中应力求更具体精细，采用合适的方法，制定准确的项目预算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6DABFF6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08" w:name="_Toc2651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（五）其他需说明的问题</w:t>
      </w:r>
      <w:bookmarkEnd w:id="106"/>
      <w:bookmarkEnd w:id="107"/>
      <w:bookmarkEnd w:id="108"/>
    </w:p>
    <w:bookmarkEnd w:id="105"/>
    <w:p w14:paraId="60DAEE9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09" w:name="_Toc14165744"/>
      <w:bookmarkStart w:id="110" w:name="_Toc4414"/>
      <w:bookmarkStart w:id="111" w:name="_Toc387957836"/>
      <w:bookmarkStart w:id="112" w:name="_Toc406668061"/>
      <w:bookmarkStart w:id="113" w:name="_Toc5673"/>
      <w:bookmarkStart w:id="114" w:name="_Toc406666387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关于评价责任的说明</w:t>
      </w:r>
      <w:bookmarkEnd w:id="109"/>
      <w:bookmarkEnd w:id="110"/>
    </w:p>
    <w:p w14:paraId="3BF4A56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本评价结果依据评价客体提供的各项基础资料，运用规定的评价方法，评价工作组保证本次评价工作全过程的公正和公平，各项评价基础资料的真实性与完整性由评价客体负责，未经评价组织机构同意，任何单位和个人不得将本评价结果对外公布。</w:t>
      </w:r>
    </w:p>
    <w:p w14:paraId="01011BD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15" w:name="_Toc4147"/>
      <w:bookmarkStart w:id="116" w:name="_Toc1416574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关于本项目评价中存在的局限性的说明</w:t>
      </w:r>
      <w:bookmarkEnd w:id="115"/>
      <w:bookmarkEnd w:id="116"/>
    </w:p>
    <w:p w14:paraId="70EB808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评价结论是湖北正大会计师事务有限责任公司出具的，受具体参加本次项目的评价人员的水平和能力的限制。鉴于这种评价工作存在资料的有限性和调查、分析、判断的局限性，评价结论无法考虑影响资金使用的所有因素，评价结论存在一定的局限性。</w:t>
      </w:r>
    </w:p>
    <w:p w14:paraId="6F1FEAF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本项目是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非</w:t>
      </w:r>
      <w:r>
        <w:rPr>
          <w:rFonts w:hint="eastAsia" w:ascii="仿宋" w:hAnsi="仿宋" w:eastAsia="仿宋" w:cs="Arial Narrow"/>
          <w:highlight w:val="none"/>
        </w:rPr>
        <w:t>经常性的资金使用项目，而且专业性较强。受具体参加本次项目的评价人员的专业能力的影响，对专业指标设定的全面性可能存在一定的局限性。</w:t>
      </w:r>
    </w:p>
    <w:p w14:paraId="6B05F9C8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7ECD56E8">
      <w:pPr>
        <w:snapToGrid w:val="0"/>
        <w:ind w:firstLine="482"/>
        <w:rPr>
          <w:rFonts w:ascii="仿宋" w:hAnsi="仿宋" w:eastAsia="仿宋" w:cs="Arial Narrow"/>
          <w:b/>
          <w:bCs/>
          <w:highlight w:val="none"/>
        </w:rPr>
      </w:pPr>
    </w:p>
    <w:p w14:paraId="48848058">
      <w:pPr>
        <w:snapToGrid w:val="0"/>
        <w:ind w:firstLine="0" w:firstLineChars="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b/>
          <w:bCs/>
          <w:highlight w:val="none"/>
        </w:rPr>
        <w:t>附件</w:t>
      </w:r>
      <w:bookmarkEnd w:id="111"/>
      <w:r>
        <w:rPr>
          <w:rFonts w:ascii="仿宋" w:hAnsi="仿宋" w:eastAsia="仿宋" w:cs="Arial Narrow"/>
          <w:b/>
          <w:bCs/>
          <w:highlight w:val="none"/>
        </w:rPr>
        <w:t>：</w:t>
      </w:r>
      <w:bookmarkEnd w:id="112"/>
      <w:bookmarkEnd w:id="113"/>
      <w:bookmarkEnd w:id="114"/>
    </w:p>
    <w:p w14:paraId="01AD09D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highlight w:val="none"/>
        </w:rPr>
        <w:t>1：项目绩效评价评分表</w:t>
      </w:r>
      <w:r>
        <w:rPr>
          <w:rFonts w:hint="eastAsia" w:ascii="仿宋" w:hAnsi="仿宋" w:eastAsia="仿宋" w:cs="Arial Narrow"/>
          <w:highlight w:val="none"/>
        </w:rPr>
        <w:t>及说明</w:t>
      </w:r>
    </w:p>
    <w:p w14:paraId="190E55E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2：评价机构营业执照（复印件）</w:t>
      </w:r>
    </w:p>
    <w:p w14:paraId="41AA6BD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3：相关评价人员执业证明文件（复印件）</w:t>
      </w:r>
    </w:p>
    <w:p w14:paraId="505BB638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5F05E9BA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湖北正大会计师事务有限责任公司</w:t>
      </w:r>
    </w:p>
    <w:p w14:paraId="4280AAAC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2019年7月30日</w:t>
      </w:r>
    </w:p>
    <w:sectPr>
      <w:headerReference r:id="rId11" w:type="default"/>
      <w:footerReference r:id="rId12" w:type="default"/>
      <w:pgSz w:w="11906" w:h="16838"/>
      <w:pgMar w:top="1440" w:right="1406" w:bottom="1089" w:left="1800" w:header="1134" w:footer="1134" w:gutter="0"/>
      <w:pgNumType w:start="1"/>
      <w:cols w:space="720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934D7F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DFA72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13734">
    <w:pPr>
      <w:ind w:firstLine="480"/>
    </w:pPr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33FD8">
    <w:pPr>
      <w:pStyle w:val="13"/>
      <w:framePr w:wrap="around" w:vAnchor="text" w:hAnchor="margin" w:xAlign="center" w:y="1"/>
      <w:ind w:firstLine="210" w:firstLineChars="100"/>
      <w:jc w:val="center"/>
      <w:rPr>
        <w:rStyle w:val="25"/>
        <w:rFonts w:ascii="Arial Narrow" w:hAnsi="Arial Narrow" w:eastAsia="宋体"/>
        <w:sz w:val="21"/>
        <w:szCs w:val="21"/>
      </w:rPr>
    </w:pPr>
    <w:r>
      <w:rPr>
        <w:rFonts w:ascii="Arial Narrow" w:hAnsi="Arial Narrow"/>
        <w:sz w:val="21"/>
        <w:szCs w:val="21"/>
      </w:rPr>
      <w:fldChar w:fldCharType="begin"/>
    </w:r>
    <w:r>
      <w:rPr>
        <w:rFonts w:ascii="Arial Narrow" w:hAnsi="Arial Narrow"/>
        <w:sz w:val="21"/>
        <w:szCs w:val="21"/>
      </w:rPr>
      <w:instrText xml:space="preserve"> PAGE </w:instrText>
    </w:r>
    <w:r>
      <w:rPr>
        <w:rFonts w:ascii="Arial Narrow" w:hAnsi="Arial Narrow"/>
        <w:sz w:val="21"/>
        <w:szCs w:val="21"/>
      </w:rPr>
      <w:fldChar w:fldCharType="separate"/>
    </w:r>
    <w:r>
      <w:rPr>
        <w:rFonts w:ascii="Arial Narrow" w:hAnsi="Arial Narrow"/>
        <w:sz w:val="21"/>
        <w:szCs w:val="21"/>
      </w:rPr>
      <w:t>9</w:t>
    </w:r>
    <w:r>
      <w:rPr>
        <w:rFonts w:ascii="Arial Narrow" w:hAnsi="Arial Narrow"/>
        <w:sz w:val="21"/>
        <w:szCs w:val="21"/>
      </w:rPr>
      <w:fldChar w:fldCharType="end"/>
    </w:r>
  </w:p>
  <w:p w14:paraId="447818C8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ADC72">
    <w:pPr>
      <w:pStyle w:val="14"/>
      <w:pBdr>
        <w:bottom w:val="none" w:color="auto" w:sz="0" w:space="0"/>
      </w:pBdr>
      <w:ind w:firstLine="36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BFE0A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2B8DF1"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6F4F13">
    <w:pPr>
      <w:pStyle w:val="14"/>
      <w:pBdr>
        <w:bottom w:val="none" w:color="auto" w:sz="0" w:space="0"/>
      </w:pBdr>
      <w:ind w:firstLine="0" w:firstLineChars="0"/>
      <w:jc w:val="both"/>
    </w:pPr>
    <w:r>
      <w:rPr>
        <w:rFonts w:ascii="Calibri" w:hAnsi="Calibri" w:eastAsia="黑体" w:cs="黑体"/>
        <w:b/>
        <w:sz w:val="14"/>
        <w:szCs w:val="14"/>
      </w:rPr>
      <w:pict>
        <v:rect id="文本框 26" o:spid="_x0000_s4097" o:spt="1" style="position:absolute;left:0pt;margin-left:359.05pt;margin-top:39.95pt;height:74.45pt;width:150.15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 w14:paraId="50B5A312">
                <w:pPr>
                  <w:ind w:firstLine="280"/>
                  <w:rPr>
                    <w:rFonts w:ascii="Arial Narrow" w:hAnsi="Arial Narrow" w:eastAsia="黑体" w:cs="Arial Narrow"/>
                    <w:sz w:val="14"/>
                    <w:szCs w:val="14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204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A69"/>
    <w:rsid w:val="000107B2"/>
    <w:rsid w:val="00011E0B"/>
    <w:rsid w:val="00012B09"/>
    <w:rsid w:val="00012B47"/>
    <w:rsid w:val="000153F5"/>
    <w:rsid w:val="00016011"/>
    <w:rsid w:val="000225A4"/>
    <w:rsid w:val="000231B2"/>
    <w:rsid w:val="000235EA"/>
    <w:rsid w:val="0002369C"/>
    <w:rsid w:val="00027617"/>
    <w:rsid w:val="00030459"/>
    <w:rsid w:val="00034CB1"/>
    <w:rsid w:val="00037160"/>
    <w:rsid w:val="00037FDA"/>
    <w:rsid w:val="00041931"/>
    <w:rsid w:val="000435FD"/>
    <w:rsid w:val="00051092"/>
    <w:rsid w:val="0005129C"/>
    <w:rsid w:val="0005263F"/>
    <w:rsid w:val="000578E1"/>
    <w:rsid w:val="00057BBE"/>
    <w:rsid w:val="00060B99"/>
    <w:rsid w:val="000647BB"/>
    <w:rsid w:val="00065443"/>
    <w:rsid w:val="00070099"/>
    <w:rsid w:val="0007044D"/>
    <w:rsid w:val="00071B04"/>
    <w:rsid w:val="00071C74"/>
    <w:rsid w:val="00082AA1"/>
    <w:rsid w:val="000839C4"/>
    <w:rsid w:val="00083F0C"/>
    <w:rsid w:val="000850E9"/>
    <w:rsid w:val="0008556C"/>
    <w:rsid w:val="00086B6B"/>
    <w:rsid w:val="00092652"/>
    <w:rsid w:val="00092834"/>
    <w:rsid w:val="00095860"/>
    <w:rsid w:val="00097F61"/>
    <w:rsid w:val="000A2B58"/>
    <w:rsid w:val="000A38CF"/>
    <w:rsid w:val="000B0707"/>
    <w:rsid w:val="000B351B"/>
    <w:rsid w:val="000C0AC8"/>
    <w:rsid w:val="000C2C67"/>
    <w:rsid w:val="000C4653"/>
    <w:rsid w:val="000C4C40"/>
    <w:rsid w:val="000C7932"/>
    <w:rsid w:val="000C793B"/>
    <w:rsid w:val="000D124B"/>
    <w:rsid w:val="000D1F28"/>
    <w:rsid w:val="000D264B"/>
    <w:rsid w:val="000D32E5"/>
    <w:rsid w:val="000D34A6"/>
    <w:rsid w:val="000D353C"/>
    <w:rsid w:val="000D37BE"/>
    <w:rsid w:val="000D50DC"/>
    <w:rsid w:val="000D5CCA"/>
    <w:rsid w:val="000D7608"/>
    <w:rsid w:val="000E16BD"/>
    <w:rsid w:val="000E1A4F"/>
    <w:rsid w:val="000E3E46"/>
    <w:rsid w:val="000E5026"/>
    <w:rsid w:val="000E5B9F"/>
    <w:rsid w:val="000F1F5E"/>
    <w:rsid w:val="000F2AE1"/>
    <w:rsid w:val="000F482F"/>
    <w:rsid w:val="00101AA1"/>
    <w:rsid w:val="0010488B"/>
    <w:rsid w:val="00107C77"/>
    <w:rsid w:val="00107E2F"/>
    <w:rsid w:val="00115891"/>
    <w:rsid w:val="00117519"/>
    <w:rsid w:val="001247D7"/>
    <w:rsid w:val="001315B8"/>
    <w:rsid w:val="001346FF"/>
    <w:rsid w:val="00134F95"/>
    <w:rsid w:val="001373D3"/>
    <w:rsid w:val="001405F7"/>
    <w:rsid w:val="00142BA0"/>
    <w:rsid w:val="00143DA4"/>
    <w:rsid w:val="001441F8"/>
    <w:rsid w:val="00144210"/>
    <w:rsid w:val="0014542F"/>
    <w:rsid w:val="00146219"/>
    <w:rsid w:val="00147E31"/>
    <w:rsid w:val="00152FB6"/>
    <w:rsid w:val="001542F3"/>
    <w:rsid w:val="001548CF"/>
    <w:rsid w:val="00156601"/>
    <w:rsid w:val="00157614"/>
    <w:rsid w:val="0016074D"/>
    <w:rsid w:val="00164900"/>
    <w:rsid w:val="001676D8"/>
    <w:rsid w:val="00172A27"/>
    <w:rsid w:val="00173694"/>
    <w:rsid w:val="0017597C"/>
    <w:rsid w:val="0018053D"/>
    <w:rsid w:val="00180C97"/>
    <w:rsid w:val="00180E5E"/>
    <w:rsid w:val="00182EEA"/>
    <w:rsid w:val="0018363A"/>
    <w:rsid w:val="001871E1"/>
    <w:rsid w:val="001907A0"/>
    <w:rsid w:val="001907BC"/>
    <w:rsid w:val="0019172C"/>
    <w:rsid w:val="00191C51"/>
    <w:rsid w:val="00191FE0"/>
    <w:rsid w:val="00197977"/>
    <w:rsid w:val="001A02C6"/>
    <w:rsid w:val="001A4611"/>
    <w:rsid w:val="001A6E1D"/>
    <w:rsid w:val="001A7035"/>
    <w:rsid w:val="001A71D3"/>
    <w:rsid w:val="001A7BCC"/>
    <w:rsid w:val="001B156C"/>
    <w:rsid w:val="001B206F"/>
    <w:rsid w:val="001B2C2B"/>
    <w:rsid w:val="001B564E"/>
    <w:rsid w:val="001C1AB0"/>
    <w:rsid w:val="001C4A11"/>
    <w:rsid w:val="001C6498"/>
    <w:rsid w:val="001C7FC5"/>
    <w:rsid w:val="001D2B8D"/>
    <w:rsid w:val="001D4085"/>
    <w:rsid w:val="001D50A9"/>
    <w:rsid w:val="001E1192"/>
    <w:rsid w:val="001E3766"/>
    <w:rsid w:val="001E4DD7"/>
    <w:rsid w:val="001E57AC"/>
    <w:rsid w:val="001E63EB"/>
    <w:rsid w:val="001E73FF"/>
    <w:rsid w:val="001F0DE7"/>
    <w:rsid w:val="001F3D0C"/>
    <w:rsid w:val="001F50AE"/>
    <w:rsid w:val="00203E55"/>
    <w:rsid w:val="00205C9D"/>
    <w:rsid w:val="002060DB"/>
    <w:rsid w:val="00206B01"/>
    <w:rsid w:val="00206B46"/>
    <w:rsid w:val="0020706B"/>
    <w:rsid w:val="00214270"/>
    <w:rsid w:val="00214BA4"/>
    <w:rsid w:val="00217BE1"/>
    <w:rsid w:val="00220AE1"/>
    <w:rsid w:val="00226CA1"/>
    <w:rsid w:val="00227F82"/>
    <w:rsid w:val="00232250"/>
    <w:rsid w:val="002331CD"/>
    <w:rsid w:val="00242395"/>
    <w:rsid w:val="00242589"/>
    <w:rsid w:val="00243172"/>
    <w:rsid w:val="00243D70"/>
    <w:rsid w:val="00244813"/>
    <w:rsid w:val="0024753B"/>
    <w:rsid w:val="0024762E"/>
    <w:rsid w:val="00247BA5"/>
    <w:rsid w:val="00251B7B"/>
    <w:rsid w:val="002520DB"/>
    <w:rsid w:val="002604FB"/>
    <w:rsid w:val="002612E9"/>
    <w:rsid w:val="00263172"/>
    <w:rsid w:val="00263E33"/>
    <w:rsid w:val="00263E5D"/>
    <w:rsid w:val="00264E80"/>
    <w:rsid w:val="00267DA6"/>
    <w:rsid w:val="002706C6"/>
    <w:rsid w:val="00272407"/>
    <w:rsid w:val="00273665"/>
    <w:rsid w:val="0027412C"/>
    <w:rsid w:val="00275D0D"/>
    <w:rsid w:val="00280B02"/>
    <w:rsid w:val="0028633D"/>
    <w:rsid w:val="0028764F"/>
    <w:rsid w:val="00287DEB"/>
    <w:rsid w:val="0029106A"/>
    <w:rsid w:val="002911A7"/>
    <w:rsid w:val="00291951"/>
    <w:rsid w:val="002933BC"/>
    <w:rsid w:val="002953EE"/>
    <w:rsid w:val="002A0822"/>
    <w:rsid w:val="002A0862"/>
    <w:rsid w:val="002A3B59"/>
    <w:rsid w:val="002A731C"/>
    <w:rsid w:val="002A7693"/>
    <w:rsid w:val="002B49DE"/>
    <w:rsid w:val="002B55AD"/>
    <w:rsid w:val="002B60B2"/>
    <w:rsid w:val="002C012C"/>
    <w:rsid w:val="002C05DC"/>
    <w:rsid w:val="002C21EB"/>
    <w:rsid w:val="002C439E"/>
    <w:rsid w:val="002C5757"/>
    <w:rsid w:val="002C5D77"/>
    <w:rsid w:val="002D1D84"/>
    <w:rsid w:val="002E11FA"/>
    <w:rsid w:val="002E21D6"/>
    <w:rsid w:val="002F1C3F"/>
    <w:rsid w:val="002F44AB"/>
    <w:rsid w:val="002F7973"/>
    <w:rsid w:val="00307693"/>
    <w:rsid w:val="0031024E"/>
    <w:rsid w:val="00312F11"/>
    <w:rsid w:val="003132F6"/>
    <w:rsid w:val="00315407"/>
    <w:rsid w:val="0031645A"/>
    <w:rsid w:val="00322C3A"/>
    <w:rsid w:val="0032760C"/>
    <w:rsid w:val="003313C3"/>
    <w:rsid w:val="00333EE7"/>
    <w:rsid w:val="003363C3"/>
    <w:rsid w:val="0034018A"/>
    <w:rsid w:val="00343216"/>
    <w:rsid w:val="00344CC3"/>
    <w:rsid w:val="0034515E"/>
    <w:rsid w:val="00347FD1"/>
    <w:rsid w:val="003506E6"/>
    <w:rsid w:val="00352DF8"/>
    <w:rsid w:val="00356E00"/>
    <w:rsid w:val="0036466F"/>
    <w:rsid w:val="0036740B"/>
    <w:rsid w:val="003712A9"/>
    <w:rsid w:val="00372944"/>
    <w:rsid w:val="00374FFF"/>
    <w:rsid w:val="003750CC"/>
    <w:rsid w:val="0037593E"/>
    <w:rsid w:val="00376DC7"/>
    <w:rsid w:val="0038083D"/>
    <w:rsid w:val="00384B54"/>
    <w:rsid w:val="00387964"/>
    <w:rsid w:val="0039007B"/>
    <w:rsid w:val="00390399"/>
    <w:rsid w:val="0039079D"/>
    <w:rsid w:val="003919EC"/>
    <w:rsid w:val="003920BE"/>
    <w:rsid w:val="0039236F"/>
    <w:rsid w:val="00392AA2"/>
    <w:rsid w:val="00392F5E"/>
    <w:rsid w:val="00394FAF"/>
    <w:rsid w:val="0039690B"/>
    <w:rsid w:val="003A377A"/>
    <w:rsid w:val="003B1278"/>
    <w:rsid w:val="003C00A3"/>
    <w:rsid w:val="003C047C"/>
    <w:rsid w:val="003C0622"/>
    <w:rsid w:val="003C10E7"/>
    <w:rsid w:val="003C49E8"/>
    <w:rsid w:val="003C5736"/>
    <w:rsid w:val="003D37E8"/>
    <w:rsid w:val="003D3CD8"/>
    <w:rsid w:val="003D5E40"/>
    <w:rsid w:val="003D6BE5"/>
    <w:rsid w:val="003D7EF3"/>
    <w:rsid w:val="003D7FF0"/>
    <w:rsid w:val="003E16C4"/>
    <w:rsid w:val="003E2919"/>
    <w:rsid w:val="003E3C53"/>
    <w:rsid w:val="003E6369"/>
    <w:rsid w:val="003E68B6"/>
    <w:rsid w:val="003F0641"/>
    <w:rsid w:val="003F2581"/>
    <w:rsid w:val="003F3003"/>
    <w:rsid w:val="003F4A08"/>
    <w:rsid w:val="003F640B"/>
    <w:rsid w:val="003F78E3"/>
    <w:rsid w:val="004016BF"/>
    <w:rsid w:val="00402380"/>
    <w:rsid w:val="0040727E"/>
    <w:rsid w:val="00407F86"/>
    <w:rsid w:val="004102C2"/>
    <w:rsid w:val="00412C52"/>
    <w:rsid w:val="0041356F"/>
    <w:rsid w:val="00414470"/>
    <w:rsid w:val="004156F2"/>
    <w:rsid w:val="0041689F"/>
    <w:rsid w:val="00417F32"/>
    <w:rsid w:val="0042114C"/>
    <w:rsid w:val="0042187B"/>
    <w:rsid w:val="00424A8D"/>
    <w:rsid w:val="004250AA"/>
    <w:rsid w:val="004251FE"/>
    <w:rsid w:val="00432769"/>
    <w:rsid w:val="00436630"/>
    <w:rsid w:val="00436685"/>
    <w:rsid w:val="00436978"/>
    <w:rsid w:val="00437ABF"/>
    <w:rsid w:val="004406CE"/>
    <w:rsid w:val="004416B6"/>
    <w:rsid w:val="00444C92"/>
    <w:rsid w:val="00444F7A"/>
    <w:rsid w:val="00446C56"/>
    <w:rsid w:val="00446E9B"/>
    <w:rsid w:val="00447CE1"/>
    <w:rsid w:val="00461176"/>
    <w:rsid w:val="00461419"/>
    <w:rsid w:val="004637D6"/>
    <w:rsid w:val="00465728"/>
    <w:rsid w:val="004720AA"/>
    <w:rsid w:val="0047247F"/>
    <w:rsid w:val="00473A77"/>
    <w:rsid w:val="00475D0F"/>
    <w:rsid w:val="00477022"/>
    <w:rsid w:val="0049123B"/>
    <w:rsid w:val="00496736"/>
    <w:rsid w:val="00497DCD"/>
    <w:rsid w:val="004A4024"/>
    <w:rsid w:val="004A4C34"/>
    <w:rsid w:val="004A5982"/>
    <w:rsid w:val="004A5CFE"/>
    <w:rsid w:val="004A5E6A"/>
    <w:rsid w:val="004B0A18"/>
    <w:rsid w:val="004B2A1B"/>
    <w:rsid w:val="004B2DE5"/>
    <w:rsid w:val="004B331B"/>
    <w:rsid w:val="004B6F1C"/>
    <w:rsid w:val="004C2F4D"/>
    <w:rsid w:val="004C3638"/>
    <w:rsid w:val="004C39A4"/>
    <w:rsid w:val="004C52FF"/>
    <w:rsid w:val="004D070B"/>
    <w:rsid w:val="004D33DF"/>
    <w:rsid w:val="004D58C6"/>
    <w:rsid w:val="004D749D"/>
    <w:rsid w:val="004D7DEA"/>
    <w:rsid w:val="004E04DA"/>
    <w:rsid w:val="004E1D06"/>
    <w:rsid w:val="004E1FA4"/>
    <w:rsid w:val="004E20B1"/>
    <w:rsid w:val="004E3DAA"/>
    <w:rsid w:val="004E4EB8"/>
    <w:rsid w:val="004E6203"/>
    <w:rsid w:val="004F42A1"/>
    <w:rsid w:val="004F5FA6"/>
    <w:rsid w:val="00500581"/>
    <w:rsid w:val="005041BE"/>
    <w:rsid w:val="00505635"/>
    <w:rsid w:val="00507805"/>
    <w:rsid w:val="005134B0"/>
    <w:rsid w:val="0051441E"/>
    <w:rsid w:val="005155D3"/>
    <w:rsid w:val="005204D6"/>
    <w:rsid w:val="00525692"/>
    <w:rsid w:val="00527E66"/>
    <w:rsid w:val="00534945"/>
    <w:rsid w:val="005360A1"/>
    <w:rsid w:val="00537C3E"/>
    <w:rsid w:val="00543555"/>
    <w:rsid w:val="0054431F"/>
    <w:rsid w:val="00544890"/>
    <w:rsid w:val="00547FC6"/>
    <w:rsid w:val="00552615"/>
    <w:rsid w:val="005567B3"/>
    <w:rsid w:val="00560EED"/>
    <w:rsid w:val="005632D3"/>
    <w:rsid w:val="005655D1"/>
    <w:rsid w:val="005658C9"/>
    <w:rsid w:val="00565929"/>
    <w:rsid w:val="005659EE"/>
    <w:rsid w:val="00565D9A"/>
    <w:rsid w:val="00566498"/>
    <w:rsid w:val="005708E6"/>
    <w:rsid w:val="005812C2"/>
    <w:rsid w:val="00583F95"/>
    <w:rsid w:val="00596AF0"/>
    <w:rsid w:val="00597947"/>
    <w:rsid w:val="005A0AF1"/>
    <w:rsid w:val="005A21FC"/>
    <w:rsid w:val="005B1178"/>
    <w:rsid w:val="005B159F"/>
    <w:rsid w:val="005C7BB8"/>
    <w:rsid w:val="005D0FBF"/>
    <w:rsid w:val="005D24E1"/>
    <w:rsid w:val="005D7826"/>
    <w:rsid w:val="005E016C"/>
    <w:rsid w:val="005E07E1"/>
    <w:rsid w:val="005E0E0C"/>
    <w:rsid w:val="005E1EC1"/>
    <w:rsid w:val="005E31A5"/>
    <w:rsid w:val="005E38D2"/>
    <w:rsid w:val="005E4DF6"/>
    <w:rsid w:val="005E6A5B"/>
    <w:rsid w:val="005E7290"/>
    <w:rsid w:val="005E7431"/>
    <w:rsid w:val="005F072F"/>
    <w:rsid w:val="005F0A83"/>
    <w:rsid w:val="005F0D41"/>
    <w:rsid w:val="005F234F"/>
    <w:rsid w:val="005F3C50"/>
    <w:rsid w:val="00601607"/>
    <w:rsid w:val="006047F8"/>
    <w:rsid w:val="006066A6"/>
    <w:rsid w:val="00606CC4"/>
    <w:rsid w:val="006138EE"/>
    <w:rsid w:val="0061452E"/>
    <w:rsid w:val="00614B06"/>
    <w:rsid w:val="00615D9E"/>
    <w:rsid w:val="00621643"/>
    <w:rsid w:val="00624274"/>
    <w:rsid w:val="00626CD9"/>
    <w:rsid w:val="00630956"/>
    <w:rsid w:val="00636115"/>
    <w:rsid w:val="00640016"/>
    <w:rsid w:val="00641EED"/>
    <w:rsid w:val="00642106"/>
    <w:rsid w:val="00644429"/>
    <w:rsid w:val="00646876"/>
    <w:rsid w:val="00647079"/>
    <w:rsid w:val="00647F6C"/>
    <w:rsid w:val="00650DEF"/>
    <w:rsid w:val="00651741"/>
    <w:rsid w:val="00656BC8"/>
    <w:rsid w:val="0066273D"/>
    <w:rsid w:val="00662D0D"/>
    <w:rsid w:val="006642D3"/>
    <w:rsid w:val="006711A5"/>
    <w:rsid w:val="00676441"/>
    <w:rsid w:val="00677567"/>
    <w:rsid w:val="00682BA7"/>
    <w:rsid w:val="00687B7B"/>
    <w:rsid w:val="00691499"/>
    <w:rsid w:val="00692356"/>
    <w:rsid w:val="0069340D"/>
    <w:rsid w:val="006A71EF"/>
    <w:rsid w:val="006A769A"/>
    <w:rsid w:val="006A7A55"/>
    <w:rsid w:val="006B2DDC"/>
    <w:rsid w:val="006B5939"/>
    <w:rsid w:val="006B6D45"/>
    <w:rsid w:val="006B776D"/>
    <w:rsid w:val="006C0C87"/>
    <w:rsid w:val="006C2D83"/>
    <w:rsid w:val="006C3F2E"/>
    <w:rsid w:val="006C4D9E"/>
    <w:rsid w:val="006D10DC"/>
    <w:rsid w:val="006D22CB"/>
    <w:rsid w:val="006D281E"/>
    <w:rsid w:val="006D3823"/>
    <w:rsid w:val="006D3E5C"/>
    <w:rsid w:val="006D41F1"/>
    <w:rsid w:val="006D431A"/>
    <w:rsid w:val="006D6DB9"/>
    <w:rsid w:val="006E149F"/>
    <w:rsid w:val="006E4514"/>
    <w:rsid w:val="006E5C42"/>
    <w:rsid w:val="006F2B5C"/>
    <w:rsid w:val="006F581B"/>
    <w:rsid w:val="006F74F7"/>
    <w:rsid w:val="006F7E68"/>
    <w:rsid w:val="00702AE3"/>
    <w:rsid w:val="0070567E"/>
    <w:rsid w:val="00705ADC"/>
    <w:rsid w:val="0070659F"/>
    <w:rsid w:val="007078C7"/>
    <w:rsid w:val="00713989"/>
    <w:rsid w:val="007148E9"/>
    <w:rsid w:val="00715EA4"/>
    <w:rsid w:val="007165EC"/>
    <w:rsid w:val="0072189F"/>
    <w:rsid w:val="00721C9B"/>
    <w:rsid w:val="0072285B"/>
    <w:rsid w:val="00722909"/>
    <w:rsid w:val="00723249"/>
    <w:rsid w:val="007260DC"/>
    <w:rsid w:val="00726E74"/>
    <w:rsid w:val="00727EF2"/>
    <w:rsid w:val="007309B9"/>
    <w:rsid w:val="00731661"/>
    <w:rsid w:val="00733038"/>
    <w:rsid w:val="0073421A"/>
    <w:rsid w:val="00737E3E"/>
    <w:rsid w:val="00744BE7"/>
    <w:rsid w:val="007455A5"/>
    <w:rsid w:val="00747C3E"/>
    <w:rsid w:val="00750C7B"/>
    <w:rsid w:val="00751783"/>
    <w:rsid w:val="00753FB8"/>
    <w:rsid w:val="00756213"/>
    <w:rsid w:val="00757369"/>
    <w:rsid w:val="00760264"/>
    <w:rsid w:val="0076125E"/>
    <w:rsid w:val="007614A0"/>
    <w:rsid w:val="00766CC5"/>
    <w:rsid w:val="0076789B"/>
    <w:rsid w:val="00771519"/>
    <w:rsid w:val="0077612D"/>
    <w:rsid w:val="0078403F"/>
    <w:rsid w:val="00784977"/>
    <w:rsid w:val="007857C2"/>
    <w:rsid w:val="007951AE"/>
    <w:rsid w:val="007960FC"/>
    <w:rsid w:val="007A1325"/>
    <w:rsid w:val="007A260C"/>
    <w:rsid w:val="007A3D65"/>
    <w:rsid w:val="007A4561"/>
    <w:rsid w:val="007A7FFA"/>
    <w:rsid w:val="007B096A"/>
    <w:rsid w:val="007B5BCC"/>
    <w:rsid w:val="007B63BA"/>
    <w:rsid w:val="007C0582"/>
    <w:rsid w:val="007C2929"/>
    <w:rsid w:val="007C5815"/>
    <w:rsid w:val="007C5A97"/>
    <w:rsid w:val="007D0A9C"/>
    <w:rsid w:val="007D12ED"/>
    <w:rsid w:val="007D518A"/>
    <w:rsid w:val="007D6002"/>
    <w:rsid w:val="007D6F8A"/>
    <w:rsid w:val="007E062F"/>
    <w:rsid w:val="007E5FF6"/>
    <w:rsid w:val="007F0CD4"/>
    <w:rsid w:val="007F15F0"/>
    <w:rsid w:val="007F3EA6"/>
    <w:rsid w:val="007F581B"/>
    <w:rsid w:val="007F6A15"/>
    <w:rsid w:val="00800E4A"/>
    <w:rsid w:val="008015DF"/>
    <w:rsid w:val="00801640"/>
    <w:rsid w:val="0080288E"/>
    <w:rsid w:val="008053EB"/>
    <w:rsid w:val="00805A0A"/>
    <w:rsid w:val="0081201D"/>
    <w:rsid w:val="00812ECD"/>
    <w:rsid w:val="0081473D"/>
    <w:rsid w:val="008157AE"/>
    <w:rsid w:val="008167AB"/>
    <w:rsid w:val="00820A25"/>
    <w:rsid w:val="0082440D"/>
    <w:rsid w:val="00825D97"/>
    <w:rsid w:val="008325FA"/>
    <w:rsid w:val="00833B9B"/>
    <w:rsid w:val="00835356"/>
    <w:rsid w:val="00844F4F"/>
    <w:rsid w:val="008453B8"/>
    <w:rsid w:val="0084547F"/>
    <w:rsid w:val="00845BD8"/>
    <w:rsid w:val="00845CE4"/>
    <w:rsid w:val="008468CD"/>
    <w:rsid w:val="00847827"/>
    <w:rsid w:val="0085148F"/>
    <w:rsid w:val="008526D0"/>
    <w:rsid w:val="00852C63"/>
    <w:rsid w:val="00854541"/>
    <w:rsid w:val="008567A5"/>
    <w:rsid w:val="008616A6"/>
    <w:rsid w:val="00862075"/>
    <w:rsid w:val="008642C8"/>
    <w:rsid w:val="008662A2"/>
    <w:rsid w:val="0087108E"/>
    <w:rsid w:val="00871DE9"/>
    <w:rsid w:val="00880CA7"/>
    <w:rsid w:val="00885CF7"/>
    <w:rsid w:val="00886E69"/>
    <w:rsid w:val="008934FA"/>
    <w:rsid w:val="008A0F83"/>
    <w:rsid w:val="008A175E"/>
    <w:rsid w:val="008A2E40"/>
    <w:rsid w:val="008B0C24"/>
    <w:rsid w:val="008B15BE"/>
    <w:rsid w:val="008B7645"/>
    <w:rsid w:val="008B77E1"/>
    <w:rsid w:val="008C1976"/>
    <w:rsid w:val="008C5857"/>
    <w:rsid w:val="008C771D"/>
    <w:rsid w:val="008D0512"/>
    <w:rsid w:val="008D1468"/>
    <w:rsid w:val="008D28B0"/>
    <w:rsid w:val="008D33D6"/>
    <w:rsid w:val="008D5A00"/>
    <w:rsid w:val="008E0EA8"/>
    <w:rsid w:val="008E573D"/>
    <w:rsid w:val="008E5FB9"/>
    <w:rsid w:val="008F5689"/>
    <w:rsid w:val="008F69BF"/>
    <w:rsid w:val="009003B0"/>
    <w:rsid w:val="009015AD"/>
    <w:rsid w:val="009036DE"/>
    <w:rsid w:val="00903AAF"/>
    <w:rsid w:val="0090416C"/>
    <w:rsid w:val="009043EF"/>
    <w:rsid w:val="00907956"/>
    <w:rsid w:val="0091079F"/>
    <w:rsid w:val="00911F9D"/>
    <w:rsid w:val="00913B55"/>
    <w:rsid w:val="009153E3"/>
    <w:rsid w:val="0091597F"/>
    <w:rsid w:val="009177D8"/>
    <w:rsid w:val="00921DCF"/>
    <w:rsid w:val="00923D59"/>
    <w:rsid w:val="0092464E"/>
    <w:rsid w:val="00924F4C"/>
    <w:rsid w:val="009337F2"/>
    <w:rsid w:val="00934B5A"/>
    <w:rsid w:val="0094138A"/>
    <w:rsid w:val="00946554"/>
    <w:rsid w:val="00953385"/>
    <w:rsid w:val="009536E4"/>
    <w:rsid w:val="009553EB"/>
    <w:rsid w:val="009556E8"/>
    <w:rsid w:val="00960332"/>
    <w:rsid w:val="00963C82"/>
    <w:rsid w:val="0097102B"/>
    <w:rsid w:val="009754A1"/>
    <w:rsid w:val="00975F8C"/>
    <w:rsid w:val="00977A2D"/>
    <w:rsid w:val="00977B6C"/>
    <w:rsid w:val="00977E58"/>
    <w:rsid w:val="00981B94"/>
    <w:rsid w:val="009850DD"/>
    <w:rsid w:val="009852EE"/>
    <w:rsid w:val="009918A8"/>
    <w:rsid w:val="00995CC6"/>
    <w:rsid w:val="009964F7"/>
    <w:rsid w:val="009A07B6"/>
    <w:rsid w:val="009A2934"/>
    <w:rsid w:val="009A3167"/>
    <w:rsid w:val="009A488C"/>
    <w:rsid w:val="009A6B01"/>
    <w:rsid w:val="009B0E77"/>
    <w:rsid w:val="009B7C3D"/>
    <w:rsid w:val="009C21D3"/>
    <w:rsid w:val="009C3BDF"/>
    <w:rsid w:val="009C6399"/>
    <w:rsid w:val="009C700D"/>
    <w:rsid w:val="009D117E"/>
    <w:rsid w:val="009D2C81"/>
    <w:rsid w:val="009D3BCE"/>
    <w:rsid w:val="009D4762"/>
    <w:rsid w:val="009D61D3"/>
    <w:rsid w:val="009D63C3"/>
    <w:rsid w:val="009D6FD8"/>
    <w:rsid w:val="009D7E0C"/>
    <w:rsid w:val="009E0181"/>
    <w:rsid w:val="009E1ED3"/>
    <w:rsid w:val="009E4A95"/>
    <w:rsid w:val="009E6004"/>
    <w:rsid w:val="009F0897"/>
    <w:rsid w:val="009F5345"/>
    <w:rsid w:val="009F53C2"/>
    <w:rsid w:val="009F58A2"/>
    <w:rsid w:val="009F6F50"/>
    <w:rsid w:val="009F7EAE"/>
    <w:rsid w:val="00A00406"/>
    <w:rsid w:val="00A0057C"/>
    <w:rsid w:val="00A016BF"/>
    <w:rsid w:val="00A0210F"/>
    <w:rsid w:val="00A058CF"/>
    <w:rsid w:val="00A072FE"/>
    <w:rsid w:val="00A07475"/>
    <w:rsid w:val="00A07496"/>
    <w:rsid w:val="00A10865"/>
    <w:rsid w:val="00A11537"/>
    <w:rsid w:val="00A11A7A"/>
    <w:rsid w:val="00A128C5"/>
    <w:rsid w:val="00A20055"/>
    <w:rsid w:val="00A210A1"/>
    <w:rsid w:val="00A22D6C"/>
    <w:rsid w:val="00A231F8"/>
    <w:rsid w:val="00A24CA1"/>
    <w:rsid w:val="00A269A7"/>
    <w:rsid w:val="00A31277"/>
    <w:rsid w:val="00A33350"/>
    <w:rsid w:val="00A34428"/>
    <w:rsid w:val="00A44C1F"/>
    <w:rsid w:val="00A452F5"/>
    <w:rsid w:val="00A46DAF"/>
    <w:rsid w:val="00A47C58"/>
    <w:rsid w:val="00A529A1"/>
    <w:rsid w:val="00A52BA6"/>
    <w:rsid w:val="00A52F2C"/>
    <w:rsid w:val="00A54B3F"/>
    <w:rsid w:val="00A60500"/>
    <w:rsid w:val="00A61261"/>
    <w:rsid w:val="00A61FD4"/>
    <w:rsid w:val="00A63AA9"/>
    <w:rsid w:val="00A669E9"/>
    <w:rsid w:val="00A67D0F"/>
    <w:rsid w:val="00A8609D"/>
    <w:rsid w:val="00A86542"/>
    <w:rsid w:val="00A87F7C"/>
    <w:rsid w:val="00A908A5"/>
    <w:rsid w:val="00A91DAE"/>
    <w:rsid w:val="00A9633A"/>
    <w:rsid w:val="00AA46EA"/>
    <w:rsid w:val="00AA559B"/>
    <w:rsid w:val="00AA6EA4"/>
    <w:rsid w:val="00AB29C4"/>
    <w:rsid w:val="00AB60C4"/>
    <w:rsid w:val="00AC14F0"/>
    <w:rsid w:val="00AC2DF7"/>
    <w:rsid w:val="00AC548A"/>
    <w:rsid w:val="00AD5C59"/>
    <w:rsid w:val="00AE270B"/>
    <w:rsid w:val="00AE5064"/>
    <w:rsid w:val="00AE5365"/>
    <w:rsid w:val="00AE55CB"/>
    <w:rsid w:val="00AE71DB"/>
    <w:rsid w:val="00AF3FDF"/>
    <w:rsid w:val="00AF5069"/>
    <w:rsid w:val="00AF564E"/>
    <w:rsid w:val="00B01326"/>
    <w:rsid w:val="00B0164D"/>
    <w:rsid w:val="00B019F5"/>
    <w:rsid w:val="00B02152"/>
    <w:rsid w:val="00B04CC4"/>
    <w:rsid w:val="00B04F4E"/>
    <w:rsid w:val="00B052BC"/>
    <w:rsid w:val="00B05BCA"/>
    <w:rsid w:val="00B05CB2"/>
    <w:rsid w:val="00B05F14"/>
    <w:rsid w:val="00B146C7"/>
    <w:rsid w:val="00B222AE"/>
    <w:rsid w:val="00B22D6C"/>
    <w:rsid w:val="00B31B65"/>
    <w:rsid w:val="00B33B98"/>
    <w:rsid w:val="00B349F7"/>
    <w:rsid w:val="00B3578A"/>
    <w:rsid w:val="00B422E2"/>
    <w:rsid w:val="00B431EF"/>
    <w:rsid w:val="00B51ADD"/>
    <w:rsid w:val="00B553D8"/>
    <w:rsid w:val="00B569AD"/>
    <w:rsid w:val="00B56E34"/>
    <w:rsid w:val="00B57039"/>
    <w:rsid w:val="00B57263"/>
    <w:rsid w:val="00B6093A"/>
    <w:rsid w:val="00B62EAA"/>
    <w:rsid w:val="00B668D2"/>
    <w:rsid w:val="00B72C1F"/>
    <w:rsid w:val="00B73C5F"/>
    <w:rsid w:val="00B74177"/>
    <w:rsid w:val="00B76D53"/>
    <w:rsid w:val="00B82656"/>
    <w:rsid w:val="00B83704"/>
    <w:rsid w:val="00B90CC2"/>
    <w:rsid w:val="00B93330"/>
    <w:rsid w:val="00B96017"/>
    <w:rsid w:val="00B96778"/>
    <w:rsid w:val="00BA0EB4"/>
    <w:rsid w:val="00BA2BEC"/>
    <w:rsid w:val="00BA498C"/>
    <w:rsid w:val="00BA4E80"/>
    <w:rsid w:val="00BA56B6"/>
    <w:rsid w:val="00BB60A8"/>
    <w:rsid w:val="00BC2BF8"/>
    <w:rsid w:val="00BC3E88"/>
    <w:rsid w:val="00BC7EFD"/>
    <w:rsid w:val="00BD0BA4"/>
    <w:rsid w:val="00BD15B8"/>
    <w:rsid w:val="00BD1F78"/>
    <w:rsid w:val="00BD1FC3"/>
    <w:rsid w:val="00BE1259"/>
    <w:rsid w:val="00BE73A7"/>
    <w:rsid w:val="00BF0647"/>
    <w:rsid w:val="00BF0E5F"/>
    <w:rsid w:val="00BF33D3"/>
    <w:rsid w:val="00C00CEE"/>
    <w:rsid w:val="00C06624"/>
    <w:rsid w:val="00C10B17"/>
    <w:rsid w:val="00C117C2"/>
    <w:rsid w:val="00C11868"/>
    <w:rsid w:val="00C16188"/>
    <w:rsid w:val="00C22374"/>
    <w:rsid w:val="00C2276F"/>
    <w:rsid w:val="00C23FFB"/>
    <w:rsid w:val="00C2698A"/>
    <w:rsid w:val="00C308CC"/>
    <w:rsid w:val="00C30A7C"/>
    <w:rsid w:val="00C30E54"/>
    <w:rsid w:val="00C32BC8"/>
    <w:rsid w:val="00C34157"/>
    <w:rsid w:val="00C348C3"/>
    <w:rsid w:val="00C41CE3"/>
    <w:rsid w:val="00C41EAE"/>
    <w:rsid w:val="00C44CDE"/>
    <w:rsid w:val="00C515F8"/>
    <w:rsid w:val="00C5195C"/>
    <w:rsid w:val="00C52063"/>
    <w:rsid w:val="00C60D35"/>
    <w:rsid w:val="00C61427"/>
    <w:rsid w:val="00C62122"/>
    <w:rsid w:val="00C6411B"/>
    <w:rsid w:val="00C66CD2"/>
    <w:rsid w:val="00C72429"/>
    <w:rsid w:val="00C75D95"/>
    <w:rsid w:val="00C76049"/>
    <w:rsid w:val="00C770CC"/>
    <w:rsid w:val="00C770DB"/>
    <w:rsid w:val="00C80786"/>
    <w:rsid w:val="00C807F9"/>
    <w:rsid w:val="00C81852"/>
    <w:rsid w:val="00C81D03"/>
    <w:rsid w:val="00C830AA"/>
    <w:rsid w:val="00C83E2E"/>
    <w:rsid w:val="00C853F1"/>
    <w:rsid w:val="00C8640F"/>
    <w:rsid w:val="00C90C57"/>
    <w:rsid w:val="00C927C0"/>
    <w:rsid w:val="00C92A41"/>
    <w:rsid w:val="00CA629B"/>
    <w:rsid w:val="00CA67FB"/>
    <w:rsid w:val="00CA77CE"/>
    <w:rsid w:val="00CB0887"/>
    <w:rsid w:val="00CC1988"/>
    <w:rsid w:val="00CC19AA"/>
    <w:rsid w:val="00CC3865"/>
    <w:rsid w:val="00CC5C28"/>
    <w:rsid w:val="00CC6A6D"/>
    <w:rsid w:val="00CD01A6"/>
    <w:rsid w:val="00CD314C"/>
    <w:rsid w:val="00CD4E1A"/>
    <w:rsid w:val="00CD5D7A"/>
    <w:rsid w:val="00CD740C"/>
    <w:rsid w:val="00CE1BE6"/>
    <w:rsid w:val="00CE36B8"/>
    <w:rsid w:val="00CE4D5D"/>
    <w:rsid w:val="00CE6E37"/>
    <w:rsid w:val="00CE7334"/>
    <w:rsid w:val="00CF161B"/>
    <w:rsid w:val="00CF21E2"/>
    <w:rsid w:val="00CF4907"/>
    <w:rsid w:val="00CF7BA7"/>
    <w:rsid w:val="00D00EA8"/>
    <w:rsid w:val="00D01135"/>
    <w:rsid w:val="00D015C5"/>
    <w:rsid w:val="00D03455"/>
    <w:rsid w:val="00D05BF5"/>
    <w:rsid w:val="00D0705D"/>
    <w:rsid w:val="00D10173"/>
    <w:rsid w:val="00D14C73"/>
    <w:rsid w:val="00D21760"/>
    <w:rsid w:val="00D23BBE"/>
    <w:rsid w:val="00D27AF2"/>
    <w:rsid w:val="00D27DC8"/>
    <w:rsid w:val="00D32D8D"/>
    <w:rsid w:val="00D33266"/>
    <w:rsid w:val="00D33644"/>
    <w:rsid w:val="00D413DB"/>
    <w:rsid w:val="00D41D85"/>
    <w:rsid w:val="00D41E86"/>
    <w:rsid w:val="00D4220E"/>
    <w:rsid w:val="00D42316"/>
    <w:rsid w:val="00D427FC"/>
    <w:rsid w:val="00D44D3A"/>
    <w:rsid w:val="00D44F9B"/>
    <w:rsid w:val="00D45885"/>
    <w:rsid w:val="00D45961"/>
    <w:rsid w:val="00D45983"/>
    <w:rsid w:val="00D459BF"/>
    <w:rsid w:val="00D47231"/>
    <w:rsid w:val="00D47A53"/>
    <w:rsid w:val="00D52E6E"/>
    <w:rsid w:val="00D54B02"/>
    <w:rsid w:val="00D54B69"/>
    <w:rsid w:val="00D554CB"/>
    <w:rsid w:val="00D564B6"/>
    <w:rsid w:val="00D60680"/>
    <w:rsid w:val="00D61B4E"/>
    <w:rsid w:val="00D726C9"/>
    <w:rsid w:val="00D740C4"/>
    <w:rsid w:val="00D77B55"/>
    <w:rsid w:val="00D77F22"/>
    <w:rsid w:val="00D800EA"/>
    <w:rsid w:val="00D83991"/>
    <w:rsid w:val="00D83A75"/>
    <w:rsid w:val="00D848FF"/>
    <w:rsid w:val="00D86515"/>
    <w:rsid w:val="00D92DBF"/>
    <w:rsid w:val="00D942F0"/>
    <w:rsid w:val="00D95DA1"/>
    <w:rsid w:val="00D9704A"/>
    <w:rsid w:val="00DA2837"/>
    <w:rsid w:val="00DA2C69"/>
    <w:rsid w:val="00DA3DE8"/>
    <w:rsid w:val="00DA4A1F"/>
    <w:rsid w:val="00DB0341"/>
    <w:rsid w:val="00DB1144"/>
    <w:rsid w:val="00DB1A6E"/>
    <w:rsid w:val="00DB3373"/>
    <w:rsid w:val="00DB3ACE"/>
    <w:rsid w:val="00DB4415"/>
    <w:rsid w:val="00DB662D"/>
    <w:rsid w:val="00DB6793"/>
    <w:rsid w:val="00DC4310"/>
    <w:rsid w:val="00DC69A7"/>
    <w:rsid w:val="00DC7E56"/>
    <w:rsid w:val="00DD027C"/>
    <w:rsid w:val="00DD07D3"/>
    <w:rsid w:val="00DD19A1"/>
    <w:rsid w:val="00DD1ADD"/>
    <w:rsid w:val="00DD2557"/>
    <w:rsid w:val="00DE0934"/>
    <w:rsid w:val="00DE105F"/>
    <w:rsid w:val="00DE2090"/>
    <w:rsid w:val="00DE658A"/>
    <w:rsid w:val="00DE6720"/>
    <w:rsid w:val="00DF0BEC"/>
    <w:rsid w:val="00DF47DD"/>
    <w:rsid w:val="00DF6599"/>
    <w:rsid w:val="00DF73FE"/>
    <w:rsid w:val="00DF7AC0"/>
    <w:rsid w:val="00E01478"/>
    <w:rsid w:val="00E01655"/>
    <w:rsid w:val="00E01E5D"/>
    <w:rsid w:val="00E04274"/>
    <w:rsid w:val="00E11DC5"/>
    <w:rsid w:val="00E12295"/>
    <w:rsid w:val="00E20C05"/>
    <w:rsid w:val="00E22B62"/>
    <w:rsid w:val="00E2632C"/>
    <w:rsid w:val="00E31C4A"/>
    <w:rsid w:val="00E377AB"/>
    <w:rsid w:val="00E40AE7"/>
    <w:rsid w:val="00E41741"/>
    <w:rsid w:val="00E42612"/>
    <w:rsid w:val="00E458D6"/>
    <w:rsid w:val="00E53A1D"/>
    <w:rsid w:val="00E560DE"/>
    <w:rsid w:val="00E56786"/>
    <w:rsid w:val="00E63C72"/>
    <w:rsid w:val="00E66114"/>
    <w:rsid w:val="00E67CC2"/>
    <w:rsid w:val="00E720E0"/>
    <w:rsid w:val="00E735DF"/>
    <w:rsid w:val="00E77782"/>
    <w:rsid w:val="00E77DC4"/>
    <w:rsid w:val="00E84161"/>
    <w:rsid w:val="00E854ED"/>
    <w:rsid w:val="00E8595D"/>
    <w:rsid w:val="00E86E90"/>
    <w:rsid w:val="00E913DD"/>
    <w:rsid w:val="00E91D89"/>
    <w:rsid w:val="00E94946"/>
    <w:rsid w:val="00E957DC"/>
    <w:rsid w:val="00E96F22"/>
    <w:rsid w:val="00EA2BEB"/>
    <w:rsid w:val="00EA35ED"/>
    <w:rsid w:val="00EA7259"/>
    <w:rsid w:val="00EA7F9E"/>
    <w:rsid w:val="00EB1926"/>
    <w:rsid w:val="00EB2560"/>
    <w:rsid w:val="00EB44D6"/>
    <w:rsid w:val="00EB5268"/>
    <w:rsid w:val="00EB5BA6"/>
    <w:rsid w:val="00EB5CE9"/>
    <w:rsid w:val="00EB69EC"/>
    <w:rsid w:val="00EB7D02"/>
    <w:rsid w:val="00EC0D33"/>
    <w:rsid w:val="00EC243C"/>
    <w:rsid w:val="00EC3D5E"/>
    <w:rsid w:val="00EC5C8F"/>
    <w:rsid w:val="00ED3252"/>
    <w:rsid w:val="00ED625C"/>
    <w:rsid w:val="00EE1A96"/>
    <w:rsid w:val="00EE3359"/>
    <w:rsid w:val="00EE6CEB"/>
    <w:rsid w:val="00EF2329"/>
    <w:rsid w:val="00EF3750"/>
    <w:rsid w:val="00EF3AD0"/>
    <w:rsid w:val="00EF51D9"/>
    <w:rsid w:val="00EF6670"/>
    <w:rsid w:val="00EF7867"/>
    <w:rsid w:val="00F007F5"/>
    <w:rsid w:val="00F034DE"/>
    <w:rsid w:val="00F050C5"/>
    <w:rsid w:val="00F105BB"/>
    <w:rsid w:val="00F11D13"/>
    <w:rsid w:val="00F15BC0"/>
    <w:rsid w:val="00F22E11"/>
    <w:rsid w:val="00F245AA"/>
    <w:rsid w:val="00F32201"/>
    <w:rsid w:val="00F346F0"/>
    <w:rsid w:val="00F34780"/>
    <w:rsid w:val="00F42462"/>
    <w:rsid w:val="00F429FB"/>
    <w:rsid w:val="00F42C07"/>
    <w:rsid w:val="00F43025"/>
    <w:rsid w:val="00F43CA0"/>
    <w:rsid w:val="00F479AC"/>
    <w:rsid w:val="00F47AC0"/>
    <w:rsid w:val="00F50C5F"/>
    <w:rsid w:val="00F537E6"/>
    <w:rsid w:val="00F54C72"/>
    <w:rsid w:val="00F5586D"/>
    <w:rsid w:val="00F56F36"/>
    <w:rsid w:val="00F579C1"/>
    <w:rsid w:val="00F605C6"/>
    <w:rsid w:val="00F61705"/>
    <w:rsid w:val="00F75A94"/>
    <w:rsid w:val="00F7643C"/>
    <w:rsid w:val="00F866DF"/>
    <w:rsid w:val="00F875C5"/>
    <w:rsid w:val="00F87BB1"/>
    <w:rsid w:val="00F91449"/>
    <w:rsid w:val="00F91525"/>
    <w:rsid w:val="00F93A2D"/>
    <w:rsid w:val="00F945F2"/>
    <w:rsid w:val="00F9606C"/>
    <w:rsid w:val="00F96E1E"/>
    <w:rsid w:val="00F973C9"/>
    <w:rsid w:val="00FA017F"/>
    <w:rsid w:val="00FA5652"/>
    <w:rsid w:val="00FA614A"/>
    <w:rsid w:val="00FA66DE"/>
    <w:rsid w:val="00FB1DF1"/>
    <w:rsid w:val="00FB2DEF"/>
    <w:rsid w:val="00FB4149"/>
    <w:rsid w:val="00FB57F6"/>
    <w:rsid w:val="00FB7D78"/>
    <w:rsid w:val="00FC429A"/>
    <w:rsid w:val="00FC451B"/>
    <w:rsid w:val="00FC4EB6"/>
    <w:rsid w:val="00FC52B0"/>
    <w:rsid w:val="00FC6596"/>
    <w:rsid w:val="00FC69D4"/>
    <w:rsid w:val="00FD1348"/>
    <w:rsid w:val="00FD4B23"/>
    <w:rsid w:val="00FE15C5"/>
    <w:rsid w:val="00FE1DB5"/>
    <w:rsid w:val="00FE1F54"/>
    <w:rsid w:val="00FE5BA5"/>
    <w:rsid w:val="00FE7174"/>
    <w:rsid w:val="00FF018C"/>
    <w:rsid w:val="00FF0713"/>
    <w:rsid w:val="00FF1DC6"/>
    <w:rsid w:val="00FF6F97"/>
    <w:rsid w:val="00FF7089"/>
    <w:rsid w:val="02572AE5"/>
    <w:rsid w:val="04C11975"/>
    <w:rsid w:val="1417548E"/>
    <w:rsid w:val="1C5D1159"/>
    <w:rsid w:val="21D87D2C"/>
    <w:rsid w:val="28F15B95"/>
    <w:rsid w:val="2D8B2DA5"/>
    <w:rsid w:val="3076689D"/>
    <w:rsid w:val="30A14707"/>
    <w:rsid w:val="33C47354"/>
    <w:rsid w:val="3A2A1B78"/>
    <w:rsid w:val="3A34222E"/>
    <w:rsid w:val="3AC577F8"/>
    <w:rsid w:val="445D6CC1"/>
    <w:rsid w:val="4712320E"/>
    <w:rsid w:val="49B61922"/>
    <w:rsid w:val="4E0C1ED3"/>
    <w:rsid w:val="517E0914"/>
    <w:rsid w:val="51871A66"/>
    <w:rsid w:val="5ABC6C31"/>
    <w:rsid w:val="5EAD581F"/>
    <w:rsid w:val="609D7491"/>
    <w:rsid w:val="62314002"/>
    <w:rsid w:val="63144C62"/>
    <w:rsid w:val="6711676C"/>
    <w:rsid w:val="6AFB7204"/>
    <w:rsid w:val="70344EA3"/>
    <w:rsid w:val="71C852BA"/>
    <w:rsid w:val="72031E6D"/>
    <w:rsid w:val="77E115E1"/>
    <w:rsid w:val="7A202602"/>
    <w:rsid w:val="7DD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ind w:firstLine="0" w:firstLineChars="0"/>
      <w:jc w:val="left"/>
      <w:outlineLvl w:val="2"/>
    </w:pPr>
    <w:rPr>
      <w:b/>
      <w:bCs/>
      <w:szCs w:val="3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39"/>
    <w:pPr>
      <w:ind w:left="1800"/>
      <w:jc w:val="left"/>
    </w:pPr>
    <w:rPr>
      <w:sz w:val="18"/>
      <w:szCs w:val="18"/>
    </w:rPr>
  </w:style>
  <w:style w:type="paragraph" w:styleId="6">
    <w:name w:val="Document Map"/>
    <w:basedOn w:val="1"/>
    <w:link w:val="35"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2"/>
    <w:unhideWhenUsed/>
    <w:qFormat/>
    <w:uiPriority w:val="99"/>
    <w:pPr>
      <w:jc w:val="left"/>
    </w:pPr>
  </w:style>
  <w:style w:type="paragraph" w:styleId="8">
    <w:name w:val="toc 5"/>
    <w:basedOn w:val="1"/>
    <w:next w:val="1"/>
    <w:qFormat/>
    <w:uiPriority w:val="39"/>
    <w:pPr>
      <w:ind w:left="1200"/>
      <w:jc w:val="left"/>
    </w:pPr>
    <w:rPr>
      <w:sz w:val="18"/>
      <w:szCs w:val="18"/>
    </w:rPr>
  </w:style>
  <w:style w:type="paragraph" w:styleId="9">
    <w:name w:val="toc 3"/>
    <w:basedOn w:val="1"/>
    <w:next w:val="1"/>
    <w:qFormat/>
    <w:uiPriority w:val="39"/>
    <w:pPr>
      <w:spacing w:line="300" w:lineRule="exact"/>
      <w:ind w:left="567"/>
      <w:jc w:val="left"/>
    </w:pPr>
    <w:rPr>
      <w:iCs/>
      <w:sz w:val="28"/>
      <w:szCs w:val="20"/>
    </w:rPr>
  </w:style>
  <w:style w:type="paragraph" w:styleId="10">
    <w:name w:val="toc 8"/>
    <w:basedOn w:val="1"/>
    <w:next w:val="1"/>
    <w:qFormat/>
    <w:uiPriority w:val="39"/>
    <w:pPr>
      <w:ind w:left="2100"/>
      <w:jc w:val="left"/>
    </w:pPr>
    <w:rPr>
      <w:sz w:val="18"/>
      <w:szCs w:val="18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rFonts w:eastAsia="宋体"/>
      <w:sz w:val="21"/>
    </w:r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8"/>
      <w:szCs w:val="20"/>
    </w:rPr>
  </w:style>
  <w:style w:type="paragraph" w:styleId="16">
    <w:name w:val="toc 4"/>
    <w:basedOn w:val="1"/>
    <w:next w:val="1"/>
    <w:qFormat/>
    <w:uiPriority w:val="39"/>
    <w:pPr>
      <w:tabs>
        <w:tab w:val="right" w:leader="dot" w:pos="8693"/>
      </w:tabs>
      <w:spacing w:line="300" w:lineRule="exact"/>
      <w:ind w:left="902"/>
      <w:jc w:val="left"/>
    </w:pPr>
    <w:rPr>
      <w:sz w:val="28"/>
      <w:szCs w:val="18"/>
    </w:rPr>
  </w:style>
  <w:style w:type="paragraph" w:styleId="17">
    <w:name w:val="toc 6"/>
    <w:basedOn w:val="1"/>
    <w:next w:val="1"/>
    <w:qFormat/>
    <w:uiPriority w:val="39"/>
    <w:pPr>
      <w:ind w:left="150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spacing w:line="300" w:lineRule="exact"/>
      <w:jc w:val="left"/>
    </w:pPr>
    <w:rPr>
      <w:smallCaps/>
      <w:sz w:val="28"/>
      <w:szCs w:val="20"/>
    </w:rPr>
  </w:style>
  <w:style w:type="paragraph" w:styleId="19">
    <w:name w:val="toc 9"/>
    <w:basedOn w:val="1"/>
    <w:next w:val="1"/>
    <w:qFormat/>
    <w:uiPriority w:val="39"/>
    <w:pPr>
      <w:ind w:left="2400"/>
      <w:jc w:val="left"/>
    </w:pPr>
    <w:rPr>
      <w:sz w:val="18"/>
      <w:szCs w:val="18"/>
    </w:rPr>
  </w:style>
  <w:style w:type="paragraph" w:styleId="20">
    <w:name w:val="Title"/>
    <w:basedOn w:val="1"/>
    <w:next w:val="1"/>
    <w:link w:val="28"/>
    <w:qFormat/>
    <w:uiPriority w:val="10"/>
    <w:pPr>
      <w:jc w:val="left"/>
      <w:outlineLvl w:val="3"/>
    </w:pPr>
    <w:rPr>
      <w:rFonts w:ascii="Cambria" w:hAnsi="Cambria"/>
      <w:bCs/>
      <w:szCs w:val="32"/>
    </w:rPr>
  </w:style>
  <w:style w:type="paragraph" w:styleId="21">
    <w:name w:val="annotation subject"/>
    <w:basedOn w:val="7"/>
    <w:next w:val="7"/>
    <w:link w:val="34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basedOn w:val="24"/>
    <w:unhideWhenUsed/>
    <w:qFormat/>
    <w:uiPriority w:val="99"/>
    <w:rPr>
      <w:sz w:val="21"/>
      <w:szCs w:val="21"/>
    </w:rPr>
  </w:style>
  <w:style w:type="character" w:customStyle="1" w:styleId="28">
    <w:name w:val="标题 Char"/>
    <w:basedOn w:val="24"/>
    <w:link w:val="20"/>
    <w:qFormat/>
    <w:uiPriority w:val="10"/>
    <w:rPr>
      <w:rFonts w:ascii="Cambria" w:hAnsi="Cambria" w:eastAsia="仿宋_GB2312" w:cs="Times New Roman"/>
      <w:bCs/>
      <w:kern w:val="2"/>
      <w:sz w:val="24"/>
      <w:szCs w:val="32"/>
    </w:rPr>
  </w:style>
  <w:style w:type="character" w:customStyle="1" w:styleId="29">
    <w:name w:val="批注框文本 Char"/>
    <w:link w:val="12"/>
    <w:qFormat/>
    <w:uiPriority w:val="0"/>
    <w:rPr>
      <w:rFonts w:eastAsia="仿宋_GB2312"/>
      <w:kern w:val="2"/>
      <w:sz w:val="18"/>
      <w:szCs w:val="18"/>
    </w:rPr>
  </w:style>
  <w:style w:type="character" w:customStyle="1" w:styleId="30">
    <w:name w:val="页脚 Char"/>
    <w:link w:val="13"/>
    <w:qFormat/>
    <w:uiPriority w:val="99"/>
    <w:rPr>
      <w:rFonts w:eastAsia="仿宋_GB2312"/>
      <w:kern w:val="2"/>
      <w:sz w:val="18"/>
      <w:szCs w:val="18"/>
    </w:rPr>
  </w:style>
  <w:style w:type="character" w:customStyle="1" w:styleId="31">
    <w:name w:val="apple-converted-space"/>
    <w:basedOn w:val="24"/>
    <w:qFormat/>
    <w:uiPriority w:val="0"/>
  </w:style>
  <w:style w:type="character" w:customStyle="1" w:styleId="32">
    <w:name w:val="批注文字 Char"/>
    <w:basedOn w:val="24"/>
    <w:link w:val="7"/>
    <w:semiHidden/>
    <w:qFormat/>
    <w:uiPriority w:val="99"/>
    <w:rPr>
      <w:rFonts w:eastAsia="仿宋_GB2312"/>
      <w:kern w:val="2"/>
      <w:sz w:val="24"/>
      <w:szCs w:val="24"/>
    </w:rPr>
  </w:style>
  <w:style w:type="character" w:customStyle="1" w:styleId="33">
    <w:name w:val="页眉 Char"/>
    <w:link w:val="14"/>
    <w:qFormat/>
    <w:uiPriority w:val="0"/>
    <w:rPr>
      <w:rFonts w:eastAsia="仿宋_GB2312"/>
      <w:kern w:val="2"/>
      <w:sz w:val="18"/>
      <w:szCs w:val="18"/>
    </w:rPr>
  </w:style>
  <w:style w:type="character" w:customStyle="1" w:styleId="34">
    <w:name w:val="批注主题 Char"/>
    <w:basedOn w:val="32"/>
    <w:link w:val="21"/>
    <w:semiHidden/>
    <w:qFormat/>
    <w:uiPriority w:val="99"/>
    <w:rPr>
      <w:rFonts w:eastAsia="仿宋_GB2312"/>
      <w:b/>
      <w:bCs/>
      <w:kern w:val="2"/>
      <w:sz w:val="24"/>
      <w:szCs w:val="24"/>
    </w:rPr>
  </w:style>
  <w:style w:type="character" w:customStyle="1" w:styleId="35">
    <w:name w:val="文档结构图 Char"/>
    <w:basedOn w:val="24"/>
    <w:link w:val="6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36">
    <w:name w:val="_Style 1"/>
    <w:basedOn w:val="1"/>
    <w:qFormat/>
    <w:uiPriority w:val="0"/>
    <w:rPr>
      <w:rFonts w:eastAsia="宋体"/>
      <w:sz w:val="21"/>
    </w:rPr>
  </w:style>
  <w:style w:type="paragraph" w:styleId="37">
    <w:name w:val="No Spacing"/>
    <w:qFormat/>
    <w:uiPriority w:val="1"/>
    <w:pPr>
      <w:widowControl w:val="0"/>
      <w:spacing w:line="360" w:lineRule="auto"/>
      <w:ind w:firstLine="200" w:firstLineChars="200"/>
      <w:outlineLvl w:val="2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38">
    <w:name w:val="TOC Heading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mbria" w:hAnsi="Cambria" w:eastAsia="宋体"/>
      <w:color w:val="365F91"/>
      <w:kern w:val="0"/>
      <w:szCs w:val="28"/>
    </w:rPr>
  </w:style>
  <w:style w:type="paragraph" w:customStyle="1" w:styleId="39">
    <w:name w:val="列出段落1"/>
    <w:basedOn w:val="1"/>
    <w:qFormat/>
    <w:uiPriority w:val="34"/>
    <w:pPr>
      <w:ind w:firstLine="420"/>
    </w:pPr>
  </w:style>
  <w:style w:type="paragraph" w:styleId="40">
    <w:name w:val="List Paragraph"/>
    <w:basedOn w:val="1"/>
    <w:qFormat/>
    <w:uiPriority w:val="34"/>
    <w:pPr>
      <w:ind w:firstLine="420"/>
    </w:pPr>
  </w:style>
  <w:style w:type="paragraph" w:customStyle="1" w:styleId="41">
    <w:name w:val="Revision"/>
    <w:semiHidden/>
    <w:qFormat/>
    <w:uiPriority w:val="99"/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42">
    <w:name w:val="标题 2 Char"/>
    <w:basedOn w:val="24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42E6F5-C633-4B15-917B-8A4A2F076E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12</Pages>
  <Words>2012</Words>
  <Characters>2102</Characters>
  <Lines>68</Lines>
  <Paragraphs>19</Paragraphs>
  <TotalTime>30</TotalTime>
  <ScaleCrop>false</ScaleCrop>
  <LinksUpToDate>false</LinksUpToDate>
  <CharactersWithSpaces>2197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2017-03-14T02:32:00Z</dcterms:created>
  <dc:creator>lhn</dc:creator>
  <cp:lastModifiedBy>lovelife</cp:lastModifiedBy>
  <cp:lastPrinted>2015-12-10T09:13:00Z</cp:lastPrinted>
  <dcterms:modified xsi:type="dcterms:W3CDTF">2025-02-12T03:05:54Z</dcterms:modified>
  <dc:title>财政支出绩效评价报告</dc:title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eyJoZGlkIjoiNjIzNWNjMjZkMzAxMzE3Y2FlN2ZmYjg5ZThkNDU3OWYiLCJ1c2VySWQiOiI1NjM2NjUzNzEifQ==</vt:lpwstr>
  </property>
  <property fmtid="{D5CDD505-2E9C-101B-9397-08002B2CF9AE}" pid="4" name="ICV">
    <vt:lpwstr>DFAC7F92C41B441A826E363391444FEF_12</vt:lpwstr>
  </property>
</Properties>
</file>