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E3859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07A46197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23D52578">
      <w:pPr>
        <w:ind w:firstLine="0" w:firstLineChars="0"/>
        <w:jc w:val="center"/>
        <w:rPr>
          <w:rFonts w:ascii="仿宋" w:hAnsi="仿宋" w:eastAsia="仿宋"/>
          <w:b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highlight w:val="none"/>
        </w:rPr>
        <w:t>武汉经济技术开发区（汉南区）行政审批局</w:t>
      </w:r>
    </w:p>
    <w:p w14:paraId="2A2FE397">
      <w:pPr>
        <w:ind w:firstLine="0" w:firstLineChars="0"/>
        <w:jc w:val="center"/>
        <w:rPr>
          <w:rFonts w:hint="default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  <w:t>专家评审费</w:t>
      </w:r>
    </w:p>
    <w:p w14:paraId="6E029589">
      <w:pPr>
        <w:ind w:firstLine="0" w:firstLineChars="0"/>
        <w:jc w:val="center"/>
        <w:rPr>
          <w:rFonts w:ascii="仿宋" w:hAnsi="仿宋" w:eastAsia="仿宋"/>
          <w:b/>
          <w:bCs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</w:rPr>
        <w:t>2018年度绩效评价报告</w:t>
      </w:r>
    </w:p>
    <w:p w14:paraId="1461A3C7">
      <w:pPr>
        <w:ind w:firstLine="480"/>
        <w:rPr>
          <w:highlight w:val="none"/>
        </w:rPr>
      </w:pPr>
    </w:p>
    <w:p w14:paraId="00FE39EB">
      <w:pPr>
        <w:ind w:firstLine="480"/>
        <w:rPr>
          <w:highlight w:val="none"/>
        </w:rPr>
      </w:pPr>
    </w:p>
    <w:p w14:paraId="5B4EA1DA">
      <w:pPr>
        <w:ind w:firstLine="480"/>
        <w:rPr>
          <w:highlight w:val="none"/>
        </w:rPr>
      </w:pPr>
    </w:p>
    <w:p w14:paraId="003908FD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1FAD9F88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525F3D93">
      <w:pPr>
        <w:widowControl/>
        <w:spacing w:line="480" w:lineRule="auto"/>
        <w:ind w:right="-192" w:rightChars="-80" w:firstLine="790" w:firstLineChars="246"/>
        <w:jc w:val="left"/>
        <w:rPr>
          <w:rFonts w:hint="default" w:eastAsia="仿宋_GB2312"/>
          <w:b/>
          <w:bCs/>
          <w:sz w:val="32"/>
          <w:szCs w:val="32"/>
          <w:highlight w:val="none"/>
          <w:lang w:val="en-US" w:eastAsia="zh-CN"/>
        </w:rPr>
      </w:pPr>
      <w:r>
        <w:rPr>
          <w:b/>
          <w:bCs/>
          <w:kern w:val="32"/>
          <w:sz w:val="32"/>
          <w:highlight w:val="none"/>
          <w:lang w:bidi="he-IL"/>
        </w:rPr>
        <w:t>项目名称：</w:t>
      </w: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专家评审费</w:t>
      </w:r>
    </w:p>
    <w:p w14:paraId="6E9735A0">
      <w:pPr>
        <w:widowControl/>
        <w:spacing w:line="480" w:lineRule="auto"/>
        <w:ind w:right="-192" w:rightChars="-80"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项目单位：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3DBBE1BC">
      <w:pPr>
        <w:widowControl/>
        <w:spacing w:line="480" w:lineRule="auto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  <w:r>
        <w:rPr>
          <w:b/>
          <w:bCs/>
          <w:kern w:val="32"/>
          <w:sz w:val="32"/>
          <w:highlight w:val="none"/>
          <w:lang w:bidi="he-IL"/>
        </w:rPr>
        <w:t>主管部门：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3C17A272">
      <w:pPr>
        <w:widowControl/>
        <w:spacing w:line="480" w:lineRule="auto"/>
        <w:ind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评价机构：</w:t>
      </w:r>
      <w:r>
        <w:rPr>
          <w:rFonts w:hint="eastAsia"/>
          <w:b/>
          <w:bCs/>
          <w:sz w:val="32"/>
          <w:szCs w:val="32"/>
          <w:highlight w:val="none"/>
        </w:rPr>
        <w:t>湖北正大会计师事务有限责任公司</w:t>
      </w:r>
    </w:p>
    <w:p w14:paraId="4CB7CAE7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654BBAA1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3072B05B">
      <w:pPr>
        <w:spacing w:line="800" w:lineRule="exact"/>
        <w:ind w:firstLine="0" w:firstLineChars="0"/>
        <w:jc w:val="center"/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二〇</w:t>
      </w:r>
      <w:r>
        <w:rPr>
          <w:rFonts w:hint="eastAsia"/>
          <w:b/>
          <w:bCs/>
          <w:sz w:val="32"/>
          <w:szCs w:val="32"/>
          <w:highlight w:val="none"/>
        </w:rPr>
        <w:t>一九</w:t>
      </w:r>
      <w:r>
        <w:rPr>
          <w:b/>
          <w:bCs/>
          <w:sz w:val="32"/>
          <w:szCs w:val="32"/>
          <w:highlight w:val="none"/>
        </w:rPr>
        <w:t>年</w:t>
      </w:r>
      <w:r>
        <w:rPr>
          <w:rFonts w:hint="eastAsia"/>
          <w:b/>
          <w:bCs/>
          <w:sz w:val="32"/>
          <w:szCs w:val="32"/>
          <w:highlight w:val="none"/>
        </w:rPr>
        <w:t>七</w:t>
      </w:r>
      <w:r>
        <w:rPr>
          <w:b/>
          <w:bCs/>
          <w:sz w:val="32"/>
          <w:szCs w:val="32"/>
          <w:highlight w:val="none"/>
        </w:rPr>
        <w:t>月</w:t>
      </w:r>
    </w:p>
    <w:p w14:paraId="4F8D0089">
      <w:pPr>
        <w:pStyle w:val="15"/>
        <w:tabs>
          <w:tab w:val="right" w:leader="dot" w:pos="8693"/>
        </w:tabs>
        <w:ind w:firstLine="0" w:firstLineChars="0"/>
        <w:rPr>
          <w:rFonts w:ascii="Arial Narrow" w:hAnsi="Arial Narrow" w:cs="Arial Narrow"/>
          <w:bCs w:val="0"/>
          <w:caps w:val="0"/>
          <w:sz w:val="32"/>
          <w:szCs w:val="32"/>
          <w:highlight w:val="none"/>
        </w:rPr>
      </w:pPr>
    </w:p>
    <w:sdt>
      <w:sdt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  <w:id w:val="-1191839909"/>
        <w:docPartObj>
          <w:docPartGallery w:val="Table of Contents"/>
          <w:docPartUnique/>
        </w:docPartObj>
      </w:sdtPr>
      <w:sdtEnd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</w:sdtEndPr>
      <w:sdtContent>
        <w:p w14:paraId="6C3CD406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b/>
              <w:bCs/>
              <w:sz w:val="28"/>
              <w:szCs w:val="28"/>
            </w:rPr>
            <w:t>目录</w:t>
          </w:r>
        </w:p>
        <w:p w14:paraId="5B8F752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instrText xml:space="preserve"> TOC \o "1-3" \h \z \u </w:instrText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separate"/>
          </w:r>
          <w:r>
            <w:rPr>
              <w:rFonts w:ascii="仿宋" w:hAnsi="仿宋" w:eastAsia="仿宋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Cs w:val="24"/>
              <w:highlight w:val="none"/>
            </w:rPr>
            <w:instrText xml:space="preserve"> HYPERLINK \l _Toc913 </w:instrText>
          </w:r>
          <w:r>
            <w:rPr>
              <w:rFonts w:ascii="仿宋" w:hAnsi="仿宋" w:eastAsia="仿宋"/>
              <w:szCs w:val="24"/>
              <w:highlight w:val="none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一、</w:t>
          </w:r>
          <w:r>
            <w:rPr>
              <w:rFonts w:hint="eastAsia" w:ascii="仿宋" w:hAnsi="仿宋" w:eastAsia="仿宋" w:cs="仿宋"/>
              <w:szCs w:val="32"/>
              <w:highlight w:val="none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_Toc913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szCs w:val="24"/>
              <w:highlight w:val="none"/>
            </w:rPr>
            <w:fldChar w:fldCharType="end"/>
          </w:r>
        </w:p>
        <w:p w14:paraId="46E7627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_Toc10917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</w:t>
          </w:r>
          <w:r>
            <w:rPr>
              <w:rFonts w:hint="eastAsia" w:ascii="仿宋" w:hAnsi="仿宋" w:eastAsia="仿宋" w:cs="Arial Narrow"/>
              <w:szCs w:val="28"/>
              <w:highlight w:val="none"/>
            </w:rPr>
            <w:t>基本情况</w:t>
          </w:r>
          <w:r>
            <w:tab/>
          </w:r>
          <w:r>
            <w:fldChar w:fldCharType="begin"/>
          </w:r>
          <w:r>
            <w:instrText xml:space="preserve"> PAGEREF _Toc10917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AA9AE7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_Toc24897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1、项目基本情况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_Toc24897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1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386BC6E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_Toc23377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2、绩效评价工作情况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_Toc23377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1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4B9DEB6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_Toc28457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（二）绩效评价结论</w:t>
          </w:r>
          <w:r>
            <w:tab/>
          </w:r>
          <w:r>
            <w:fldChar w:fldCharType="begin"/>
          </w:r>
          <w:r>
            <w:instrText xml:space="preserve"> PAGEREF _Toc28457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7266E86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_Toc23165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（三）项目经验与问题</w:t>
          </w:r>
          <w:r>
            <w:tab/>
          </w:r>
          <w:r>
            <w:fldChar w:fldCharType="begin"/>
          </w:r>
          <w:r>
            <w:instrText xml:space="preserve"> PAGEREF _Toc23165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7BC148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_Toc3671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（四）建议</w:t>
          </w:r>
          <w:r>
            <w:tab/>
          </w:r>
          <w:r>
            <w:fldChar w:fldCharType="begin"/>
          </w:r>
          <w:r>
            <w:instrText xml:space="preserve"> PAGEREF _Toc3671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271066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_Toc25220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二、正文</w:t>
          </w:r>
          <w:r>
            <w:tab/>
          </w:r>
          <w:r>
            <w:fldChar w:fldCharType="begin"/>
          </w:r>
          <w:r>
            <w:instrText xml:space="preserve"> PAGEREF _Toc25220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734AB2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_Toc31636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（一）项目基本情况</w:t>
          </w:r>
          <w:r>
            <w:tab/>
          </w:r>
          <w:r>
            <w:fldChar w:fldCharType="begin"/>
          </w:r>
          <w:r>
            <w:instrText xml:space="preserve"> PAGEREF _Toc31636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4EDED8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_Toc26381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项目立项背景和依据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_Toc26381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3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0C998AA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_Toc23121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项目绩效目标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_Toc23121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3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17B4AE4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_Toc4709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项目经费来源和使用情况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_Toc4709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3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450229FE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_Toc23481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项目实施情况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_Toc23481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3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74D94F1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_Toc30078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（二）绩效评价工作情况</w:t>
          </w:r>
          <w:r>
            <w:tab/>
          </w:r>
          <w:r>
            <w:fldChar w:fldCharType="begin"/>
          </w:r>
          <w:r>
            <w:instrText xml:space="preserve"> PAGEREF _Toc30078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519924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_Toc10142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绩效评价目的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_Toc10142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3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45C80DB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_Toc12516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绩效评价工作过程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_Toc12516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3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02AC46C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_Toc7253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绩效评价框架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_Toc7253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4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497C5543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_Toc20900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评价抽样情况概述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_Toc20900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5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06D81947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_Toc25218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（三）绩效分析及评价结论</w:t>
          </w:r>
          <w:r>
            <w:tab/>
          </w:r>
          <w:r>
            <w:fldChar w:fldCharType="begin"/>
          </w:r>
          <w:r>
            <w:instrText xml:space="preserve"> PAGEREF _Toc25218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47DFF90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_Toc5754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绩效分析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_Toc5754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5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5A5A3C4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_Toc7176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评价结论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_Toc7176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9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6FCA9AB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_Toc26478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（四）主要经验及做法、存在的问题和建议</w:t>
          </w:r>
          <w:r>
            <w:tab/>
          </w:r>
          <w:r>
            <w:fldChar w:fldCharType="begin"/>
          </w:r>
          <w:r>
            <w:instrText xml:space="preserve"> PAGEREF _Toc26478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773755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_Toc28605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1、主要经验及做法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_Toc28605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9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1F3F343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_Toc23359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2、存在的问题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_Toc23359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9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438171B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_Toc32665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3、建议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_Toc32665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9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0727BC7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_Toc16725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（五）其他需说明的问题</w:t>
          </w:r>
          <w:r>
            <w:tab/>
          </w:r>
          <w:r>
            <w:fldChar w:fldCharType="begin"/>
          </w:r>
          <w:r>
            <w:instrText xml:space="preserve"> PAGEREF _Toc16725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EFFF5F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_Toc1397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关于评价责任的说明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_Toc1397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9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5875CAF6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_Toc7182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关于本项目评价中存在的局限性的说明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_Toc7182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9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2CC272AC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ind w:firstLine="482"/>
            <w:textAlignment w:val="auto"/>
            <w:rPr>
              <w:highlight w:val="none"/>
            </w:rPr>
            <w:sectPr>
              <w:headerReference r:id="rId7" w:type="first"/>
              <w:footerReference r:id="rId10" w:type="first"/>
              <w:headerReference r:id="rId5" w:type="default"/>
              <w:footerReference r:id="rId8" w:type="default"/>
              <w:headerReference r:id="rId6" w:type="even"/>
              <w:footerReference r:id="rId9" w:type="even"/>
              <w:type w:val="continuous"/>
              <w:pgSz w:w="11906" w:h="16838"/>
              <w:pgMar w:top="1361" w:right="1406" w:bottom="1089" w:left="1797" w:header="1361" w:footer="992" w:gutter="0"/>
              <w:pgNumType w:start="0"/>
              <w:cols w:space="720" w:num="1"/>
              <w:docGrid w:type="lines" w:linePitch="408" w:charSpace="0"/>
            </w:sectPr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</w:sdtContent>
    </w:sdt>
    <w:p w14:paraId="5FE3D68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sz w:val="32"/>
          <w:szCs w:val="32"/>
          <w:highlight w:val="none"/>
        </w:rPr>
      </w:pPr>
      <w:bookmarkStart w:id="0" w:name="_Toc913"/>
      <w:bookmarkStart w:id="1" w:name="_Toc14165722"/>
      <w:bookmarkStart w:id="2" w:name="_Toc406668024"/>
      <w:bookmarkStart w:id="3" w:name="_Toc406666351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摘要</w:t>
      </w:r>
      <w:bookmarkEnd w:id="0"/>
      <w:bookmarkEnd w:id="1"/>
    </w:p>
    <w:p w14:paraId="6C3F0E0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</w:rPr>
      </w:pPr>
      <w:bookmarkStart w:id="4" w:name="_Toc10917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Arial Narrow"/>
          <w:sz w:val="28"/>
          <w:szCs w:val="28"/>
          <w:highlight w:val="none"/>
        </w:rPr>
        <w:t>基本情况</w:t>
      </w:r>
      <w:bookmarkEnd w:id="4"/>
    </w:p>
    <w:p w14:paraId="5C56048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5" w:name="_Toc2489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1、项目基本情况</w:t>
      </w:r>
      <w:bookmarkEnd w:id="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 xml:space="preserve">  </w:t>
      </w:r>
    </w:p>
    <w:p w14:paraId="209CEECF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（1）项目名称：专家评审费</w:t>
      </w:r>
    </w:p>
    <w:p w14:paraId="61C27C12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（2）项目预算金额：300.00万元</w:t>
      </w:r>
    </w:p>
    <w:p w14:paraId="0885016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6" w:name="_Toc2337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2、绩效评价工作情况</w:t>
      </w:r>
      <w:bookmarkEnd w:id="6"/>
    </w:p>
    <w:p w14:paraId="5C2F6A08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；绩效评价指标是指衡量绩效目标实现程度的考核工具，具体分为共性指标和个性指标；绩效评价方法主要采用成本效益分析法、比较法、因素分析法、最低成本法、公评判法及其他评价方法等。</w:t>
      </w:r>
    </w:p>
    <w:p w14:paraId="2CA3286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7" w:name="_Toc28457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（二）绩效评价结论</w:t>
      </w:r>
      <w:bookmarkEnd w:id="7"/>
    </w:p>
    <w:tbl>
      <w:tblPr>
        <w:tblStyle w:val="23"/>
        <w:tblW w:w="8363" w:type="dxa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2132"/>
        <w:gridCol w:w="2126"/>
        <w:gridCol w:w="2126"/>
      </w:tblGrid>
      <w:tr w14:paraId="255D4D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27022D9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评价准则</w:t>
            </w:r>
          </w:p>
        </w:tc>
        <w:tc>
          <w:tcPr>
            <w:tcW w:w="2132" w:type="dxa"/>
          </w:tcPr>
          <w:p w14:paraId="0F52FCF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准则分值</w:t>
            </w:r>
          </w:p>
        </w:tc>
        <w:tc>
          <w:tcPr>
            <w:tcW w:w="2126" w:type="dxa"/>
          </w:tcPr>
          <w:p w14:paraId="0E61EC1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评价得分</w:t>
            </w:r>
          </w:p>
        </w:tc>
        <w:tc>
          <w:tcPr>
            <w:tcW w:w="2126" w:type="dxa"/>
          </w:tcPr>
          <w:p w14:paraId="7EEC882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评价等级</w:t>
            </w:r>
          </w:p>
        </w:tc>
      </w:tr>
      <w:tr w14:paraId="4935D3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6E0D963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投入</w:t>
            </w:r>
          </w:p>
        </w:tc>
        <w:tc>
          <w:tcPr>
            <w:tcW w:w="2132" w:type="dxa"/>
          </w:tcPr>
          <w:p w14:paraId="4C831D3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3FF52D4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1</w:t>
            </w: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548C4E14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  <w:tr w14:paraId="32F0D1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64CCD1D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过程</w:t>
            </w:r>
          </w:p>
        </w:tc>
        <w:tc>
          <w:tcPr>
            <w:tcW w:w="2132" w:type="dxa"/>
          </w:tcPr>
          <w:p w14:paraId="27FDEAA3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301F3D5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19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0CEE8BEC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764AB9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1E0F4862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产出</w:t>
            </w:r>
          </w:p>
        </w:tc>
        <w:tc>
          <w:tcPr>
            <w:tcW w:w="2132" w:type="dxa"/>
          </w:tcPr>
          <w:p w14:paraId="3F432AB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60950189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133CD29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45492D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5A1AC7E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效果</w:t>
            </w:r>
          </w:p>
        </w:tc>
        <w:tc>
          <w:tcPr>
            <w:tcW w:w="2132" w:type="dxa"/>
          </w:tcPr>
          <w:p w14:paraId="7859D2A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3</w:t>
            </w: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6ABB6E4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27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316B05F4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  <w:tr w14:paraId="4EFA93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093B999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综合绩效</w:t>
            </w:r>
          </w:p>
        </w:tc>
        <w:tc>
          <w:tcPr>
            <w:tcW w:w="2132" w:type="dxa"/>
          </w:tcPr>
          <w:p w14:paraId="73159409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100分</w:t>
            </w:r>
          </w:p>
        </w:tc>
        <w:tc>
          <w:tcPr>
            <w:tcW w:w="2126" w:type="dxa"/>
          </w:tcPr>
          <w:p w14:paraId="2BDC17E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9</w:t>
            </w: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0E8B9B8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</w:tbl>
    <w:p w14:paraId="442A1966">
      <w:pPr>
        <w:ind w:firstLine="0" w:firstLineChars="0"/>
        <w:jc w:val="left"/>
        <w:rPr>
          <w:rFonts w:ascii="仿宋" w:hAnsi="仿宋" w:eastAsia="仿宋" w:cs="Arial Narrow"/>
          <w:b/>
          <w:sz w:val="28"/>
          <w:highlight w:val="none"/>
        </w:rPr>
      </w:pPr>
    </w:p>
    <w:p w14:paraId="60A17E0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" w:name="_Toc2316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（三）项目经验与问题</w:t>
      </w:r>
      <w:bookmarkEnd w:id="8"/>
    </w:p>
    <w:p w14:paraId="5A771D80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依据市财政局要求的资金使用流程，在确保资金拨付合法、合规的前提下，及时、高效的拨付项目资金。该项资金实行专项使用，对项目资金的拨付，都要求用途合理，手续齐全，极力避免专项资金被挤占、截留和挪用。</w:t>
      </w:r>
    </w:p>
    <w:p w14:paraId="3CB960D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9" w:name="_Toc3671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（四）建议</w:t>
      </w:r>
      <w:bookmarkEnd w:id="9"/>
    </w:p>
    <w:p w14:paraId="297A41C4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广泛深入调研，事前了解项目推进可能存在的问题，并据此估计测算所需资金和人员配备等因素，形成调研报告，进一步拟定内容全面、步骤明确的的实施方案。</w:t>
      </w:r>
    </w:p>
    <w:bookmarkEnd w:id="2"/>
    <w:bookmarkEnd w:id="3"/>
    <w:p w14:paraId="2810A1F8">
      <w:pPr>
        <w:snapToGrid w:val="0"/>
        <w:ind w:firstLine="480"/>
        <w:jc w:val="left"/>
        <w:rPr>
          <w:rFonts w:ascii="仿宋_GB2312" w:hAnsi="Arial Narrow" w:cs="Arial Narrow"/>
          <w:highlight w:val="none"/>
        </w:rPr>
      </w:pPr>
    </w:p>
    <w:p w14:paraId="66177C04">
      <w:pPr>
        <w:widowControl/>
        <w:spacing w:line="240" w:lineRule="auto"/>
        <w:ind w:firstLine="0" w:firstLineChars="0"/>
        <w:jc w:val="left"/>
        <w:rPr>
          <w:rFonts w:ascii="仿宋_GB2312" w:hAnsi="Arial Narrow" w:cs="Arial Narrow"/>
          <w:highlight w:val="none"/>
        </w:rPr>
      </w:pPr>
      <w:r>
        <w:rPr>
          <w:rFonts w:ascii="仿宋_GB2312" w:hAnsi="Arial Narrow" w:cs="Arial Narrow"/>
          <w:highlight w:val="none"/>
        </w:rPr>
        <w:br w:type="page"/>
      </w:r>
    </w:p>
    <w:p w14:paraId="20CCA81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bookmarkStart w:id="10" w:name="_Toc25220"/>
      <w:bookmarkStart w:id="11" w:name="_Toc14165723"/>
      <w:bookmarkStart w:id="12" w:name="_Toc387957799"/>
      <w:bookmarkStart w:id="13" w:name="_Toc361304672"/>
      <w:bookmarkStart w:id="14" w:name="_Toc387957800"/>
      <w:bookmarkStart w:id="15" w:name="_Toc361304673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二、正文</w:t>
      </w:r>
      <w:bookmarkEnd w:id="10"/>
    </w:p>
    <w:p w14:paraId="2CD31D1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6" w:name="_Toc31636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（一）项目基本情况</w:t>
      </w:r>
      <w:bookmarkEnd w:id="11"/>
      <w:bookmarkEnd w:id="16"/>
    </w:p>
    <w:p w14:paraId="0513CD0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7" w:name="_Toc14165724"/>
      <w:bookmarkStart w:id="18" w:name="_Toc2638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项目立项背景和依据</w:t>
      </w:r>
      <w:bookmarkEnd w:id="17"/>
      <w:bookmarkEnd w:id="18"/>
    </w:p>
    <w:bookmarkEnd w:id="12"/>
    <w:bookmarkEnd w:id="13"/>
    <w:p w14:paraId="091C5557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9" w:name="_Toc14165725"/>
      <w:bookmarkStart w:id="20" w:name="_Toc361304680"/>
      <w:bookmarkStart w:id="21" w:name="_Toc406666356"/>
      <w:bookmarkStart w:id="22" w:name="_Toc406668030"/>
      <w:bookmarkStart w:id="23" w:name="_Toc16351"/>
      <w:r>
        <w:rPr>
          <w:rFonts w:hint="eastAsia" w:ascii="仿宋" w:hAnsi="仿宋" w:eastAsia="仿宋" w:cs="Arial Narrow"/>
          <w:highlight w:val="none"/>
          <w:lang w:val="en-US" w:eastAsia="zh-CN"/>
        </w:rPr>
        <w:t>专家评审项目的设立有助于保障各项审批事项合理审批</w:t>
      </w:r>
      <w:r>
        <w:rPr>
          <w:rFonts w:hint="eastAsia" w:ascii="仿宋" w:hAnsi="仿宋" w:eastAsia="仿宋" w:cs="Arial Narrow"/>
          <w:highlight w:val="none"/>
        </w:rPr>
        <w:t>。</w:t>
      </w:r>
      <w:r>
        <w:rPr>
          <w:rFonts w:hint="eastAsia" w:ascii="仿宋" w:hAnsi="仿宋" w:eastAsia="仿宋" w:cs="Arial Narrow"/>
          <w:highlight w:val="none"/>
        </w:rPr>
        <w:tab/>
      </w:r>
    </w:p>
    <w:p w14:paraId="2DBB089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4" w:name="_Toc2312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项目绩效目标</w:t>
      </w:r>
      <w:bookmarkEnd w:id="19"/>
      <w:bookmarkEnd w:id="24"/>
    </w:p>
    <w:bookmarkEnd w:id="20"/>
    <w:bookmarkEnd w:id="21"/>
    <w:bookmarkEnd w:id="22"/>
    <w:bookmarkEnd w:id="23"/>
    <w:p w14:paraId="6128CFFD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bookmarkStart w:id="25" w:name="_Toc14165726"/>
      <w:r>
        <w:rPr>
          <w:rFonts w:hint="eastAsia" w:ascii="仿宋" w:hAnsi="仿宋" w:eastAsia="仿宋" w:cs="Arial Narrow"/>
          <w:highlight w:val="none"/>
          <w:lang w:val="en-US" w:eastAsia="zh-CN"/>
        </w:rPr>
        <w:t>绩效目标：预算总费用300.00万元，主要用于发改、环境、规划及土地审批专家评审费。</w:t>
      </w:r>
    </w:p>
    <w:p w14:paraId="4E8D1D5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6" w:name="_Toc4709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项目经费来源和使用情况</w:t>
      </w:r>
      <w:bookmarkEnd w:id="25"/>
      <w:bookmarkEnd w:id="26"/>
    </w:p>
    <w:p w14:paraId="42A6040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项目资金来源</w:t>
      </w:r>
    </w:p>
    <w:p w14:paraId="1482D77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武汉经济技术开发区（汉南区）行政审批局“专家评审费”</w:t>
      </w:r>
      <w:r>
        <w:rPr>
          <w:rFonts w:hint="eastAsia" w:ascii="仿宋" w:hAnsi="仿宋" w:eastAsia="仿宋" w:cs="Arial Narrow"/>
          <w:highlight w:val="none"/>
        </w:rPr>
        <w:t>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支出</w:t>
      </w:r>
      <w:r>
        <w:rPr>
          <w:rFonts w:hint="eastAsia" w:ascii="仿宋" w:hAnsi="仿宋" w:eastAsia="仿宋" w:cs="Arial Narrow"/>
          <w:highlight w:val="none"/>
        </w:rPr>
        <w:t>年初预算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批复为300.00万元</w:t>
      </w:r>
      <w:r>
        <w:rPr>
          <w:rFonts w:hint="eastAsia" w:ascii="仿宋" w:hAnsi="仿宋" w:eastAsia="仿宋" w:cs="Arial Narrow"/>
          <w:highlight w:val="none"/>
        </w:rPr>
        <w:t>，均系财政拨款。</w:t>
      </w:r>
    </w:p>
    <w:p w14:paraId="1DFB2B1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项目资金使用概况</w:t>
      </w:r>
    </w:p>
    <w:p w14:paraId="2E2BE2E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2018年“专家评审费”</w:t>
      </w:r>
      <w:r>
        <w:rPr>
          <w:rFonts w:hint="eastAsia" w:ascii="仿宋" w:hAnsi="仿宋" w:eastAsia="仿宋" w:cs="Arial Narrow"/>
          <w:highlight w:val="none"/>
        </w:rPr>
        <w:t>项目计划支出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300.00万元</w:t>
      </w:r>
      <w:r>
        <w:rPr>
          <w:rFonts w:hint="eastAsia" w:ascii="仿宋" w:hAnsi="仿宋" w:eastAsia="仿宋" w:cs="Arial Narrow"/>
          <w:highlight w:val="none"/>
        </w:rPr>
        <w:t>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185万元</w:t>
      </w:r>
      <w:r>
        <w:rPr>
          <w:rFonts w:hint="eastAsia" w:ascii="仿宋" w:hAnsi="仿宋" w:eastAsia="仿宋" w:cs="Arial Narrow"/>
          <w:highlight w:val="none"/>
        </w:rPr>
        <w:t>。资金使用率为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62</w:t>
      </w:r>
      <w:r>
        <w:rPr>
          <w:rFonts w:hint="eastAsia" w:ascii="仿宋" w:hAnsi="仿宋" w:eastAsia="仿宋" w:cs="Arial Narrow"/>
          <w:highlight w:val="none"/>
        </w:rPr>
        <w:t>%。</w:t>
      </w:r>
    </w:p>
    <w:bookmarkEnd w:id="14"/>
    <w:bookmarkEnd w:id="15"/>
    <w:p w14:paraId="1AC4E63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7" w:name="_Toc23481"/>
      <w:bookmarkStart w:id="28" w:name="_Toc1416572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项目实施情况</w:t>
      </w:r>
      <w:bookmarkEnd w:id="27"/>
      <w:bookmarkEnd w:id="28"/>
    </w:p>
    <w:p w14:paraId="78B526EA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项目实施过程制定严格的管理制度，实际资金到位及时，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支出合理。</w:t>
      </w:r>
    </w:p>
    <w:p w14:paraId="007ABC3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29" w:name="_Toc361304681"/>
      <w:bookmarkStart w:id="30" w:name="_Toc406668031"/>
      <w:bookmarkStart w:id="31" w:name="_Toc387957806"/>
      <w:bookmarkStart w:id="32" w:name="_Toc406666357"/>
      <w:bookmarkStart w:id="33" w:name="_Toc14372"/>
      <w:bookmarkStart w:id="34" w:name="_Toc14165728"/>
      <w:bookmarkStart w:id="35" w:name="_Toc30078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（二）绩效评价工作情况</w:t>
      </w:r>
      <w:bookmarkEnd w:id="29"/>
      <w:bookmarkEnd w:id="30"/>
      <w:bookmarkEnd w:id="31"/>
      <w:bookmarkEnd w:id="32"/>
      <w:bookmarkEnd w:id="33"/>
      <w:bookmarkEnd w:id="34"/>
      <w:bookmarkEnd w:id="35"/>
      <w:bookmarkStart w:id="36" w:name="_Toc361304682"/>
    </w:p>
    <w:p w14:paraId="743DD76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37" w:name="_Toc387957807"/>
      <w:bookmarkStart w:id="38" w:name="_Toc406666358"/>
      <w:bookmarkStart w:id="39" w:name="_Toc10142"/>
      <w:bookmarkStart w:id="40" w:name="_Toc14165729"/>
      <w:bookmarkStart w:id="41" w:name="_Toc29064"/>
      <w:bookmarkStart w:id="42" w:name="_Toc40666803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绩效评价目</w:t>
      </w:r>
      <w:bookmarkEnd w:id="36"/>
      <w:bookmarkEnd w:id="37"/>
      <w:r>
        <w:rPr>
          <w:rFonts w:hint="eastAsia" w:ascii="仿宋" w:hAnsi="仿宋" w:eastAsia="仿宋" w:cs="Arial Narrow"/>
          <w:sz w:val="24"/>
          <w:highlight w:val="none"/>
        </w:rPr>
        <w:t>的</w:t>
      </w:r>
      <w:bookmarkEnd w:id="38"/>
      <w:bookmarkEnd w:id="39"/>
      <w:bookmarkEnd w:id="40"/>
      <w:bookmarkEnd w:id="41"/>
      <w:bookmarkEnd w:id="42"/>
    </w:p>
    <w:p w14:paraId="04163A2E">
      <w:pPr>
        <w:snapToGrid w:val="0"/>
        <w:ind w:firstLine="480"/>
        <w:rPr>
          <w:rFonts w:hint="eastAsia"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本次绩效评价的主要目的是加强项目资金管理，提高“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专家评审费</w:t>
      </w:r>
      <w:r>
        <w:rPr>
          <w:rFonts w:hint="eastAsia" w:ascii="仿宋" w:hAnsi="仿宋" w:eastAsia="仿宋" w:cs="Arial Narrow"/>
          <w:bCs/>
          <w:highlight w:val="none"/>
        </w:rPr>
        <w:t>”支出补贴资金使用效益。</w:t>
      </w:r>
    </w:p>
    <w:p w14:paraId="0533C23E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通过绩效评价，能够核查201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度行政审批中心项目绩效目标、指标的实现程度，考核资金使用效率和综合绩效，总结项目管理与执行经验，管理部门决策、管理提供参考依据；推动建立以绩效评价结果为导向的财政资金分配与管理制度，提升财政资金科学化、精细化管理水平。</w:t>
      </w:r>
    </w:p>
    <w:p w14:paraId="0DDB547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43" w:name="_Toc14165730"/>
      <w:bookmarkStart w:id="44" w:name="_Toc12516"/>
      <w:bookmarkStart w:id="45" w:name="_Toc32197"/>
      <w:bookmarkStart w:id="46" w:name="_Toc406666359"/>
      <w:bookmarkStart w:id="47" w:name="_Toc361304684"/>
      <w:bookmarkStart w:id="48" w:name="_Toc361302025"/>
      <w:bookmarkStart w:id="49" w:name="_Toc387957809"/>
      <w:bookmarkStart w:id="50" w:name="_Toc40666803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绩效评价工作过程</w:t>
      </w:r>
      <w:bookmarkEnd w:id="43"/>
      <w:bookmarkEnd w:id="44"/>
      <w:bookmarkEnd w:id="45"/>
    </w:p>
    <w:p w14:paraId="7CA2CA87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1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绩效评价准备阶段</w:t>
      </w:r>
    </w:p>
    <w:p w14:paraId="1EBE3C10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确定评价对象。根据下达的绩效评价通知书，制订绩效评价工作方案。</w:t>
      </w:r>
    </w:p>
    <w:p w14:paraId="7A247987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2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绩效评价实施阶段</w:t>
      </w:r>
    </w:p>
    <w:p w14:paraId="0D1E5B65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拟定评价工作方案；</w:t>
      </w:r>
    </w:p>
    <w:p w14:paraId="57299FBC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资料审核；</w:t>
      </w:r>
    </w:p>
    <w:p w14:paraId="11CF12B9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宋体" w:hAnsi="宋体" w:eastAsia="宋体" w:cs="宋体"/>
          <w:bCs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bCs/>
          <w:highlight w:val="none"/>
        </w:rPr>
        <w:t>撰写绩效报告；</w:t>
      </w:r>
    </w:p>
    <w:p w14:paraId="11CDD341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bCs/>
          <w:highlight w:val="none"/>
        </w:rPr>
        <w:t>实施绩效评价。</w:t>
      </w:r>
    </w:p>
    <w:p w14:paraId="3B5786AE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3）</w:t>
      </w:r>
      <w:r>
        <w:rPr>
          <w:rFonts w:hint="eastAsia" w:ascii="仿宋" w:hAnsi="仿宋" w:eastAsia="仿宋" w:cs="Arial Narrow"/>
          <w:bCs/>
          <w:highlight w:val="none"/>
        </w:rPr>
        <w:t>绩效评价总结阶段</w:t>
      </w:r>
    </w:p>
    <w:p w14:paraId="76804FEC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撰写报告；</w:t>
      </w:r>
    </w:p>
    <w:p w14:paraId="372F1C96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提交报告。</w:t>
      </w:r>
    </w:p>
    <w:p w14:paraId="799ECEA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1" w:name="_Toc14165731"/>
      <w:bookmarkStart w:id="52" w:name="_Toc725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绩效评价框架</w:t>
      </w:r>
      <w:bookmarkEnd w:id="51"/>
      <w:bookmarkEnd w:id="52"/>
    </w:p>
    <w:p w14:paraId="5728014D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评价原则</w:t>
      </w:r>
    </w:p>
    <w:p w14:paraId="67E318BB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。本次绩效评价，我们遵循相关性原则、重要性原则、可比性原则、系统性原则、经济性原则。</w:t>
      </w:r>
    </w:p>
    <w:p w14:paraId="6BA253AC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评价依据</w:t>
      </w:r>
    </w:p>
    <w:p w14:paraId="1A84768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《中华人民共和国预算法》；</w:t>
      </w:r>
    </w:p>
    <w:p w14:paraId="6811AB05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②《财政支出绩效评价管理暂行办法》（财预[2011]285号）；</w:t>
      </w:r>
    </w:p>
    <w:p w14:paraId="700D320D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③《财政部关于推进预算绩效管理的指导意见》（财预[2011]416号）；</w:t>
      </w:r>
    </w:p>
    <w:p w14:paraId="27420DFC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  <w:lang w:eastAsia="zh-CN"/>
        </w:rPr>
        <w:t>《</w:t>
      </w:r>
      <w:r>
        <w:rPr>
          <w:rFonts w:hint="eastAsia" w:ascii="仿宋" w:hAnsi="仿宋" w:eastAsia="仿宋" w:cs="Arial Narrow"/>
          <w:highlight w:val="none"/>
        </w:rPr>
        <w:t>湖北省省级财政项目资金绩效评价实施暂行办法》（鄂财绩发[2012]5号）；</w:t>
      </w:r>
    </w:p>
    <w:p w14:paraId="32E949F4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《关于推进预算绩效管理的意见》(武政[2013]95号)；</w:t>
      </w:r>
    </w:p>
    <w:p w14:paraId="00E0C808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⑥</w:t>
      </w:r>
      <w:r>
        <w:rPr>
          <w:rFonts w:hint="eastAsia" w:ascii="仿宋" w:hAnsi="仿宋" w:eastAsia="仿宋" w:cs="Arial Narrow"/>
          <w:highlight w:val="none"/>
        </w:rPr>
        <w:t>武汉市财政局《关于进一步推进预算绩效管理改革工作的通知》；</w:t>
      </w:r>
    </w:p>
    <w:p w14:paraId="6CB44D5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⑦</w:t>
      </w:r>
      <w:r>
        <w:rPr>
          <w:rFonts w:hint="eastAsia" w:ascii="仿宋" w:hAnsi="仿宋" w:eastAsia="仿宋" w:cs="Arial Narrow"/>
          <w:highlight w:val="none"/>
        </w:rPr>
        <w:t>《武汉经济技术开发区（汉南区）预算绩效评价管理暂行办法》；</w:t>
      </w:r>
    </w:p>
    <w:p w14:paraId="752A422D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⑧</w:t>
      </w:r>
      <w:r>
        <w:rPr>
          <w:rFonts w:hint="eastAsia" w:ascii="仿宋" w:hAnsi="仿宋" w:eastAsia="仿宋" w:cs="Arial Narrow"/>
          <w:highlight w:val="none"/>
        </w:rPr>
        <w:t>《中共武汉开发区工委（汉南区委）武汉开发区管委会（汉南区政府）关于全面推进预算绩效管理的实施意见》（武开〔2019〕11号）；</w:t>
      </w:r>
    </w:p>
    <w:p w14:paraId="24F3F21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⑨</w:t>
      </w:r>
      <w:r>
        <w:rPr>
          <w:rFonts w:hint="eastAsia" w:ascii="仿宋" w:hAnsi="仿宋" w:eastAsia="仿宋" w:cs="Arial Narrow"/>
          <w:highlight w:val="none"/>
        </w:rPr>
        <w:t>《区财政局关于2019年开展预算绩效评价工作的通知》 武经开财〔2019〕29号</w:t>
      </w:r>
    </w:p>
    <w:p w14:paraId="5A3CFC8F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⑩</w:t>
      </w:r>
      <w:r>
        <w:rPr>
          <w:rFonts w:hint="eastAsia" w:ascii="仿宋" w:hAnsi="仿宋" w:eastAsia="仿宋" w:cs="Arial Narrow"/>
          <w:highlight w:val="none"/>
        </w:rPr>
        <w:t>项目资金使用明细表、与项目相关的财务账等资料；</w:t>
      </w:r>
    </w:p>
    <w:p w14:paraId="11C09DE1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⑪</w:t>
      </w:r>
      <w:r>
        <w:rPr>
          <w:rFonts w:hint="eastAsia" w:ascii="仿宋" w:hAnsi="仿宋" w:eastAsia="仿宋" w:cs="Arial Narrow"/>
          <w:highlight w:val="none"/>
        </w:rPr>
        <w:t>其他与项目评价相关的资料。</w:t>
      </w:r>
    </w:p>
    <w:p w14:paraId="492147FF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评价方法</w:t>
      </w:r>
    </w:p>
    <w:p w14:paraId="4CB282CD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主要采用成本效益分析法、比较法、因素分析法、最低成本法、公众评判法等。</w:t>
      </w:r>
    </w:p>
    <w:p w14:paraId="48609E7D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成本效益分析法。是指将一定时期内的支出与效益进行对比分析，以评价绩效目标实现程度。</w:t>
      </w:r>
    </w:p>
    <w:p w14:paraId="3760AA8B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highlight w:val="none"/>
        </w:rPr>
        <w:t>比较法。是指通过对绩效目标与实施效果、历史与当期情况、不同部门和地区同类支出的比较，综合分析绩效目标实现程度。</w:t>
      </w:r>
    </w:p>
    <w:p w14:paraId="373A192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highlight w:val="none"/>
        </w:rPr>
        <w:t>因素分析法。是指通过综合分析影响绩效目标实现、实施效果的内外因素，评价绩效目标实现程度。</w:t>
      </w:r>
    </w:p>
    <w:p w14:paraId="5B50FDA3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</w:rPr>
        <w:t>最低成本法。是指对效益确定却不易计量的多个同类对象的实施成本进行比较，评价绩效目标实现程度。</w:t>
      </w:r>
    </w:p>
    <w:p w14:paraId="44F0E935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公众评判法。是指通过专家评估、公众问卷及抽样调查等对财政支出效果进行评判，评价绩效目标实现程度。</w:t>
      </w:r>
    </w:p>
    <w:p w14:paraId="60E8439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3" w:name="_Toc20900"/>
      <w:bookmarkStart w:id="54" w:name="_Toc1416573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评价抽样情况概述</w:t>
      </w:r>
      <w:bookmarkEnd w:id="46"/>
      <w:bookmarkEnd w:id="47"/>
      <w:bookmarkEnd w:id="48"/>
      <w:bookmarkEnd w:id="49"/>
      <w:bookmarkEnd w:id="50"/>
      <w:bookmarkEnd w:id="53"/>
      <w:bookmarkEnd w:id="54"/>
      <w:bookmarkStart w:id="55" w:name="_Toc387957819"/>
      <w:bookmarkStart w:id="56" w:name="_Toc361304693"/>
      <w:bookmarkStart w:id="57" w:name="_Toc406668044"/>
      <w:bookmarkStart w:id="58" w:name="_Toc406666370"/>
      <w:bookmarkStart w:id="59" w:name="_Toc18443"/>
      <w:bookmarkStart w:id="60" w:name="_Toc14165733"/>
    </w:p>
    <w:p w14:paraId="2824BE6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小组遵循代表性原则、独立性原则和方便性原则，根据项目属性、区域分布、资金规模进行抽样调查。抽样调查项目个数及总金额可以代表项目实施的总体情况。对被抽样单位进行实地抽查，了解项目的具体实施情况，在反复沟通中了解被抽样单位项目资金的使用情况、项目资金的到位情况及产生的效益，使绩效评价量化指标更加充分，也确保绩效评价与项目的衔接度更高。</w:t>
      </w:r>
    </w:p>
    <w:p w14:paraId="34E0292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61" w:name="_Toc25218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（三）绩效分析</w:t>
      </w:r>
      <w:bookmarkEnd w:id="55"/>
      <w:bookmarkEnd w:id="56"/>
      <w:bookmarkEnd w:id="57"/>
      <w:bookmarkEnd w:id="58"/>
      <w:bookmarkEnd w:id="59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及评价结论</w:t>
      </w:r>
      <w:bookmarkEnd w:id="60"/>
      <w:bookmarkEnd w:id="61"/>
    </w:p>
    <w:p w14:paraId="6C37505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62" w:name="_Toc5754"/>
      <w:bookmarkStart w:id="63" w:name="_Toc1416573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绩效分析</w:t>
      </w:r>
      <w:bookmarkEnd w:id="62"/>
      <w:bookmarkEnd w:id="63"/>
    </w:p>
    <w:p w14:paraId="01B86950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bookmarkStart w:id="64" w:name="_Toc14165735"/>
      <w:bookmarkStart w:id="65" w:name="_Toc2992"/>
      <w:bookmarkStart w:id="66" w:name="_Toc387957822"/>
      <w:bookmarkStart w:id="67" w:name="_Toc406666373"/>
      <w:bookmarkStart w:id="68" w:name="_Toc406668047"/>
      <w:bookmarkStart w:id="69" w:name="_Toc361304697"/>
      <w:bookmarkStart w:id="70" w:name="_Toc361302034"/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</w:t>
      </w:r>
      <w:bookmarkStart w:id="71" w:name="_Toc394181010"/>
      <w:r>
        <w:rPr>
          <w:rFonts w:hint="eastAsia" w:ascii="仿宋" w:hAnsi="仿宋" w:eastAsia="仿宋" w:cs="Arial Narrow"/>
          <w:b/>
          <w:bCs/>
          <w:sz w:val="24"/>
          <w:highlight w:val="yellow"/>
        </w:rPr>
        <w:t>投入（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20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  <w:bookmarkEnd w:id="64"/>
      <w:bookmarkEnd w:id="65"/>
      <w:bookmarkEnd w:id="71"/>
    </w:p>
    <w:p w14:paraId="4DE4F60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投入方面主要评价项目立项和资金落实的实际情况。对于该项的评价，评价小组主要通过卷宗研究、现场访谈等方式对资料进行收集、整理和分析，查看了项目立项的相关资料、财政预算的批复文件，对项目决策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16</w:t>
      </w:r>
      <w:r>
        <w:rPr>
          <w:rFonts w:hint="eastAsia" w:ascii="仿宋" w:hAnsi="仿宋" w:eastAsia="仿宋" w:cs="Arial Narrow"/>
          <w:highlight w:val="yellow"/>
        </w:rPr>
        <w:t>分，评价等级为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25A4428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①项目立项（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43DFC5E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项目立项是指项目的设立和设定的绩效目标是否参考相关的依据，并且对项目的具体目标进行细化、量化。项目立项主要通过项目立项规范性和绩效目标合理性两个指标反映。经过综合计分，项目立项指标得分为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10B260A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项目立项规范性，是指项目的申请、设立过程是否符合相关要求，用以反映和考核项目立项的规范情况。项目立项按照程序申请设立，所提交的文件、材料符合相关要求。</w:t>
      </w:r>
    </w:p>
    <w:p w14:paraId="2AE91E5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 绩效目标合理性，是指项目所设定的绩效目标依据是否充分，是否符合客观事实，可以反映和考核项目绩效目标与项目实施的相符情况。项目实施单位设计了项目年度绩效目标和项目绩效指标，指标设定合理，基本具有可测性。</w:t>
      </w:r>
    </w:p>
    <w:p w14:paraId="7E9CBAF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②资金落实（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7787EC0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资金落实主要评价财政预算资金是否全额发放、资金到位是否及时。该情况主要是通过资金到位率和到位及时率两个指标来反映。</w:t>
      </w:r>
      <w:r>
        <w:rPr>
          <w:rFonts w:hint="eastAsia" w:ascii="仿宋" w:hAnsi="仿宋" w:eastAsia="仿宋" w:cs="Arial Narrow"/>
          <w:highlight w:val="yellow"/>
        </w:rPr>
        <w:t>指标评价得分为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6</w:t>
      </w:r>
      <w:r>
        <w:rPr>
          <w:rFonts w:hint="eastAsia" w:ascii="仿宋" w:hAnsi="仿宋" w:eastAsia="仿宋" w:cs="Arial Narrow"/>
          <w:highlight w:val="yellow"/>
        </w:rPr>
        <w:t>分，评价等级为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中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7266EF1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资金到位率，是指实际到位资金与计划投入资金的比率，用以反映和考核资金落实情况对项目实施的总体保障程度。2018年该项目计划投入资金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302.00</w:t>
      </w:r>
      <w:r>
        <w:rPr>
          <w:rFonts w:hint="eastAsia" w:ascii="仿宋" w:hAnsi="仿宋" w:eastAsia="仿宋" w:cs="Arial Narrow"/>
          <w:highlight w:val="none"/>
        </w:rPr>
        <w:t>万元，实际到位资金共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184.55</w:t>
      </w:r>
      <w:r>
        <w:rPr>
          <w:rFonts w:hint="eastAsia" w:ascii="仿宋" w:hAnsi="仿宋" w:eastAsia="仿宋" w:cs="Arial Narrow"/>
          <w:highlight w:val="none"/>
        </w:rPr>
        <w:t>万元，资金到位率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61.11</w:t>
      </w:r>
      <w:r>
        <w:rPr>
          <w:rFonts w:hint="eastAsia" w:ascii="仿宋" w:hAnsi="仿宋" w:eastAsia="仿宋" w:cs="Arial Narrow"/>
          <w:highlight w:val="none"/>
        </w:rPr>
        <w:t>%。</w:t>
      </w:r>
    </w:p>
    <w:p w14:paraId="746D9A9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到位及时率，是指项目及时到位资金与应到位资金的比率，用以反映和考核项目资金落实的及时性程度。武汉经济技术开发区（汉南区）财政局下达项目预算申报资金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184.55</w:t>
      </w:r>
      <w:r>
        <w:rPr>
          <w:rFonts w:hint="eastAsia" w:ascii="仿宋" w:hAnsi="仿宋" w:eastAsia="仿宋" w:cs="Arial Narrow"/>
          <w:highlight w:val="none"/>
        </w:rPr>
        <w:t>万元，下达及时，到位及时率100%。</w:t>
      </w:r>
    </w:p>
    <w:p w14:paraId="67EF211F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决策过程（2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2312E005">
      <w:pPr>
        <w:snapToGrid w:val="0"/>
        <w:ind w:firstLine="480"/>
        <w:rPr>
          <w:rFonts w:ascii="仿宋" w:hAnsi="仿宋" w:eastAsia="仿宋" w:cs="Arial Narrow"/>
          <w:highlight w:val="yellow"/>
        </w:rPr>
      </w:pPr>
      <w:r>
        <w:rPr>
          <w:rFonts w:hint="eastAsia" w:ascii="仿宋" w:hAnsi="仿宋" w:eastAsia="仿宋" w:cs="Arial Narrow"/>
          <w:highlight w:val="none"/>
        </w:rPr>
        <w:t>过程指标主要从项目管理、财务管理两个方面来具体评价；主要考核项目管理制度的健全性、制度执行的有效性和项目质量的可控性，财务制度的健全性、资金使用的合规性及财务监控的有效性。对于该项的评价，评价小组主要采取了卷宗研究、现场访谈的方式进行资料收集、整理、核实和分析，收集了项目具体实施单位的业务管理制度、财务管理制</w:t>
      </w:r>
      <w:bookmarkStart w:id="117" w:name="_GoBack"/>
      <w:bookmarkEnd w:id="117"/>
      <w:r>
        <w:rPr>
          <w:rFonts w:hint="eastAsia" w:ascii="仿宋" w:hAnsi="仿宋" w:eastAsia="仿宋" w:cs="Arial Narrow"/>
          <w:highlight w:val="none"/>
        </w:rPr>
        <w:t>度等相关文件和项目档案资料管理相关文件；对项目管理、资金使用情况进行评价，对项目过程涉及的指标进行打分，并逐级加权计算结果。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19</w:t>
      </w:r>
      <w:r>
        <w:rPr>
          <w:rFonts w:hint="eastAsia" w:ascii="仿宋" w:hAnsi="仿宋" w:eastAsia="仿宋" w:cs="Arial Narrow"/>
          <w:highlight w:val="yellow"/>
        </w:rPr>
        <w:t>分，评价结果为优。</w:t>
      </w:r>
    </w:p>
    <w:p w14:paraId="66A7E7D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0D20637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项目管理主要评价管理制度是否健全、制度的执行是否有效、项目的质量是否可控。该指标主要通过管理制度健全性、制度执行有效性、项目质量可控性三个三级指标来反映。该项指标评价得分为1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451E042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管理制度健全性，是指项目管理制度是否健全，用以反映和考核项目管理制度对项目顺利实施的保障情况。项目实施单位制定了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预算管理制度、收入管理制度、支出管理制度（包含办公费管理、会议费管理、差旅费管理、培训费管理、公务接待管理、用车管理、电话费、水电费管理、基本工程建设和其他项目支出管理、工会经费管理制度）、固定资产管理制度、采购管理制度、票据使用管理制度、财务监督与审计等制度</w:t>
      </w:r>
      <w:r>
        <w:rPr>
          <w:rFonts w:hint="eastAsia" w:ascii="仿宋" w:hAnsi="仿宋" w:eastAsia="仿宋" w:cs="Arial Narrow"/>
          <w:highlight w:val="none"/>
        </w:rPr>
        <w:t>，项目管理制度健全。</w:t>
      </w:r>
    </w:p>
    <w:p w14:paraId="574BE8D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制度执行有效性，是指项目实施是否符合相关项目管理规定，用以反映和考核项目管理制度的有效执行情况。通过查阅项目相关资料以及抽查记账凭证得知，项目实施单位严格执行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项目支出</w:t>
      </w:r>
      <w:r>
        <w:rPr>
          <w:rFonts w:hint="eastAsia" w:ascii="仿宋" w:hAnsi="仿宋" w:eastAsia="仿宋" w:cs="Arial Narrow"/>
          <w:highlight w:val="none"/>
        </w:rPr>
        <w:t>管理制度，重大事项均经过会议决议，审批程序合规。</w:t>
      </w:r>
    </w:p>
    <w:p w14:paraId="235DFCF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项目质量可控性，是指项目实施单位是否为达到项目质量要求而采取了必需的措施，用以反映和考核项目实施单位对项目质量的控制情况。通过查看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关于印发</w:t>
      </w:r>
      <w:r>
        <w:rPr>
          <w:rFonts w:hint="eastAsia" w:ascii="仿宋" w:hAnsi="仿宋" w:eastAsia="仿宋" w:cs="Arial Narrow"/>
          <w:highlight w:val="none"/>
        </w:rPr>
        <w:t>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区行政审批局公文处理实施细则</w:t>
      </w:r>
      <w:r>
        <w:rPr>
          <w:rFonts w:hint="eastAsia" w:ascii="仿宋" w:hAnsi="仿宋" w:eastAsia="仿宋" w:cs="Arial Narrow"/>
          <w:highlight w:val="none"/>
        </w:rPr>
        <w:t>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等有关制度的通知（武经开行审[2018]23号）</w:t>
      </w:r>
      <w:r>
        <w:rPr>
          <w:rFonts w:hint="eastAsia" w:ascii="仿宋" w:hAnsi="仿宋" w:eastAsia="仿宋" w:cs="Arial Narrow"/>
          <w:highlight w:val="none"/>
        </w:rPr>
        <w:t>、《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2018年度项目支出绩效目标申报表</w:t>
      </w:r>
      <w:r>
        <w:rPr>
          <w:rFonts w:hint="eastAsia" w:ascii="仿宋" w:hAnsi="仿宋" w:eastAsia="仿宋" w:cs="Arial Narrow"/>
          <w:highlight w:val="none"/>
        </w:rPr>
        <w:t>》、《武汉经济技术开发区（汉南区）行政审批局2018年工作总结》等项目相关资料，了解到项目实施单位制度了相应的质量评估办法或质量控制制度，相关资料均整理归档，且保存完整。</w:t>
      </w:r>
    </w:p>
    <w:p w14:paraId="70A70D9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②财务管理（1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69D9D71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财务管理指标主要评价项目实施单位的财务制度情况，资金使用情况以及财务监控措施的实施情况。该指标主要由财务制度健全性、资金使用合规性、财务监控有效性三个三级指标反映。该项指标评价得分为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16CF6FE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制度健全性，是指项目实施单位的资金管理、费用支出等制度是否健全，是否严格执行，会计核算是否规范，用以反映和考核财务管理制度对资金规范、安全运行的保障情况。项目实施单位具有《财务管理办法》，对经费审批程序和各类费用有所规定，其中差旅费的管理是根据《武汉市市级党政机关差旅费管理办法》的规定执行；公务接待费管理是根据按照省、市和区规定的标准内办理公务接待事项；会议经费管理是根据《武汉市市级党政机关会议费管理办法》的规定执行；培训费管理是根据《武汉市市级党政机关会议费管理办法》的规定执行。</w:t>
      </w:r>
    </w:p>
    <w:p w14:paraId="7DB75C5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资金使用合规性，是指项目实施单位项目资金使用是否符合相关的财务管理制度规定，用以反映和考核项目资金的规范运行情况。通过查阅项目支出凭证，了解到项目支出符合《中华人民共和国会计法》、《行政单位财务制度》等国家财经法规和财务管理制。项目实际支出包括办公费、印刷费、培训费、差旅费、维修维护费、会议费等费用类别，资金使用符合项目合同规定的用途，不存在截留、挤占、挪用、虚列支出等情况。</w:t>
      </w:r>
    </w:p>
    <w:p w14:paraId="006084A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监控有效性，是指项目实施单位是否为保障资金的安全、规范运行而采取了必要的监控措施，用以反映和考核项目实施单位对资金运行的控制情况。项目绩效评价小组通过查阅项目支出凭证，但未形成与监控相关的总结资料可供查证，扣1分。</w:t>
      </w:r>
    </w:p>
    <w:p w14:paraId="7941CDE4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项目产出（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2398642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产出方面主要评价项目实施内容的完成情况，包括完成数量、质量以及时效。对于该项的评价，绩效评价工作小组主要采取了卷宗研究、现场访谈等方式进行资料收集、整理和分析，对项目产出涉及的指标进行打分和评价。经过综合计分，该指标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30</w:t>
      </w:r>
      <w:r>
        <w:rPr>
          <w:rFonts w:hint="eastAsia" w:ascii="仿宋" w:hAnsi="仿宋" w:eastAsia="仿宋" w:cs="Arial Narrow"/>
          <w:highlight w:val="none"/>
        </w:rPr>
        <w:t>分，评价结果为优。</w:t>
      </w:r>
    </w:p>
    <w:p w14:paraId="3082524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①数量指标，是指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评审工作</w:t>
      </w:r>
      <w:r>
        <w:rPr>
          <w:rFonts w:hint="eastAsia" w:ascii="仿宋" w:hAnsi="仿宋" w:eastAsia="仿宋" w:cs="Arial Narrow"/>
          <w:highlight w:val="none"/>
        </w:rPr>
        <w:t>完成率。</w:t>
      </w:r>
    </w:p>
    <w:p w14:paraId="281F3AD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②质量指标，是指符合质量要求的项目占总服务项目的比例。</w:t>
      </w:r>
    </w:p>
    <w:p w14:paraId="538E3CD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③时效指标，是指项目实际提前完成时间与计划完成时间的比率，用以反映和考核项目产出时效目标的实现程度。</w:t>
      </w:r>
    </w:p>
    <w:p w14:paraId="149A82A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④成本指标，是指项目完成时成本不高于计划支出。通过查看项目预算批复文件和支出明细表以及记账凭证得知，该项目项目到位资金为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184.55万</w:t>
      </w:r>
      <w:r>
        <w:rPr>
          <w:rFonts w:hint="eastAsia" w:ascii="仿宋" w:hAnsi="仿宋" w:eastAsia="仿宋" w:cs="Arial Narrow"/>
          <w:highlight w:val="none"/>
        </w:rPr>
        <w:t>元，实际支出为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184.55万</w:t>
      </w:r>
      <w:r>
        <w:rPr>
          <w:rFonts w:hint="eastAsia" w:ascii="仿宋" w:hAnsi="仿宋" w:eastAsia="仿宋" w:cs="Arial Narrow"/>
          <w:highlight w:val="none"/>
        </w:rPr>
        <w:t>元，资金使用率为100.00%。</w:t>
      </w:r>
    </w:p>
    <w:p w14:paraId="5B51CFA4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4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项目效果（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bookmarkEnd w:id="66"/>
    <w:bookmarkEnd w:id="67"/>
    <w:bookmarkEnd w:id="68"/>
    <w:bookmarkEnd w:id="69"/>
    <w:bookmarkEnd w:id="70"/>
    <w:p w14:paraId="13B97FAA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72" w:name="_Toc406668051"/>
      <w:bookmarkStart w:id="73" w:name="_Toc361304701"/>
      <w:bookmarkStart w:id="74" w:name="_Toc406666377"/>
      <w:bookmarkStart w:id="75" w:name="_Toc17932"/>
      <w:bookmarkStart w:id="76" w:name="_Toc14165738"/>
      <w:bookmarkStart w:id="77" w:name="_Toc387957826"/>
      <w:bookmarkStart w:id="78" w:name="_Toc361302038"/>
      <w:r>
        <w:rPr>
          <w:rFonts w:hint="eastAsia" w:ascii="仿宋" w:hAnsi="仿宋" w:eastAsia="仿宋" w:cs="Arial Narrow"/>
          <w:highlight w:val="none"/>
        </w:rPr>
        <w:t>项目效果方面主要评价项目实施所产生的经济效益，以及对社会的需求和发展所带来的直接或间接影响，反映项目后续运行及成效发挥的可持续影响情况。对于该项的评价，绩效评价工作小组主要采取了卷宗研究、现场访谈等方式进行资料收集、整理和分析，采集相关信息，对项目效果涉及的指标进行打分和评价。</w:t>
      </w:r>
      <w:r>
        <w:rPr>
          <w:rFonts w:hint="eastAsia" w:ascii="仿宋" w:hAnsi="仿宋" w:eastAsia="仿宋" w:cs="Arial Narrow"/>
          <w:highlight w:val="yellow"/>
        </w:rPr>
        <w:t>满分3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yellow"/>
        </w:rPr>
        <w:t>分，最后得分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27</w:t>
      </w:r>
      <w:r>
        <w:rPr>
          <w:rFonts w:hint="eastAsia" w:ascii="仿宋" w:hAnsi="仿宋" w:eastAsia="仿宋" w:cs="Arial Narrow"/>
          <w:highlight w:val="yellow"/>
        </w:rPr>
        <w:t>分，评价结果为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优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7D919700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①可持续影响指标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是指机构、人员、制度满足需要，项目经费有保障。</w:t>
      </w:r>
    </w:p>
    <w:p w14:paraId="64AEBDB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②服务对象满意度指标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是指服务对象满意度意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40EE5F8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79" w:name="_Toc7176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评价结论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Start w:id="80" w:name="_Toc361302039"/>
      <w:bookmarkStart w:id="81" w:name="_Toc361304702"/>
    </w:p>
    <w:bookmarkEnd w:id="80"/>
    <w:bookmarkEnd w:id="81"/>
    <w:p w14:paraId="3F6CAA99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评分结果</w:t>
      </w:r>
    </w:p>
    <w:p w14:paraId="47B68132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82" w:name="_Toc406666380"/>
      <w:bookmarkStart w:id="83" w:name="_Toc361304705"/>
      <w:bookmarkStart w:id="84" w:name="_Toc406668054"/>
      <w:bookmarkStart w:id="85" w:name="_Toc387957829"/>
      <w:r>
        <w:rPr>
          <w:rFonts w:hint="eastAsia" w:ascii="仿宋" w:hAnsi="仿宋" w:eastAsia="仿宋" w:cs="Arial Narrow"/>
          <w:highlight w:val="none"/>
        </w:rPr>
        <w:t>武汉经济技术开发区（汉南区）行政审批局“</w:t>
      </w:r>
      <w:r>
        <w:rPr>
          <w:rFonts w:hint="eastAsia" w:ascii="仿宋" w:hAnsi="仿宋" w:eastAsia="仿宋" w:cs="Arial Narrow"/>
          <w:highlight w:val="none"/>
          <w:lang w:eastAsia="zh-CN"/>
        </w:rPr>
        <w:t>专家评审费</w:t>
      </w:r>
      <w:r>
        <w:rPr>
          <w:rFonts w:hint="eastAsia" w:ascii="仿宋" w:hAnsi="仿宋" w:eastAsia="仿宋" w:cs="Arial Narrow"/>
          <w:highlight w:val="none"/>
        </w:rPr>
        <w:t>”项目绩效评价综合得分为9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</w:t>
      </w:r>
      <w:r>
        <w:rPr>
          <w:rFonts w:hint="eastAsia" w:ascii="仿宋" w:hAnsi="仿宋" w:eastAsia="仿宋" w:cs="Arial Narrow"/>
          <w:highlight w:val="none"/>
        </w:rPr>
        <w:t>分，评价结果为优。</w:t>
      </w:r>
    </w:p>
    <w:p w14:paraId="165F4CFB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主要结论</w:t>
      </w:r>
    </w:p>
    <w:p w14:paraId="5257F08D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bookmarkStart w:id="86" w:name="_Toc14373"/>
      <w:bookmarkStart w:id="87" w:name="_Toc14165739"/>
      <w:r>
        <w:rPr>
          <w:rFonts w:hint="eastAsia" w:ascii="仿宋" w:hAnsi="仿宋" w:eastAsia="仿宋" w:cs="Arial Narrow"/>
          <w:bCs/>
          <w:highlight w:val="none"/>
        </w:rPr>
        <w:t>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年行政审批局“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专家评审费</w:t>
      </w:r>
      <w:r>
        <w:rPr>
          <w:rFonts w:hint="eastAsia" w:ascii="仿宋" w:hAnsi="仿宋" w:eastAsia="仿宋" w:cs="Arial Narrow"/>
          <w:bCs/>
          <w:highlight w:val="none"/>
        </w:rPr>
        <w:t>”项目绩效指标评分结果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为优</w:t>
      </w:r>
      <w:r>
        <w:rPr>
          <w:rFonts w:hint="eastAsia" w:ascii="仿宋" w:hAnsi="仿宋" w:eastAsia="仿宋" w:cs="Arial Narrow"/>
          <w:bCs/>
          <w:highlight w:val="none"/>
        </w:rPr>
        <w:t>。</w:t>
      </w:r>
    </w:p>
    <w:p w14:paraId="004BF48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8" w:name="_Toc26478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</w:t>
      </w:r>
      <w:bookmarkEnd w:id="82"/>
      <w:bookmarkEnd w:id="83"/>
      <w:bookmarkEnd w:id="84"/>
      <w:bookmarkEnd w:id="8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）主要经验及做法、存在的问题和建议</w:t>
      </w:r>
      <w:bookmarkEnd w:id="86"/>
      <w:bookmarkEnd w:id="87"/>
      <w:bookmarkEnd w:id="88"/>
    </w:p>
    <w:p w14:paraId="06BF344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89" w:name="_Toc14165740"/>
      <w:bookmarkStart w:id="90" w:name="_Toc387957830"/>
      <w:bookmarkStart w:id="91" w:name="_Toc28605"/>
      <w:bookmarkStart w:id="92" w:name="_Toc361304706"/>
      <w:bookmarkStart w:id="93" w:name="_Toc406666381"/>
      <w:bookmarkStart w:id="94" w:name="_Toc27928"/>
      <w:bookmarkStart w:id="95" w:name="_Toc40666805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1、主要经验及做法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616A07D9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通过绩效评价，发现项目实施中的一些经验及做法值得关注与推广，具体如下：</w:t>
      </w:r>
    </w:p>
    <w:p w14:paraId="54E08782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深化行政审批综合改革，推进政府职能进一步转变。</w:t>
      </w:r>
    </w:p>
    <w:p w14:paraId="3ECA2713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创新政务服务运行模式，营造高效便捷政务服务环境。</w:t>
      </w:r>
    </w:p>
    <w:p w14:paraId="6657959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3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坚持统筹兼顾，有序推进各项工作科学发展。。</w:t>
      </w:r>
    </w:p>
    <w:p w14:paraId="690FF1B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 w:ascii="仿宋" w:hAnsi="仿宋" w:eastAsia="仿宋" w:cs="Arial Narrow"/>
          <w:sz w:val="24"/>
          <w:highlight w:val="none"/>
          <w:lang w:val="en-US" w:eastAsia="zh-CN"/>
        </w:rPr>
      </w:pPr>
      <w:bookmarkStart w:id="96" w:name="_Toc16696"/>
      <w:bookmarkStart w:id="97" w:name="_Toc14165741"/>
      <w:bookmarkStart w:id="98" w:name="_Toc406666382"/>
      <w:bookmarkStart w:id="99" w:name="_Toc406668056"/>
      <w:bookmarkStart w:id="100" w:name="_Toc23359"/>
      <w:bookmarkStart w:id="101" w:name="_Toc38795783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2、存在的问题</w:t>
      </w:r>
      <w:bookmarkEnd w:id="96"/>
      <w:bookmarkEnd w:id="97"/>
      <w:bookmarkEnd w:id="98"/>
      <w:bookmarkEnd w:id="99"/>
      <w:bookmarkEnd w:id="100"/>
    </w:p>
    <w:p w14:paraId="1115D692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2018年该项目计划投入资金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302.00</w:t>
      </w:r>
      <w:r>
        <w:rPr>
          <w:rFonts w:hint="eastAsia" w:ascii="仿宋" w:hAnsi="仿宋" w:eastAsia="仿宋" w:cs="Arial Narrow"/>
          <w:highlight w:val="none"/>
        </w:rPr>
        <w:t>万元，实际到位资金共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184.55</w:t>
      </w:r>
      <w:r>
        <w:rPr>
          <w:rFonts w:hint="eastAsia" w:ascii="仿宋" w:hAnsi="仿宋" w:eastAsia="仿宋" w:cs="Arial Narrow"/>
          <w:highlight w:val="none"/>
        </w:rPr>
        <w:t>万元，资金到位率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61.11</w:t>
      </w:r>
      <w:r>
        <w:rPr>
          <w:rFonts w:hint="eastAsia" w:ascii="仿宋" w:hAnsi="仿宋" w:eastAsia="仿宋" w:cs="Arial Narrow"/>
          <w:highlight w:val="none"/>
        </w:rPr>
        <w:t>%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</w:rPr>
        <w:t>资金到位率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偏低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73E9693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102" w:name="_Toc28128"/>
      <w:bookmarkStart w:id="103" w:name="_Toc32665"/>
      <w:bookmarkStart w:id="104" w:name="_Toc1416574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3、建议</w:t>
      </w:r>
      <w:bookmarkEnd w:id="101"/>
      <w:bookmarkEnd w:id="102"/>
      <w:bookmarkEnd w:id="103"/>
      <w:bookmarkEnd w:id="104"/>
      <w:bookmarkStart w:id="105" w:name="_Toc387957834"/>
    </w:p>
    <w:p w14:paraId="18B766F0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06" w:name="_Toc16725"/>
      <w:bookmarkStart w:id="107" w:name="_Toc14165743"/>
      <w:bookmarkStart w:id="108" w:name="_Toc9981"/>
      <w:r>
        <w:rPr>
          <w:rFonts w:hint="eastAsia" w:ascii="仿宋" w:hAnsi="仿宋" w:eastAsia="仿宋" w:cs="Arial Narrow"/>
          <w:highlight w:val="none"/>
          <w:lang w:val="en-US" w:eastAsia="zh-CN"/>
        </w:rPr>
        <w:t>广泛深入调研，事前了解项目推进可能存在的问题，并据此估计测算所需资金和人员配备等因素，形成调研报告，进一步拟定内容全面、步骤明确的的实施方案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204BF1A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（五）其他需说明的问题</w:t>
      </w:r>
      <w:bookmarkEnd w:id="106"/>
      <w:bookmarkEnd w:id="107"/>
      <w:bookmarkEnd w:id="108"/>
    </w:p>
    <w:bookmarkEnd w:id="105"/>
    <w:p w14:paraId="50A6635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09" w:name="_Toc14165744"/>
      <w:bookmarkStart w:id="110" w:name="_Toc1397"/>
      <w:bookmarkStart w:id="111" w:name="_Toc387957836"/>
      <w:bookmarkStart w:id="112" w:name="_Toc5673"/>
      <w:bookmarkStart w:id="113" w:name="_Toc406668061"/>
      <w:bookmarkStart w:id="114" w:name="_Toc40666638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关于评价责任的说明</w:t>
      </w:r>
      <w:bookmarkEnd w:id="109"/>
      <w:bookmarkEnd w:id="110"/>
    </w:p>
    <w:p w14:paraId="6716708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本评价结果依据评价客体提供的各项基础资料，运用规定的评价方法，评价工作组保证本次评价工作全过程的公正和公平，各项评价基础资料的真实性与完整性由评价客体负责，未经评价组织机构同意，任何单位和个人不得将本评价结果对外公布。</w:t>
      </w:r>
    </w:p>
    <w:p w14:paraId="78D5887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15" w:name="_Toc14165745"/>
      <w:bookmarkStart w:id="116" w:name="_Toc718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关于本项目评价中存在的局限性的说明</w:t>
      </w:r>
      <w:bookmarkEnd w:id="115"/>
      <w:bookmarkEnd w:id="116"/>
    </w:p>
    <w:p w14:paraId="2640EE2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评价结论是湖北正大会计师事务有限责任公司出具的，受具体参加本次项目的评价人员的水平和能力的限制。鉴于这种评价工作存在资料的有限性和调查、分析、判断的局限性，评价结论无法考虑影响资金使用的所有因素，评价结论存在一定的局限性。</w:t>
      </w:r>
    </w:p>
    <w:p w14:paraId="0D0E54E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本项目是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非</w:t>
      </w:r>
      <w:r>
        <w:rPr>
          <w:rFonts w:hint="eastAsia" w:ascii="仿宋" w:hAnsi="仿宋" w:eastAsia="仿宋" w:cs="Arial Narrow"/>
          <w:highlight w:val="none"/>
        </w:rPr>
        <w:t>经常性的资金使用项目，而且专业性较强。受具体参加本次项目的评价人员的专业能力的影响，对专业指标设定的全面性可能存在一定的局限性。</w:t>
      </w:r>
    </w:p>
    <w:p w14:paraId="1DAD8F01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32369B5D">
      <w:pPr>
        <w:snapToGrid w:val="0"/>
        <w:ind w:firstLine="482"/>
        <w:rPr>
          <w:rFonts w:ascii="仿宋" w:hAnsi="仿宋" w:eastAsia="仿宋" w:cs="Arial Narrow"/>
          <w:b/>
          <w:bCs/>
          <w:highlight w:val="none"/>
        </w:rPr>
      </w:pPr>
    </w:p>
    <w:p w14:paraId="45B60B34">
      <w:pPr>
        <w:snapToGrid w:val="0"/>
        <w:ind w:firstLine="0" w:firstLineChars="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b/>
          <w:bCs/>
          <w:highlight w:val="none"/>
        </w:rPr>
        <w:t>附件</w:t>
      </w:r>
      <w:bookmarkEnd w:id="111"/>
      <w:r>
        <w:rPr>
          <w:rFonts w:ascii="仿宋" w:hAnsi="仿宋" w:eastAsia="仿宋" w:cs="Arial Narrow"/>
          <w:b/>
          <w:bCs/>
          <w:highlight w:val="none"/>
        </w:rPr>
        <w:t>：</w:t>
      </w:r>
      <w:bookmarkEnd w:id="112"/>
      <w:bookmarkEnd w:id="113"/>
      <w:bookmarkEnd w:id="114"/>
    </w:p>
    <w:p w14:paraId="2B63213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highlight w:val="none"/>
        </w:rPr>
        <w:t>1：项目绩效评价评分表</w:t>
      </w:r>
      <w:r>
        <w:rPr>
          <w:rFonts w:hint="eastAsia" w:ascii="仿宋" w:hAnsi="仿宋" w:eastAsia="仿宋" w:cs="Arial Narrow"/>
          <w:highlight w:val="none"/>
        </w:rPr>
        <w:t>及说明</w:t>
      </w:r>
    </w:p>
    <w:p w14:paraId="2647EB0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2：评价机构营业执照（复印件）</w:t>
      </w:r>
    </w:p>
    <w:p w14:paraId="58C8C66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3：相关评价人员执业证明文件（复印件）</w:t>
      </w:r>
    </w:p>
    <w:p w14:paraId="0F2CA80D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30BB16BC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湖北正大会计师事务有限责任公司</w:t>
      </w:r>
    </w:p>
    <w:p w14:paraId="787E83D7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2019年7月30日</w:t>
      </w:r>
    </w:p>
    <w:sectPr>
      <w:headerReference r:id="rId11" w:type="default"/>
      <w:footerReference r:id="rId12" w:type="default"/>
      <w:pgSz w:w="11906" w:h="16838"/>
      <w:pgMar w:top="1440" w:right="1406" w:bottom="1089" w:left="1800" w:header="1134" w:footer="1134" w:gutter="0"/>
      <w:pgNumType w:start="1"/>
      <w:cols w:space="720" w:num="1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7A3FE"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AFE3B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93709">
    <w:pPr>
      <w:ind w:firstLine="480"/>
    </w:pPr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0C60B">
    <w:pPr>
      <w:pStyle w:val="13"/>
      <w:framePr w:wrap="around" w:vAnchor="text" w:hAnchor="margin" w:xAlign="center" w:y="1"/>
      <w:ind w:firstLine="210" w:firstLineChars="100"/>
      <w:jc w:val="center"/>
      <w:rPr>
        <w:rStyle w:val="25"/>
        <w:rFonts w:ascii="Arial Narrow" w:hAnsi="Arial Narrow" w:eastAsia="宋体"/>
        <w:sz w:val="21"/>
        <w:szCs w:val="21"/>
      </w:rPr>
    </w:pPr>
    <w:r>
      <w:rPr>
        <w:rFonts w:ascii="Arial Narrow" w:hAnsi="Arial Narrow"/>
        <w:sz w:val="21"/>
        <w:szCs w:val="21"/>
      </w:rPr>
      <w:fldChar w:fldCharType="begin"/>
    </w:r>
    <w:r>
      <w:rPr>
        <w:rFonts w:ascii="Arial Narrow" w:hAnsi="Arial Narrow"/>
        <w:sz w:val="21"/>
        <w:szCs w:val="21"/>
      </w:rPr>
      <w:instrText xml:space="preserve"> PAGE </w:instrText>
    </w:r>
    <w:r>
      <w:rPr>
        <w:rFonts w:ascii="Arial Narrow" w:hAnsi="Arial Narrow"/>
        <w:sz w:val="21"/>
        <w:szCs w:val="21"/>
      </w:rPr>
      <w:fldChar w:fldCharType="separate"/>
    </w:r>
    <w:r>
      <w:rPr>
        <w:rFonts w:ascii="Arial Narrow" w:hAnsi="Arial Narrow"/>
        <w:sz w:val="21"/>
        <w:szCs w:val="21"/>
      </w:rPr>
      <w:t>9</w:t>
    </w:r>
    <w:r>
      <w:rPr>
        <w:rFonts w:ascii="Arial Narrow" w:hAnsi="Arial Narrow"/>
        <w:sz w:val="21"/>
        <w:szCs w:val="21"/>
      </w:rPr>
      <w:fldChar w:fldCharType="end"/>
    </w:r>
  </w:p>
  <w:p w14:paraId="5E471090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3B09A">
    <w:pPr>
      <w:pStyle w:val="14"/>
      <w:pBdr>
        <w:bottom w:val="none" w:color="auto" w:sz="0" w:space="0"/>
      </w:pBdr>
      <w:ind w:firstLine="36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A3E9C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3E431">
    <w:pPr>
      <w:pStyle w:val="1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D0241">
    <w:pPr>
      <w:pStyle w:val="14"/>
      <w:pBdr>
        <w:bottom w:val="none" w:color="auto" w:sz="0" w:space="0"/>
      </w:pBdr>
      <w:ind w:firstLine="0" w:firstLineChars="0"/>
      <w:jc w:val="both"/>
    </w:pPr>
    <w:r>
      <w:rPr>
        <w:rFonts w:ascii="Calibri" w:hAnsi="Calibri" w:eastAsia="黑体" w:cs="黑体"/>
        <w:b/>
        <w:sz w:val="14"/>
        <w:szCs w:val="14"/>
      </w:rPr>
      <w:pict>
        <v:rect id="文本框 26" o:spid="_x0000_s4097" o:spt="1" style="position:absolute;left:0pt;margin-left:359.05pt;margin-top:39.95pt;height:74.45pt;width:150.15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>
            <w:txbxContent>
              <w:p w14:paraId="026FC580">
                <w:pPr>
                  <w:ind w:firstLine="280"/>
                  <w:rPr>
                    <w:rFonts w:ascii="Arial Narrow" w:hAnsi="Arial Narrow" w:eastAsia="黑体" w:cs="Arial Narrow"/>
                    <w:sz w:val="14"/>
                    <w:szCs w:val="14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204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2A69"/>
    <w:rsid w:val="000107B2"/>
    <w:rsid w:val="00011E0B"/>
    <w:rsid w:val="00012B09"/>
    <w:rsid w:val="00012B47"/>
    <w:rsid w:val="000153F5"/>
    <w:rsid w:val="00016011"/>
    <w:rsid w:val="000225A4"/>
    <w:rsid w:val="000231B2"/>
    <w:rsid w:val="000235EA"/>
    <w:rsid w:val="0002369C"/>
    <w:rsid w:val="00027617"/>
    <w:rsid w:val="00030459"/>
    <w:rsid w:val="00034CB1"/>
    <w:rsid w:val="00037160"/>
    <w:rsid w:val="00037FDA"/>
    <w:rsid w:val="00041931"/>
    <w:rsid w:val="000435FD"/>
    <w:rsid w:val="00051092"/>
    <w:rsid w:val="0005129C"/>
    <w:rsid w:val="0005263F"/>
    <w:rsid w:val="000578E1"/>
    <w:rsid w:val="00057BBE"/>
    <w:rsid w:val="00060B99"/>
    <w:rsid w:val="000647BB"/>
    <w:rsid w:val="00065443"/>
    <w:rsid w:val="00070099"/>
    <w:rsid w:val="0007044D"/>
    <w:rsid w:val="00071B04"/>
    <w:rsid w:val="00071C74"/>
    <w:rsid w:val="00082AA1"/>
    <w:rsid w:val="000839C4"/>
    <w:rsid w:val="00083F0C"/>
    <w:rsid w:val="000850E9"/>
    <w:rsid w:val="0008556C"/>
    <w:rsid w:val="00086B6B"/>
    <w:rsid w:val="00092652"/>
    <w:rsid w:val="00092834"/>
    <w:rsid w:val="00095860"/>
    <w:rsid w:val="00097F61"/>
    <w:rsid w:val="000A2B58"/>
    <w:rsid w:val="000A38CF"/>
    <w:rsid w:val="000B0707"/>
    <w:rsid w:val="000B351B"/>
    <w:rsid w:val="000C0AC8"/>
    <w:rsid w:val="000C2C67"/>
    <w:rsid w:val="000C4653"/>
    <w:rsid w:val="000C4C40"/>
    <w:rsid w:val="000C7932"/>
    <w:rsid w:val="000C793B"/>
    <w:rsid w:val="000D124B"/>
    <w:rsid w:val="000D1F28"/>
    <w:rsid w:val="000D264B"/>
    <w:rsid w:val="000D32E5"/>
    <w:rsid w:val="000D34A6"/>
    <w:rsid w:val="000D353C"/>
    <w:rsid w:val="000D37BE"/>
    <w:rsid w:val="000D50DC"/>
    <w:rsid w:val="000D5CCA"/>
    <w:rsid w:val="000D7608"/>
    <w:rsid w:val="000E16BD"/>
    <w:rsid w:val="000E1A4F"/>
    <w:rsid w:val="000E3E46"/>
    <w:rsid w:val="000E5026"/>
    <w:rsid w:val="000E5B9F"/>
    <w:rsid w:val="000F1F5E"/>
    <w:rsid w:val="000F2AE1"/>
    <w:rsid w:val="000F482F"/>
    <w:rsid w:val="00101AA1"/>
    <w:rsid w:val="0010488B"/>
    <w:rsid w:val="00107C77"/>
    <w:rsid w:val="00107E2F"/>
    <w:rsid w:val="00115891"/>
    <w:rsid w:val="00117519"/>
    <w:rsid w:val="001247D7"/>
    <w:rsid w:val="001315B8"/>
    <w:rsid w:val="001346FF"/>
    <w:rsid w:val="00134F95"/>
    <w:rsid w:val="001373D3"/>
    <w:rsid w:val="001405F7"/>
    <w:rsid w:val="00142BA0"/>
    <w:rsid w:val="00143DA4"/>
    <w:rsid w:val="001441F8"/>
    <w:rsid w:val="00144210"/>
    <w:rsid w:val="0014542F"/>
    <w:rsid w:val="00146219"/>
    <w:rsid w:val="00147E31"/>
    <w:rsid w:val="00152FB6"/>
    <w:rsid w:val="001542F3"/>
    <w:rsid w:val="001548CF"/>
    <w:rsid w:val="00156601"/>
    <w:rsid w:val="00157614"/>
    <w:rsid w:val="0016074D"/>
    <w:rsid w:val="00164900"/>
    <w:rsid w:val="001676D8"/>
    <w:rsid w:val="00172A27"/>
    <w:rsid w:val="00173694"/>
    <w:rsid w:val="0017597C"/>
    <w:rsid w:val="0018053D"/>
    <w:rsid w:val="00180C97"/>
    <w:rsid w:val="00180E5E"/>
    <w:rsid w:val="00182EEA"/>
    <w:rsid w:val="0018363A"/>
    <w:rsid w:val="001871E1"/>
    <w:rsid w:val="001907A0"/>
    <w:rsid w:val="001907BC"/>
    <w:rsid w:val="0019172C"/>
    <w:rsid w:val="00191C51"/>
    <w:rsid w:val="00191FE0"/>
    <w:rsid w:val="00197977"/>
    <w:rsid w:val="001A02C6"/>
    <w:rsid w:val="001A4611"/>
    <w:rsid w:val="001A6E1D"/>
    <w:rsid w:val="001A7035"/>
    <w:rsid w:val="001A71D3"/>
    <w:rsid w:val="001A7BCC"/>
    <w:rsid w:val="001B156C"/>
    <w:rsid w:val="001B206F"/>
    <w:rsid w:val="001B2C2B"/>
    <w:rsid w:val="001B564E"/>
    <w:rsid w:val="001C1AB0"/>
    <w:rsid w:val="001C4A11"/>
    <w:rsid w:val="001C6498"/>
    <w:rsid w:val="001C7FC5"/>
    <w:rsid w:val="001D2B8D"/>
    <w:rsid w:val="001D4085"/>
    <w:rsid w:val="001D50A9"/>
    <w:rsid w:val="001E1192"/>
    <w:rsid w:val="001E3766"/>
    <w:rsid w:val="001E4DD7"/>
    <w:rsid w:val="001E57AC"/>
    <w:rsid w:val="001E63EB"/>
    <w:rsid w:val="001E73FF"/>
    <w:rsid w:val="001F0DE7"/>
    <w:rsid w:val="001F3D0C"/>
    <w:rsid w:val="001F50AE"/>
    <w:rsid w:val="00203E55"/>
    <w:rsid w:val="00205C9D"/>
    <w:rsid w:val="002060DB"/>
    <w:rsid w:val="00206B01"/>
    <w:rsid w:val="00206B46"/>
    <w:rsid w:val="0020706B"/>
    <w:rsid w:val="00214270"/>
    <w:rsid w:val="00214BA4"/>
    <w:rsid w:val="00217BE1"/>
    <w:rsid w:val="00220AE1"/>
    <w:rsid w:val="00226CA1"/>
    <w:rsid w:val="00227F82"/>
    <w:rsid w:val="00232250"/>
    <w:rsid w:val="002331CD"/>
    <w:rsid w:val="00242395"/>
    <w:rsid w:val="00242589"/>
    <w:rsid w:val="00243172"/>
    <w:rsid w:val="00243D70"/>
    <w:rsid w:val="00244813"/>
    <w:rsid w:val="0024753B"/>
    <w:rsid w:val="0024762E"/>
    <w:rsid w:val="00247BA5"/>
    <w:rsid w:val="00251B7B"/>
    <w:rsid w:val="002520DB"/>
    <w:rsid w:val="002604FB"/>
    <w:rsid w:val="002612E9"/>
    <w:rsid w:val="00263172"/>
    <w:rsid w:val="00263E33"/>
    <w:rsid w:val="00263E5D"/>
    <w:rsid w:val="00264E80"/>
    <w:rsid w:val="00267DA6"/>
    <w:rsid w:val="002706C6"/>
    <w:rsid w:val="00272407"/>
    <w:rsid w:val="00273665"/>
    <w:rsid w:val="0027412C"/>
    <w:rsid w:val="00275D0D"/>
    <w:rsid w:val="00280B02"/>
    <w:rsid w:val="0028633D"/>
    <w:rsid w:val="0028764F"/>
    <w:rsid w:val="00287DEB"/>
    <w:rsid w:val="0029106A"/>
    <w:rsid w:val="002911A7"/>
    <w:rsid w:val="00291951"/>
    <w:rsid w:val="002933BC"/>
    <w:rsid w:val="002953EE"/>
    <w:rsid w:val="002A0822"/>
    <w:rsid w:val="002A0862"/>
    <w:rsid w:val="002A3B59"/>
    <w:rsid w:val="002A731C"/>
    <w:rsid w:val="002A7693"/>
    <w:rsid w:val="002B49DE"/>
    <w:rsid w:val="002B55AD"/>
    <w:rsid w:val="002B60B2"/>
    <w:rsid w:val="002C012C"/>
    <w:rsid w:val="002C05DC"/>
    <w:rsid w:val="002C21EB"/>
    <w:rsid w:val="002C439E"/>
    <w:rsid w:val="002C5757"/>
    <w:rsid w:val="002C5D77"/>
    <w:rsid w:val="002D1D84"/>
    <w:rsid w:val="002E11FA"/>
    <w:rsid w:val="002E21D6"/>
    <w:rsid w:val="002F1C3F"/>
    <w:rsid w:val="002F44AB"/>
    <w:rsid w:val="002F7973"/>
    <w:rsid w:val="00307693"/>
    <w:rsid w:val="0031024E"/>
    <w:rsid w:val="00312F11"/>
    <w:rsid w:val="003132F6"/>
    <w:rsid w:val="00315407"/>
    <w:rsid w:val="0031645A"/>
    <w:rsid w:val="00322C3A"/>
    <w:rsid w:val="0032760C"/>
    <w:rsid w:val="003313C3"/>
    <w:rsid w:val="00333EE7"/>
    <w:rsid w:val="003363C3"/>
    <w:rsid w:val="0034018A"/>
    <w:rsid w:val="00343216"/>
    <w:rsid w:val="00344CC3"/>
    <w:rsid w:val="0034515E"/>
    <w:rsid w:val="00347FD1"/>
    <w:rsid w:val="003506E6"/>
    <w:rsid w:val="00352DF8"/>
    <w:rsid w:val="00356E00"/>
    <w:rsid w:val="0036466F"/>
    <w:rsid w:val="0036740B"/>
    <w:rsid w:val="003712A9"/>
    <w:rsid w:val="00372944"/>
    <w:rsid w:val="00374FFF"/>
    <w:rsid w:val="003750CC"/>
    <w:rsid w:val="0037593E"/>
    <w:rsid w:val="00376DC7"/>
    <w:rsid w:val="0038083D"/>
    <w:rsid w:val="00384B54"/>
    <w:rsid w:val="00387964"/>
    <w:rsid w:val="0039007B"/>
    <w:rsid w:val="00390399"/>
    <w:rsid w:val="0039079D"/>
    <w:rsid w:val="003919EC"/>
    <w:rsid w:val="003920BE"/>
    <w:rsid w:val="0039236F"/>
    <w:rsid w:val="00392AA2"/>
    <w:rsid w:val="00392F5E"/>
    <w:rsid w:val="00394FAF"/>
    <w:rsid w:val="0039690B"/>
    <w:rsid w:val="003A377A"/>
    <w:rsid w:val="003B1278"/>
    <w:rsid w:val="003C00A3"/>
    <w:rsid w:val="003C047C"/>
    <w:rsid w:val="003C0622"/>
    <w:rsid w:val="003C10E7"/>
    <w:rsid w:val="003C49E8"/>
    <w:rsid w:val="003C5736"/>
    <w:rsid w:val="003D37E8"/>
    <w:rsid w:val="003D3CD8"/>
    <w:rsid w:val="003D5E40"/>
    <w:rsid w:val="003D6BE5"/>
    <w:rsid w:val="003D7EF3"/>
    <w:rsid w:val="003D7FF0"/>
    <w:rsid w:val="003E16C4"/>
    <w:rsid w:val="003E2919"/>
    <w:rsid w:val="003E3C53"/>
    <w:rsid w:val="003E6369"/>
    <w:rsid w:val="003E68B6"/>
    <w:rsid w:val="003F0641"/>
    <w:rsid w:val="003F2581"/>
    <w:rsid w:val="003F3003"/>
    <w:rsid w:val="003F4A08"/>
    <w:rsid w:val="003F640B"/>
    <w:rsid w:val="003F78E3"/>
    <w:rsid w:val="004016BF"/>
    <w:rsid w:val="00402380"/>
    <w:rsid w:val="0040727E"/>
    <w:rsid w:val="00407F86"/>
    <w:rsid w:val="004102C2"/>
    <w:rsid w:val="00412C52"/>
    <w:rsid w:val="0041356F"/>
    <w:rsid w:val="00414470"/>
    <w:rsid w:val="004156F2"/>
    <w:rsid w:val="0041689F"/>
    <w:rsid w:val="00417F32"/>
    <w:rsid w:val="0042114C"/>
    <w:rsid w:val="0042187B"/>
    <w:rsid w:val="00424A8D"/>
    <w:rsid w:val="004250AA"/>
    <w:rsid w:val="004251FE"/>
    <w:rsid w:val="00432769"/>
    <w:rsid w:val="00436630"/>
    <w:rsid w:val="00436685"/>
    <w:rsid w:val="00436978"/>
    <w:rsid w:val="00437ABF"/>
    <w:rsid w:val="004406CE"/>
    <w:rsid w:val="004416B6"/>
    <w:rsid w:val="00444C92"/>
    <w:rsid w:val="00444F7A"/>
    <w:rsid w:val="00446C56"/>
    <w:rsid w:val="00446E9B"/>
    <w:rsid w:val="00447CE1"/>
    <w:rsid w:val="00461176"/>
    <w:rsid w:val="00461419"/>
    <w:rsid w:val="004637D6"/>
    <w:rsid w:val="00465728"/>
    <w:rsid w:val="004720AA"/>
    <w:rsid w:val="0047247F"/>
    <w:rsid w:val="00473A77"/>
    <w:rsid w:val="00475D0F"/>
    <w:rsid w:val="00477022"/>
    <w:rsid w:val="0049123B"/>
    <w:rsid w:val="00496736"/>
    <w:rsid w:val="00497DCD"/>
    <w:rsid w:val="004A4024"/>
    <w:rsid w:val="004A4C34"/>
    <w:rsid w:val="004A5982"/>
    <w:rsid w:val="004A5CFE"/>
    <w:rsid w:val="004A5E6A"/>
    <w:rsid w:val="004B0A18"/>
    <w:rsid w:val="004B2A1B"/>
    <w:rsid w:val="004B2DE5"/>
    <w:rsid w:val="004B331B"/>
    <w:rsid w:val="004B6F1C"/>
    <w:rsid w:val="004C2F4D"/>
    <w:rsid w:val="004C3638"/>
    <w:rsid w:val="004C39A4"/>
    <w:rsid w:val="004C52FF"/>
    <w:rsid w:val="004D070B"/>
    <w:rsid w:val="004D33DF"/>
    <w:rsid w:val="004D58C6"/>
    <w:rsid w:val="004D749D"/>
    <w:rsid w:val="004D7DEA"/>
    <w:rsid w:val="004E04DA"/>
    <w:rsid w:val="004E1D06"/>
    <w:rsid w:val="004E1FA4"/>
    <w:rsid w:val="004E20B1"/>
    <w:rsid w:val="004E3DAA"/>
    <w:rsid w:val="004E4EB8"/>
    <w:rsid w:val="004E6203"/>
    <w:rsid w:val="004F42A1"/>
    <w:rsid w:val="004F5FA6"/>
    <w:rsid w:val="00500581"/>
    <w:rsid w:val="005041BE"/>
    <w:rsid w:val="00505635"/>
    <w:rsid w:val="00507805"/>
    <w:rsid w:val="005134B0"/>
    <w:rsid w:val="0051441E"/>
    <w:rsid w:val="005155D3"/>
    <w:rsid w:val="005204D6"/>
    <w:rsid w:val="00525692"/>
    <w:rsid w:val="00527E66"/>
    <w:rsid w:val="00534945"/>
    <w:rsid w:val="005360A1"/>
    <w:rsid w:val="00537C3E"/>
    <w:rsid w:val="00543555"/>
    <w:rsid w:val="0054431F"/>
    <w:rsid w:val="00544890"/>
    <w:rsid w:val="00547FC6"/>
    <w:rsid w:val="00552615"/>
    <w:rsid w:val="005567B3"/>
    <w:rsid w:val="00560EED"/>
    <w:rsid w:val="005632D3"/>
    <w:rsid w:val="005655D1"/>
    <w:rsid w:val="005658C9"/>
    <w:rsid w:val="00565929"/>
    <w:rsid w:val="005659EE"/>
    <w:rsid w:val="00565D9A"/>
    <w:rsid w:val="00566498"/>
    <w:rsid w:val="005708E6"/>
    <w:rsid w:val="005812C2"/>
    <w:rsid w:val="00583F95"/>
    <w:rsid w:val="00596AF0"/>
    <w:rsid w:val="00597947"/>
    <w:rsid w:val="005A0AF1"/>
    <w:rsid w:val="005A21FC"/>
    <w:rsid w:val="005B1178"/>
    <w:rsid w:val="005B159F"/>
    <w:rsid w:val="005C7BB8"/>
    <w:rsid w:val="005D0FBF"/>
    <w:rsid w:val="005D24E1"/>
    <w:rsid w:val="005D7826"/>
    <w:rsid w:val="005E016C"/>
    <w:rsid w:val="005E07E1"/>
    <w:rsid w:val="005E0E0C"/>
    <w:rsid w:val="005E1EC1"/>
    <w:rsid w:val="005E31A5"/>
    <w:rsid w:val="005E38D2"/>
    <w:rsid w:val="005E4DF6"/>
    <w:rsid w:val="005E6A5B"/>
    <w:rsid w:val="005E7290"/>
    <w:rsid w:val="005E7431"/>
    <w:rsid w:val="005F072F"/>
    <w:rsid w:val="005F0A83"/>
    <w:rsid w:val="005F0D41"/>
    <w:rsid w:val="005F234F"/>
    <w:rsid w:val="005F3C50"/>
    <w:rsid w:val="00601607"/>
    <w:rsid w:val="006047F8"/>
    <w:rsid w:val="006066A6"/>
    <w:rsid w:val="00606CC4"/>
    <w:rsid w:val="006138EE"/>
    <w:rsid w:val="0061452E"/>
    <w:rsid w:val="00614B06"/>
    <w:rsid w:val="00615D9E"/>
    <w:rsid w:val="00621643"/>
    <w:rsid w:val="00624274"/>
    <w:rsid w:val="00626CD9"/>
    <w:rsid w:val="00630956"/>
    <w:rsid w:val="00636115"/>
    <w:rsid w:val="00640016"/>
    <w:rsid w:val="00641EED"/>
    <w:rsid w:val="00642106"/>
    <w:rsid w:val="00644429"/>
    <w:rsid w:val="00646876"/>
    <w:rsid w:val="00647079"/>
    <w:rsid w:val="00647F6C"/>
    <w:rsid w:val="00650DEF"/>
    <w:rsid w:val="00651741"/>
    <w:rsid w:val="00656BC8"/>
    <w:rsid w:val="0066273D"/>
    <w:rsid w:val="00662D0D"/>
    <w:rsid w:val="006642D3"/>
    <w:rsid w:val="006711A5"/>
    <w:rsid w:val="00676441"/>
    <w:rsid w:val="00677567"/>
    <w:rsid w:val="00682BA7"/>
    <w:rsid w:val="00687B7B"/>
    <w:rsid w:val="00691499"/>
    <w:rsid w:val="00692356"/>
    <w:rsid w:val="0069340D"/>
    <w:rsid w:val="006A71EF"/>
    <w:rsid w:val="006A769A"/>
    <w:rsid w:val="006A7A55"/>
    <w:rsid w:val="006B2DDC"/>
    <w:rsid w:val="006B5939"/>
    <w:rsid w:val="006B6D45"/>
    <w:rsid w:val="006B776D"/>
    <w:rsid w:val="006C0C87"/>
    <w:rsid w:val="006C2D83"/>
    <w:rsid w:val="006C3F2E"/>
    <w:rsid w:val="006C4D9E"/>
    <w:rsid w:val="006D10DC"/>
    <w:rsid w:val="006D22CB"/>
    <w:rsid w:val="006D281E"/>
    <w:rsid w:val="006D3823"/>
    <w:rsid w:val="006D3E5C"/>
    <w:rsid w:val="006D41F1"/>
    <w:rsid w:val="006D431A"/>
    <w:rsid w:val="006D6DB9"/>
    <w:rsid w:val="006E149F"/>
    <w:rsid w:val="006E4514"/>
    <w:rsid w:val="006E5C42"/>
    <w:rsid w:val="006F2B5C"/>
    <w:rsid w:val="006F581B"/>
    <w:rsid w:val="006F74F7"/>
    <w:rsid w:val="006F7E68"/>
    <w:rsid w:val="00702AE3"/>
    <w:rsid w:val="0070567E"/>
    <w:rsid w:val="00705ADC"/>
    <w:rsid w:val="0070659F"/>
    <w:rsid w:val="007078C7"/>
    <w:rsid w:val="00713989"/>
    <w:rsid w:val="007148E9"/>
    <w:rsid w:val="00715EA4"/>
    <w:rsid w:val="007165EC"/>
    <w:rsid w:val="0072189F"/>
    <w:rsid w:val="00721C9B"/>
    <w:rsid w:val="0072285B"/>
    <w:rsid w:val="00722909"/>
    <w:rsid w:val="00723249"/>
    <w:rsid w:val="007260DC"/>
    <w:rsid w:val="00726E74"/>
    <w:rsid w:val="00727EF2"/>
    <w:rsid w:val="007309B9"/>
    <w:rsid w:val="00731661"/>
    <w:rsid w:val="00733038"/>
    <w:rsid w:val="0073421A"/>
    <w:rsid w:val="00737E3E"/>
    <w:rsid w:val="00744BE7"/>
    <w:rsid w:val="007455A5"/>
    <w:rsid w:val="00747C3E"/>
    <w:rsid w:val="00750C7B"/>
    <w:rsid w:val="00751783"/>
    <w:rsid w:val="00753FB8"/>
    <w:rsid w:val="00756213"/>
    <w:rsid w:val="00757369"/>
    <w:rsid w:val="00760264"/>
    <w:rsid w:val="0076125E"/>
    <w:rsid w:val="007614A0"/>
    <w:rsid w:val="00766CC5"/>
    <w:rsid w:val="0076789B"/>
    <w:rsid w:val="00771519"/>
    <w:rsid w:val="0077612D"/>
    <w:rsid w:val="0078403F"/>
    <w:rsid w:val="00784977"/>
    <w:rsid w:val="007857C2"/>
    <w:rsid w:val="007951AE"/>
    <w:rsid w:val="007960FC"/>
    <w:rsid w:val="007A1325"/>
    <w:rsid w:val="007A260C"/>
    <w:rsid w:val="007A3D65"/>
    <w:rsid w:val="007A4561"/>
    <w:rsid w:val="007A7FFA"/>
    <w:rsid w:val="007B096A"/>
    <w:rsid w:val="007B5BCC"/>
    <w:rsid w:val="007B63BA"/>
    <w:rsid w:val="007C0582"/>
    <w:rsid w:val="007C2929"/>
    <w:rsid w:val="007C5815"/>
    <w:rsid w:val="007C5A97"/>
    <w:rsid w:val="007D0A9C"/>
    <w:rsid w:val="007D12ED"/>
    <w:rsid w:val="007D518A"/>
    <w:rsid w:val="007D6002"/>
    <w:rsid w:val="007D6F8A"/>
    <w:rsid w:val="007E062F"/>
    <w:rsid w:val="007E5FF6"/>
    <w:rsid w:val="007F0CD4"/>
    <w:rsid w:val="007F15F0"/>
    <w:rsid w:val="007F3EA6"/>
    <w:rsid w:val="007F581B"/>
    <w:rsid w:val="007F6A15"/>
    <w:rsid w:val="00800E4A"/>
    <w:rsid w:val="008015DF"/>
    <w:rsid w:val="00801640"/>
    <w:rsid w:val="0080288E"/>
    <w:rsid w:val="008053EB"/>
    <w:rsid w:val="00805A0A"/>
    <w:rsid w:val="0081201D"/>
    <w:rsid w:val="00812ECD"/>
    <w:rsid w:val="0081473D"/>
    <w:rsid w:val="008157AE"/>
    <w:rsid w:val="008167AB"/>
    <w:rsid w:val="00820A25"/>
    <w:rsid w:val="0082440D"/>
    <w:rsid w:val="00825D97"/>
    <w:rsid w:val="008325FA"/>
    <w:rsid w:val="00833B9B"/>
    <w:rsid w:val="00835356"/>
    <w:rsid w:val="00844F4F"/>
    <w:rsid w:val="008453B8"/>
    <w:rsid w:val="0084547F"/>
    <w:rsid w:val="00845BD8"/>
    <w:rsid w:val="00845CE4"/>
    <w:rsid w:val="008468CD"/>
    <w:rsid w:val="00847827"/>
    <w:rsid w:val="0085148F"/>
    <w:rsid w:val="008526D0"/>
    <w:rsid w:val="00852C63"/>
    <w:rsid w:val="00854541"/>
    <w:rsid w:val="008567A5"/>
    <w:rsid w:val="008616A6"/>
    <w:rsid w:val="00862075"/>
    <w:rsid w:val="008642C8"/>
    <w:rsid w:val="008662A2"/>
    <w:rsid w:val="0087108E"/>
    <w:rsid w:val="00871DE9"/>
    <w:rsid w:val="00880CA7"/>
    <w:rsid w:val="00885CF7"/>
    <w:rsid w:val="00886E69"/>
    <w:rsid w:val="008934FA"/>
    <w:rsid w:val="008A0F83"/>
    <w:rsid w:val="008A175E"/>
    <w:rsid w:val="008A2E40"/>
    <w:rsid w:val="008B0C24"/>
    <w:rsid w:val="008B15BE"/>
    <w:rsid w:val="008B7645"/>
    <w:rsid w:val="008B77E1"/>
    <w:rsid w:val="008C1976"/>
    <w:rsid w:val="008C5857"/>
    <w:rsid w:val="008C771D"/>
    <w:rsid w:val="008D0512"/>
    <w:rsid w:val="008D1468"/>
    <w:rsid w:val="008D28B0"/>
    <w:rsid w:val="008D33D6"/>
    <w:rsid w:val="008D5A00"/>
    <w:rsid w:val="008E0EA8"/>
    <w:rsid w:val="008E573D"/>
    <w:rsid w:val="008E5FB9"/>
    <w:rsid w:val="008F5689"/>
    <w:rsid w:val="008F69BF"/>
    <w:rsid w:val="009003B0"/>
    <w:rsid w:val="009015AD"/>
    <w:rsid w:val="009036DE"/>
    <w:rsid w:val="00903AAF"/>
    <w:rsid w:val="0090416C"/>
    <w:rsid w:val="009043EF"/>
    <w:rsid w:val="00907956"/>
    <w:rsid w:val="0091079F"/>
    <w:rsid w:val="00911F9D"/>
    <w:rsid w:val="00913B55"/>
    <w:rsid w:val="009153E3"/>
    <w:rsid w:val="0091597F"/>
    <w:rsid w:val="009177D8"/>
    <w:rsid w:val="00921DCF"/>
    <w:rsid w:val="00923D59"/>
    <w:rsid w:val="0092464E"/>
    <w:rsid w:val="00924F4C"/>
    <w:rsid w:val="009337F2"/>
    <w:rsid w:val="00934B5A"/>
    <w:rsid w:val="0094138A"/>
    <w:rsid w:val="00946554"/>
    <w:rsid w:val="00953385"/>
    <w:rsid w:val="009536E4"/>
    <w:rsid w:val="009553EB"/>
    <w:rsid w:val="009556E8"/>
    <w:rsid w:val="00960332"/>
    <w:rsid w:val="00963C82"/>
    <w:rsid w:val="0097102B"/>
    <w:rsid w:val="009754A1"/>
    <w:rsid w:val="00975F8C"/>
    <w:rsid w:val="00977A2D"/>
    <w:rsid w:val="00977B6C"/>
    <w:rsid w:val="00977E58"/>
    <w:rsid w:val="00981B94"/>
    <w:rsid w:val="009850DD"/>
    <w:rsid w:val="009852EE"/>
    <w:rsid w:val="009918A8"/>
    <w:rsid w:val="00995CC6"/>
    <w:rsid w:val="009964F7"/>
    <w:rsid w:val="009A07B6"/>
    <w:rsid w:val="009A2934"/>
    <w:rsid w:val="009A3167"/>
    <w:rsid w:val="009A488C"/>
    <w:rsid w:val="009A6B01"/>
    <w:rsid w:val="009B0E77"/>
    <w:rsid w:val="009B7C3D"/>
    <w:rsid w:val="009C21D3"/>
    <w:rsid w:val="009C3BDF"/>
    <w:rsid w:val="009C6399"/>
    <w:rsid w:val="009C700D"/>
    <w:rsid w:val="009D117E"/>
    <w:rsid w:val="009D2C81"/>
    <w:rsid w:val="009D3BCE"/>
    <w:rsid w:val="009D4762"/>
    <w:rsid w:val="009D61D3"/>
    <w:rsid w:val="009D63C3"/>
    <w:rsid w:val="009D6FD8"/>
    <w:rsid w:val="009D7E0C"/>
    <w:rsid w:val="009E0181"/>
    <w:rsid w:val="009E1ED3"/>
    <w:rsid w:val="009E4A95"/>
    <w:rsid w:val="009E6004"/>
    <w:rsid w:val="009F0897"/>
    <w:rsid w:val="009F5345"/>
    <w:rsid w:val="009F53C2"/>
    <w:rsid w:val="009F58A2"/>
    <w:rsid w:val="009F6F50"/>
    <w:rsid w:val="009F7EAE"/>
    <w:rsid w:val="00A00406"/>
    <w:rsid w:val="00A0057C"/>
    <w:rsid w:val="00A016BF"/>
    <w:rsid w:val="00A0210F"/>
    <w:rsid w:val="00A058CF"/>
    <w:rsid w:val="00A072FE"/>
    <w:rsid w:val="00A07475"/>
    <w:rsid w:val="00A07496"/>
    <w:rsid w:val="00A10865"/>
    <w:rsid w:val="00A11537"/>
    <w:rsid w:val="00A11A7A"/>
    <w:rsid w:val="00A128C5"/>
    <w:rsid w:val="00A20055"/>
    <w:rsid w:val="00A210A1"/>
    <w:rsid w:val="00A22D6C"/>
    <w:rsid w:val="00A231F8"/>
    <w:rsid w:val="00A24CA1"/>
    <w:rsid w:val="00A269A7"/>
    <w:rsid w:val="00A31277"/>
    <w:rsid w:val="00A33350"/>
    <w:rsid w:val="00A34428"/>
    <w:rsid w:val="00A44C1F"/>
    <w:rsid w:val="00A452F5"/>
    <w:rsid w:val="00A46DAF"/>
    <w:rsid w:val="00A47C58"/>
    <w:rsid w:val="00A529A1"/>
    <w:rsid w:val="00A52BA6"/>
    <w:rsid w:val="00A52F2C"/>
    <w:rsid w:val="00A54B3F"/>
    <w:rsid w:val="00A60500"/>
    <w:rsid w:val="00A61261"/>
    <w:rsid w:val="00A61FD4"/>
    <w:rsid w:val="00A63AA9"/>
    <w:rsid w:val="00A669E9"/>
    <w:rsid w:val="00A67D0F"/>
    <w:rsid w:val="00A8609D"/>
    <w:rsid w:val="00A86542"/>
    <w:rsid w:val="00A87F7C"/>
    <w:rsid w:val="00A908A5"/>
    <w:rsid w:val="00A91DAE"/>
    <w:rsid w:val="00A9633A"/>
    <w:rsid w:val="00AA46EA"/>
    <w:rsid w:val="00AA559B"/>
    <w:rsid w:val="00AA6EA4"/>
    <w:rsid w:val="00AB29C4"/>
    <w:rsid w:val="00AB60C4"/>
    <w:rsid w:val="00AC14F0"/>
    <w:rsid w:val="00AC2DF7"/>
    <w:rsid w:val="00AC548A"/>
    <w:rsid w:val="00AD5C59"/>
    <w:rsid w:val="00AE270B"/>
    <w:rsid w:val="00AE5064"/>
    <w:rsid w:val="00AE5365"/>
    <w:rsid w:val="00AE55CB"/>
    <w:rsid w:val="00AE71DB"/>
    <w:rsid w:val="00AF3FDF"/>
    <w:rsid w:val="00AF5069"/>
    <w:rsid w:val="00AF564E"/>
    <w:rsid w:val="00B01326"/>
    <w:rsid w:val="00B0164D"/>
    <w:rsid w:val="00B019F5"/>
    <w:rsid w:val="00B02152"/>
    <w:rsid w:val="00B04CC4"/>
    <w:rsid w:val="00B04F4E"/>
    <w:rsid w:val="00B052BC"/>
    <w:rsid w:val="00B05BCA"/>
    <w:rsid w:val="00B05CB2"/>
    <w:rsid w:val="00B05F14"/>
    <w:rsid w:val="00B146C7"/>
    <w:rsid w:val="00B222AE"/>
    <w:rsid w:val="00B22D6C"/>
    <w:rsid w:val="00B31B65"/>
    <w:rsid w:val="00B33B98"/>
    <w:rsid w:val="00B349F7"/>
    <w:rsid w:val="00B3578A"/>
    <w:rsid w:val="00B422E2"/>
    <w:rsid w:val="00B431EF"/>
    <w:rsid w:val="00B51ADD"/>
    <w:rsid w:val="00B553D8"/>
    <w:rsid w:val="00B569AD"/>
    <w:rsid w:val="00B56E34"/>
    <w:rsid w:val="00B57039"/>
    <w:rsid w:val="00B57263"/>
    <w:rsid w:val="00B6093A"/>
    <w:rsid w:val="00B62EAA"/>
    <w:rsid w:val="00B668D2"/>
    <w:rsid w:val="00B72C1F"/>
    <w:rsid w:val="00B73C5F"/>
    <w:rsid w:val="00B74177"/>
    <w:rsid w:val="00B76D53"/>
    <w:rsid w:val="00B82656"/>
    <w:rsid w:val="00B83704"/>
    <w:rsid w:val="00B90CC2"/>
    <w:rsid w:val="00B93330"/>
    <w:rsid w:val="00B96017"/>
    <w:rsid w:val="00B96778"/>
    <w:rsid w:val="00BA0EB4"/>
    <w:rsid w:val="00BA2BEC"/>
    <w:rsid w:val="00BA498C"/>
    <w:rsid w:val="00BA4E80"/>
    <w:rsid w:val="00BA56B6"/>
    <w:rsid w:val="00BB60A8"/>
    <w:rsid w:val="00BC2BF8"/>
    <w:rsid w:val="00BC3E88"/>
    <w:rsid w:val="00BC7EFD"/>
    <w:rsid w:val="00BD0BA4"/>
    <w:rsid w:val="00BD15B8"/>
    <w:rsid w:val="00BD1F78"/>
    <w:rsid w:val="00BD1FC3"/>
    <w:rsid w:val="00BE1259"/>
    <w:rsid w:val="00BE73A7"/>
    <w:rsid w:val="00BF0647"/>
    <w:rsid w:val="00BF0E5F"/>
    <w:rsid w:val="00BF33D3"/>
    <w:rsid w:val="00C00CEE"/>
    <w:rsid w:val="00C06624"/>
    <w:rsid w:val="00C10B17"/>
    <w:rsid w:val="00C117C2"/>
    <w:rsid w:val="00C11868"/>
    <w:rsid w:val="00C16188"/>
    <w:rsid w:val="00C22374"/>
    <w:rsid w:val="00C2276F"/>
    <w:rsid w:val="00C23FFB"/>
    <w:rsid w:val="00C2698A"/>
    <w:rsid w:val="00C308CC"/>
    <w:rsid w:val="00C30A7C"/>
    <w:rsid w:val="00C30E54"/>
    <w:rsid w:val="00C32BC8"/>
    <w:rsid w:val="00C34157"/>
    <w:rsid w:val="00C348C3"/>
    <w:rsid w:val="00C41CE3"/>
    <w:rsid w:val="00C41EAE"/>
    <w:rsid w:val="00C44CDE"/>
    <w:rsid w:val="00C515F8"/>
    <w:rsid w:val="00C5195C"/>
    <w:rsid w:val="00C52063"/>
    <w:rsid w:val="00C60D35"/>
    <w:rsid w:val="00C61427"/>
    <w:rsid w:val="00C62122"/>
    <w:rsid w:val="00C6411B"/>
    <w:rsid w:val="00C66CD2"/>
    <w:rsid w:val="00C72429"/>
    <w:rsid w:val="00C75D95"/>
    <w:rsid w:val="00C76049"/>
    <w:rsid w:val="00C770CC"/>
    <w:rsid w:val="00C770DB"/>
    <w:rsid w:val="00C80786"/>
    <w:rsid w:val="00C807F9"/>
    <w:rsid w:val="00C81852"/>
    <w:rsid w:val="00C81D03"/>
    <w:rsid w:val="00C830AA"/>
    <w:rsid w:val="00C83E2E"/>
    <w:rsid w:val="00C853F1"/>
    <w:rsid w:val="00C8640F"/>
    <w:rsid w:val="00C90C57"/>
    <w:rsid w:val="00C927C0"/>
    <w:rsid w:val="00C92A41"/>
    <w:rsid w:val="00CA629B"/>
    <w:rsid w:val="00CA67FB"/>
    <w:rsid w:val="00CA77CE"/>
    <w:rsid w:val="00CB0887"/>
    <w:rsid w:val="00CC1988"/>
    <w:rsid w:val="00CC19AA"/>
    <w:rsid w:val="00CC3865"/>
    <w:rsid w:val="00CC5C28"/>
    <w:rsid w:val="00CC6A6D"/>
    <w:rsid w:val="00CD01A6"/>
    <w:rsid w:val="00CD314C"/>
    <w:rsid w:val="00CD4E1A"/>
    <w:rsid w:val="00CD5D7A"/>
    <w:rsid w:val="00CD740C"/>
    <w:rsid w:val="00CE1BE6"/>
    <w:rsid w:val="00CE36B8"/>
    <w:rsid w:val="00CE4D5D"/>
    <w:rsid w:val="00CE6E37"/>
    <w:rsid w:val="00CE7334"/>
    <w:rsid w:val="00CF161B"/>
    <w:rsid w:val="00CF21E2"/>
    <w:rsid w:val="00CF4907"/>
    <w:rsid w:val="00CF7BA7"/>
    <w:rsid w:val="00D00EA8"/>
    <w:rsid w:val="00D01135"/>
    <w:rsid w:val="00D015C5"/>
    <w:rsid w:val="00D03455"/>
    <w:rsid w:val="00D05BF5"/>
    <w:rsid w:val="00D0705D"/>
    <w:rsid w:val="00D10173"/>
    <w:rsid w:val="00D14C73"/>
    <w:rsid w:val="00D21760"/>
    <w:rsid w:val="00D23BBE"/>
    <w:rsid w:val="00D27AF2"/>
    <w:rsid w:val="00D27DC8"/>
    <w:rsid w:val="00D32D8D"/>
    <w:rsid w:val="00D33266"/>
    <w:rsid w:val="00D33644"/>
    <w:rsid w:val="00D413DB"/>
    <w:rsid w:val="00D41D85"/>
    <w:rsid w:val="00D41E86"/>
    <w:rsid w:val="00D4220E"/>
    <w:rsid w:val="00D42316"/>
    <w:rsid w:val="00D427FC"/>
    <w:rsid w:val="00D44D3A"/>
    <w:rsid w:val="00D44F9B"/>
    <w:rsid w:val="00D45885"/>
    <w:rsid w:val="00D45961"/>
    <w:rsid w:val="00D45983"/>
    <w:rsid w:val="00D459BF"/>
    <w:rsid w:val="00D47231"/>
    <w:rsid w:val="00D47A53"/>
    <w:rsid w:val="00D52E6E"/>
    <w:rsid w:val="00D54B02"/>
    <w:rsid w:val="00D54B69"/>
    <w:rsid w:val="00D554CB"/>
    <w:rsid w:val="00D564B6"/>
    <w:rsid w:val="00D60680"/>
    <w:rsid w:val="00D61B4E"/>
    <w:rsid w:val="00D726C9"/>
    <w:rsid w:val="00D740C4"/>
    <w:rsid w:val="00D77B55"/>
    <w:rsid w:val="00D77F22"/>
    <w:rsid w:val="00D800EA"/>
    <w:rsid w:val="00D83991"/>
    <w:rsid w:val="00D83A75"/>
    <w:rsid w:val="00D848FF"/>
    <w:rsid w:val="00D86515"/>
    <w:rsid w:val="00D92DBF"/>
    <w:rsid w:val="00D942F0"/>
    <w:rsid w:val="00D95DA1"/>
    <w:rsid w:val="00D9704A"/>
    <w:rsid w:val="00DA2837"/>
    <w:rsid w:val="00DA2C69"/>
    <w:rsid w:val="00DA3DE8"/>
    <w:rsid w:val="00DA4A1F"/>
    <w:rsid w:val="00DB0341"/>
    <w:rsid w:val="00DB1144"/>
    <w:rsid w:val="00DB1A6E"/>
    <w:rsid w:val="00DB3373"/>
    <w:rsid w:val="00DB3ACE"/>
    <w:rsid w:val="00DB4415"/>
    <w:rsid w:val="00DB662D"/>
    <w:rsid w:val="00DB6793"/>
    <w:rsid w:val="00DC4310"/>
    <w:rsid w:val="00DC69A7"/>
    <w:rsid w:val="00DC7E56"/>
    <w:rsid w:val="00DD027C"/>
    <w:rsid w:val="00DD07D3"/>
    <w:rsid w:val="00DD19A1"/>
    <w:rsid w:val="00DD1ADD"/>
    <w:rsid w:val="00DD2557"/>
    <w:rsid w:val="00DE0934"/>
    <w:rsid w:val="00DE105F"/>
    <w:rsid w:val="00DE2090"/>
    <w:rsid w:val="00DE658A"/>
    <w:rsid w:val="00DE6720"/>
    <w:rsid w:val="00DF0BEC"/>
    <w:rsid w:val="00DF47DD"/>
    <w:rsid w:val="00DF6599"/>
    <w:rsid w:val="00DF73FE"/>
    <w:rsid w:val="00DF7AC0"/>
    <w:rsid w:val="00E01478"/>
    <w:rsid w:val="00E01655"/>
    <w:rsid w:val="00E01E5D"/>
    <w:rsid w:val="00E04274"/>
    <w:rsid w:val="00E11DC5"/>
    <w:rsid w:val="00E12295"/>
    <w:rsid w:val="00E20C05"/>
    <w:rsid w:val="00E22B62"/>
    <w:rsid w:val="00E2632C"/>
    <w:rsid w:val="00E31C4A"/>
    <w:rsid w:val="00E377AB"/>
    <w:rsid w:val="00E40AE7"/>
    <w:rsid w:val="00E41741"/>
    <w:rsid w:val="00E42612"/>
    <w:rsid w:val="00E458D6"/>
    <w:rsid w:val="00E53A1D"/>
    <w:rsid w:val="00E560DE"/>
    <w:rsid w:val="00E56786"/>
    <w:rsid w:val="00E63C72"/>
    <w:rsid w:val="00E66114"/>
    <w:rsid w:val="00E67CC2"/>
    <w:rsid w:val="00E720E0"/>
    <w:rsid w:val="00E735DF"/>
    <w:rsid w:val="00E77782"/>
    <w:rsid w:val="00E77DC4"/>
    <w:rsid w:val="00E84161"/>
    <w:rsid w:val="00E854ED"/>
    <w:rsid w:val="00E8595D"/>
    <w:rsid w:val="00E86E90"/>
    <w:rsid w:val="00E913DD"/>
    <w:rsid w:val="00E91D89"/>
    <w:rsid w:val="00E94946"/>
    <w:rsid w:val="00E957DC"/>
    <w:rsid w:val="00E96F22"/>
    <w:rsid w:val="00EA2BEB"/>
    <w:rsid w:val="00EA35ED"/>
    <w:rsid w:val="00EA7259"/>
    <w:rsid w:val="00EA7F9E"/>
    <w:rsid w:val="00EB1926"/>
    <w:rsid w:val="00EB2560"/>
    <w:rsid w:val="00EB44D6"/>
    <w:rsid w:val="00EB5268"/>
    <w:rsid w:val="00EB5BA6"/>
    <w:rsid w:val="00EB5CE9"/>
    <w:rsid w:val="00EB69EC"/>
    <w:rsid w:val="00EB7D02"/>
    <w:rsid w:val="00EC0D33"/>
    <w:rsid w:val="00EC243C"/>
    <w:rsid w:val="00EC3D5E"/>
    <w:rsid w:val="00EC5C8F"/>
    <w:rsid w:val="00ED3252"/>
    <w:rsid w:val="00ED625C"/>
    <w:rsid w:val="00EE1A96"/>
    <w:rsid w:val="00EE3359"/>
    <w:rsid w:val="00EE6CEB"/>
    <w:rsid w:val="00EF2329"/>
    <w:rsid w:val="00EF3750"/>
    <w:rsid w:val="00EF3AD0"/>
    <w:rsid w:val="00EF51D9"/>
    <w:rsid w:val="00EF6670"/>
    <w:rsid w:val="00EF7867"/>
    <w:rsid w:val="00F007F5"/>
    <w:rsid w:val="00F034DE"/>
    <w:rsid w:val="00F050C5"/>
    <w:rsid w:val="00F105BB"/>
    <w:rsid w:val="00F11D13"/>
    <w:rsid w:val="00F15BC0"/>
    <w:rsid w:val="00F22E11"/>
    <w:rsid w:val="00F245AA"/>
    <w:rsid w:val="00F32201"/>
    <w:rsid w:val="00F346F0"/>
    <w:rsid w:val="00F34780"/>
    <w:rsid w:val="00F42462"/>
    <w:rsid w:val="00F429FB"/>
    <w:rsid w:val="00F42C07"/>
    <w:rsid w:val="00F43025"/>
    <w:rsid w:val="00F43CA0"/>
    <w:rsid w:val="00F479AC"/>
    <w:rsid w:val="00F47AC0"/>
    <w:rsid w:val="00F50C5F"/>
    <w:rsid w:val="00F537E6"/>
    <w:rsid w:val="00F54C72"/>
    <w:rsid w:val="00F5586D"/>
    <w:rsid w:val="00F56F36"/>
    <w:rsid w:val="00F579C1"/>
    <w:rsid w:val="00F605C6"/>
    <w:rsid w:val="00F61705"/>
    <w:rsid w:val="00F75A94"/>
    <w:rsid w:val="00F7643C"/>
    <w:rsid w:val="00F866DF"/>
    <w:rsid w:val="00F875C5"/>
    <w:rsid w:val="00F87BB1"/>
    <w:rsid w:val="00F91449"/>
    <w:rsid w:val="00F91525"/>
    <w:rsid w:val="00F93A2D"/>
    <w:rsid w:val="00F945F2"/>
    <w:rsid w:val="00F9606C"/>
    <w:rsid w:val="00F96E1E"/>
    <w:rsid w:val="00F973C9"/>
    <w:rsid w:val="00FA017F"/>
    <w:rsid w:val="00FA5652"/>
    <w:rsid w:val="00FA614A"/>
    <w:rsid w:val="00FA66DE"/>
    <w:rsid w:val="00FB1DF1"/>
    <w:rsid w:val="00FB2DEF"/>
    <w:rsid w:val="00FB4149"/>
    <w:rsid w:val="00FB57F6"/>
    <w:rsid w:val="00FB7D78"/>
    <w:rsid w:val="00FC429A"/>
    <w:rsid w:val="00FC451B"/>
    <w:rsid w:val="00FC4EB6"/>
    <w:rsid w:val="00FC52B0"/>
    <w:rsid w:val="00FC6596"/>
    <w:rsid w:val="00FC69D4"/>
    <w:rsid w:val="00FD1348"/>
    <w:rsid w:val="00FD4B23"/>
    <w:rsid w:val="00FE15C5"/>
    <w:rsid w:val="00FE1DB5"/>
    <w:rsid w:val="00FE1F54"/>
    <w:rsid w:val="00FE5BA5"/>
    <w:rsid w:val="00FE7174"/>
    <w:rsid w:val="00FF018C"/>
    <w:rsid w:val="00FF0713"/>
    <w:rsid w:val="00FF1DC6"/>
    <w:rsid w:val="00FF6F97"/>
    <w:rsid w:val="00FF7089"/>
    <w:rsid w:val="02572AE5"/>
    <w:rsid w:val="04C11975"/>
    <w:rsid w:val="21D87D2C"/>
    <w:rsid w:val="299B5B9F"/>
    <w:rsid w:val="2D8B2DA5"/>
    <w:rsid w:val="2EE653A7"/>
    <w:rsid w:val="3076689D"/>
    <w:rsid w:val="30A14707"/>
    <w:rsid w:val="3A2A1B78"/>
    <w:rsid w:val="3A34222E"/>
    <w:rsid w:val="3AC577F8"/>
    <w:rsid w:val="44AD5E9C"/>
    <w:rsid w:val="45542ADF"/>
    <w:rsid w:val="4712320E"/>
    <w:rsid w:val="49B61922"/>
    <w:rsid w:val="4E0C1ED3"/>
    <w:rsid w:val="517E0914"/>
    <w:rsid w:val="51871A66"/>
    <w:rsid w:val="5EAD581F"/>
    <w:rsid w:val="62314002"/>
    <w:rsid w:val="63144C62"/>
    <w:rsid w:val="70344EA3"/>
    <w:rsid w:val="71C852BA"/>
    <w:rsid w:val="72031E6D"/>
    <w:rsid w:val="77E115E1"/>
    <w:rsid w:val="7DD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ind w:firstLine="0" w:firstLineChars="0"/>
      <w:jc w:val="left"/>
      <w:outlineLvl w:val="2"/>
    </w:pPr>
    <w:rPr>
      <w:b/>
      <w:bCs/>
      <w:szCs w:val="32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qFormat/>
    <w:uiPriority w:val="39"/>
    <w:pPr>
      <w:ind w:left="1800"/>
      <w:jc w:val="left"/>
    </w:pPr>
    <w:rPr>
      <w:sz w:val="18"/>
      <w:szCs w:val="18"/>
    </w:rPr>
  </w:style>
  <w:style w:type="paragraph" w:styleId="6">
    <w:name w:val="Document Map"/>
    <w:basedOn w:val="1"/>
    <w:link w:val="35"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32"/>
    <w:unhideWhenUsed/>
    <w:qFormat/>
    <w:uiPriority w:val="99"/>
    <w:pPr>
      <w:jc w:val="left"/>
    </w:pPr>
  </w:style>
  <w:style w:type="paragraph" w:styleId="8">
    <w:name w:val="toc 5"/>
    <w:basedOn w:val="1"/>
    <w:next w:val="1"/>
    <w:qFormat/>
    <w:uiPriority w:val="39"/>
    <w:pPr>
      <w:ind w:left="1200"/>
      <w:jc w:val="left"/>
    </w:pPr>
    <w:rPr>
      <w:sz w:val="18"/>
      <w:szCs w:val="18"/>
    </w:rPr>
  </w:style>
  <w:style w:type="paragraph" w:styleId="9">
    <w:name w:val="toc 3"/>
    <w:basedOn w:val="1"/>
    <w:next w:val="1"/>
    <w:qFormat/>
    <w:uiPriority w:val="39"/>
    <w:pPr>
      <w:spacing w:line="300" w:lineRule="exact"/>
      <w:ind w:left="567"/>
      <w:jc w:val="left"/>
    </w:pPr>
    <w:rPr>
      <w:iCs/>
      <w:sz w:val="28"/>
      <w:szCs w:val="20"/>
    </w:rPr>
  </w:style>
  <w:style w:type="paragraph" w:styleId="10">
    <w:name w:val="toc 8"/>
    <w:basedOn w:val="1"/>
    <w:next w:val="1"/>
    <w:qFormat/>
    <w:uiPriority w:val="39"/>
    <w:pPr>
      <w:ind w:left="2100"/>
      <w:jc w:val="left"/>
    </w:pPr>
    <w:rPr>
      <w:sz w:val="18"/>
      <w:szCs w:val="18"/>
    </w:rPr>
  </w:style>
  <w:style w:type="paragraph" w:styleId="11">
    <w:name w:val="Date"/>
    <w:basedOn w:val="1"/>
    <w:next w:val="1"/>
    <w:qFormat/>
    <w:uiPriority w:val="0"/>
    <w:pPr>
      <w:ind w:left="100" w:leftChars="2500"/>
    </w:pPr>
    <w:rPr>
      <w:rFonts w:eastAsia="宋体"/>
      <w:sz w:val="21"/>
    </w:rPr>
  </w:style>
  <w:style w:type="paragraph" w:styleId="12">
    <w:name w:val="Balloon Text"/>
    <w:basedOn w:val="1"/>
    <w:link w:val="29"/>
    <w:qFormat/>
    <w:uiPriority w:val="0"/>
    <w:rPr>
      <w:sz w:val="18"/>
      <w:szCs w:val="18"/>
    </w:rPr>
  </w:style>
  <w:style w:type="paragraph" w:styleId="13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8"/>
      <w:szCs w:val="20"/>
    </w:rPr>
  </w:style>
  <w:style w:type="paragraph" w:styleId="16">
    <w:name w:val="toc 4"/>
    <w:basedOn w:val="1"/>
    <w:next w:val="1"/>
    <w:qFormat/>
    <w:uiPriority w:val="39"/>
    <w:pPr>
      <w:tabs>
        <w:tab w:val="right" w:leader="dot" w:pos="8693"/>
      </w:tabs>
      <w:spacing w:line="300" w:lineRule="exact"/>
      <w:ind w:left="902"/>
      <w:jc w:val="left"/>
    </w:pPr>
    <w:rPr>
      <w:sz w:val="28"/>
      <w:szCs w:val="18"/>
    </w:rPr>
  </w:style>
  <w:style w:type="paragraph" w:styleId="17">
    <w:name w:val="toc 6"/>
    <w:basedOn w:val="1"/>
    <w:next w:val="1"/>
    <w:qFormat/>
    <w:uiPriority w:val="39"/>
    <w:pPr>
      <w:ind w:left="1500"/>
      <w:jc w:val="left"/>
    </w:pPr>
    <w:rPr>
      <w:sz w:val="18"/>
      <w:szCs w:val="18"/>
    </w:rPr>
  </w:style>
  <w:style w:type="paragraph" w:styleId="18">
    <w:name w:val="toc 2"/>
    <w:basedOn w:val="1"/>
    <w:next w:val="1"/>
    <w:qFormat/>
    <w:uiPriority w:val="39"/>
    <w:pPr>
      <w:spacing w:line="300" w:lineRule="exact"/>
      <w:jc w:val="left"/>
    </w:pPr>
    <w:rPr>
      <w:smallCaps/>
      <w:sz w:val="28"/>
      <w:szCs w:val="20"/>
    </w:rPr>
  </w:style>
  <w:style w:type="paragraph" w:styleId="19">
    <w:name w:val="toc 9"/>
    <w:basedOn w:val="1"/>
    <w:next w:val="1"/>
    <w:qFormat/>
    <w:uiPriority w:val="39"/>
    <w:pPr>
      <w:ind w:left="2400"/>
      <w:jc w:val="left"/>
    </w:pPr>
    <w:rPr>
      <w:sz w:val="18"/>
      <w:szCs w:val="18"/>
    </w:rPr>
  </w:style>
  <w:style w:type="paragraph" w:styleId="20">
    <w:name w:val="Title"/>
    <w:basedOn w:val="1"/>
    <w:next w:val="1"/>
    <w:link w:val="28"/>
    <w:qFormat/>
    <w:uiPriority w:val="10"/>
    <w:pPr>
      <w:jc w:val="left"/>
      <w:outlineLvl w:val="3"/>
    </w:pPr>
    <w:rPr>
      <w:rFonts w:ascii="Cambria" w:hAnsi="Cambria"/>
      <w:bCs/>
      <w:szCs w:val="32"/>
    </w:rPr>
  </w:style>
  <w:style w:type="paragraph" w:styleId="21">
    <w:name w:val="annotation subject"/>
    <w:basedOn w:val="7"/>
    <w:next w:val="7"/>
    <w:link w:val="34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basedOn w:val="24"/>
    <w:unhideWhenUsed/>
    <w:qFormat/>
    <w:uiPriority w:val="99"/>
    <w:rPr>
      <w:sz w:val="21"/>
      <w:szCs w:val="21"/>
    </w:rPr>
  </w:style>
  <w:style w:type="character" w:customStyle="1" w:styleId="28">
    <w:name w:val="标题 Char"/>
    <w:basedOn w:val="24"/>
    <w:link w:val="20"/>
    <w:qFormat/>
    <w:uiPriority w:val="10"/>
    <w:rPr>
      <w:rFonts w:ascii="Cambria" w:hAnsi="Cambria" w:eastAsia="仿宋_GB2312" w:cs="Times New Roman"/>
      <w:bCs/>
      <w:kern w:val="2"/>
      <w:sz w:val="24"/>
      <w:szCs w:val="32"/>
    </w:rPr>
  </w:style>
  <w:style w:type="character" w:customStyle="1" w:styleId="29">
    <w:name w:val="批注框文本 Char"/>
    <w:link w:val="12"/>
    <w:qFormat/>
    <w:uiPriority w:val="0"/>
    <w:rPr>
      <w:rFonts w:eastAsia="仿宋_GB2312"/>
      <w:kern w:val="2"/>
      <w:sz w:val="18"/>
      <w:szCs w:val="18"/>
    </w:rPr>
  </w:style>
  <w:style w:type="character" w:customStyle="1" w:styleId="30">
    <w:name w:val="页脚 Char"/>
    <w:link w:val="13"/>
    <w:qFormat/>
    <w:uiPriority w:val="99"/>
    <w:rPr>
      <w:rFonts w:eastAsia="仿宋_GB2312"/>
      <w:kern w:val="2"/>
      <w:sz w:val="18"/>
      <w:szCs w:val="18"/>
    </w:rPr>
  </w:style>
  <w:style w:type="character" w:customStyle="1" w:styleId="31">
    <w:name w:val="apple-converted-space"/>
    <w:basedOn w:val="24"/>
    <w:qFormat/>
    <w:uiPriority w:val="0"/>
  </w:style>
  <w:style w:type="character" w:customStyle="1" w:styleId="32">
    <w:name w:val="批注文字 Char"/>
    <w:basedOn w:val="24"/>
    <w:link w:val="7"/>
    <w:semiHidden/>
    <w:qFormat/>
    <w:uiPriority w:val="99"/>
    <w:rPr>
      <w:rFonts w:eastAsia="仿宋_GB2312"/>
      <w:kern w:val="2"/>
      <w:sz w:val="24"/>
      <w:szCs w:val="24"/>
    </w:rPr>
  </w:style>
  <w:style w:type="character" w:customStyle="1" w:styleId="33">
    <w:name w:val="页眉 Char"/>
    <w:link w:val="14"/>
    <w:qFormat/>
    <w:uiPriority w:val="0"/>
    <w:rPr>
      <w:rFonts w:eastAsia="仿宋_GB2312"/>
      <w:kern w:val="2"/>
      <w:sz w:val="18"/>
      <w:szCs w:val="18"/>
    </w:rPr>
  </w:style>
  <w:style w:type="character" w:customStyle="1" w:styleId="34">
    <w:name w:val="批注主题 Char"/>
    <w:basedOn w:val="32"/>
    <w:link w:val="21"/>
    <w:semiHidden/>
    <w:qFormat/>
    <w:uiPriority w:val="99"/>
    <w:rPr>
      <w:rFonts w:eastAsia="仿宋_GB2312"/>
      <w:b/>
      <w:bCs/>
      <w:kern w:val="2"/>
      <w:sz w:val="24"/>
      <w:szCs w:val="24"/>
    </w:rPr>
  </w:style>
  <w:style w:type="character" w:customStyle="1" w:styleId="35">
    <w:name w:val="文档结构图 Char"/>
    <w:basedOn w:val="24"/>
    <w:link w:val="6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36">
    <w:name w:val="_Style 1"/>
    <w:basedOn w:val="1"/>
    <w:qFormat/>
    <w:uiPriority w:val="0"/>
    <w:rPr>
      <w:rFonts w:eastAsia="宋体"/>
      <w:sz w:val="21"/>
    </w:rPr>
  </w:style>
  <w:style w:type="paragraph" w:styleId="37">
    <w:name w:val="No Spacing"/>
    <w:qFormat/>
    <w:uiPriority w:val="1"/>
    <w:pPr>
      <w:widowControl w:val="0"/>
      <w:spacing w:line="360" w:lineRule="auto"/>
      <w:ind w:firstLine="200" w:firstLineChars="200"/>
      <w:outlineLvl w:val="2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38">
    <w:name w:val="TOC Heading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mbria" w:hAnsi="Cambria" w:eastAsia="宋体"/>
      <w:color w:val="365F91"/>
      <w:kern w:val="0"/>
      <w:szCs w:val="28"/>
    </w:rPr>
  </w:style>
  <w:style w:type="paragraph" w:customStyle="1" w:styleId="39">
    <w:name w:val="列出段落1"/>
    <w:basedOn w:val="1"/>
    <w:qFormat/>
    <w:uiPriority w:val="34"/>
    <w:pPr>
      <w:ind w:firstLine="420"/>
    </w:pPr>
  </w:style>
  <w:style w:type="paragraph" w:styleId="40">
    <w:name w:val="List Paragraph"/>
    <w:basedOn w:val="1"/>
    <w:qFormat/>
    <w:uiPriority w:val="34"/>
    <w:pPr>
      <w:ind w:firstLine="420"/>
    </w:pPr>
  </w:style>
  <w:style w:type="paragraph" w:customStyle="1" w:styleId="41">
    <w:name w:val="Revision"/>
    <w:semiHidden/>
    <w:qFormat/>
    <w:uiPriority w:val="99"/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42">
    <w:name w:val="标题 2 Char"/>
    <w:basedOn w:val="24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42E6F5-C633-4B15-917B-8A4A2F076E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5886</Words>
  <Characters>6077</Characters>
  <Lines>68</Lines>
  <Paragraphs>19</Paragraphs>
  <TotalTime>1</TotalTime>
  <ScaleCrop>false</ScaleCrop>
  <LinksUpToDate>false</LinksUpToDate>
  <CharactersWithSpaces>6174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2017-03-14T02:32:00Z</dcterms:created>
  <dc:creator>lhn</dc:creator>
  <cp:lastModifiedBy>lovelife</cp:lastModifiedBy>
  <cp:lastPrinted>2015-12-10T09:13:00Z</cp:lastPrinted>
  <dcterms:modified xsi:type="dcterms:W3CDTF">2025-02-12T03:02:47Z</dcterms:modified>
  <dc:title>财政支出绩效评价报告</dc:title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eyJoZGlkIjoiNjIzNWNjMjZkMzAxMzE3Y2FlN2ZmYjg5ZThkNDU3OWYiLCJ1c2VySWQiOiI1NjM2NjUzNzEifQ==</vt:lpwstr>
  </property>
  <property fmtid="{D5CDD505-2E9C-101B-9397-08002B2CF9AE}" pid="4" name="ICV">
    <vt:lpwstr>D3AFAFAC2C0145259A7AFDCF3CE0FEB4_12</vt:lpwstr>
  </property>
</Properties>
</file>