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0B516">
      <w:pPr>
        <w:ind w:firstLine="883"/>
        <w:jc w:val="center"/>
        <w:rPr>
          <w:rFonts w:ascii="宋体" w:hAnsi="宋体" w:eastAsia="宋体"/>
          <w:b/>
          <w:color w:val="000000"/>
          <w:sz w:val="44"/>
          <w:szCs w:val="44"/>
          <w:highlight w:val="none"/>
        </w:rPr>
      </w:pPr>
    </w:p>
    <w:p w14:paraId="7BE4EA19">
      <w:pPr>
        <w:ind w:firstLine="883"/>
        <w:jc w:val="center"/>
        <w:rPr>
          <w:rFonts w:ascii="宋体" w:hAnsi="宋体" w:eastAsia="宋体"/>
          <w:b/>
          <w:color w:val="000000"/>
          <w:sz w:val="44"/>
          <w:szCs w:val="44"/>
          <w:highlight w:val="none"/>
        </w:rPr>
      </w:pPr>
    </w:p>
    <w:p w14:paraId="687A1730">
      <w:pPr>
        <w:ind w:firstLine="0" w:firstLineChars="0"/>
        <w:jc w:val="center"/>
        <w:rPr>
          <w:rFonts w:ascii="仿宋" w:hAnsi="仿宋" w:eastAsia="仿宋"/>
          <w:b/>
          <w:color w:val="000000"/>
          <w:sz w:val="44"/>
          <w:szCs w:val="44"/>
          <w:highlight w:val="none"/>
        </w:rPr>
      </w:pPr>
      <w:r>
        <w:rPr>
          <w:rFonts w:hint="eastAsia" w:ascii="仿宋" w:hAnsi="仿宋" w:eastAsia="仿宋"/>
          <w:b/>
          <w:color w:val="000000"/>
          <w:sz w:val="44"/>
          <w:szCs w:val="44"/>
          <w:highlight w:val="none"/>
        </w:rPr>
        <w:t>武汉经济技术开发区（汉南区）行政审批局</w:t>
      </w:r>
    </w:p>
    <w:p w14:paraId="5C2082B8">
      <w:pPr>
        <w:ind w:firstLine="0" w:firstLineChars="0"/>
        <w:jc w:val="center"/>
        <w:rPr>
          <w:rFonts w:hint="default" w:ascii="仿宋" w:hAnsi="仿宋" w:eastAsia="仿宋"/>
          <w:b/>
          <w:bCs/>
          <w:color w:val="000000"/>
          <w:sz w:val="44"/>
          <w:szCs w:val="44"/>
          <w:highlight w:val="none"/>
          <w:lang w:val="en-US" w:eastAsia="zh-CN"/>
        </w:rPr>
      </w:pPr>
      <w:r>
        <w:rPr>
          <w:rFonts w:hint="eastAsia" w:ascii="仿宋" w:hAnsi="仿宋" w:eastAsia="仿宋"/>
          <w:b/>
          <w:bCs/>
          <w:color w:val="000000"/>
          <w:sz w:val="44"/>
          <w:szCs w:val="44"/>
          <w:highlight w:val="none"/>
          <w:lang w:val="en-US" w:eastAsia="zh-CN"/>
        </w:rPr>
        <w:t>市民服务中心大楼租金</w:t>
      </w:r>
    </w:p>
    <w:p w14:paraId="77C3AACA">
      <w:pPr>
        <w:ind w:firstLine="0" w:firstLineChars="0"/>
        <w:jc w:val="center"/>
        <w:rPr>
          <w:rFonts w:ascii="仿宋" w:hAnsi="仿宋" w:eastAsia="仿宋"/>
          <w:b/>
          <w:bCs/>
          <w:color w:val="000000"/>
          <w:sz w:val="44"/>
          <w:szCs w:val="44"/>
          <w:highlight w:val="none"/>
        </w:rPr>
      </w:pPr>
      <w:r>
        <w:rPr>
          <w:rFonts w:hint="eastAsia" w:ascii="仿宋" w:hAnsi="仿宋" w:eastAsia="仿宋"/>
          <w:b/>
          <w:bCs/>
          <w:color w:val="000000"/>
          <w:sz w:val="44"/>
          <w:szCs w:val="44"/>
          <w:highlight w:val="none"/>
        </w:rPr>
        <w:t>2018年度绩效评价报告</w:t>
      </w:r>
    </w:p>
    <w:p w14:paraId="02D0684D">
      <w:pPr>
        <w:ind w:firstLine="480"/>
        <w:rPr>
          <w:highlight w:val="none"/>
        </w:rPr>
      </w:pPr>
    </w:p>
    <w:p w14:paraId="4EBC35CC">
      <w:pPr>
        <w:ind w:firstLine="480"/>
        <w:rPr>
          <w:highlight w:val="none"/>
        </w:rPr>
      </w:pPr>
    </w:p>
    <w:p w14:paraId="26821B02">
      <w:pPr>
        <w:ind w:firstLine="480"/>
        <w:rPr>
          <w:highlight w:val="none"/>
        </w:rPr>
      </w:pPr>
    </w:p>
    <w:p w14:paraId="3A87F4EE">
      <w:pPr>
        <w:widowControl/>
        <w:spacing w:line="800" w:lineRule="exact"/>
        <w:ind w:firstLine="790" w:firstLineChars="246"/>
        <w:jc w:val="left"/>
        <w:rPr>
          <w:b/>
          <w:bCs/>
          <w:kern w:val="32"/>
          <w:sz w:val="32"/>
          <w:highlight w:val="none"/>
          <w:lang w:bidi="he-IL"/>
        </w:rPr>
      </w:pPr>
    </w:p>
    <w:p w14:paraId="75EFB5BE">
      <w:pPr>
        <w:widowControl/>
        <w:spacing w:line="800" w:lineRule="exact"/>
        <w:ind w:firstLine="790" w:firstLineChars="246"/>
        <w:jc w:val="left"/>
        <w:rPr>
          <w:b/>
          <w:bCs/>
          <w:kern w:val="32"/>
          <w:sz w:val="32"/>
          <w:highlight w:val="none"/>
          <w:lang w:bidi="he-IL"/>
        </w:rPr>
      </w:pPr>
    </w:p>
    <w:p w14:paraId="0FE56845">
      <w:pPr>
        <w:widowControl/>
        <w:spacing w:line="480" w:lineRule="auto"/>
        <w:ind w:right="-192" w:rightChars="-80" w:firstLine="790" w:firstLineChars="246"/>
        <w:jc w:val="left"/>
        <w:rPr>
          <w:rFonts w:hint="default" w:eastAsia="仿宋_GB2312"/>
          <w:b/>
          <w:bCs/>
          <w:sz w:val="32"/>
          <w:szCs w:val="32"/>
          <w:highlight w:val="none"/>
          <w:lang w:val="en-US" w:eastAsia="zh-CN"/>
        </w:rPr>
      </w:pPr>
      <w:r>
        <w:rPr>
          <w:b/>
          <w:bCs/>
          <w:kern w:val="32"/>
          <w:sz w:val="32"/>
          <w:highlight w:val="none"/>
          <w:lang w:bidi="he-IL"/>
        </w:rPr>
        <w:t>项目名称：</w:t>
      </w:r>
      <w:r>
        <w:rPr>
          <w:rFonts w:hint="eastAsia"/>
          <w:b/>
          <w:bCs/>
          <w:sz w:val="32"/>
          <w:szCs w:val="32"/>
          <w:highlight w:val="none"/>
          <w:lang w:val="en-US" w:eastAsia="zh-CN"/>
        </w:rPr>
        <w:t>市民服务中心大楼租金</w:t>
      </w:r>
    </w:p>
    <w:p w14:paraId="4ED8A827">
      <w:pPr>
        <w:widowControl/>
        <w:spacing w:line="480" w:lineRule="auto"/>
        <w:ind w:right="-192" w:rightChars="-80" w:firstLine="790" w:firstLineChars="246"/>
        <w:jc w:val="left"/>
        <w:rPr>
          <w:b/>
          <w:bCs/>
          <w:sz w:val="32"/>
          <w:szCs w:val="32"/>
          <w:highlight w:val="none"/>
        </w:rPr>
      </w:pPr>
      <w:r>
        <w:rPr>
          <w:b/>
          <w:bCs/>
          <w:kern w:val="32"/>
          <w:sz w:val="32"/>
          <w:highlight w:val="none"/>
          <w:lang w:bidi="he-IL"/>
        </w:rPr>
        <w:t>项目单位：</w:t>
      </w:r>
      <w:r>
        <w:rPr>
          <w:rFonts w:hint="eastAsia"/>
          <w:b/>
          <w:bCs/>
          <w:kern w:val="32"/>
          <w:sz w:val="32"/>
          <w:highlight w:val="none"/>
          <w:lang w:bidi="he-IL"/>
        </w:rPr>
        <w:t>武汉经济技术开发区（汉南区）行政审批局</w:t>
      </w:r>
    </w:p>
    <w:p w14:paraId="13BE954E">
      <w:pPr>
        <w:widowControl/>
        <w:spacing w:line="480" w:lineRule="auto"/>
        <w:ind w:firstLine="790" w:firstLineChars="246"/>
        <w:jc w:val="left"/>
        <w:rPr>
          <w:b/>
          <w:bCs/>
          <w:kern w:val="32"/>
          <w:sz w:val="32"/>
          <w:highlight w:val="none"/>
          <w:lang w:bidi="he-IL"/>
        </w:rPr>
      </w:pPr>
      <w:r>
        <w:rPr>
          <w:b/>
          <w:bCs/>
          <w:kern w:val="32"/>
          <w:sz w:val="32"/>
          <w:highlight w:val="none"/>
          <w:lang w:bidi="he-IL"/>
        </w:rPr>
        <w:t>主管部门：</w:t>
      </w:r>
      <w:r>
        <w:rPr>
          <w:rFonts w:hint="eastAsia"/>
          <w:b/>
          <w:bCs/>
          <w:kern w:val="32"/>
          <w:sz w:val="32"/>
          <w:highlight w:val="none"/>
          <w:lang w:bidi="he-IL"/>
        </w:rPr>
        <w:t>武汉经济技术开发区（汉南区）行政审批局</w:t>
      </w:r>
    </w:p>
    <w:p w14:paraId="2892DC00">
      <w:pPr>
        <w:widowControl/>
        <w:spacing w:line="480" w:lineRule="auto"/>
        <w:ind w:firstLine="790" w:firstLineChars="246"/>
        <w:jc w:val="left"/>
        <w:rPr>
          <w:b/>
          <w:bCs/>
          <w:sz w:val="32"/>
          <w:szCs w:val="32"/>
          <w:highlight w:val="none"/>
        </w:rPr>
      </w:pPr>
      <w:r>
        <w:rPr>
          <w:b/>
          <w:bCs/>
          <w:kern w:val="32"/>
          <w:sz w:val="32"/>
          <w:highlight w:val="none"/>
          <w:lang w:bidi="he-IL"/>
        </w:rPr>
        <w:t>评价机构：</w:t>
      </w:r>
      <w:r>
        <w:rPr>
          <w:rFonts w:hint="eastAsia"/>
          <w:b/>
          <w:bCs/>
          <w:sz w:val="32"/>
          <w:szCs w:val="32"/>
          <w:highlight w:val="none"/>
        </w:rPr>
        <w:t>湖北正大会计师事务有限责任公司</w:t>
      </w:r>
    </w:p>
    <w:p w14:paraId="10417033">
      <w:pPr>
        <w:spacing w:line="800" w:lineRule="exact"/>
        <w:ind w:firstLine="0" w:firstLineChars="0"/>
        <w:rPr>
          <w:b/>
          <w:bCs/>
          <w:sz w:val="32"/>
          <w:szCs w:val="32"/>
          <w:highlight w:val="none"/>
        </w:rPr>
      </w:pPr>
    </w:p>
    <w:p w14:paraId="5B677195">
      <w:pPr>
        <w:spacing w:line="800" w:lineRule="exact"/>
        <w:ind w:firstLine="0" w:firstLineChars="0"/>
        <w:rPr>
          <w:b/>
          <w:bCs/>
          <w:sz w:val="32"/>
          <w:szCs w:val="32"/>
          <w:highlight w:val="none"/>
        </w:rPr>
      </w:pPr>
    </w:p>
    <w:p w14:paraId="418CF3C5">
      <w:pPr>
        <w:spacing w:line="800" w:lineRule="exact"/>
        <w:ind w:firstLine="0" w:firstLineChars="0"/>
        <w:jc w:val="center"/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>二〇</w:t>
      </w:r>
      <w:r>
        <w:rPr>
          <w:rFonts w:hint="eastAsia"/>
          <w:b/>
          <w:bCs/>
          <w:sz w:val="32"/>
          <w:szCs w:val="32"/>
          <w:highlight w:val="none"/>
        </w:rPr>
        <w:t>一九</w:t>
      </w:r>
      <w:r>
        <w:rPr>
          <w:b/>
          <w:bCs/>
          <w:sz w:val="32"/>
          <w:szCs w:val="32"/>
          <w:highlight w:val="none"/>
        </w:rPr>
        <w:t>年</w:t>
      </w:r>
      <w:r>
        <w:rPr>
          <w:rFonts w:hint="eastAsia"/>
          <w:b/>
          <w:bCs/>
          <w:sz w:val="32"/>
          <w:szCs w:val="32"/>
          <w:highlight w:val="none"/>
        </w:rPr>
        <w:t>七</w:t>
      </w:r>
      <w:r>
        <w:rPr>
          <w:b/>
          <w:bCs/>
          <w:sz w:val="32"/>
          <w:szCs w:val="32"/>
          <w:highlight w:val="none"/>
        </w:rPr>
        <w:t>月</w:t>
      </w:r>
    </w:p>
    <w:p w14:paraId="79ECD0AD">
      <w:pPr>
        <w:pStyle w:val="15"/>
        <w:tabs>
          <w:tab w:val="right" w:leader="dot" w:pos="8693"/>
        </w:tabs>
        <w:ind w:firstLine="0" w:firstLineChars="0"/>
        <w:rPr>
          <w:rFonts w:ascii="Arial Narrow" w:hAnsi="Arial Narrow" w:cs="Arial Narrow"/>
          <w:bCs w:val="0"/>
          <w:caps w:val="0"/>
          <w:sz w:val="32"/>
          <w:szCs w:val="32"/>
          <w:highlight w:val="none"/>
        </w:rPr>
      </w:pPr>
    </w:p>
    <w:sdt>
      <w:sdtPr>
        <w:rPr>
          <w:rFonts w:ascii="Times New Roman" w:hAnsi="Times New Roman" w:eastAsia="仿宋_GB2312"/>
          <w:b w:val="0"/>
          <w:bCs w:val="0"/>
          <w:color w:val="auto"/>
          <w:kern w:val="2"/>
          <w:sz w:val="24"/>
          <w:szCs w:val="24"/>
          <w:highlight w:val="none"/>
          <w:lang w:val="zh-CN"/>
        </w:rPr>
        <w:id w:val="-1191839909"/>
        <w:docPartObj>
          <w:docPartGallery w:val="Table of Contents"/>
          <w:docPartUnique/>
        </w:docPartObj>
      </w:sdtPr>
      <w:sdtEndPr>
        <w:rPr>
          <w:rFonts w:ascii="Times New Roman" w:hAnsi="Times New Roman" w:eastAsia="仿宋_GB2312"/>
          <w:b w:val="0"/>
          <w:bCs w:val="0"/>
          <w:color w:val="auto"/>
          <w:kern w:val="2"/>
          <w:sz w:val="24"/>
          <w:szCs w:val="24"/>
          <w:highlight w:val="none"/>
          <w:lang w:val="zh-CN"/>
        </w:rPr>
      </w:sdtEndPr>
      <w:sdtContent>
        <w:p w14:paraId="6C8233F3"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b/>
              <w:bCs/>
              <w:sz w:val="28"/>
              <w:szCs w:val="28"/>
            </w:rPr>
            <w:t>目录</w:t>
          </w:r>
        </w:p>
        <w:p w14:paraId="492EDB54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sz w:val="24"/>
              <w:szCs w:val="24"/>
              <w:highlight w:val="none"/>
            </w:rPr>
            <w:fldChar w:fldCharType="begin"/>
          </w:r>
          <w:r>
            <w:rPr>
              <w:rFonts w:ascii="仿宋" w:hAnsi="仿宋" w:eastAsia="仿宋"/>
              <w:sz w:val="24"/>
              <w:szCs w:val="24"/>
              <w:highlight w:val="none"/>
            </w:rPr>
            <w:instrText xml:space="preserve"> TOC \o "1-3" \h \z \u </w:instrText>
          </w:r>
          <w:r>
            <w:rPr>
              <w:rFonts w:ascii="仿宋" w:hAnsi="仿宋" w:eastAsia="仿宋"/>
              <w:sz w:val="24"/>
              <w:szCs w:val="24"/>
              <w:highlight w:val="none"/>
            </w:rPr>
            <w:fldChar w:fldCharType="separate"/>
          </w:r>
          <w:r>
            <w:rPr>
              <w:rFonts w:ascii="仿宋" w:hAnsi="仿宋" w:eastAsia="仿宋"/>
              <w:szCs w:val="24"/>
              <w:highlight w:val="none"/>
            </w:rPr>
            <w:fldChar w:fldCharType="begin"/>
          </w:r>
          <w:r>
            <w:rPr>
              <w:rFonts w:ascii="仿宋" w:hAnsi="仿宋" w:eastAsia="仿宋"/>
              <w:szCs w:val="24"/>
              <w:highlight w:val="none"/>
            </w:rPr>
            <w:instrText xml:space="preserve"> HYPERLINK \l _Toc913 </w:instrText>
          </w:r>
          <w:r>
            <w:rPr>
              <w:rFonts w:ascii="仿宋" w:hAnsi="仿宋" w:eastAsia="仿宋"/>
              <w:szCs w:val="24"/>
              <w:highlight w:val="none"/>
            </w:rPr>
            <w:fldChar w:fldCharType="separate"/>
          </w:r>
          <w:r>
            <w:rPr>
              <w:rFonts w:hint="eastAsia" w:ascii="仿宋" w:hAnsi="仿宋" w:eastAsia="仿宋" w:cs="仿宋"/>
              <w:szCs w:val="32"/>
              <w:highlight w:val="none"/>
              <w:lang w:val="en-US" w:eastAsia="zh-CN"/>
            </w:rPr>
            <w:t>一、</w:t>
          </w:r>
          <w:r>
            <w:rPr>
              <w:rFonts w:hint="eastAsia" w:ascii="仿宋" w:hAnsi="仿宋" w:eastAsia="仿宋" w:cs="仿宋"/>
              <w:szCs w:val="32"/>
              <w:highlight w:val="none"/>
            </w:rPr>
            <w:t>摘要</w:t>
          </w:r>
          <w:r>
            <w:tab/>
          </w:r>
          <w:r>
            <w:fldChar w:fldCharType="begin"/>
          </w:r>
          <w:r>
            <w:instrText xml:space="preserve"> PAGEREF _Toc913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ascii="仿宋" w:hAnsi="仿宋" w:eastAsia="仿宋"/>
              <w:szCs w:val="24"/>
              <w:highlight w:val="none"/>
            </w:rPr>
            <w:fldChar w:fldCharType="end"/>
          </w:r>
        </w:p>
        <w:p w14:paraId="04A4A959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_Toc10917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（一）</w:t>
          </w:r>
          <w:r>
            <w:rPr>
              <w:rFonts w:hint="eastAsia" w:ascii="仿宋" w:hAnsi="仿宋" w:eastAsia="仿宋" w:cs="Arial Narrow"/>
              <w:szCs w:val="28"/>
              <w:highlight w:val="none"/>
            </w:rPr>
            <w:t>基本情况</w:t>
          </w:r>
          <w:r>
            <w:tab/>
          </w:r>
          <w:r>
            <w:fldChar w:fldCharType="begin"/>
          </w:r>
          <w:r>
            <w:instrText xml:space="preserve"> PAGEREF _Toc10917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2B473E31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  <w:rPr>
              <w:b w:val="0"/>
              <w:bCs w:val="0"/>
            </w:rPr>
          </w:pP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instrText xml:space="preserve"> HYPERLINK \l _Toc24897 </w:instrText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b w:val="0"/>
              <w:bCs w:val="0"/>
              <w:highlight w:val="none"/>
              <w:lang w:val="en-US" w:eastAsia="zh-CN"/>
            </w:rPr>
            <w:t>1、项目基本情况</w:t>
          </w:r>
          <w:r>
            <w:rPr>
              <w:b w:val="0"/>
              <w:bCs w:val="0"/>
            </w:rPr>
            <w:tab/>
          </w:r>
          <w:r>
            <w:rPr>
              <w:b w:val="0"/>
              <w:bCs w:val="0"/>
            </w:rPr>
            <w:fldChar w:fldCharType="begin"/>
          </w:r>
          <w:r>
            <w:rPr>
              <w:b w:val="0"/>
              <w:bCs w:val="0"/>
            </w:rPr>
            <w:instrText xml:space="preserve"> PAGEREF _Toc24897 </w:instrText>
          </w:r>
          <w:r>
            <w:rPr>
              <w:b w:val="0"/>
              <w:bCs w:val="0"/>
            </w:rPr>
            <w:fldChar w:fldCharType="separate"/>
          </w:r>
          <w:r>
            <w:rPr>
              <w:b w:val="0"/>
              <w:bCs w:val="0"/>
            </w:rPr>
            <w:t>1</w:t>
          </w:r>
          <w:r>
            <w:rPr>
              <w:b w:val="0"/>
              <w:bCs w:val="0"/>
            </w:rPr>
            <w:fldChar w:fldCharType="end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end"/>
          </w:r>
        </w:p>
        <w:p w14:paraId="006D102E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  <w:rPr>
              <w:b w:val="0"/>
              <w:bCs w:val="0"/>
            </w:rPr>
          </w:pP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instrText xml:space="preserve"> HYPERLINK \l _Toc23377 </w:instrText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b w:val="0"/>
              <w:bCs w:val="0"/>
              <w:highlight w:val="none"/>
              <w:lang w:val="en-US" w:eastAsia="zh-CN"/>
            </w:rPr>
            <w:t>2、绩效评价工作情况</w:t>
          </w:r>
          <w:r>
            <w:rPr>
              <w:b w:val="0"/>
              <w:bCs w:val="0"/>
            </w:rPr>
            <w:tab/>
          </w:r>
          <w:r>
            <w:rPr>
              <w:b w:val="0"/>
              <w:bCs w:val="0"/>
            </w:rPr>
            <w:fldChar w:fldCharType="begin"/>
          </w:r>
          <w:r>
            <w:rPr>
              <w:b w:val="0"/>
              <w:bCs w:val="0"/>
            </w:rPr>
            <w:instrText xml:space="preserve"> PAGEREF _Toc23377 </w:instrText>
          </w:r>
          <w:r>
            <w:rPr>
              <w:b w:val="0"/>
              <w:bCs w:val="0"/>
            </w:rPr>
            <w:fldChar w:fldCharType="separate"/>
          </w:r>
          <w:r>
            <w:rPr>
              <w:b w:val="0"/>
              <w:bCs w:val="0"/>
            </w:rPr>
            <w:t>1</w:t>
          </w:r>
          <w:r>
            <w:rPr>
              <w:b w:val="0"/>
              <w:bCs w:val="0"/>
            </w:rPr>
            <w:fldChar w:fldCharType="end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end"/>
          </w:r>
        </w:p>
        <w:p w14:paraId="61E85CCE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_Toc28457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（二）绩效评价结论</w:t>
          </w:r>
          <w:r>
            <w:tab/>
          </w:r>
          <w:r>
            <w:fldChar w:fldCharType="begin"/>
          </w:r>
          <w:r>
            <w:instrText xml:space="preserve"> PAGEREF _Toc28457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28D929D2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_Toc23165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（三）项目经验与问题</w:t>
          </w:r>
          <w:r>
            <w:tab/>
          </w:r>
          <w:r>
            <w:fldChar w:fldCharType="begin"/>
          </w:r>
          <w:r>
            <w:instrText xml:space="preserve"> PAGEREF _Toc23165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3DA873EC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_Toc3671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（四）建议</w:t>
          </w:r>
          <w:r>
            <w:tab/>
          </w:r>
          <w:r>
            <w:fldChar w:fldCharType="begin"/>
          </w:r>
          <w:r>
            <w:instrText xml:space="preserve"> PAGEREF _Toc3671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4DAC67DC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_Toc25220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仿宋"/>
              <w:szCs w:val="32"/>
              <w:highlight w:val="none"/>
              <w:lang w:val="en-US" w:eastAsia="zh-CN"/>
            </w:rPr>
            <w:t>二、正文</w:t>
          </w:r>
          <w:r>
            <w:tab/>
          </w:r>
          <w:r>
            <w:fldChar w:fldCharType="begin"/>
          </w:r>
          <w:r>
            <w:instrText xml:space="preserve"> PAGEREF _Toc25220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31334BAD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_Toc31636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（一）项目基本情况</w:t>
          </w:r>
          <w:r>
            <w:tab/>
          </w:r>
          <w:r>
            <w:fldChar w:fldCharType="begin"/>
          </w:r>
          <w:r>
            <w:instrText xml:space="preserve"> PAGEREF _Toc31636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2460F889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  <w:rPr>
              <w:b w:val="0"/>
              <w:bCs w:val="0"/>
            </w:rPr>
          </w:pP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instrText xml:space="preserve"> HYPERLINK \l _Toc26381 </w:instrText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b w:val="0"/>
              <w:bCs w:val="0"/>
              <w:highlight w:val="none"/>
              <w:lang w:val="en-US" w:eastAsia="zh-CN"/>
            </w:rPr>
            <w:t>1、</w:t>
          </w:r>
          <w:r>
            <w:rPr>
              <w:rFonts w:hint="eastAsia" w:ascii="仿宋" w:hAnsi="仿宋" w:eastAsia="仿宋" w:cs="Arial Narrow"/>
              <w:b w:val="0"/>
              <w:bCs w:val="0"/>
              <w:highlight w:val="none"/>
            </w:rPr>
            <w:t>项目立项背景和依据</w:t>
          </w:r>
          <w:r>
            <w:rPr>
              <w:b w:val="0"/>
              <w:bCs w:val="0"/>
            </w:rPr>
            <w:tab/>
          </w:r>
          <w:r>
            <w:rPr>
              <w:b w:val="0"/>
              <w:bCs w:val="0"/>
            </w:rPr>
            <w:fldChar w:fldCharType="begin"/>
          </w:r>
          <w:r>
            <w:rPr>
              <w:b w:val="0"/>
              <w:bCs w:val="0"/>
            </w:rPr>
            <w:instrText xml:space="preserve"> PAGEREF _Toc26381 </w:instrText>
          </w:r>
          <w:r>
            <w:rPr>
              <w:b w:val="0"/>
              <w:bCs w:val="0"/>
            </w:rPr>
            <w:fldChar w:fldCharType="separate"/>
          </w:r>
          <w:r>
            <w:rPr>
              <w:b w:val="0"/>
              <w:bCs w:val="0"/>
            </w:rPr>
            <w:t>3</w:t>
          </w:r>
          <w:r>
            <w:rPr>
              <w:b w:val="0"/>
              <w:bCs w:val="0"/>
            </w:rPr>
            <w:fldChar w:fldCharType="end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end"/>
          </w:r>
        </w:p>
        <w:p w14:paraId="25388B41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  <w:rPr>
              <w:b w:val="0"/>
              <w:bCs w:val="0"/>
            </w:rPr>
          </w:pP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instrText xml:space="preserve"> HYPERLINK \l _Toc23121 </w:instrText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b w:val="0"/>
              <w:bCs w:val="0"/>
              <w:highlight w:val="none"/>
              <w:lang w:val="en-US" w:eastAsia="zh-CN"/>
            </w:rPr>
            <w:t>2、</w:t>
          </w:r>
          <w:r>
            <w:rPr>
              <w:rFonts w:hint="eastAsia" w:ascii="仿宋" w:hAnsi="仿宋" w:eastAsia="仿宋" w:cs="Arial Narrow"/>
              <w:b w:val="0"/>
              <w:bCs w:val="0"/>
              <w:highlight w:val="none"/>
            </w:rPr>
            <w:t>项目绩效目标</w:t>
          </w:r>
          <w:r>
            <w:rPr>
              <w:b w:val="0"/>
              <w:bCs w:val="0"/>
            </w:rPr>
            <w:tab/>
          </w:r>
          <w:r>
            <w:rPr>
              <w:b w:val="0"/>
              <w:bCs w:val="0"/>
            </w:rPr>
            <w:fldChar w:fldCharType="begin"/>
          </w:r>
          <w:r>
            <w:rPr>
              <w:b w:val="0"/>
              <w:bCs w:val="0"/>
            </w:rPr>
            <w:instrText xml:space="preserve"> PAGEREF _Toc23121 </w:instrText>
          </w:r>
          <w:r>
            <w:rPr>
              <w:b w:val="0"/>
              <w:bCs w:val="0"/>
            </w:rPr>
            <w:fldChar w:fldCharType="separate"/>
          </w:r>
          <w:r>
            <w:rPr>
              <w:b w:val="0"/>
              <w:bCs w:val="0"/>
            </w:rPr>
            <w:t>3</w:t>
          </w:r>
          <w:r>
            <w:rPr>
              <w:b w:val="0"/>
              <w:bCs w:val="0"/>
            </w:rPr>
            <w:fldChar w:fldCharType="end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end"/>
          </w:r>
        </w:p>
        <w:p w14:paraId="5944D9FF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  <w:rPr>
              <w:b w:val="0"/>
              <w:bCs w:val="0"/>
            </w:rPr>
          </w:pP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instrText xml:space="preserve"> HYPERLINK \l _Toc4709 </w:instrText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b w:val="0"/>
              <w:bCs w:val="0"/>
              <w:highlight w:val="none"/>
              <w:lang w:val="en-US" w:eastAsia="zh-CN"/>
            </w:rPr>
            <w:t>3、</w:t>
          </w:r>
          <w:r>
            <w:rPr>
              <w:rFonts w:hint="eastAsia" w:ascii="仿宋" w:hAnsi="仿宋" w:eastAsia="仿宋" w:cs="Arial Narrow"/>
              <w:b w:val="0"/>
              <w:bCs w:val="0"/>
              <w:highlight w:val="none"/>
            </w:rPr>
            <w:t>项目经费来源和使用情况</w:t>
          </w:r>
          <w:r>
            <w:rPr>
              <w:b w:val="0"/>
              <w:bCs w:val="0"/>
            </w:rPr>
            <w:tab/>
          </w:r>
          <w:r>
            <w:rPr>
              <w:b w:val="0"/>
              <w:bCs w:val="0"/>
            </w:rPr>
            <w:fldChar w:fldCharType="begin"/>
          </w:r>
          <w:r>
            <w:rPr>
              <w:b w:val="0"/>
              <w:bCs w:val="0"/>
            </w:rPr>
            <w:instrText xml:space="preserve"> PAGEREF _Toc4709 </w:instrText>
          </w:r>
          <w:r>
            <w:rPr>
              <w:b w:val="0"/>
              <w:bCs w:val="0"/>
            </w:rPr>
            <w:fldChar w:fldCharType="separate"/>
          </w:r>
          <w:r>
            <w:rPr>
              <w:b w:val="0"/>
              <w:bCs w:val="0"/>
            </w:rPr>
            <w:t>3</w:t>
          </w:r>
          <w:r>
            <w:rPr>
              <w:b w:val="0"/>
              <w:bCs w:val="0"/>
            </w:rPr>
            <w:fldChar w:fldCharType="end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end"/>
          </w:r>
        </w:p>
        <w:p w14:paraId="43FFD3F7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instrText xml:space="preserve"> HYPERLINK \l _Toc23481 </w:instrText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b w:val="0"/>
              <w:bCs w:val="0"/>
              <w:highlight w:val="none"/>
              <w:lang w:val="en-US" w:eastAsia="zh-CN"/>
            </w:rPr>
            <w:t>4、</w:t>
          </w:r>
          <w:r>
            <w:rPr>
              <w:rFonts w:hint="eastAsia" w:ascii="仿宋" w:hAnsi="仿宋" w:eastAsia="仿宋" w:cs="Arial Narrow"/>
              <w:b w:val="0"/>
              <w:bCs w:val="0"/>
              <w:highlight w:val="none"/>
            </w:rPr>
            <w:t>项目实施情况</w:t>
          </w:r>
          <w:r>
            <w:rPr>
              <w:b w:val="0"/>
              <w:bCs w:val="0"/>
            </w:rPr>
            <w:tab/>
          </w:r>
          <w:r>
            <w:rPr>
              <w:b w:val="0"/>
              <w:bCs w:val="0"/>
            </w:rPr>
            <w:fldChar w:fldCharType="begin"/>
          </w:r>
          <w:r>
            <w:rPr>
              <w:b w:val="0"/>
              <w:bCs w:val="0"/>
            </w:rPr>
            <w:instrText xml:space="preserve"> PAGEREF _Toc23481 </w:instrText>
          </w:r>
          <w:r>
            <w:rPr>
              <w:b w:val="0"/>
              <w:bCs w:val="0"/>
            </w:rPr>
            <w:fldChar w:fldCharType="separate"/>
          </w:r>
          <w:r>
            <w:rPr>
              <w:b w:val="0"/>
              <w:bCs w:val="0"/>
            </w:rPr>
            <w:t>3</w:t>
          </w:r>
          <w:r>
            <w:rPr>
              <w:b w:val="0"/>
              <w:bCs w:val="0"/>
            </w:rPr>
            <w:fldChar w:fldCharType="end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end"/>
          </w:r>
        </w:p>
        <w:p w14:paraId="1CC8C64C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_Toc30078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（二）绩效评价工作情况</w:t>
          </w:r>
          <w:r>
            <w:tab/>
          </w:r>
          <w:r>
            <w:fldChar w:fldCharType="begin"/>
          </w:r>
          <w:r>
            <w:instrText xml:space="preserve"> PAGEREF _Toc30078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1AF4F348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  <w:rPr>
              <w:b w:val="0"/>
              <w:bCs w:val="0"/>
            </w:rPr>
          </w:pP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instrText xml:space="preserve"> HYPERLINK \l _Toc10142 </w:instrText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b w:val="0"/>
              <w:bCs w:val="0"/>
              <w:highlight w:val="none"/>
              <w:lang w:val="en-US" w:eastAsia="zh-CN"/>
            </w:rPr>
            <w:t>1、</w:t>
          </w:r>
          <w:r>
            <w:rPr>
              <w:rFonts w:hint="eastAsia" w:ascii="仿宋" w:hAnsi="仿宋" w:eastAsia="仿宋" w:cs="Arial Narrow"/>
              <w:b w:val="0"/>
              <w:bCs w:val="0"/>
              <w:highlight w:val="none"/>
            </w:rPr>
            <w:t>绩效评价目的</w:t>
          </w:r>
          <w:r>
            <w:rPr>
              <w:b w:val="0"/>
              <w:bCs w:val="0"/>
            </w:rPr>
            <w:tab/>
          </w:r>
          <w:r>
            <w:rPr>
              <w:b w:val="0"/>
              <w:bCs w:val="0"/>
            </w:rPr>
            <w:fldChar w:fldCharType="begin"/>
          </w:r>
          <w:r>
            <w:rPr>
              <w:b w:val="0"/>
              <w:bCs w:val="0"/>
            </w:rPr>
            <w:instrText xml:space="preserve"> PAGEREF _Toc10142 </w:instrText>
          </w:r>
          <w:r>
            <w:rPr>
              <w:b w:val="0"/>
              <w:bCs w:val="0"/>
            </w:rPr>
            <w:fldChar w:fldCharType="separate"/>
          </w:r>
          <w:r>
            <w:rPr>
              <w:b w:val="0"/>
              <w:bCs w:val="0"/>
            </w:rPr>
            <w:t>3</w:t>
          </w:r>
          <w:r>
            <w:rPr>
              <w:b w:val="0"/>
              <w:bCs w:val="0"/>
            </w:rPr>
            <w:fldChar w:fldCharType="end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end"/>
          </w:r>
        </w:p>
        <w:p w14:paraId="5638077F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  <w:rPr>
              <w:b w:val="0"/>
              <w:bCs w:val="0"/>
            </w:rPr>
          </w:pP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instrText xml:space="preserve"> HYPERLINK \l _Toc12516 </w:instrText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b w:val="0"/>
              <w:bCs w:val="0"/>
              <w:highlight w:val="none"/>
              <w:lang w:val="en-US" w:eastAsia="zh-CN"/>
            </w:rPr>
            <w:t>2、</w:t>
          </w:r>
          <w:r>
            <w:rPr>
              <w:rFonts w:hint="eastAsia" w:ascii="仿宋" w:hAnsi="仿宋" w:eastAsia="仿宋" w:cs="Arial Narrow"/>
              <w:b w:val="0"/>
              <w:bCs w:val="0"/>
              <w:highlight w:val="none"/>
            </w:rPr>
            <w:t>绩效评价工作过程</w:t>
          </w:r>
          <w:r>
            <w:rPr>
              <w:b w:val="0"/>
              <w:bCs w:val="0"/>
            </w:rPr>
            <w:tab/>
          </w:r>
          <w:r>
            <w:rPr>
              <w:b w:val="0"/>
              <w:bCs w:val="0"/>
            </w:rPr>
            <w:fldChar w:fldCharType="begin"/>
          </w:r>
          <w:r>
            <w:rPr>
              <w:b w:val="0"/>
              <w:bCs w:val="0"/>
            </w:rPr>
            <w:instrText xml:space="preserve"> PAGEREF _Toc12516 </w:instrText>
          </w:r>
          <w:r>
            <w:rPr>
              <w:b w:val="0"/>
              <w:bCs w:val="0"/>
            </w:rPr>
            <w:fldChar w:fldCharType="separate"/>
          </w:r>
          <w:r>
            <w:rPr>
              <w:b w:val="0"/>
              <w:bCs w:val="0"/>
            </w:rPr>
            <w:t>4</w:t>
          </w:r>
          <w:r>
            <w:rPr>
              <w:b w:val="0"/>
              <w:bCs w:val="0"/>
            </w:rPr>
            <w:fldChar w:fldCharType="end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end"/>
          </w:r>
        </w:p>
        <w:p w14:paraId="011ED938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  <w:rPr>
              <w:b w:val="0"/>
              <w:bCs w:val="0"/>
            </w:rPr>
          </w:pP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instrText xml:space="preserve"> HYPERLINK \l _Toc7253 </w:instrText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b w:val="0"/>
              <w:bCs w:val="0"/>
              <w:highlight w:val="none"/>
              <w:lang w:val="en-US" w:eastAsia="zh-CN"/>
            </w:rPr>
            <w:t>3、</w:t>
          </w:r>
          <w:r>
            <w:rPr>
              <w:rFonts w:hint="eastAsia" w:ascii="仿宋" w:hAnsi="仿宋" w:eastAsia="仿宋" w:cs="Arial Narrow"/>
              <w:b w:val="0"/>
              <w:bCs w:val="0"/>
              <w:highlight w:val="none"/>
            </w:rPr>
            <w:t>绩效评价框架</w:t>
          </w:r>
          <w:r>
            <w:rPr>
              <w:b w:val="0"/>
              <w:bCs w:val="0"/>
            </w:rPr>
            <w:tab/>
          </w:r>
          <w:r>
            <w:rPr>
              <w:b w:val="0"/>
              <w:bCs w:val="0"/>
            </w:rPr>
            <w:fldChar w:fldCharType="begin"/>
          </w:r>
          <w:r>
            <w:rPr>
              <w:b w:val="0"/>
              <w:bCs w:val="0"/>
            </w:rPr>
            <w:instrText xml:space="preserve"> PAGEREF _Toc7253 </w:instrText>
          </w:r>
          <w:r>
            <w:rPr>
              <w:b w:val="0"/>
              <w:bCs w:val="0"/>
            </w:rPr>
            <w:fldChar w:fldCharType="separate"/>
          </w:r>
          <w:r>
            <w:rPr>
              <w:b w:val="0"/>
              <w:bCs w:val="0"/>
            </w:rPr>
            <w:t>4</w:t>
          </w:r>
          <w:r>
            <w:rPr>
              <w:b w:val="0"/>
              <w:bCs w:val="0"/>
            </w:rPr>
            <w:fldChar w:fldCharType="end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end"/>
          </w:r>
        </w:p>
        <w:p w14:paraId="7A50CECC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instrText xml:space="preserve"> HYPERLINK \l _Toc20900 </w:instrText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b w:val="0"/>
              <w:bCs w:val="0"/>
              <w:highlight w:val="none"/>
              <w:lang w:val="en-US" w:eastAsia="zh-CN"/>
            </w:rPr>
            <w:t>4、</w:t>
          </w:r>
          <w:r>
            <w:rPr>
              <w:rFonts w:hint="eastAsia" w:ascii="仿宋" w:hAnsi="仿宋" w:eastAsia="仿宋" w:cs="Arial Narrow"/>
              <w:b w:val="0"/>
              <w:bCs w:val="0"/>
              <w:highlight w:val="none"/>
            </w:rPr>
            <w:t>评价抽样情况概述</w:t>
          </w:r>
          <w:r>
            <w:rPr>
              <w:b w:val="0"/>
              <w:bCs w:val="0"/>
            </w:rPr>
            <w:tab/>
          </w:r>
          <w:r>
            <w:rPr>
              <w:b w:val="0"/>
              <w:bCs w:val="0"/>
            </w:rPr>
            <w:fldChar w:fldCharType="begin"/>
          </w:r>
          <w:r>
            <w:rPr>
              <w:b w:val="0"/>
              <w:bCs w:val="0"/>
            </w:rPr>
            <w:instrText xml:space="preserve"> PAGEREF _Toc20900 </w:instrText>
          </w:r>
          <w:r>
            <w:rPr>
              <w:b w:val="0"/>
              <w:bCs w:val="0"/>
            </w:rPr>
            <w:fldChar w:fldCharType="separate"/>
          </w:r>
          <w:r>
            <w:rPr>
              <w:b w:val="0"/>
              <w:bCs w:val="0"/>
            </w:rPr>
            <w:t>5</w:t>
          </w:r>
          <w:r>
            <w:rPr>
              <w:b w:val="0"/>
              <w:bCs w:val="0"/>
            </w:rPr>
            <w:fldChar w:fldCharType="end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end"/>
          </w:r>
        </w:p>
        <w:p w14:paraId="432D4819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_Toc25218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（三）绩效分析及评价结论</w:t>
          </w:r>
          <w:r>
            <w:tab/>
          </w:r>
          <w:r>
            <w:fldChar w:fldCharType="begin"/>
          </w:r>
          <w:r>
            <w:instrText xml:space="preserve"> PAGEREF _Toc25218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1E3041BA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  <w:rPr>
              <w:b w:val="0"/>
              <w:bCs w:val="0"/>
            </w:rPr>
          </w:pP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instrText xml:space="preserve"> HYPERLINK \l _Toc5754 </w:instrText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b w:val="0"/>
              <w:bCs w:val="0"/>
              <w:highlight w:val="none"/>
              <w:lang w:val="en-US" w:eastAsia="zh-CN"/>
            </w:rPr>
            <w:t>1、</w:t>
          </w:r>
          <w:r>
            <w:rPr>
              <w:rFonts w:hint="eastAsia" w:ascii="仿宋" w:hAnsi="仿宋" w:eastAsia="仿宋" w:cs="Arial Narrow"/>
              <w:b w:val="0"/>
              <w:bCs w:val="0"/>
              <w:highlight w:val="none"/>
            </w:rPr>
            <w:t>绩效分析</w:t>
          </w:r>
          <w:r>
            <w:rPr>
              <w:b w:val="0"/>
              <w:bCs w:val="0"/>
            </w:rPr>
            <w:tab/>
          </w:r>
          <w:r>
            <w:rPr>
              <w:b w:val="0"/>
              <w:bCs w:val="0"/>
            </w:rPr>
            <w:fldChar w:fldCharType="begin"/>
          </w:r>
          <w:r>
            <w:rPr>
              <w:b w:val="0"/>
              <w:bCs w:val="0"/>
            </w:rPr>
            <w:instrText xml:space="preserve"> PAGEREF _Toc5754 </w:instrText>
          </w:r>
          <w:r>
            <w:rPr>
              <w:b w:val="0"/>
              <w:bCs w:val="0"/>
            </w:rPr>
            <w:fldChar w:fldCharType="separate"/>
          </w:r>
          <w:r>
            <w:rPr>
              <w:b w:val="0"/>
              <w:bCs w:val="0"/>
            </w:rPr>
            <w:t>5</w:t>
          </w:r>
          <w:r>
            <w:rPr>
              <w:b w:val="0"/>
              <w:bCs w:val="0"/>
            </w:rPr>
            <w:fldChar w:fldCharType="end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end"/>
          </w:r>
        </w:p>
        <w:p w14:paraId="4808861B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  <w:rPr>
              <w:b w:val="0"/>
              <w:bCs w:val="0"/>
            </w:rPr>
          </w:pP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instrText xml:space="preserve"> HYPERLINK \l _Toc7176 </w:instrText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b w:val="0"/>
              <w:bCs w:val="0"/>
              <w:highlight w:val="none"/>
              <w:lang w:val="en-US" w:eastAsia="zh-CN"/>
            </w:rPr>
            <w:t>2、</w:t>
          </w:r>
          <w:r>
            <w:rPr>
              <w:rFonts w:hint="eastAsia" w:ascii="仿宋" w:hAnsi="仿宋" w:eastAsia="仿宋" w:cs="Arial Narrow"/>
              <w:b w:val="0"/>
              <w:bCs w:val="0"/>
              <w:highlight w:val="none"/>
            </w:rPr>
            <w:t>评价结论</w:t>
          </w:r>
          <w:r>
            <w:rPr>
              <w:b w:val="0"/>
              <w:bCs w:val="0"/>
            </w:rPr>
            <w:tab/>
          </w:r>
          <w:r>
            <w:rPr>
              <w:b w:val="0"/>
              <w:bCs w:val="0"/>
            </w:rPr>
            <w:fldChar w:fldCharType="begin"/>
          </w:r>
          <w:r>
            <w:rPr>
              <w:b w:val="0"/>
              <w:bCs w:val="0"/>
            </w:rPr>
            <w:instrText xml:space="preserve"> PAGEREF _Toc7176 </w:instrText>
          </w:r>
          <w:r>
            <w:rPr>
              <w:b w:val="0"/>
              <w:bCs w:val="0"/>
            </w:rPr>
            <w:fldChar w:fldCharType="separate"/>
          </w:r>
          <w:r>
            <w:rPr>
              <w:b w:val="0"/>
              <w:bCs w:val="0"/>
            </w:rPr>
            <w:t>9</w:t>
          </w:r>
          <w:r>
            <w:rPr>
              <w:b w:val="0"/>
              <w:bCs w:val="0"/>
            </w:rPr>
            <w:fldChar w:fldCharType="end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end"/>
          </w:r>
        </w:p>
        <w:p w14:paraId="1543C27A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_Toc26478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（四）主要经验及做法、存在的问题和建议</w:t>
          </w:r>
          <w:r>
            <w:tab/>
          </w:r>
          <w:r>
            <w:fldChar w:fldCharType="begin"/>
          </w:r>
          <w:r>
            <w:instrText xml:space="preserve"> PAGEREF _Toc26478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56B3F5C4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  <w:rPr>
              <w:b w:val="0"/>
              <w:bCs w:val="0"/>
            </w:rPr>
          </w:pP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instrText xml:space="preserve"> HYPERLINK \l _Toc28605 </w:instrText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b w:val="0"/>
              <w:bCs w:val="0"/>
              <w:highlight w:val="none"/>
              <w:lang w:val="en-US" w:eastAsia="zh-CN"/>
            </w:rPr>
            <w:t>1、主要经验及做法</w:t>
          </w:r>
          <w:r>
            <w:rPr>
              <w:b w:val="0"/>
              <w:bCs w:val="0"/>
            </w:rPr>
            <w:tab/>
          </w:r>
          <w:r>
            <w:rPr>
              <w:b w:val="0"/>
              <w:bCs w:val="0"/>
            </w:rPr>
            <w:fldChar w:fldCharType="begin"/>
          </w:r>
          <w:r>
            <w:rPr>
              <w:b w:val="0"/>
              <w:bCs w:val="0"/>
            </w:rPr>
            <w:instrText xml:space="preserve"> PAGEREF _Toc28605 </w:instrText>
          </w:r>
          <w:r>
            <w:rPr>
              <w:b w:val="0"/>
              <w:bCs w:val="0"/>
            </w:rPr>
            <w:fldChar w:fldCharType="separate"/>
          </w:r>
          <w:r>
            <w:rPr>
              <w:b w:val="0"/>
              <w:bCs w:val="0"/>
            </w:rPr>
            <w:t>9</w:t>
          </w:r>
          <w:r>
            <w:rPr>
              <w:b w:val="0"/>
              <w:bCs w:val="0"/>
            </w:rPr>
            <w:fldChar w:fldCharType="end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end"/>
          </w:r>
        </w:p>
        <w:p w14:paraId="16937641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  <w:rPr>
              <w:b w:val="0"/>
              <w:bCs w:val="0"/>
            </w:rPr>
          </w:pP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instrText xml:space="preserve"> HYPERLINK \l _Toc23359 </w:instrText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b w:val="0"/>
              <w:bCs w:val="0"/>
              <w:highlight w:val="none"/>
              <w:lang w:val="en-US" w:eastAsia="zh-CN"/>
            </w:rPr>
            <w:t>2、存在的问题</w:t>
          </w:r>
          <w:r>
            <w:rPr>
              <w:b w:val="0"/>
              <w:bCs w:val="0"/>
            </w:rPr>
            <w:tab/>
          </w:r>
          <w:r>
            <w:rPr>
              <w:b w:val="0"/>
              <w:bCs w:val="0"/>
            </w:rPr>
            <w:fldChar w:fldCharType="begin"/>
          </w:r>
          <w:r>
            <w:rPr>
              <w:b w:val="0"/>
              <w:bCs w:val="0"/>
            </w:rPr>
            <w:instrText xml:space="preserve"> PAGEREF _Toc23359 </w:instrText>
          </w:r>
          <w:r>
            <w:rPr>
              <w:b w:val="0"/>
              <w:bCs w:val="0"/>
            </w:rPr>
            <w:fldChar w:fldCharType="separate"/>
          </w:r>
          <w:r>
            <w:rPr>
              <w:b w:val="0"/>
              <w:bCs w:val="0"/>
            </w:rPr>
            <w:t>9</w:t>
          </w:r>
          <w:r>
            <w:rPr>
              <w:b w:val="0"/>
              <w:bCs w:val="0"/>
            </w:rPr>
            <w:fldChar w:fldCharType="end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end"/>
          </w:r>
        </w:p>
        <w:p w14:paraId="3FB64199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  <w:rPr>
              <w:b w:val="0"/>
              <w:bCs w:val="0"/>
            </w:rPr>
          </w:pP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instrText xml:space="preserve"> HYPERLINK \l _Toc32665 </w:instrText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b w:val="0"/>
              <w:bCs w:val="0"/>
              <w:highlight w:val="none"/>
              <w:lang w:val="en-US" w:eastAsia="zh-CN"/>
            </w:rPr>
            <w:t>3、建议</w:t>
          </w:r>
          <w:r>
            <w:rPr>
              <w:b w:val="0"/>
              <w:bCs w:val="0"/>
            </w:rPr>
            <w:tab/>
          </w:r>
          <w:r>
            <w:rPr>
              <w:b w:val="0"/>
              <w:bCs w:val="0"/>
            </w:rPr>
            <w:fldChar w:fldCharType="begin"/>
          </w:r>
          <w:r>
            <w:rPr>
              <w:b w:val="0"/>
              <w:bCs w:val="0"/>
            </w:rPr>
            <w:instrText xml:space="preserve"> PAGEREF _Toc32665 </w:instrText>
          </w:r>
          <w:r>
            <w:rPr>
              <w:b w:val="0"/>
              <w:bCs w:val="0"/>
            </w:rPr>
            <w:fldChar w:fldCharType="separate"/>
          </w:r>
          <w:r>
            <w:rPr>
              <w:b w:val="0"/>
              <w:bCs w:val="0"/>
            </w:rPr>
            <w:t>9</w:t>
          </w:r>
          <w:r>
            <w:rPr>
              <w:b w:val="0"/>
              <w:bCs w:val="0"/>
            </w:rPr>
            <w:fldChar w:fldCharType="end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end"/>
          </w:r>
        </w:p>
        <w:p w14:paraId="0D4EEC42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_Toc16725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（五）其他需说明的问题</w:t>
          </w:r>
          <w:r>
            <w:tab/>
          </w:r>
          <w:r>
            <w:fldChar w:fldCharType="begin"/>
          </w:r>
          <w:r>
            <w:instrText xml:space="preserve"> PAGEREF _Toc16725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3E6A0E78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  <w:rPr>
              <w:b w:val="0"/>
              <w:bCs w:val="0"/>
            </w:rPr>
          </w:pP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instrText xml:space="preserve"> HYPERLINK \l _Toc1397 </w:instrText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b w:val="0"/>
              <w:bCs w:val="0"/>
              <w:highlight w:val="none"/>
              <w:lang w:val="en-US" w:eastAsia="zh-CN"/>
            </w:rPr>
            <w:t>1、</w:t>
          </w:r>
          <w:r>
            <w:rPr>
              <w:rFonts w:hint="eastAsia" w:ascii="仿宋" w:hAnsi="仿宋" w:eastAsia="仿宋" w:cs="Arial Narrow"/>
              <w:b w:val="0"/>
              <w:bCs w:val="0"/>
              <w:highlight w:val="none"/>
            </w:rPr>
            <w:t>关于评价责任的说明</w:t>
          </w:r>
          <w:r>
            <w:rPr>
              <w:b w:val="0"/>
              <w:bCs w:val="0"/>
            </w:rPr>
            <w:tab/>
          </w:r>
          <w:r>
            <w:rPr>
              <w:b w:val="0"/>
              <w:bCs w:val="0"/>
            </w:rPr>
            <w:fldChar w:fldCharType="begin"/>
          </w:r>
          <w:r>
            <w:rPr>
              <w:b w:val="0"/>
              <w:bCs w:val="0"/>
            </w:rPr>
            <w:instrText xml:space="preserve"> PAGEREF _Toc1397 </w:instrText>
          </w:r>
          <w:r>
            <w:rPr>
              <w:b w:val="0"/>
              <w:bCs w:val="0"/>
            </w:rPr>
            <w:fldChar w:fldCharType="separate"/>
          </w:r>
          <w:r>
            <w:rPr>
              <w:b w:val="0"/>
              <w:bCs w:val="0"/>
            </w:rPr>
            <w:t>9</w:t>
          </w:r>
          <w:r>
            <w:rPr>
              <w:b w:val="0"/>
              <w:bCs w:val="0"/>
            </w:rPr>
            <w:fldChar w:fldCharType="end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end"/>
          </w:r>
        </w:p>
        <w:p w14:paraId="121E802D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instrText xml:space="preserve"> HYPERLINK \l _Toc7182 </w:instrText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b w:val="0"/>
              <w:bCs w:val="0"/>
              <w:highlight w:val="none"/>
              <w:lang w:val="en-US" w:eastAsia="zh-CN"/>
            </w:rPr>
            <w:t>2、</w:t>
          </w:r>
          <w:r>
            <w:rPr>
              <w:rFonts w:hint="eastAsia" w:ascii="仿宋" w:hAnsi="仿宋" w:eastAsia="仿宋" w:cs="Arial Narrow"/>
              <w:b w:val="0"/>
              <w:bCs w:val="0"/>
              <w:highlight w:val="none"/>
            </w:rPr>
            <w:t>关于本项目评价中存在的局限性的说明</w:t>
          </w:r>
          <w:r>
            <w:rPr>
              <w:b w:val="0"/>
              <w:bCs w:val="0"/>
            </w:rPr>
            <w:tab/>
          </w:r>
          <w:r>
            <w:rPr>
              <w:b w:val="0"/>
              <w:bCs w:val="0"/>
            </w:rPr>
            <w:fldChar w:fldCharType="begin"/>
          </w:r>
          <w:r>
            <w:rPr>
              <w:b w:val="0"/>
              <w:bCs w:val="0"/>
            </w:rPr>
            <w:instrText xml:space="preserve"> PAGEREF _Toc7182 </w:instrText>
          </w:r>
          <w:r>
            <w:rPr>
              <w:b w:val="0"/>
              <w:bCs w:val="0"/>
            </w:rPr>
            <w:fldChar w:fldCharType="separate"/>
          </w:r>
          <w:r>
            <w:rPr>
              <w:b w:val="0"/>
              <w:bCs w:val="0"/>
            </w:rPr>
            <w:t>10</w:t>
          </w:r>
          <w:r>
            <w:rPr>
              <w:b w:val="0"/>
              <w:bCs w:val="0"/>
            </w:rPr>
            <w:fldChar w:fldCharType="end"/>
          </w:r>
          <w:r>
            <w:rPr>
              <w:rFonts w:ascii="仿宋" w:hAnsi="仿宋" w:eastAsia="仿宋"/>
              <w:b w:val="0"/>
              <w:bCs w:val="0"/>
              <w:highlight w:val="none"/>
              <w:lang w:val="zh-CN"/>
            </w:rPr>
            <w:fldChar w:fldCharType="end"/>
          </w:r>
        </w:p>
        <w:p w14:paraId="74F5410A">
          <w:pPr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ind w:firstLine="482"/>
            <w:textAlignment w:val="auto"/>
            <w:rPr>
              <w:highlight w:val="none"/>
            </w:rPr>
            <w:sectPr>
              <w:headerReference r:id="rId7" w:type="first"/>
              <w:footerReference r:id="rId10" w:type="first"/>
              <w:headerReference r:id="rId5" w:type="default"/>
              <w:footerReference r:id="rId8" w:type="default"/>
              <w:headerReference r:id="rId6" w:type="even"/>
              <w:footerReference r:id="rId9" w:type="even"/>
              <w:type w:val="continuous"/>
              <w:pgSz w:w="11906" w:h="16838"/>
              <w:pgMar w:top="1361" w:right="1406" w:bottom="1089" w:left="1797" w:header="1361" w:footer="992" w:gutter="0"/>
              <w:pgNumType w:start="0"/>
              <w:cols w:space="720" w:num="1"/>
              <w:docGrid w:type="lines" w:linePitch="408" w:charSpace="0"/>
            </w:sectPr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</w:sdtContent>
    </w:sdt>
    <w:p w14:paraId="0F1A595F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仿宋" w:hAnsi="仿宋" w:eastAsia="仿宋" w:cs="仿宋"/>
          <w:b w:val="0"/>
          <w:sz w:val="32"/>
          <w:szCs w:val="32"/>
          <w:highlight w:val="none"/>
        </w:rPr>
      </w:pPr>
      <w:bookmarkStart w:id="0" w:name="_Toc14165722"/>
      <w:bookmarkStart w:id="1" w:name="_Toc913"/>
      <w:bookmarkStart w:id="2" w:name="_Toc406666351"/>
      <w:bookmarkStart w:id="3" w:name="_Toc406668024"/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一、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摘要</w:t>
      </w:r>
      <w:bookmarkEnd w:id="0"/>
      <w:bookmarkEnd w:id="1"/>
    </w:p>
    <w:p w14:paraId="58A2A80B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</w:rPr>
      </w:pPr>
      <w:bookmarkStart w:id="4" w:name="_Toc10917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（一）</w:t>
      </w:r>
      <w:r>
        <w:rPr>
          <w:rFonts w:hint="eastAsia" w:ascii="仿宋" w:hAnsi="仿宋" w:eastAsia="仿宋" w:cs="Arial Narrow"/>
          <w:sz w:val="28"/>
          <w:szCs w:val="28"/>
          <w:highlight w:val="none"/>
        </w:rPr>
        <w:t>基本情况</w:t>
      </w:r>
      <w:bookmarkEnd w:id="4"/>
    </w:p>
    <w:p w14:paraId="296235B6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  <w:lang w:val="en-US" w:eastAsia="zh-CN"/>
        </w:rPr>
      </w:pPr>
      <w:bookmarkStart w:id="5" w:name="_Toc24897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1、项目基本情况</w:t>
      </w:r>
      <w:bookmarkEnd w:id="5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 xml:space="preserve">  </w:t>
      </w:r>
    </w:p>
    <w:p w14:paraId="7F599A23">
      <w:pPr>
        <w:snapToGrid w:val="0"/>
        <w:ind w:firstLine="480"/>
        <w:rPr>
          <w:rFonts w:hint="default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（1）项目名称：市民服务中心大楼租金</w:t>
      </w:r>
    </w:p>
    <w:p w14:paraId="10D12409">
      <w:pPr>
        <w:snapToGrid w:val="0"/>
        <w:ind w:firstLine="480"/>
        <w:rPr>
          <w:rFonts w:hint="eastAsia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（2）项目预算金额：582.68万元</w:t>
      </w:r>
    </w:p>
    <w:p w14:paraId="083DFBF6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  <w:lang w:val="en-US" w:eastAsia="zh-CN"/>
        </w:rPr>
      </w:pPr>
      <w:bookmarkStart w:id="6" w:name="_Toc23377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2、绩效评价工作情况</w:t>
      </w:r>
      <w:bookmarkEnd w:id="6"/>
    </w:p>
    <w:p w14:paraId="4D3C96B8">
      <w:pPr>
        <w:snapToGrid w:val="0"/>
        <w:ind w:firstLine="480"/>
        <w:rPr>
          <w:rFonts w:hint="eastAsia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绩效评价原则应当遵循科学规范、公正公开、分级分类及绩效相关的原则，严格执行规定的程序，按照科学可行的要求，采用定量与定性分析相结合的方法，且符合真实、客观、公正的要求，针对具体支出及其产出绩效进行评价；绩效评价指标是指衡量绩效目标实现程度的考核工具，具体分为共性指标和个性指标；绩效评价方法主要采用成本效益分析法、比较法、因素分析法、最低成本法、公评判法及其他评价方法等。</w:t>
      </w:r>
    </w:p>
    <w:p w14:paraId="725E93E4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</w:pPr>
      <w:bookmarkStart w:id="7" w:name="_Toc28457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（二）绩效评价结论</w:t>
      </w:r>
      <w:bookmarkEnd w:id="7"/>
    </w:p>
    <w:tbl>
      <w:tblPr>
        <w:tblStyle w:val="23"/>
        <w:tblW w:w="8363" w:type="dxa"/>
        <w:tblInd w:w="25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9"/>
        <w:gridCol w:w="2132"/>
        <w:gridCol w:w="2126"/>
        <w:gridCol w:w="2126"/>
      </w:tblGrid>
      <w:tr w14:paraId="52B6E43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dxa"/>
          </w:tcPr>
          <w:p w14:paraId="12037AEC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评价准则</w:t>
            </w:r>
          </w:p>
        </w:tc>
        <w:tc>
          <w:tcPr>
            <w:tcW w:w="2132" w:type="dxa"/>
          </w:tcPr>
          <w:p w14:paraId="0B6829AD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准则分值</w:t>
            </w:r>
          </w:p>
        </w:tc>
        <w:tc>
          <w:tcPr>
            <w:tcW w:w="2126" w:type="dxa"/>
          </w:tcPr>
          <w:p w14:paraId="28AFECF7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评价得分</w:t>
            </w:r>
          </w:p>
        </w:tc>
        <w:tc>
          <w:tcPr>
            <w:tcW w:w="2126" w:type="dxa"/>
          </w:tcPr>
          <w:p w14:paraId="41A4A70A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评价等级</w:t>
            </w:r>
          </w:p>
        </w:tc>
      </w:tr>
      <w:tr w14:paraId="15CFC50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dxa"/>
            <w:vAlign w:val="top"/>
          </w:tcPr>
          <w:p w14:paraId="22D72DED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投入</w:t>
            </w:r>
          </w:p>
        </w:tc>
        <w:tc>
          <w:tcPr>
            <w:tcW w:w="2132" w:type="dxa"/>
            <w:vAlign w:val="top"/>
          </w:tcPr>
          <w:p w14:paraId="657A6FEF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20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  <w:vAlign w:val="top"/>
          </w:tcPr>
          <w:p w14:paraId="2EFD1004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20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  <w:vAlign w:val="top"/>
          </w:tcPr>
          <w:p w14:paraId="143956D0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ascii="仿宋" w:hAnsi="仿宋" w:eastAsia="仿宋" w:cs="Arial Narrow"/>
                <w:highlight w:val="none"/>
              </w:rPr>
              <w:t>优</w:t>
            </w:r>
          </w:p>
        </w:tc>
      </w:tr>
      <w:tr w14:paraId="36BB887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dxa"/>
            <w:vAlign w:val="top"/>
          </w:tcPr>
          <w:p w14:paraId="261B533E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过程</w:t>
            </w:r>
          </w:p>
        </w:tc>
        <w:tc>
          <w:tcPr>
            <w:tcW w:w="2132" w:type="dxa"/>
            <w:vAlign w:val="top"/>
          </w:tcPr>
          <w:p w14:paraId="2875EB17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20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  <w:vAlign w:val="top"/>
          </w:tcPr>
          <w:p w14:paraId="09C9642B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19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  <w:vAlign w:val="top"/>
          </w:tcPr>
          <w:p w14:paraId="4DE24979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ascii="仿宋" w:hAnsi="仿宋" w:eastAsia="仿宋" w:cs="Arial Narrow"/>
                <w:highlight w:val="none"/>
              </w:rPr>
              <w:t>优</w:t>
            </w:r>
          </w:p>
        </w:tc>
      </w:tr>
      <w:tr w14:paraId="498AF6C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dxa"/>
            <w:vAlign w:val="top"/>
          </w:tcPr>
          <w:p w14:paraId="2F550E60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产出</w:t>
            </w:r>
          </w:p>
        </w:tc>
        <w:tc>
          <w:tcPr>
            <w:tcW w:w="2132" w:type="dxa"/>
            <w:vAlign w:val="top"/>
          </w:tcPr>
          <w:p w14:paraId="5E11D26B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30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  <w:vAlign w:val="top"/>
          </w:tcPr>
          <w:p w14:paraId="11BD4643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30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  <w:vAlign w:val="top"/>
          </w:tcPr>
          <w:p w14:paraId="2B5ACDB8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ascii="仿宋" w:hAnsi="仿宋" w:eastAsia="仿宋" w:cs="Arial Narrow"/>
                <w:highlight w:val="none"/>
              </w:rPr>
              <w:t>优</w:t>
            </w:r>
          </w:p>
        </w:tc>
      </w:tr>
      <w:tr w14:paraId="19689A3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dxa"/>
            <w:vAlign w:val="top"/>
          </w:tcPr>
          <w:p w14:paraId="12FF867F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效果</w:t>
            </w:r>
          </w:p>
        </w:tc>
        <w:tc>
          <w:tcPr>
            <w:tcW w:w="2132" w:type="dxa"/>
            <w:vAlign w:val="top"/>
          </w:tcPr>
          <w:p w14:paraId="21BDFBF9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30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  <w:vAlign w:val="top"/>
          </w:tcPr>
          <w:p w14:paraId="3C1D070E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25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  <w:vAlign w:val="top"/>
          </w:tcPr>
          <w:p w14:paraId="54CF8A28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良</w:t>
            </w:r>
          </w:p>
        </w:tc>
      </w:tr>
      <w:tr w14:paraId="59A7E9F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dxa"/>
            <w:vAlign w:val="top"/>
          </w:tcPr>
          <w:p w14:paraId="7AEAD455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综合绩效</w:t>
            </w:r>
          </w:p>
        </w:tc>
        <w:tc>
          <w:tcPr>
            <w:tcW w:w="2132" w:type="dxa"/>
            <w:vAlign w:val="top"/>
          </w:tcPr>
          <w:p w14:paraId="382B9944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100分</w:t>
            </w:r>
          </w:p>
        </w:tc>
        <w:tc>
          <w:tcPr>
            <w:tcW w:w="2126" w:type="dxa"/>
            <w:vAlign w:val="top"/>
          </w:tcPr>
          <w:p w14:paraId="701B2F5E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9</w:t>
            </w: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4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  <w:vAlign w:val="top"/>
          </w:tcPr>
          <w:p w14:paraId="4E9F6866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ascii="仿宋" w:hAnsi="仿宋" w:eastAsia="仿宋" w:cs="Arial Narrow"/>
                <w:highlight w:val="none"/>
              </w:rPr>
              <w:t>优</w:t>
            </w:r>
          </w:p>
        </w:tc>
      </w:tr>
    </w:tbl>
    <w:p w14:paraId="22954211">
      <w:pPr>
        <w:ind w:firstLine="0" w:firstLineChars="0"/>
        <w:jc w:val="left"/>
        <w:rPr>
          <w:rFonts w:ascii="仿宋" w:hAnsi="仿宋" w:eastAsia="仿宋" w:cs="Arial Narrow"/>
          <w:b/>
          <w:sz w:val="28"/>
          <w:highlight w:val="none"/>
        </w:rPr>
      </w:pPr>
    </w:p>
    <w:p w14:paraId="29937822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</w:pPr>
      <w:bookmarkStart w:id="8" w:name="_Toc23165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（三）项目经验与问题</w:t>
      </w:r>
      <w:bookmarkEnd w:id="8"/>
    </w:p>
    <w:p w14:paraId="4186A4F6">
      <w:pPr>
        <w:snapToGrid w:val="0"/>
        <w:ind w:firstLine="480"/>
        <w:rPr>
          <w:rFonts w:hint="eastAsia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依据市财政局要求的资金使用流程，在确保资金拨付合法、合规的前提下，及时、高效的拨付项目资金。该项资金实行专项使用，对项目资金的拨付，都要求用途合理，手续齐全，极力避免专项资金被挤占、截留和挪用。</w:t>
      </w:r>
    </w:p>
    <w:p w14:paraId="2317BBF6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</w:pPr>
      <w:bookmarkStart w:id="9" w:name="_Toc3671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（四）建议</w:t>
      </w:r>
      <w:bookmarkEnd w:id="9"/>
    </w:p>
    <w:p w14:paraId="428E24F9">
      <w:pPr>
        <w:snapToGrid w:val="0"/>
        <w:ind w:firstLine="480"/>
        <w:rPr>
          <w:rFonts w:hint="default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广泛深入调研，事前了解项目推进可能存在的问题，并据此估计测算所需资金和人员配备等因素，形成调研报告，进一步拟定内容全面、步骤明确的的实施方案。</w:t>
      </w:r>
    </w:p>
    <w:bookmarkEnd w:id="2"/>
    <w:bookmarkEnd w:id="3"/>
    <w:p w14:paraId="1781A571">
      <w:pPr>
        <w:snapToGrid w:val="0"/>
        <w:ind w:firstLine="480"/>
        <w:jc w:val="left"/>
        <w:rPr>
          <w:rFonts w:ascii="仿宋_GB2312" w:hAnsi="Arial Narrow" w:cs="Arial Narrow"/>
          <w:highlight w:val="none"/>
        </w:rPr>
      </w:pPr>
    </w:p>
    <w:p w14:paraId="227C97D9">
      <w:pPr>
        <w:widowControl/>
        <w:spacing w:line="240" w:lineRule="auto"/>
        <w:ind w:firstLine="0" w:firstLineChars="0"/>
        <w:jc w:val="left"/>
        <w:rPr>
          <w:rFonts w:ascii="仿宋_GB2312" w:hAnsi="Arial Narrow" w:cs="Arial Narrow"/>
          <w:highlight w:val="none"/>
        </w:rPr>
      </w:pPr>
      <w:r>
        <w:rPr>
          <w:rFonts w:ascii="仿宋_GB2312" w:hAnsi="Arial Narrow" w:cs="Arial Narrow"/>
          <w:highlight w:val="none"/>
        </w:rPr>
        <w:br w:type="page"/>
      </w:r>
    </w:p>
    <w:p w14:paraId="45A480FA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bookmarkStart w:id="10" w:name="_Toc25220"/>
      <w:bookmarkStart w:id="11" w:name="_Toc14165723"/>
      <w:bookmarkStart w:id="12" w:name="_Toc387957799"/>
      <w:bookmarkStart w:id="13" w:name="_Toc361304672"/>
      <w:bookmarkStart w:id="14" w:name="_Toc361304673"/>
      <w:bookmarkStart w:id="15" w:name="_Toc387957800"/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二、正文</w:t>
      </w:r>
      <w:bookmarkEnd w:id="10"/>
    </w:p>
    <w:p w14:paraId="04FDAEC6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</w:pPr>
      <w:bookmarkStart w:id="16" w:name="_Toc31636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（一）项目基本情况</w:t>
      </w:r>
      <w:bookmarkEnd w:id="11"/>
      <w:bookmarkEnd w:id="16"/>
    </w:p>
    <w:p w14:paraId="0F5379F4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17" w:name="_Toc14165724"/>
      <w:bookmarkStart w:id="18" w:name="_Toc26381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1、</w:t>
      </w:r>
      <w:r>
        <w:rPr>
          <w:rFonts w:hint="eastAsia" w:ascii="仿宋" w:hAnsi="仿宋" w:eastAsia="仿宋" w:cs="Arial Narrow"/>
          <w:sz w:val="24"/>
          <w:highlight w:val="none"/>
        </w:rPr>
        <w:t>项目立项背景和依据</w:t>
      </w:r>
      <w:bookmarkEnd w:id="17"/>
      <w:bookmarkEnd w:id="18"/>
    </w:p>
    <w:bookmarkEnd w:id="12"/>
    <w:bookmarkEnd w:id="13"/>
    <w:p w14:paraId="24A71D84">
      <w:pPr>
        <w:snapToGrid w:val="0"/>
        <w:ind w:firstLine="480"/>
        <w:rPr>
          <w:rFonts w:ascii="仿宋" w:hAnsi="仿宋" w:eastAsia="仿宋" w:cs="Arial Narrow"/>
          <w:highlight w:val="none"/>
        </w:rPr>
      </w:pPr>
      <w:bookmarkStart w:id="19" w:name="_Toc14165725"/>
      <w:bookmarkStart w:id="20" w:name="_Toc361304680"/>
      <w:bookmarkStart w:id="21" w:name="_Toc406668030"/>
      <w:bookmarkStart w:id="22" w:name="_Toc406666356"/>
      <w:bookmarkStart w:id="23" w:name="_Toc16351"/>
      <w:r>
        <w:rPr>
          <w:rFonts w:hint="eastAsia" w:ascii="仿宋" w:hAnsi="仿宋" w:eastAsia="仿宋" w:cs="Arial Narrow"/>
          <w:highlight w:val="none"/>
          <w:lang w:val="en-US" w:eastAsia="zh-CN"/>
        </w:rPr>
        <w:t>政务服务中心是经区委区政府批准成立的，集中办理本级政府权限范围内的行政许可事项和服务项目、集信息与咨询、管理与协调、投诉与监督于一体的综合性行政服务机构</w:t>
      </w:r>
      <w:r>
        <w:rPr>
          <w:rFonts w:hint="eastAsia" w:ascii="仿宋" w:hAnsi="仿宋" w:eastAsia="仿宋" w:cs="Arial Narrow"/>
          <w:highlight w:val="none"/>
        </w:rPr>
        <w:t>。</w:t>
      </w:r>
      <w:r>
        <w:rPr>
          <w:rFonts w:hint="eastAsia" w:ascii="仿宋" w:hAnsi="仿宋" w:eastAsia="仿宋" w:cs="Arial Narrow"/>
          <w:highlight w:val="none"/>
        </w:rPr>
        <w:tab/>
      </w:r>
    </w:p>
    <w:p w14:paraId="15DA529D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24" w:name="_Toc23121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Arial Narrow"/>
          <w:sz w:val="24"/>
          <w:highlight w:val="none"/>
        </w:rPr>
        <w:t>项目绩效目标</w:t>
      </w:r>
      <w:bookmarkEnd w:id="19"/>
      <w:bookmarkEnd w:id="24"/>
    </w:p>
    <w:bookmarkEnd w:id="20"/>
    <w:bookmarkEnd w:id="21"/>
    <w:bookmarkEnd w:id="22"/>
    <w:bookmarkEnd w:id="23"/>
    <w:p w14:paraId="3AD1D808">
      <w:pPr>
        <w:snapToGrid w:val="0"/>
        <w:ind w:firstLine="480"/>
        <w:rPr>
          <w:rFonts w:hint="default" w:ascii="仿宋" w:hAnsi="仿宋" w:eastAsia="仿宋" w:cs="Arial Narrow"/>
          <w:highlight w:val="none"/>
          <w:lang w:val="en-US" w:eastAsia="zh-CN"/>
        </w:rPr>
      </w:pPr>
      <w:bookmarkStart w:id="25" w:name="_Toc14165726"/>
      <w:r>
        <w:rPr>
          <w:rFonts w:hint="eastAsia" w:ascii="仿宋" w:hAnsi="仿宋" w:eastAsia="仿宋" w:cs="Arial Narrow"/>
          <w:highlight w:val="none"/>
          <w:lang w:val="en-US" w:eastAsia="zh-CN"/>
        </w:rPr>
        <w:t>绩效目标：预算总费用582.68万元，主要用于开发区政务中心租赁费。</w:t>
      </w:r>
    </w:p>
    <w:p w14:paraId="1F75C33D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26" w:name="_Toc4709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3、</w:t>
      </w:r>
      <w:r>
        <w:rPr>
          <w:rFonts w:hint="eastAsia" w:ascii="仿宋" w:hAnsi="仿宋" w:eastAsia="仿宋" w:cs="Arial Narrow"/>
          <w:sz w:val="24"/>
          <w:highlight w:val="none"/>
        </w:rPr>
        <w:t>项目经费来源和使用情况</w:t>
      </w:r>
      <w:bookmarkEnd w:id="25"/>
      <w:bookmarkEnd w:id="26"/>
    </w:p>
    <w:p w14:paraId="59EC8745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highlight w:val="none"/>
        </w:rPr>
        <w:t>1</w:t>
      </w:r>
      <w:r>
        <w:rPr>
          <w:rFonts w:hint="eastAsia" w:ascii="仿宋" w:hAnsi="仿宋" w:eastAsia="仿宋" w:cs="Arial Narrow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highlight w:val="none"/>
        </w:rPr>
        <w:t>项目资金来源</w:t>
      </w:r>
    </w:p>
    <w:p w14:paraId="7C505A53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武汉经济技术开发区（汉南区）行政审批局“市民服务中心大楼租金”</w:t>
      </w:r>
      <w:r>
        <w:rPr>
          <w:rFonts w:hint="eastAsia" w:ascii="仿宋" w:hAnsi="仿宋" w:eastAsia="仿宋" w:cs="Arial Narrow"/>
          <w:highlight w:val="none"/>
        </w:rPr>
        <w:t>项目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支出</w:t>
      </w:r>
      <w:r>
        <w:rPr>
          <w:rFonts w:hint="eastAsia" w:ascii="仿宋" w:hAnsi="仿宋" w:eastAsia="仿宋" w:cs="Arial Narrow"/>
          <w:highlight w:val="none"/>
        </w:rPr>
        <w:t>年初预算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批复为582.68万元</w:t>
      </w:r>
      <w:r>
        <w:rPr>
          <w:rFonts w:hint="eastAsia" w:ascii="仿宋" w:hAnsi="仿宋" w:eastAsia="仿宋" w:cs="Arial Narrow"/>
          <w:highlight w:val="none"/>
        </w:rPr>
        <w:t>，均系财政拨款。</w:t>
      </w:r>
    </w:p>
    <w:p w14:paraId="0AE00B0C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highlight w:val="none"/>
        </w:rPr>
        <w:t>2</w:t>
      </w:r>
      <w:r>
        <w:rPr>
          <w:rFonts w:hint="eastAsia" w:ascii="仿宋" w:hAnsi="仿宋" w:eastAsia="仿宋" w:cs="Arial Narrow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highlight w:val="none"/>
        </w:rPr>
        <w:t>项目资金使用概况</w:t>
      </w:r>
    </w:p>
    <w:p w14:paraId="0B4F3B52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2018年“市民服务中心大楼租金”</w:t>
      </w:r>
      <w:r>
        <w:rPr>
          <w:rFonts w:hint="eastAsia" w:ascii="仿宋" w:hAnsi="仿宋" w:eastAsia="仿宋" w:cs="Arial Narrow"/>
          <w:highlight w:val="none"/>
        </w:rPr>
        <w:t>项目计划支出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582.68万元</w:t>
      </w:r>
      <w:r>
        <w:rPr>
          <w:rFonts w:hint="eastAsia" w:ascii="仿宋" w:hAnsi="仿宋" w:eastAsia="仿宋" w:cs="Arial Narrow"/>
          <w:highlight w:val="none"/>
        </w:rPr>
        <w:t>，实际支出为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582.68万元</w:t>
      </w:r>
      <w:r>
        <w:rPr>
          <w:rFonts w:hint="eastAsia" w:ascii="仿宋" w:hAnsi="仿宋" w:eastAsia="仿宋" w:cs="Arial Narrow"/>
          <w:highlight w:val="none"/>
        </w:rPr>
        <w:t>。资金使用率为100.00%。</w:t>
      </w:r>
    </w:p>
    <w:bookmarkEnd w:id="14"/>
    <w:bookmarkEnd w:id="15"/>
    <w:p w14:paraId="56DAD319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27" w:name="_Toc14165727"/>
      <w:bookmarkStart w:id="28" w:name="_Toc23481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4、</w:t>
      </w:r>
      <w:r>
        <w:rPr>
          <w:rFonts w:hint="eastAsia" w:ascii="仿宋" w:hAnsi="仿宋" w:eastAsia="仿宋" w:cs="Arial Narrow"/>
          <w:sz w:val="24"/>
          <w:highlight w:val="none"/>
        </w:rPr>
        <w:t>项目实施情况</w:t>
      </w:r>
      <w:bookmarkEnd w:id="27"/>
      <w:bookmarkEnd w:id="28"/>
    </w:p>
    <w:p w14:paraId="378EC30D">
      <w:pPr>
        <w:snapToGrid w:val="0"/>
        <w:ind w:firstLine="480"/>
        <w:rPr>
          <w:rFonts w:hint="default" w:ascii="仿宋" w:hAnsi="仿宋" w:eastAsia="仿宋" w:cs="Arial Narrow"/>
          <w:highlight w:val="none"/>
          <w:lang w:val="en-US"/>
        </w:rPr>
      </w:pPr>
      <w:r>
        <w:rPr>
          <w:rFonts w:hint="eastAsia" w:ascii="仿宋" w:hAnsi="仿宋" w:eastAsia="仿宋" w:cs="Arial Narrow"/>
          <w:highlight w:val="none"/>
          <w:lang w:eastAsia="zh-CN"/>
        </w:rPr>
        <w:t>项目实施过程制定严格的管理制度，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项目支出合理。</w:t>
      </w:r>
    </w:p>
    <w:p w14:paraId="54B6615E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</w:pPr>
      <w:bookmarkStart w:id="29" w:name="_Toc406666357"/>
      <w:bookmarkStart w:id="30" w:name="_Toc406668031"/>
      <w:bookmarkStart w:id="31" w:name="_Toc30078"/>
      <w:bookmarkStart w:id="32" w:name="_Toc387957806"/>
      <w:bookmarkStart w:id="33" w:name="_Toc14372"/>
      <w:bookmarkStart w:id="34" w:name="_Toc361304681"/>
      <w:bookmarkStart w:id="35" w:name="_Toc14165728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（二）绩效评价工作情况</w:t>
      </w:r>
      <w:bookmarkEnd w:id="29"/>
      <w:bookmarkEnd w:id="30"/>
      <w:bookmarkEnd w:id="31"/>
      <w:bookmarkEnd w:id="32"/>
      <w:bookmarkEnd w:id="33"/>
      <w:bookmarkEnd w:id="34"/>
      <w:bookmarkEnd w:id="35"/>
      <w:bookmarkStart w:id="36" w:name="_Toc361304682"/>
    </w:p>
    <w:p w14:paraId="7C6C5DFE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37" w:name="_Toc387957807"/>
      <w:bookmarkStart w:id="38" w:name="_Toc406666358"/>
      <w:bookmarkStart w:id="39" w:name="_Toc29064"/>
      <w:bookmarkStart w:id="40" w:name="_Toc14165729"/>
      <w:bookmarkStart w:id="41" w:name="_Toc406668032"/>
      <w:bookmarkStart w:id="42" w:name="_Toc10142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1、</w:t>
      </w:r>
      <w:r>
        <w:rPr>
          <w:rFonts w:hint="eastAsia" w:ascii="仿宋" w:hAnsi="仿宋" w:eastAsia="仿宋" w:cs="Arial Narrow"/>
          <w:sz w:val="24"/>
          <w:highlight w:val="none"/>
        </w:rPr>
        <w:t>绩效评价目</w:t>
      </w:r>
      <w:bookmarkEnd w:id="36"/>
      <w:bookmarkEnd w:id="37"/>
      <w:r>
        <w:rPr>
          <w:rFonts w:hint="eastAsia" w:ascii="仿宋" w:hAnsi="仿宋" w:eastAsia="仿宋" w:cs="Arial Narrow"/>
          <w:sz w:val="24"/>
          <w:highlight w:val="none"/>
        </w:rPr>
        <w:t>的</w:t>
      </w:r>
      <w:bookmarkEnd w:id="38"/>
      <w:bookmarkEnd w:id="39"/>
      <w:bookmarkEnd w:id="40"/>
      <w:bookmarkEnd w:id="41"/>
      <w:bookmarkEnd w:id="42"/>
    </w:p>
    <w:p w14:paraId="5144B973">
      <w:pPr>
        <w:snapToGrid w:val="0"/>
        <w:ind w:firstLine="480"/>
        <w:rPr>
          <w:rFonts w:hint="eastAsia"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</w:rPr>
        <w:t>本次绩效评价的主要目的是加强项目资金管理，提高“</w:t>
      </w:r>
      <w:r>
        <w:rPr>
          <w:rFonts w:hint="eastAsia" w:ascii="仿宋" w:hAnsi="仿宋" w:eastAsia="仿宋" w:cs="Arial Narrow"/>
          <w:bCs/>
          <w:highlight w:val="none"/>
          <w:lang w:eastAsia="zh-CN"/>
        </w:rPr>
        <w:t>市民服务中心大楼租金</w:t>
      </w:r>
      <w:r>
        <w:rPr>
          <w:rFonts w:hint="eastAsia" w:ascii="仿宋" w:hAnsi="仿宋" w:eastAsia="仿宋" w:cs="Arial Narrow"/>
          <w:bCs/>
          <w:highlight w:val="none"/>
        </w:rPr>
        <w:t>”支出补贴资金使用效益。</w:t>
      </w:r>
    </w:p>
    <w:p w14:paraId="06DE10A6">
      <w:pPr>
        <w:snapToGrid w:val="0"/>
        <w:ind w:firstLine="480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</w:rPr>
        <w:t>通过绩效评价，能够核查201</w:t>
      </w: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8</w:t>
      </w:r>
      <w:r>
        <w:rPr>
          <w:rFonts w:hint="eastAsia" w:ascii="仿宋" w:hAnsi="仿宋" w:eastAsia="仿宋" w:cs="Arial Narrow"/>
          <w:bCs/>
          <w:highlight w:val="none"/>
        </w:rPr>
        <w:t>年度行政审批中心项目绩效目标、指标的实现程度，考核资金使用效率和综合绩效，总结项目管理与执行经验，管理部门决策、管理提供参考依据；推动建立以绩效评价结果为导向的财政资金分配与管理制度，提升财政资金科学化、精细化管理水平。</w:t>
      </w:r>
    </w:p>
    <w:p w14:paraId="4C086A74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43" w:name="_Toc14165730"/>
      <w:bookmarkStart w:id="44" w:name="_Toc32197"/>
      <w:bookmarkStart w:id="45" w:name="_Toc12516"/>
      <w:bookmarkStart w:id="46" w:name="_Toc406666359"/>
      <w:bookmarkStart w:id="47" w:name="_Toc406668033"/>
      <w:bookmarkStart w:id="48" w:name="_Toc361304684"/>
      <w:bookmarkStart w:id="49" w:name="_Toc387957809"/>
      <w:bookmarkStart w:id="50" w:name="_Toc361302025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Arial Narrow"/>
          <w:sz w:val="24"/>
          <w:highlight w:val="none"/>
        </w:rPr>
        <w:t>绩效评价工作过程</w:t>
      </w:r>
      <w:bookmarkEnd w:id="43"/>
      <w:bookmarkEnd w:id="44"/>
      <w:bookmarkEnd w:id="45"/>
    </w:p>
    <w:p w14:paraId="46929DF0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bCs/>
          <w:highlight w:val="none"/>
        </w:rPr>
        <w:t>1</w:t>
      </w:r>
      <w:r>
        <w:rPr>
          <w:rFonts w:hint="eastAsia" w:ascii="仿宋" w:hAnsi="仿宋" w:eastAsia="仿宋" w:cs="Arial Narrow"/>
          <w:bCs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bCs/>
          <w:highlight w:val="none"/>
        </w:rPr>
        <w:t>绩效评价准备阶段</w:t>
      </w:r>
    </w:p>
    <w:p w14:paraId="5BA5AA2E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</w:rPr>
        <w:t>确定评价对象。根据下达的绩效评价通知书，制订绩效评价工作方案。</w:t>
      </w:r>
    </w:p>
    <w:p w14:paraId="1CABC0AC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bCs/>
          <w:highlight w:val="none"/>
        </w:rPr>
        <w:t>2</w:t>
      </w:r>
      <w:r>
        <w:rPr>
          <w:rFonts w:hint="eastAsia" w:ascii="仿宋" w:hAnsi="仿宋" w:eastAsia="仿宋" w:cs="Arial Narrow"/>
          <w:bCs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bCs/>
          <w:highlight w:val="none"/>
        </w:rPr>
        <w:t>绩效评价实施阶段</w:t>
      </w:r>
    </w:p>
    <w:p w14:paraId="3ED2088C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①</w:t>
      </w:r>
      <w:r>
        <w:rPr>
          <w:rFonts w:hint="eastAsia" w:ascii="仿宋" w:hAnsi="仿宋" w:eastAsia="仿宋" w:cs="Arial Narrow"/>
          <w:bCs/>
          <w:highlight w:val="none"/>
        </w:rPr>
        <w:t>拟定评价工作方案；</w:t>
      </w:r>
    </w:p>
    <w:p w14:paraId="3D71635C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②</w:t>
      </w:r>
      <w:r>
        <w:rPr>
          <w:rFonts w:hint="eastAsia" w:ascii="仿宋" w:hAnsi="仿宋" w:eastAsia="仿宋" w:cs="Arial Narrow"/>
          <w:bCs/>
          <w:highlight w:val="none"/>
        </w:rPr>
        <w:t>资料审核；</w:t>
      </w:r>
    </w:p>
    <w:p w14:paraId="04DF0A81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宋体" w:hAnsi="宋体" w:eastAsia="宋体" w:cs="宋体"/>
          <w:bCs/>
          <w:highlight w:val="none"/>
          <w:lang w:val="en-US" w:eastAsia="zh-CN"/>
        </w:rPr>
        <w:t>③</w:t>
      </w:r>
      <w:r>
        <w:rPr>
          <w:rFonts w:hint="eastAsia" w:ascii="仿宋" w:hAnsi="仿宋" w:eastAsia="仿宋" w:cs="Arial Narrow"/>
          <w:bCs/>
          <w:highlight w:val="none"/>
        </w:rPr>
        <w:t>撰写绩效报告；</w:t>
      </w:r>
    </w:p>
    <w:p w14:paraId="3BD57C89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④</w:t>
      </w:r>
      <w:r>
        <w:rPr>
          <w:rFonts w:hint="eastAsia" w:ascii="仿宋" w:hAnsi="仿宋" w:eastAsia="仿宋" w:cs="Arial Narrow"/>
          <w:bCs/>
          <w:highlight w:val="none"/>
        </w:rPr>
        <w:t>实施绩效评价。</w:t>
      </w:r>
    </w:p>
    <w:p w14:paraId="4C1E6646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3）</w:t>
      </w:r>
      <w:r>
        <w:rPr>
          <w:rFonts w:hint="eastAsia" w:ascii="仿宋" w:hAnsi="仿宋" w:eastAsia="仿宋" w:cs="Arial Narrow"/>
          <w:bCs/>
          <w:highlight w:val="none"/>
        </w:rPr>
        <w:t>绩效评价总结阶段</w:t>
      </w:r>
    </w:p>
    <w:p w14:paraId="060B1422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①</w:t>
      </w:r>
      <w:r>
        <w:rPr>
          <w:rFonts w:hint="eastAsia" w:ascii="仿宋" w:hAnsi="仿宋" w:eastAsia="仿宋" w:cs="Arial Narrow"/>
          <w:bCs/>
          <w:highlight w:val="none"/>
        </w:rPr>
        <w:t>撰写报告；</w:t>
      </w:r>
    </w:p>
    <w:p w14:paraId="226AFB27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②</w:t>
      </w:r>
      <w:r>
        <w:rPr>
          <w:rFonts w:hint="eastAsia" w:ascii="仿宋" w:hAnsi="仿宋" w:eastAsia="仿宋" w:cs="Arial Narrow"/>
          <w:bCs/>
          <w:highlight w:val="none"/>
        </w:rPr>
        <w:t>提交报告。</w:t>
      </w:r>
    </w:p>
    <w:p w14:paraId="5A09568F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51" w:name="_Toc14165731"/>
      <w:bookmarkStart w:id="52" w:name="_Toc7253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3、</w:t>
      </w:r>
      <w:r>
        <w:rPr>
          <w:rFonts w:hint="eastAsia" w:ascii="仿宋" w:hAnsi="仿宋" w:eastAsia="仿宋" w:cs="Arial Narrow"/>
          <w:sz w:val="24"/>
          <w:highlight w:val="none"/>
        </w:rPr>
        <w:t>绩效评价框架</w:t>
      </w:r>
      <w:bookmarkEnd w:id="51"/>
      <w:bookmarkEnd w:id="52"/>
    </w:p>
    <w:p w14:paraId="4C59B466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none"/>
        </w:rPr>
      </w:pP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1</w:t>
      </w: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评价原则</w:t>
      </w:r>
    </w:p>
    <w:p w14:paraId="758D2C3D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绩效评价原则应当遵循科学规范、公正公开、分级分类及绩效相关的原则，严格执行规定的程序，按照科学可行的要求，采用定量与定性分析相结合的方法，且符合真实、客观、公正的要求，针对具体支出及其产出绩效进行评价。本次绩效评价，我们遵循相关性原则、重要性原则、可比性原则、系统性原则、经济性原则。</w:t>
      </w:r>
    </w:p>
    <w:p w14:paraId="2F72C59B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none"/>
        </w:rPr>
      </w:pP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2</w:t>
      </w: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评价依据</w:t>
      </w:r>
    </w:p>
    <w:p w14:paraId="04E09D6D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①</w:t>
      </w:r>
      <w:r>
        <w:rPr>
          <w:rFonts w:hint="eastAsia" w:ascii="仿宋" w:hAnsi="仿宋" w:eastAsia="仿宋" w:cs="Arial Narrow"/>
          <w:highlight w:val="none"/>
        </w:rPr>
        <w:t>《中华人民共和国预算法》；</w:t>
      </w:r>
    </w:p>
    <w:p w14:paraId="50AD48D6">
      <w:pPr>
        <w:snapToGrid w:val="0"/>
        <w:ind w:firstLine="480"/>
        <w:jc w:val="left"/>
        <w:rPr>
          <w:rFonts w:hint="eastAsia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②《财政支出绩效评价管理暂行办法》（财预[2011]285号）；</w:t>
      </w:r>
    </w:p>
    <w:p w14:paraId="5FF21BC2">
      <w:pPr>
        <w:snapToGrid w:val="0"/>
        <w:ind w:firstLine="480"/>
        <w:jc w:val="left"/>
        <w:rPr>
          <w:rFonts w:hint="eastAsia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③《财政部关于推进预算绩效管理的指导意见》（财预[2011]416号）；</w:t>
      </w:r>
    </w:p>
    <w:p w14:paraId="2CBBA151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④</w:t>
      </w:r>
      <w:r>
        <w:rPr>
          <w:rFonts w:hint="eastAsia" w:ascii="仿宋" w:hAnsi="仿宋" w:eastAsia="仿宋" w:cs="Arial Narrow"/>
          <w:highlight w:val="none"/>
          <w:lang w:eastAsia="zh-CN"/>
        </w:rPr>
        <w:t>《</w:t>
      </w:r>
      <w:r>
        <w:rPr>
          <w:rFonts w:hint="eastAsia" w:ascii="仿宋" w:hAnsi="仿宋" w:eastAsia="仿宋" w:cs="Arial Narrow"/>
          <w:highlight w:val="none"/>
        </w:rPr>
        <w:t>湖北省省级财政项目资金绩效评价实施暂行办法》（鄂财绩发[2012]5号）；</w:t>
      </w:r>
    </w:p>
    <w:p w14:paraId="52BF1435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⑤</w:t>
      </w:r>
      <w:r>
        <w:rPr>
          <w:rFonts w:hint="eastAsia" w:ascii="仿宋" w:hAnsi="仿宋" w:eastAsia="仿宋" w:cs="Arial Narrow"/>
          <w:highlight w:val="none"/>
        </w:rPr>
        <w:t>《关于推进预算绩效管理的意见》(武政[2013]95号)；</w:t>
      </w:r>
    </w:p>
    <w:p w14:paraId="3B6B998E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⑥</w:t>
      </w:r>
      <w:r>
        <w:rPr>
          <w:rFonts w:hint="eastAsia" w:ascii="仿宋" w:hAnsi="仿宋" w:eastAsia="仿宋" w:cs="Arial Narrow"/>
          <w:highlight w:val="none"/>
        </w:rPr>
        <w:t>武汉市财政局《关于进一步推进预算绩效管理改革工作的通知》；</w:t>
      </w:r>
    </w:p>
    <w:p w14:paraId="3FBA6C56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⑦</w:t>
      </w:r>
      <w:r>
        <w:rPr>
          <w:rFonts w:hint="eastAsia" w:ascii="仿宋" w:hAnsi="仿宋" w:eastAsia="仿宋" w:cs="Arial Narrow"/>
          <w:highlight w:val="none"/>
        </w:rPr>
        <w:t>《武汉经济技术开发区（汉南区）预算绩效评价管理暂行办法》；</w:t>
      </w:r>
    </w:p>
    <w:p w14:paraId="542AF796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⑧</w:t>
      </w:r>
      <w:r>
        <w:rPr>
          <w:rFonts w:hint="eastAsia" w:ascii="仿宋" w:hAnsi="仿宋" w:eastAsia="仿宋" w:cs="Arial Narrow"/>
          <w:highlight w:val="none"/>
        </w:rPr>
        <w:t>《中共武汉开发区工委（汉南区委）武汉开发区管委会（汉南区政府）关于全面推进预算绩效管理的实施意见》（武开〔2019〕11号）；</w:t>
      </w:r>
    </w:p>
    <w:p w14:paraId="73499AA2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⑨</w:t>
      </w:r>
      <w:r>
        <w:rPr>
          <w:rFonts w:hint="eastAsia" w:ascii="仿宋" w:hAnsi="仿宋" w:eastAsia="仿宋" w:cs="Arial Narrow"/>
          <w:highlight w:val="none"/>
        </w:rPr>
        <w:t>《区财政局关于2019年开展预算绩效评价工作的通知》 武经开财〔2019〕29号</w:t>
      </w:r>
    </w:p>
    <w:p w14:paraId="45051238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⑩</w:t>
      </w:r>
      <w:r>
        <w:rPr>
          <w:rFonts w:hint="eastAsia" w:ascii="仿宋" w:hAnsi="仿宋" w:eastAsia="仿宋" w:cs="Arial Narrow"/>
          <w:highlight w:val="none"/>
        </w:rPr>
        <w:t>项目资金使用明细表、与项目相关的财务账等资料；</w:t>
      </w:r>
    </w:p>
    <w:p w14:paraId="046F68ED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⑪</w:t>
      </w:r>
      <w:r>
        <w:rPr>
          <w:rFonts w:hint="eastAsia" w:ascii="仿宋" w:hAnsi="仿宋" w:eastAsia="仿宋" w:cs="Arial Narrow"/>
          <w:highlight w:val="none"/>
        </w:rPr>
        <w:t>其他与项目评价相关的资料。</w:t>
      </w:r>
    </w:p>
    <w:p w14:paraId="4BA6F612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none"/>
        </w:rPr>
      </w:pP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3</w:t>
      </w: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评价方法</w:t>
      </w:r>
    </w:p>
    <w:p w14:paraId="563BFAD9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主要采用成本效益分析法、比较法、因素分析法、最低成本法、公众评判法等。</w:t>
      </w:r>
    </w:p>
    <w:p w14:paraId="68FE4612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①</w:t>
      </w:r>
      <w:r>
        <w:rPr>
          <w:rFonts w:hint="eastAsia" w:ascii="仿宋" w:hAnsi="仿宋" w:eastAsia="仿宋" w:cs="Arial Narrow"/>
          <w:highlight w:val="none"/>
        </w:rPr>
        <w:t>成本效益分析法。是指将一定时期内的支出与效益进行对比分析，以评价绩效目标实现程度。</w:t>
      </w:r>
    </w:p>
    <w:p w14:paraId="2D5A0B5B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②</w:t>
      </w:r>
      <w:r>
        <w:rPr>
          <w:rFonts w:hint="eastAsia" w:ascii="仿宋" w:hAnsi="仿宋" w:eastAsia="仿宋" w:cs="Arial Narrow"/>
          <w:highlight w:val="none"/>
        </w:rPr>
        <w:t>比较法。是指通过对绩效目标与实施效果、历史与当期情况、不同部门和地区同类支出的比较，综合分析绩效目标实现程度。</w:t>
      </w:r>
    </w:p>
    <w:p w14:paraId="175BDFDF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③</w:t>
      </w:r>
      <w:r>
        <w:rPr>
          <w:rFonts w:hint="eastAsia" w:ascii="仿宋" w:hAnsi="仿宋" w:eastAsia="仿宋" w:cs="Arial Narrow"/>
          <w:highlight w:val="none"/>
        </w:rPr>
        <w:t>因素分析法。是指通过综合分析影响绩效目标实现、实施效果的内外因素，评价绩效目标实现程度。</w:t>
      </w:r>
    </w:p>
    <w:p w14:paraId="408F10EA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④</w:t>
      </w:r>
      <w:r>
        <w:rPr>
          <w:rFonts w:hint="eastAsia" w:ascii="仿宋" w:hAnsi="仿宋" w:eastAsia="仿宋" w:cs="Arial Narrow"/>
          <w:highlight w:val="none"/>
        </w:rPr>
        <w:t>最低成本法。是指对效益确定却不易计量的多个同类对象的实施成本进行比较，评价绩效目标实现程度。</w:t>
      </w:r>
    </w:p>
    <w:p w14:paraId="362F8F28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⑤</w:t>
      </w:r>
      <w:r>
        <w:rPr>
          <w:rFonts w:hint="eastAsia" w:ascii="仿宋" w:hAnsi="仿宋" w:eastAsia="仿宋" w:cs="Arial Narrow"/>
          <w:highlight w:val="none"/>
        </w:rPr>
        <w:t>公众评判法。是指通过专家评估、公众问卷及抽样调查等对财政支出效果进行评判，评价绩效目标实现程度。</w:t>
      </w:r>
    </w:p>
    <w:p w14:paraId="5EE04227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53" w:name="_Toc20900"/>
      <w:bookmarkStart w:id="54" w:name="_Toc14165732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4、</w:t>
      </w:r>
      <w:r>
        <w:rPr>
          <w:rFonts w:hint="eastAsia" w:ascii="仿宋" w:hAnsi="仿宋" w:eastAsia="仿宋" w:cs="Arial Narrow"/>
          <w:sz w:val="24"/>
          <w:highlight w:val="none"/>
        </w:rPr>
        <w:t>评价抽样情况概述</w:t>
      </w:r>
      <w:bookmarkEnd w:id="46"/>
      <w:bookmarkEnd w:id="47"/>
      <w:bookmarkEnd w:id="48"/>
      <w:bookmarkEnd w:id="49"/>
      <w:bookmarkEnd w:id="50"/>
      <w:bookmarkEnd w:id="53"/>
      <w:bookmarkEnd w:id="54"/>
      <w:bookmarkStart w:id="55" w:name="_Toc18443"/>
      <w:bookmarkStart w:id="56" w:name="_Toc361304693"/>
      <w:bookmarkStart w:id="57" w:name="_Toc387957819"/>
      <w:bookmarkStart w:id="58" w:name="_Toc406668044"/>
      <w:bookmarkStart w:id="59" w:name="_Toc406666370"/>
      <w:bookmarkStart w:id="60" w:name="_Toc14165733"/>
    </w:p>
    <w:p w14:paraId="6E778369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绩效评价小组遵循代表性原则、独立性原则和方便性原则，根据项目属性、区域分布、资金规模进行抽样调查。抽样调查项目个数及总金额可以代表项目实施的总体情况。对被抽样单位进行实地抽查，了解项目的具体实施情况，在反复沟通中了解被抽样单位项目资金的使用情况、项目资金的到位情况及产生的效益，使绩效评价量化指标更加充分，也确保绩效评价与项目的衔接度更高。</w:t>
      </w:r>
    </w:p>
    <w:p w14:paraId="5690EDBF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</w:pPr>
      <w:bookmarkStart w:id="61" w:name="_Toc25218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（三）绩效分析</w:t>
      </w:r>
      <w:bookmarkEnd w:id="55"/>
      <w:bookmarkEnd w:id="56"/>
      <w:bookmarkEnd w:id="57"/>
      <w:bookmarkEnd w:id="58"/>
      <w:bookmarkEnd w:id="59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及评价结论</w:t>
      </w:r>
      <w:bookmarkEnd w:id="60"/>
      <w:bookmarkEnd w:id="61"/>
    </w:p>
    <w:p w14:paraId="39FC4B9A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62" w:name="_Toc14165734"/>
      <w:bookmarkStart w:id="63" w:name="_Toc5754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1、</w:t>
      </w:r>
      <w:r>
        <w:rPr>
          <w:rFonts w:hint="eastAsia" w:ascii="仿宋" w:hAnsi="仿宋" w:eastAsia="仿宋" w:cs="Arial Narrow"/>
          <w:sz w:val="24"/>
          <w:highlight w:val="none"/>
        </w:rPr>
        <w:t>绩效分析</w:t>
      </w:r>
      <w:bookmarkEnd w:id="62"/>
      <w:bookmarkEnd w:id="63"/>
    </w:p>
    <w:p w14:paraId="06A4CFFB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yellow"/>
        </w:rPr>
      </w:pPr>
      <w:bookmarkStart w:id="64" w:name="_Toc14165735"/>
      <w:bookmarkStart w:id="65" w:name="_Toc2992"/>
      <w:bookmarkStart w:id="66" w:name="_Toc361304697"/>
      <w:bookmarkStart w:id="67" w:name="_Toc406666373"/>
      <w:bookmarkStart w:id="68" w:name="_Toc387957822"/>
      <w:bookmarkStart w:id="69" w:name="_Toc406668047"/>
      <w:bookmarkStart w:id="70" w:name="_Toc361302034"/>
      <w:r>
        <w:rPr>
          <w:rFonts w:hint="eastAsia" w:ascii="仿宋" w:hAnsi="仿宋" w:eastAsia="仿宋" w:cs="Arial Narrow"/>
          <w:b/>
          <w:bCs/>
          <w:sz w:val="24"/>
          <w:highlight w:val="yellow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1</w:t>
      </w:r>
      <w:r>
        <w:rPr>
          <w:rFonts w:hint="eastAsia" w:ascii="仿宋" w:hAnsi="仿宋" w:eastAsia="仿宋" w:cs="Arial Narrow"/>
          <w:b/>
          <w:bCs/>
          <w:sz w:val="24"/>
          <w:highlight w:val="yellow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项目</w:t>
      </w:r>
      <w:bookmarkStart w:id="71" w:name="_Toc394181010"/>
      <w:r>
        <w:rPr>
          <w:rFonts w:hint="eastAsia" w:ascii="仿宋" w:hAnsi="仿宋" w:eastAsia="仿宋" w:cs="Arial Narrow"/>
          <w:b/>
          <w:bCs/>
          <w:sz w:val="24"/>
          <w:highlight w:val="yellow"/>
        </w:rPr>
        <w:t>投入（</w:t>
      </w:r>
      <w:r>
        <w:rPr>
          <w:rFonts w:hint="eastAsia" w:ascii="仿宋" w:hAnsi="仿宋" w:eastAsia="仿宋" w:cs="Arial Narrow"/>
          <w:b/>
          <w:bCs/>
          <w:sz w:val="24"/>
          <w:highlight w:val="yellow"/>
          <w:lang w:val="en-US" w:eastAsia="zh-CN"/>
        </w:rPr>
        <w:t>20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分）</w:t>
      </w:r>
      <w:bookmarkEnd w:id="64"/>
      <w:bookmarkEnd w:id="65"/>
      <w:bookmarkEnd w:id="71"/>
    </w:p>
    <w:p w14:paraId="19B249FD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项目投入方面主要评价项目立项和资金落实的实际情况。对于该项的评价，评价小组主要通过卷宗研究、现场访谈等方式对资料进行收集、整理和分析，查看了项目立项的相关资料、财政预算的批复文件，对项目决策涉及的指标进行打分，并逐级加权计算结果。经过综合计分，</w:t>
      </w:r>
      <w:r>
        <w:rPr>
          <w:rFonts w:hint="eastAsia" w:ascii="仿宋" w:hAnsi="仿宋" w:eastAsia="仿宋" w:cs="Arial Narrow"/>
          <w:highlight w:val="yellow"/>
        </w:rPr>
        <w:t>该指标得分为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20</w:t>
      </w:r>
      <w:r>
        <w:rPr>
          <w:rFonts w:hint="eastAsia" w:ascii="仿宋" w:hAnsi="仿宋" w:eastAsia="仿宋" w:cs="Arial Narrow"/>
          <w:highlight w:val="yellow"/>
        </w:rPr>
        <w:t>分，评价等级为优</w:t>
      </w:r>
      <w:r>
        <w:rPr>
          <w:rFonts w:hint="eastAsia" w:ascii="仿宋" w:hAnsi="仿宋" w:eastAsia="仿宋" w:cs="Arial Narrow"/>
          <w:highlight w:val="none"/>
        </w:rPr>
        <w:t>。</w:t>
      </w:r>
    </w:p>
    <w:p w14:paraId="16841633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①项目立项（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10</w:t>
      </w:r>
      <w:r>
        <w:rPr>
          <w:rFonts w:hint="eastAsia" w:ascii="仿宋" w:hAnsi="仿宋" w:eastAsia="仿宋" w:cs="Arial Narrow"/>
          <w:highlight w:val="none"/>
        </w:rPr>
        <w:t>分）</w:t>
      </w:r>
    </w:p>
    <w:p w14:paraId="4DB4AF61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项目立项是指项目的设立和设定的绩效目标是否参考相关的依据，并且对项目的具体目标进行细化、量化。项目立项主要通过项目立项规范性和绩效目标合理性两个指标反映。经过综合计分，项目立项指标得分为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10</w:t>
      </w:r>
      <w:r>
        <w:rPr>
          <w:rFonts w:hint="eastAsia" w:ascii="仿宋" w:hAnsi="仿宋" w:eastAsia="仿宋" w:cs="Arial Narrow"/>
          <w:highlight w:val="none"/>
        </w:rPr>
        <w:t>分。</w:t>
      </w:r>
    </w:p>
    <w:p w14:paraId="3E24E9EA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a.</w:t>
      </w:r>
      <w:r>
        <w:rPr>
          <w:rFonts w:hint="eastAsia" w:ascii="仿宋" w:hAnsi="仿宋" w:eastAsia="仿宋" w:cs="Arial Narrow"/>
          <w:highlight w:val="none"/>
        </w:rPr>
        <w:tab/>
      </w:r>
      <w:r>
        <w:rPr>
          <w:rFonts w:hint="eastAsia" w:ascii="仿宋" w:hAnsi="仿宋" w:eastAsia="仿宋" w:cs="Arial Narrow"/>
          <w:highlight w:val="none"/>
        </w:rPr>
        <w:t>项目立项规范性，是指项目的申请、设立过程是否符合相关要求，用以反映和考核项目立项的规范情况。项目立项按照程序申请设立，所提交的文件、材料符合相关要求。</w:t>
      </w:r>
    </w:p>
    <w:p w14:paraId="56CD65F5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b. 绩效目标合理性，是指项目所设定的绩效目标依据是否充分，是否符合客观事实，可以反映和考核项目绩效目标与项目实施的相符情况。项目实施单位设计了项目年度绩效目标和项目绩效指标，指标设定合理，基本具有可测性。</w:t>
      </w:r>
    </w:p>
    <w:p w14:paraId="4C81FE4D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②资金落实（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10</w:t>
      </w:r>
      <w:r>
        <w:rPr>
          <w:rFonts w:hint="eastAsia" w:ascii="仿宋" w:hAnsi="仿宋" w:eastAsia="仿宋" w:cs="Arial Narrow"/>
          <w:highlight w:val="none"/>
        </w:rPr>
        <w:t>分）</w:t>
      </w:r>
    </w:p>
    <w:p w14:paraId="6BB24F8C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资金落实主要评价财政预算资金是否全额发放、资金到位是否及时。该情况主要是通过资金到位率和到位及时率两个指标来反映。指标评价得分为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10</w:t>
      </w:r>
      <w:r>
        <w:rPr>
          <w:rFonts w:hint="eastAsia" w:ascii="仿宋" w:hAnsi="仿宋" w:eastAsia="仿宋" w:cs="Arial Narrow"/>
          <w:highlight w:val="none"/>
        </w:rPr>
        <w:t>分，评价等级为优。</w:t>
      </w:r>
    </w:p>
    <w:p w14:paraId="6D60CFF4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a.</w:t>
      </w:r>
      <w:r>
        <w:rPr>
          <w:rFonts w:hint="eastAsia" w:ascii="仿宋" w:hAnsi="仿宋" w:eastAsia="仿宋" w:cs="Arial Narrow"/>
          <w:highlight w:val="none"/>
        </w:rPr>
        <w:tab/>
      </w:r>
      <w:r>
        <w:rPr>
          <w:rFonts w:hint="eastAsia" w:ascii="仿宋" w:hAnsi="仿宋" w:eastAsia="仿宋" w:cs="Arial Narrow"/>
          <w:highlight w:val="none"/>
        </w:rPr>
        <w:t>资金到位率，是指实际到位资金与计划投入资金的比率，用以反映和考核资金落实情况对项目实施的总体保障程度。2018年该项目计划投入资金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582.68</w:t>
      </w:r>
      <w:r>
        <w:rPr>
          <w:rFonts w:hint="eastAsia" w:ascii="仿宋" w:hAnsi="仿宋" w:eastAsia="仿宋" w:cs="Arial Narrow"/>
          <w:highlight w:val="none"/>
        </w:rPr>
        <w:t>万元，实际到位资金共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582.68</w:t>
      </w:r>
      <w:r>
        <w:rPr>
          <w:rFonts w:hint="eastAsia" w:ascii="仿宋" w:hAnsi="仿宋" w:eastAsia="仿宋" w:cs="Arial Narrow"/>
          <w:highlight w:val="none"/>
        </w:rPr>
        <w:t>万元，资金到位率100%。</w:t>
      </w:r>
    </w:p>
    <w:p w14:paraId="2E033863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b.</w:t>
      </w:r>
      <w:r>
        <w:rPr>
          <w:rFonts w:hint="eastAsia" w:ascii="仿宋" w:hAnsi="仿宋" w:eastAsia="仿宋" w:cs="Arial Narrow"/>
          <w:highlight w:val="none"/>
        </w:rPr>
        <w:tab/>
      </w:r>
      <w:r>
        <w:rPr>
          <w:rFonts w:hint="eastAsia" w:ascii="仿宋" w:hAnsi="仿宋" w:eastAsia="仿宋" w:cs="Arial Narrow"/>
          <w:highlight w:val="none"/>
        </w:rPr>
        <w:t>到位及时率，是指项目及时到位资金与应到位资金的比率，用以反映和考核项目资金落实的及时性程度。武汉经济技术开发区（汉南区）财政局下达项目预算申报资金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582.68</w:t>
      </w:r>
      <w:r>
        <w:rPr>
          <w:rFonts w:hint="eastAsia" w:ascii="仿宋" w:hAnsi="仿宋" w:eastAsia="仿宋" w:cs="Arial Narrow"/>
          <w:highlight w:val="none"/>
        </w:rPr>
        <w:t>万元，下达及时，到位及时率100%。</w:t>
      </w:r>
    </w:p>
    <w:p w14:paraId="53DAFD30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yellow"/>
        </w:rPr>
      </w:pPr>
      <w:r>
        <w:rPr>
          <w:rFonts w:hint="eastAsia" w:ascii="仿宋" w:hAnsi="仿宋" w:eastAsia="仿宋" w:cs="Arial Narrow"/>
          <w:b/>
          <w:bCs/>
          <w:sz w:val="24"/>
          <w:highlight w:val="yellow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2</w:t>
      </w:r>
      <w:r>
        <w:rPr>
          <w:rFonts w:hint="eastAsia" w:ascii="仿宋" w:hAnsi="仿宋" w:eastAsia="仿宋" w:cs="Arial Narrow"/>
          <w:b/>
          <w:bCs/>
          <w:sz w:val="24"/>
          <w:highlight w:val="yellow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决策过程（2</w:t>
      </w:r>
      <w:r>
        <w:rPr>
          <w:rFonts w:hint="eastAsia" w:ascii="仿宋" w:hAnsi="仿宋" w:eastAsia="仿宋" w:cs="Arial Narrow"/>
          <w:b/>
          <w:bCs/>
          <w:sz w:val="24"/>
          <w:highlight w:val="yellow"/>
          <w:lang w:val="en-US" w:eastAsia="zh-CN"/>
        </w:rPr>
        <w:t>0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分）</w:t>
      </w:r>
    </w:p>
    <w:p w14:paraId="6AA87AD9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过程指标主要从项目管理、财务管理两个方面来具体评价；主要考核项目管理制度的健全性、制度执行的有效性和项目质量的可控性，财务制度的健全性、资金使用的合规性及财务监控的有效性。对于该项的评价，评价小组主要采取了卷宗研究、现场访谈的方式进行资料收集、整理、核实和分析，收集了项目具体实施单位的业务管理制度、财务管理</w:t>
      </w:r>
      <w:bookmarkStart w:id="117" w:name="_GoBack"/>
      <w:bookmarkEnd w:id="117"/>
      <w:r>
        <w:rPr>
          <w:rFonts w:hint="eastAsia" w:ascii="仿宋" w:hAnsi="仿宋" w:eastAsia="仿宋" w:cs="Arial Narrow"/>
          <w:highlight w:val="none"/>
        </w:rPr>
        <w:t>制度等相关文件和项目档案资料管理相关文件；对项目管理、资金使用情况进行评价，对项目过程涉及的指标进行打分，并逐级加权计算结果。</w:t>
      </w:r>
      <w:r>
        <w:rPr>
          <w:rFonts w:hint="eastAsia" w:ascii="仿宋" w:hAnsi="仿宋" w:eastAsia="仿宋" w:cs="Arial Narrow"/>
          <w:highlight w:val="yellow"/>
        </w:rPr>
        <w:t>经过综合计分，该指标得分为2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3</w:t>
      </w:r>
      <w:r>
        <w:rPr>
          <w:rFonts w:hint="eastAsia" w:ascii="仿宋" w:hAnsi="仿宋" w:eastAsia="仿宋" w:cs="Arial Narrow"/>
          <w:highlight w:val="yellow"/>
        </w:rPr>
        <w:t>分，评价结果为优</w:t>
      </w:r>
      <w:r>
        <w:rPr>
          <w:rFonts w:hint="eastAsia" w:ascii="仿宋" w:hAnsi="仿宋" w:eastAsia="仿宋" w:cs="Arial Narrow"/>
          <w:highlight w:val="none"/>
        </w:rPr>
        <w:t>。</w:t>
      </w:r>
    </w:p>
    <w:p w14:paraId="5FF796D2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①项目管理（1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0</w:t>
      </w:r>
      <w:r>
        <w:rPr>
          <w:rFonts w:hint="eastAsia" w:ascii="仿宋" w:hAnsi="仿宋" w:eastAsia="仿宋" w:cs="Arial Narrow"/>
          <w:highlight w:val="none"/>
        </w:rPr>
        <w:t>分）</w:t>
      </w:r>
    </w:p>
    <w:p w14:paraId="3F55A631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项目管理主要评价管理制度是否健全、制度的执行是否有效、项目的质量是否可控。该指标主要通过管理制度健全性、制度执行有效性、项目质量可控性三个三级指标来反映。该项指标评价得分为1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0</w:t>
      </w:r>
      <w:r>
        <w:rPr>
          <w:rFonts w:hint="eastAsia" w:ascii="仿宋" w:hAnsi="仿宋" w:eastAsia="仿宋" w:cs="Arial Narrow"/>
          <w:highlight w:val="none"/>
        </w:rPr>
        <w:t>分。</w:t>
      </w:r>
    </w:p>
    <w:p w14:paraId="3CF8F1CB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a.</w:t>
      </w:r>
      <w:r>
        <w:rPr>
          <w:rFonts w:hint="eastAsia" w:ascii="仿宋" w:hAnsi="仿宋" w:eastAsia="仿宋" w:cs="Arial Narrow"/>
          <w:highlight w:val="none"/>
        </w:rPr>
        <w:tab/>
      </w:r>
      <w:r>
        <w:rPr>
          <w:rFonts w:hint="eastAsia" w:ascii="仿宋" w:hAnsi="仿宋" w:eastAsia="仿宋" w:cs="Arial Narrow"/>
          <w:highlight w:val="none"/>
        </w:rPr>
        <w:t>管理制度健全性，是指项目管理制度是否健全，用以反映和考核项目管理制度对项目顺利实施的保障情况。项目实施单位制定了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预算管理制度、收入管理制度、支出管理制度（包含办公费管理、会议费管理、差旅费管理、培训费管理、公务接待管理、用车管理、电话费、水电费管理、基本工程建设和其他项目支出管理、工会经费管理制度）、固定资产管理制度、采购管理制度、票据使用管理制度、财务监督与审计等制度</w:t>
      </w:r>
      <w:r>
        <w:rPr>
          <w:rFonts w:hint="eastAsia" w:ascii="仿宋" w:hAnsi="仿宋" w:eastAsia="仿宋" w:cs="Arial Narrow"/>
          <w:highlight w:val="none"/>
        </w:rPr>
        <w:t>，项目管理制度健全。</w:t>
      </w:r>
    </w:p>
    <w:p w14:paraId="567B7F8D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b.</w:t>
      </w:r>
      <w:r>
        <w:rPr>
          <w:rFonts w:hint="eastAsia" w:ascii="仿宋" w:hAnsi="仿宋" w:eastAsia="仿宋" w:cs="Arial Narrow"/>
          <w:highlight w:val="none"/>
        </w:rPr>
        <w:tab/>
      </w:r>
      <w:r>
        <w:rPr>
          <w:rFonts w:hint="eastAsia" w:ascii="仿宋" w:hAnsi="仿宋" w:eastAsia="仿宋" w:cs="Arial Narrow"/>
          <w:highlight w:val="none"/>
        </w:rPr>
        <w:t>制度执行有效性，是指项目实施是否符合相关项目管理规定，用以反映和考核项目管理制度的有效执行情况。通过查阅项目相关资料以及抽查记账凭证得知，项目实施单位严格执行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项目支出</w:t>
      </w:r>
      <w:r>
        <w:rPr>
          <w:rFonts w:hint="eastAsia" w:ascii="仿宋" w:hAnsi="仿宋" w:eastAsia="仿宋" w:cs="Arial Narrow"/>
          <w:highlight w:val="none"/>
        </w:rPr>
        <w:t>管理制度，重大事项均经过会议决议，审批程序合规。</w:t>
      </w:r>
    </w:p>
    <w:p w14:paraId="1A7AF1CF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c.</w:t>
      </w:r>
      <w:r>
        <w:rPr>
          <w:rFonts w:hint="eastAsia" w:ascii="仿宋" w:hAnsi="仿宋" w:eastAsia="仿宋" w:cs="Arial Narrow"/>
          <w:highlight w:val="none"/>
        </w:rPr>
        <w:tab/>
      </w:r>
      <w:r>
        <w:rPr>
          <w:rFonts w:hint="eastAsia" w:ascii="仿宋" w:hAnsi="仿宋" w:eastAsia="仿宋" w:cs="Arial Narrow"/>
          <w:highlight w:val="none"/>
        </w:rPr>
        <w:t>项目质量可控性，是指项目实施单位是否为达到项目质量要求而采取了必需的措施，用以反映和考核项目实施单位对项目质量的控制情况。通过查看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关于印发</w:t>
      </w:r>
      <w:r>
        <w:rPr>
          <w:rFonts w:hint="eastAsia" w:ascii="仿宋" w:hAnsi="仿宋" w:eastAsia="仿宋" w:cs="Arial Narrow"/>
          <w:highlight w:val="none"/>
        </w:rPr>
        <w:t>《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区行政审批局公文处理实施细则</w:t>
      </w:r>
      <w:r>
        <w:rPr>
          <w:rFonts w:hint="eastAsia" w:ascii="仿宋" w:hAnsi="仿宋" w:eastAsia="仿宋" w:cs="Arial Narrow"/>
          <w:highlight w:val="none"/>
        </w:rPr>
        <w:t>》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等有关制度的通知（武经开行审[2018]23号）</w:t>
      </w:r>
      <w:r>
        <w:rPr>
          <w:rFonts w:hint="eastAsia" w:ascii="仿宋" w:hAnsi="仿宋" w:eastAsia="仿宋" w:cs="Arial Narrow"/>
          <w:highlight w:val="none"/>
        </w:rPr>
        <w:t>、《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2018年度项目支出绩效目标申报表</w:t>
      </w:r>
      <w:r>
        <w:rPr>
          <w:rFonts w:hint="eastAsia" w:ascii="仿宋" w:hAnsi="仿宋" w:eastAsia="仿宋" w:cs="Arial Narrow"/>
          <w:highlight w:val="none"/>
        </w:rPr>
        <w:t>》、《武汉经济技术开发区（汉南区）行政审批局2018年工作总结》等项目相关资料，了解到项目实施单位制度了相应的质量评估办法或质量控制制度，相关资料均整理归档，且保存完整。</w:t>
      </w:r>
    </w:p>
    <w:p w14:paraId="58FA029E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②财务管理（1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0</w:t>
      </w:r>
      <w:r>
        <w:rPr>
          <w:rFonts w:hint="eastAsia" w:ascii="仿宋" w:hAnsi="仿宋" w:eastAsia="仿宋" w:cs="Arial Narrow"/>
          <w:highlight w:val="none"/>
        </w:rPr>
        <w:t>分）</w:t>
      </w:r>
    </w:p>
    <w:p w14:paraId="7B1BF73A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财务管理指标主要评价项目实施单位的财务制度情况，资金使用情况以及财务监控措施的实施情况。该指标主要由财务制度健全性、资金使用合规性、财务监控有效性三个三级指标反映。该项指标评价得分为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9</w:t>
      </w:r>
      <w:r>
        <w:rPr>
          <w:rFonts w:hint="eastAsia" w:ascii="仿宋" w:hAnsi="仿宋" w:eastAsia="仿宋" w:cs="Arial Narrow"/>
          <w:highlight w:val="none"/>
        </w:rPr>
        <w:t>分。</w:t>
      </w:r>
    </w:p>
    <w:p w14:paraId="73B494A4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a.</w:t>
      </w:r>
      <w:r>
        <w:rPr>
          <w:rFonts w:hint="eastAsia" w:ascii="仿宋" w:hAnsi="仿宋" w:eastAsia="仿宋" w:cs="Arial Narrow"/>
          <w:highlight w:val="none"/>
        </w:rPr>
        <w:tab/>
      </w:r>
      <w:r>
        <w:rPr>
          <w:rFonts w:hint="eastAsia" w:ascii="仿宋" w:hAnsi="仿宋" w:eastAsia="仿宋" w:cs="Arial Narrow"/>
          <w:highlight w:val="none"/>
        </w:rPr>
        <w:t>财务制度健全性，是指项目实施单位的资金管理、费用支出等制度是否健全，是否严格执行，会计核算是否规范，用以反映和考核财务管理制度对资金规范、安全运行的保障情况。项目实施单位具有《财务管理办法》，对经费审批程序和各类费用有所规定，其中差旅费的管理是根据《武汉市市级党政机关差旅费管理办法》的规定执行；公务接待费管理是根据按照省、市和区规定的标准内办理公务接待事项；会议经费管理是根据《武汉市市级党政机关会议费管理办法》的规定执行；培训费管理是根据《武汉市市级党政机关会议费管理办法》的规定执行。</w:t>
      </w:r>
    </w:p>
    <w:p w14:paraId="55D941EA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b.资金使用合规性，是指项目实施单位项目资金使用是否符合相关的财务管理制度规定，用以反映和考核项目资金的规范运行情况。通过查阅项目支出凭证，了解到项目支出符合《中华人民共和国会计法》、《行政单位财务制度》等国家财经法规和财务管理制。项目实际支出包括办公费、印刷费、培训费、差旅费、维修维护费、会议费等费用类别，资金使用符合项目合同规定的用途，不存在截留、挤占、挪用、虚列支出等情况。</w:t>
      </w:r>
    </w:p>
    <w:p w14:paraId="3BE1F4F9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c.</w:t>
      </w:r>
      <w:r>
        <w:rPr>
          <w:rFonts w:hint="eastAsia" w:ascii="仿宋" w:hAnsi="仿宋" w:eastAsia="仿宋" w:cs="Arial Narrow"/>
          <w:highlight w:val="none"/>
        </w:rPr>
        <w:tab/>
      </w:r>
      <w:r>
        <w:rPr>
          <w:rFonts w:hint="eastAsia" w:ascii="仿宋" w:hAnsi="仿宋" w:eastAsia="仿宋" w:cs="Arial Narrow"/>
          <w:highlight w:val="none"/>
        </w:rPr>
        <w:t>财务监控有效性，是指项目实施单位是否为保障资金的安全、规范运行而采取了必要的监控措施，用以反映和考核项目实施单位对资金运行的控制情况。项目绩效评价小组通过查阅项目支出凭证，但未形成与监控相关的总结资料可供查证，扣1分。</w:t>
      </w:r>
    </w:p>
    <w:p w14:paraId="5EB53A94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yellow"/>
        </w:rPr>
      </w:pPr>
      <w:r>
        <w:rPr>
          <w:rFonts w:hint="eastAsia" w:ascii="仿宋" w:hAnsi="仿宋" w:eastAsia="仿宋" w:cs="Arial Narrow"/>
          <w:b/>
          <w:bCs/>
          <w:sz w:val="24"/>
          <w:highlight w:val="yellow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3</w:t>
      </w:r>
      <w:r>
        <w:rPr>
          <w:rFonts w:hint="eastAsia" w:ascii="仿宋" w:hAnsi="仿宋" w:eastAsia="仿宋" w:cs="Arial Narrow"/>
          <w:b/>
          <w:bCs/>
          <w:sz w:val="24"/>
          <w:highlight w:val="yellow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项目产出（</w:t>
      </w:r>
      <w:r>
        <w:rPr>
          <w:rFonts w:hint="eastAsia" w:ascii="仿宋" w:hAnsi="仿宋" w:eastAsia="仿宋" w:cs="Arial Narrow"/>
          <w:b/>
          <w:bCs/>
          <w:sz w:val="24"/>
          <w:highlight w:val="yellow"/>
          <w:lang w:val="en-US" w:eastAsia="zh-CN"/>
        </w:rPr>
        <w:t>30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分）</w:t>
      </w:r>
    </w:p>
    <w:p w14:paraId="79C745CD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项目产出方面主要评价项目实施内容的完成情况，包括完成数量、质量以及时效。对于该项的评价，绩效评价工作小组主要采取了卷宗研究、现场访谈等方式进行资料收集、整理和分析，对项目产出涉及的指标进行打分和评价。</w:t>
      </w:r>
      <w:r>
        <w:rPr>
          <w:rFonts w:hint="eastAsia" w:ascii="仿宋" w:hAnsi="仿宋" w:eastAsia="仿宋" w:cs="Arial Narrow"/>
          <w:highlight w:val="yellow"/>
        </w:rPr>
        <w:t>经过综合计分，该指标得分为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30</w:t>
      </w:r>
      <w:r>
        <w:rPr>
          <w:rFonts w:hint="eastAsia" w:ascii="仿宋" w:hAnsi="仿宋" w:eastAsia="仿宋" w:cs="Arial Narrow"/>
          <w:highlight w:val="yellow"/>
        </w:rPr>
        <w:t>分，评价结果为优。</w:t>
      </w:r>
    </w:p>
    <w:p w14:paraId="3EB38138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①数量指标，是指租金成本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不高于</w:t>
      </w:r>
      <w:r>
        <w:rPr>
          <w:rFonts w:hint="eastAsia" w:ascii="仿宋" w:hAnsi="仿宋" w:eastAsia="仿宋" w:cs="Arial Narrow"/>
          <w:highlight w:val="none"/>
        </w:rPr>
        <w:t>562.68万元。</w:t>
      </w:r>
    </w:p>
    <w:p w14:paraId="0962B111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②质量指标，是指政府采购合规。</w:t>
      </w:r>
    </w:p>
    <w:p w14:paraId="4DD5E308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③时效指标，是指项目实际提前完成时间与计划完成时间的比率，用以反映和考核项目产出时效目标的实现程度。</w:t>
      </w:r>
    </w:p>
    <w:p w14:paraId="5A25E7A8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④成本指标，是指项目完成时成本不高于计划支出。通过查看项目预算批复文件和支出明细表以及记账凭证得知，该项目项目到位资金为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582.68万</w:t>
      </w:r>
      <w:r>
        <w:rPr>
          <w:rFonts w:hint="eastAsia" w:ascii="仿宋" w:hAnsi="仿宋" w:eastAsia="仿宋" w:cs="Arial Narrow"/>
          <w:highlight w:val="none"/>
        </w:rPr>
        <w:t>元，实际支出为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582.68万</w:t>
      </w:r>
      <w:r>
        <w:rPr>
          <w:rFonts w:hint="eastAsia" w:ascii="仿宋" w:hAnsi="仿宋" w:eastAsia="仿宋" w:cs="Arial Narrow"/>
          <w:highlight w:val="none"/>
        </w:rPr>
        <w:t>元，资金使用率为100.00%。</w:t>
      </w:r>
    </w:p>
    <w:p w14:paraId="131A56C0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yellow"/>
        </w:rPr>
      </w:pPr>
      <w:r>
        <w:rPr>
          <w:rFonts w:hint="eastAsia" w:ascii="仿宋" w:hAnsi="仿宋" w:eastAsia="仿宋" w:cs="Arial Narrow"/>
          <w:b/>
          <w:bCs/>
          <w:sz w:val="24"/>
          <w:highlight w:val="yellow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4</w:t>
      </w:r>
      <w:r>
        <w:rPr>
          <w:rFonts w:hint="eastAsia" w:ascii="仿宋" w:hAnsi="仿宋" w:eastAsia="仿宋" w:cs="Arial Narrow"/>
          <w:b/>
          <w:bCs/>
          <w:sz w:val="24"/>
          <w:highlight w:val="yellow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项目效果（</w:t>
      </w:r>
      <w:r>
        <w:rPr>
          <w:rFonts w:hint="eastAsia" w:ascii="仿宋" w:hAnsi="仿宋" w:eastAsia="仿宋" w:cs="Arial Narrow"/>
          <w:b/>
          <w:bCs/>
          <w:sz w:val="24"/>
          <w:highlight w:val="yellow"/>
          <w:lang w:val="en-US" w:eastAsia="zh-CN"/>
        </w:rPr>
        <w:t>30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分）</w:t>
      </w:r>
    </w:p>
    <w:bookmarkEnd w:id="66"/>
    <w:bookmarkEnd w:id="67"/>
    <w:bookmarkEnd w:id="68"/>
    <w:bookmarkEnd w:id="69"/>
    <w:bookmarkEnd w:id="70"/>
    <w:p w14:paraId="41C8A072">
      <w:pPr>
        <w:snapToGrid w:val="0"/>
        <w:ind w:firstLine="480"/>
        <w:rPr>
          <w:rFonts w:ascii="仿宋" w:hAnsi="仿宋" w:eastAsia="仿宋" w:cs="Arial Narrow"/>
          <w:highlight w:val="none"/>
        </w:rPr>
      </w:pPr>
      <w:bookmarkStart w:id="72" w:name="_Toc406668051"/>
      <w:bookmarkStart w:id="73" w:name="_Toc361304701"/>
      <w:bookmarkStart w:id="74" w:name="_Toc17932"/>
      <w:bookmarkStart w:id="75" w:name="_Toc361302038"/>
      <w:bookmarkStart w:id="76" w:name="_Toc387957826"/>
      <w:bookmarkStart w:id="77" w:name="_Toc406666377"/>
      <w:bookmarkStart w:id="78" w:name="_Toc14165738"/>
      <w:r>
        <w:rPr>
          <w:rFonts w:hint="eastAsia" w:ascii="仿宋" w:hAnsi="仿宋" w:eastAsia="仿宋" w:cs="Arial Narrow"/>
          <w:highlight w:val="none"/>
        </w:rPr>
        <w:t>项目效果方面主要评价项目实施所产生的经济效益，以及对社会的需求和发展所带来的直接或间接影响，反映项目后续运行及成效发挥的可持续影响情况。对于该项的评价，绩效评价工作小组主要采取了卷宗研究、现场访谈等方式进行资料收集、整理和分析，采集相关信息，对项目效果涉及的指标进行打分和评价。</w:t>
      </w:r>
      <w:r>
        <w:rPr>
          <w:rFonts w:hint="eastAsia" w:ascii="仿宋" w:hAnsi="仿宋" w:eastAsia="仿宋" w:cs="Arial Narrow"/>
          <w:highlight w:val="yellow"/>
        </w:rPr>
        <w:t>满分32分，最后得分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25</w:t>
      </w:r>
      <w:r>
        <w:rPr>
          <w:rFonts w:hint="eastAsia" w:ascii="仿宋" w:hAnsi="仿宋" w:eastAsia="仿宋" w:cs="Arial Narrow"/>
          <w:highlight w:val="yellow"/>
        </w:rPr>
        <w:t>分，评价结果为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优</w:t>
      </w:r>
      <w:r>
        <w:rPr>
          <w:rFonts w:hint="eastAsia" w:ascii="仿宋" w:hAnsi="仿宋" w:eastAsia="仿宋" w:cs="Arial Narrow"/>
          <w:highlight w:val="none"/>
        </w:rPr>
        <w:t>。</w:t>
      </w:r>
    </w:p>
    <w:p w14:paraId="676B8810">
      <w:pPr>
        <w:snapToGrid w:val="0"/>
        <w:ind w:firstLine="480"/>
        <w:rPr>
          <w:rFonts w:hint="default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</w:rPr>
        <w:t>①社会效益指标</w:t>
      </w:r>
      <w:r>
        <w:rPr>
          <w:rFonts w:hint="eastAsia" w:ascii="仿宋" w:hAnsi="仿宋" w:eastAsia="仿宋" w:cs="Arial Narrow"/>
          <w:highlight w:val="none"/>
          <w:lang w:eastAsia="zh-CN"/>
        </w:rPr>
        <w:t>，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是指逐年</w:t>
      </w:r>
      <w:r>
        <w:rPr>
          <w:rFonts w:hint="eastAsia" w:ascii="仿宋" w:hAnsi="仿宋" w:eastAsia="仿宋" w:cs="Arial Narrow"/>
          <w:highlight w:val="none"/>
        </w:rPr>
        <w:t>改善便民利民服务环境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。</w:t>
      </w:r>
    </w:p>
    <w:p w14:paraId="20EA2BB1">
      <w:pPr>
        <w:snapToGrid w:val="0"/>
        <w:ind w:firstLine="480"/>
        <w:rPr>
          <w:rFonts w:hint="default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</w:rPr>
        <w:t>②可持续影响指标</w:t>
      </w:r>
      <w:r>
        <w:rPr>
          <w:rFonts w:hint="eastAsia" w:ascii="仿宋" w:hAnsi="仿宋" w:eastAsia="仿宋" w:cs="Arial Narrow"/>
          <w:highlight w:val="none"/>
          <w:lang w:eastAsia="zh-CN"/>
        </w:rPr>
        <w:t>，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是指机构、人员、制度满足需要，项目经费有保障。</w:t>
      </w:r>
    </w:p>
    <w:p w14:paraId="5B11C9A2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③服务对象满意度指标</w:t>
      </w:r>
      <w:r>
        <w:rPr>
          <w:rFonts w:hint="eastAsia" w:ascii="仿宋" w:hAnsi="仿宋" w:eastAsia="仿宋" w:cs="Arial Narrow"/>
          <w:highlight w:val="none"/>
          <w:lang w:eastAsia="zh-CN"/>
        </w:rPr>
        <w:t>，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是指服务对象满意度</w:t>
      </w:r>
      <w:r>
        <w:rPr>
          <w:rFonts w:hint="eastAsia" w:ascii="仿宋" w:hAnsi="仿宋" w:eastAsia="仿宋" w:cs="Arial Narrow"/>
          <w:highlight w:val="none"/>
        </w:rPr>
        <w:t>。</w:t>
      </w:r>
    </w:p>
    <w:p w14:paraId="094B82CA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79" w:name="_Toc7176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Arial Narrow"/>
          <w:sz w:val="24"/>
          <w:highlight w:val="none"/>
        </w:rPr>
        <w:t>评价结论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Start w:id="80" w:name="_Toc361304702"/>
      <w:bookmarkStart w:id="81" w:name="_Toc361302039"/>
    </w:p>
    <w:bookmarkEnd w:id="80"/>
    <w:bookmarkEnd w:id="81"/>
    <w:p w14:paraId="1DBAE8F2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none"/>
        </w:rPr>
      </w:pP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1</w:t>
      </w: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评分结果</w:t>
      </w:r>
    </w:p>
    <w:p w14:paraId="055DE032">
      <w:pPr>
        <w:snapToGrid w:val="0"/>
        <w:ind w:firstLine="480"/>
        <w:rPr>
          <w:rFonts w:ascii="仿宋" w:hAnsi="仿宋" w:eastAsia="仿宋" w:cs="Arial Narrow"/>
          <w:highlight w:val="none"/>
        </w:rPr>
      </w:pPr>
      <w:bookmarkStart w:id="82" w:name="_Toc361304705"/>
      <w:bookmarkStart w:id="83" w:name="_Toc406666380"/>
      <w:bookmarkStart w:id="84" w:name="_Toc406668054"/>
      <w:bookmarkStart w:id="85" w:name="_Toc387957829"/>
      <w:r>
        <w:rPr>
          <w:rFonts w:hint="eastAsia" w:ascii="仿宋" w:hAnsi="仿宋" w:eastAsia="仿宋" w:cs="Arial Narrow"/>
          <w:highlight w:val="none"/>
        </w:rPr>
        <w:t>武汉经济技术开发区（汉南区）行政审批局“</w:t>
      </w:r>
      <w:r>
        <w:rPr>
          <w:rFonts w:hint="eastAsia" w:ascii="仿宋" w:hAnsi="仿宋" w:eastAsia="仿宋" w:cs="Arial Narrow"/>
          <w:highlight w:val="none"/>
          <w:lang w:eastAsia="zh-CN"/>
        </w:rPr>
        <w:t>市民服务中心大楼租金</w:t>
      </w:r>
      <w:r>
        <w:rPr>
          <w:rFonts w:hint="eastAsia" w:ascii="仿宋" w:hAnsi="仿宋" w:eastAsia="仿宋" w:cs="Arial Narrow"/>
          <w:highlight w:val="none"/>
        </w:rPr>
        <w:t>”项目绩效评价综合得分为9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8</w:t>
      </w:r>
      <w:r>
        <w:rPr>
          <w:rFonts w:hint="eastAsia" w:ascii="仿宋" w:hAnsi="仿宋" w:eastAsia="仿宋" w:cs="Arial Narrow"/>
          <w:highlight w:val="none"/>
        </w:rPr>
        <w:t>分，评价结果为优。</w:t>
      </w:r>
    </w:p>
    <w:p w14:paraId="601A0838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none"/>
        </w:rPr>
      </w:pP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2</w:t>
      </w: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主要结论</w:t>
      </w:r>
    </w:p>
    <w:p w14:paraId="5C02A5E4">
      <w:pPr>
        <w:snapToGrid w:val="0"/>
        <w:ind w:firstLine="480"/>
        <w:rPr>
          <w:rFonts w:ascii="仿宋" w:hAnsi="仿宋" w:eastAsia="仿宋" w:cs="Arial Narrow"/>
          <w:bCs/>
          <w:highlight w:val="none"/>
        </w:rPr>
      </w:pPr>
      <w:bookmarkStart w:id="86" w:name="_Toc14373"/>
      <w:bookmarkStart w:id="87" w:name="_Toc14165739"/>
      <w:r>
        <w:rPr>
          <w:rFonts w:hint="eastAsia" w:ascii="仿宋" w:hAnsi="仿宋" w:eastAsia="仿宋" w:cs="Arial Narrow"/>
          <w:bCs/>
          <w:highlight w:val="none"/>
        </w:rPr>
        <w:t>201</w:t>
      </w: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8</w:t>
      </w:r>
      <w:r>
        <w:rPr>
          <w:rFonts w:hint="eastAsia" w:ascii="仿宋" w:hAnsi="仿宋" w:eastAsia="仿宋" w:cs="Arial Narrow"/>
          <w:bCs/>
          <w:highlight w:val="none"/>
        </w:rPr>
        <w:t>年行政审批局“</w:t>
      </w:r>
      <w:r>
        <w:rPr>
          <w:rFonts w:hint="eastAsia" w:ascii="仿宋" w:hAnsi="仿宋" w:eastAsia="仿宋" w:cs="Arial Narrow"/>
          <w:bCs/>
          <w:highlight w:val="none"/>
          <w:lang w:eastAsia="zh-CN"/>
        </w:rPr>
        <w:t>市民服务中心大楼租金</w:t>
      </w:r>
      <w:r>
        <w:rPr>
          <w:rFonts w:hint="eastAsia" w:ascii="仿宋" w:hAnsi="仿宋" w:eastAsia="仿宋" w:cs="Arial Narrow"/>
          <w:bCs/>
          <w:highlight w:val="none"/>
        </w:rPr>
        <w:t>”项目绩效指标评分结果</w:t>
      </w: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为优</w:t>
      </w:r>
      <w:r>
        <w:rPr>
          <w:rFonts w:hint="eastAsia" w:ascii="仿宋" w:hAnsi="仿宋" w:eastAsia="仿宋" w:cs="Arial Narrow"/>
          <w:bCs/>
          <w:highlight w:val="none"/>
        </w:rPr>
        <w:t>。</w:t>
      </w:r>
    </w:p>
    <w:p w14:paraId="799031CF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</w:pPr>
      <w:bookmarkStart w:id="88" w:name="_Toc26478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（四</w:t>
      </w:r>
      <w:bookmarkEnd w:id="82"/>
      <w:bookmarkEnd w:id="83"/>
      <w:bookmarkEnd w:id="84"/>
      <w:bookmarkEnd w:id="85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）主要经验及做法、存在的问题和建议</w:t>
      </w:r>
      <w:bookmarkEnd w:id="86"/>
      <w:bookmarkEnd w:id="87"/>
      <w:bookmarkEnd w:id="88"/>
    </w:p>
    <w:p w14:paraId="2EAAF12F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  <w:lang w:val="en-US" w:eastAsia="zh-CN"/>
        </w:rPr>
      </w:pPr>
      <w:bookmarkStart w:id="89" w:name="_Toc361304706"/>
      <w:bookmarkStart w:id="90" w:name="_Toc406668055"/>
      <w:bookmarkStart w:id="91" w:name="_Toc406666381"/>
      <w:bookmarkStart w:id="92" w:name="_Toc14165740"/>
      <w:bookmarkStart w:id="93" w:name="_Toc27928"/>
      <w:bookmarkStart w:id="94" w:name="_Toc387957830"/>
      <w:bookmarkStart w:id="95" w:name="_Toc28605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1、主要经验及做法</w:t>
      </w:r>
      <w:bookmarkEnd w:id="89"/>
      <w:bookmarkEnd w:id="90"/>
      <w:bookmarkEnd w:id="91"/>
      <w:bookmarkEnd w:id="92"/>
      <w:bookmarkEnd w:id="93"/>
      <w:bookmarkEnd w:id="94"/>
      <w:bookmarkEnd w:id="95"/>
    </w:p>
    <w:p w14:paraId="5D43AA33">
      <w:pPr>
        <w:snapToGrid w:val="0"/>
        <w:ind w:firstLine="480"/>
        <w:rPr>
          <w:rFonts w:hint="eastAsia"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通过绩效评价，发现项目实施中的一些经验及做法值得关注与推广，具体如下：</w:t>
      </w:r>
    </w:p>
    <w:p w14:paraId="00C1EEDE">
      <w:pPr>
        <w:snapToGrid w:val="0"/>
        <w:ind w:firstLine="480"/>
        <w:rPr>
          <w:rFonts w:hint="eastAsia"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highlight w:val="none"/>
        </w:rPr>
        <w:t>1</w:t>
      </w:r>
      <w:r>
        <w:rPr>
          <w:rFonts w:hint="eastAsia" w:ascii="仿宋" w:hAnsi="仿宋" w:eastAsia="仿宋" w:cs="Arial Narrow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highlight w:val="none"/>
        </w:rPr>
        <w:t>深化行政审批综合改革，推进政府职能进一步转变。</w:t>
      </w:r>
    </w:p>
    <w:p w14:paraId="184F04DC">
      <w:pPr>
        <w:snapToGrid w:val="0"/>
        <w:ind w:firstLine="480"/>
        <w:rPr>
          <w:rFonts w:hint="eastAsia"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highlight w:val="none"/>
        </w:rPr>
        <w:t>2</w:t>
      </w:r>
      <w:r>
        <w:rPr>
          <w:rFonts w:hint="eastAsia" w:ascii="仿宋" w:hAnsi="仿宋" w:eastAsia="仿宋" w:cs="Arial Narrow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highlight w:val="none"/>
        </w:rPr>
        <w:t>创新政务服务运行模式，营造高效便捷政务服务环境。</w:t>
      </w:r>
    </w:p>
    <w:p w14:paraId="136C4E6E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highlight w:val="none"/>
        </w:rPr>
        <w:t>3</w:t>
      </w:r>
      <w:r>
        <w:rPr>
          <w:rFonts w:hint="eastAsia" w:ascii="仿宋" w:hAnsi="仿宋" w:eastAsia="仿宋" w:cs="Arial Narrow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highlight w:val="none"/>
        </w:rPr>
        <w:t>坚持统筹兼顾，有序推进各项工作科学发展。。</w:t>
      </w:r>
    </w:p>
    <w:p w14:paraId="28F402D3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default" w:ascii="仿宋" w:hAnsi="仿宋" w:eastAsia="仿宋" w:cs="Arial Narrow"/>
          <w:sz w:val="24"/>
          <w:highlight w:val="none"/>
          <w:lang w:val="en-US" w:eastAsia="zh-CN"/>
        </w:rPr>
      </w:pPr>
      <w:bookmarkStart w:id="96" w:name="_Toc406666382"/>
      <w:bookmarkStart w:id="97" w:name="_Toc406668056"/>
      <w:bookmarkStart w:id="98" w:name="_Toc16696"/>
      <w:bookmarkStart w:id="99" w:name="_Toc23359"/>
      <w:bookmarkStart w:id="100" w:name="_Toc14165741"/>
      <w:bookmarkStart w:id="101" w:name="_Toc387957833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2、存在的问题</w:t>
      </w:r>
      <w:bookmarkEnd w:id="96"/>
      <w:bookmarkEnd w:id="97"/>
      <w:bookmarkEnd w:id="98"/>
      <w:bookmarkEnd w:id="99"/>
      <w:bookmarkEnd w:id="100"/>
    </w:p>
    <w:p w14:paraId="67C72B85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无</w:t>
      </w:r>
      <w:r>
        <w:rPr>
          <w:rFonts w:hint="eastAsia" w:ascii="仿宋" w:hAnsi="仿宋" w:eastAsia="仿宋" w:cs="Arial Narrow"/>
          <w:highlight w:val="none"/>
        </w:rPr>
        <w:t>。</w:t>
      </w:r>
    </w:p>
    <w:p w14:paraId="73D9E629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  <w:lang w:val="en-US" w:eastAsia="zh-CN"/>
        </w:rPr>
      </w:pPr>
      <w:bookmarkStart w:id="102" w:name="_Toc14165742"/>
      <w:bookmarkStart w:id="103" w:name="_Toc32665"/>
      <w:bookmarkStart w:id="104" w:name="_Toc28128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3、建议</w:t>
      </w:r>
      <w:bookmarkEnd w:id="101"/>
      <w:bookmarkEnd w:id="102"/>
      <w:bookmarkEnd w:id="103"/>
      <w:bookmarkEnd w:id="104"/>
      <w:bookmarkStart w:id="105" w:name="_Toc387957834"/>
    </w:p>
    <w:p w14:paraId="54844CDD">
      <w:pPr>
        <w:snapToGrid w:val="0"/>
        <w:ind w:firstLine="480"/>
        <w:rPr>
          <w:rFonts w:ascii="仿宋" w:hAnsi="仿宋" w:eastAsia="仿宋" w:cs="Arial Narrow"/>
          <w:highlight w:val="none"/>
        </w:rPr>
      </w:pPr>
      <w:bookmarkStart w:id="106" w:name="_Toc14165743"/>
      <w:bookmarkStart w:id="107" w:name="_Toc16725"/>
      <w:bookmarkStart w:id="108" w:name="_Toc9981"/>
      <w:r>
        <w:rPr>
          <w:rFonts w:hint="eastAsia" w:ascii="仿宋" w:hAnsi="仿宋" w:eastAsia="仿宋" w:cs="Arial Narrow"/>
          <w:highlight w:val="none"/>
          <w:lang w:val="en-US" w:eastAsia="zh-CN"/>
        </w:rPr>
        <w:t>广泛深入调研，事前了解项目推进可能存在的问题，并据此估计测算所需资金和人员配备等因素，形成调研报告，进一步拟定内容全面、步骤明确的的实施方案</w:t>
      </w:r>
      <w:r>
        <w:rPr>
          <w:rFonts w:hint="eastAsia" w:ascii="仿宋" w:hAnsi="仿宋" w:eastAsia="仿宋" w:cs="Arial Narrow"/>
          <w:highlight w:val="none"/>
        </w:rPr>
        <w:t>。</w:t>
      </w:r>
    </w:p>
    <w:p w14:paraId="59386DF8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（五）其他需说明的问题</w:t>
      </w:r>
      <w:bookmarkEnd w:id="106"/>
      <w:bookmarkEnd w:id="107"/>
      <w:bookmarkEnd w:id="108"/>
    </w:p>
    <w:bookmarkEnd w:id="105"/>
    <w:p w14:paraId="446DE32F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109" w:name="_Toc1397"/>
      <w:bookmarkStart w:id="110" w:name="_Toc14165744"/>
      <w:bookmarkStart w:id="111" w:name="_Toc387957836"/>
      <w:bookmarkStart w:id="112" w:name="_Toc406668061"/>
      <w:bookmarkStart w:id="113" w:name="_Toc5673"/>
      <w:bookmarkStart w:id="114" w:name="_Toc406666387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1、</w:t>
      </w:r>
      <w:r>
        <w:rPr>
          <w:rFonts w:hint="eastAsia" w:ascii="仿宋" w:hAnsi="仿宋" w:eastAsia="仿宋" w:cs="Arial Narrow"/>
          <w:sz w:val="24"/>
          <w:highlight w:val="none"/>
        </w:rPr>
        <w:t>关于评价责任的说明</w:t>
      </w:r>
      <w:bookmarkEnd w:id="109"/>
      <w:bookmarkEnd w:id="110"/>
    </w:p>
    <w:p w14:paraId="48A021AC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本评价结果依据评价客体提供的各项基础资料，运用规定的评价方法，评价工作组保证本次评价工作全过程的公正和公平，各项评价基础资料的真实性与完整性由评价客体负责，未经评价组织机构同意，任何单位和个人不得将本评价结果对外公布。</w:t>
      </w:r>
    </w:p>
    <w:p w14:paraId="788447CA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115" w:name="_Toc14165745"/>
      <w:bookmarkStart w:id="116" w:name="_Toc7182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Arial Narrow"/>
          <w:sz w:val="24"/>
          <w:highlight w:val="none"/>
        </w:rPr>
        <w:t>关于本项目评价中存在的局限性的说明</w:t>
      </w:r>
      <w:bookmarkEnd w:id="115"/>
      <w:bookmarkEnd w:id="116"/>
    </w:p>
    <w:p w14:paraId="03C24B77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highlight w:val="none"/>
        </w:rPr>
        <w:t>1</w:t>
      </w:r>
      <w:r>
        <w:rPr>
          <w:rFonts w:hint="eastAsia" w:ascii="仿宋" w:hAnsi="仿宋" w:eastAsia="仿宋" w:cs="Arial Narrow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highlight w:val="none"/>
        </w:rPr>
        <w:t>评价结论是湖北正大会计师事务有限责任公司出具的，受具体参加本次项目的评价人员的水平和能力的限制。鉴于这种评价工作存在资料的有限性和调查、分析、判断的局限性，评价结论无法考虑影响资金使用的所有因素，评价结论存在一定的局限性。</w:t>
      </w:r>
    </w:p>
    <w:p w14:paraId="5985466F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highlight w:val="none"/>
        </w:rPr>
        <w:t>2</w:t>
      </w:r>
      <w:r>
        <w:rPr>
          <w:rFonts w:hint="eastAsia" w:ascii="仿宋" w:hAnsi="仿宋" w:eastAsia="仿宋" w:cs="Arial Narrow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highlight w:val="none"/>
        </w:rPr>
        <w:t>本项目是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非</w:t>
      </w:r>
      <w:r>
        <w:rPr>
          <w:rFonts w:hint="eastAsia" w:ascii="仿宋" w:hAnsi="仿宋" w:eastAsia="仿宋" w:cs="Arial Narrow"/>
          <w:highlight w:val="none"/>
        </w:rPr>
        <w:t>经常性的资金使用项目，而且专业性较强。受具体参加本次项目的评价人员的专业能力的影响，对专业指标设定的全面性可能存在一定的局限性。</w:t>
      </w:r>
    </w:p>
    <w:p w14:paraId="45F269AF">
      <w:pPr>
        <w:snapToGrid w:val="0"/>
        <w:ind w:firstLine="480"/>
        <w:rPr>
          <w:rFonts w:ascii="仿宋" w:hAnsi="仿宋" w:eastAsia="仿宋" w:cs="Arial Narrow"/>
          <w:highlight w:val="none"/>
        </w:rPr>
      </w:pPr>
    </w:p>
    <w:p w14:paraId="6DD06FFA">
      <w:pPr>
        <w:snapToGrid w:val="0"/>
        <w:ind w:firstLine="482"/>
        <w:rPr>
          <w:rFonts w:ascii="仿宋" w:hAnsi="仿宋" w:eastAsia="仿宋" w:cs="Arial Narrow"/>
          <w:b/>
          <w:bCs/>
          <w:highlight w:val="none"/>
        </w:rPr>
      </w:pPr>
    </w:p>
    <w:p w14:paraId="27075222">
      <w:pPr>
        <w:snapToGrid w:val="0"/>
        <w:ind w:firstLine="0" w:firstLineChars="0"/>
        <w:rPr>
          <w:rFonts w:ascii="仿宋" w:hAnsi="仿宋" w:eastAsia="仿宋" w:cs="Arial Narrow"/>
          <w:highlight w:val="none"/>
        </w:rPr>
      </w:pPr>
      <w:r>
        <w:rPr>
          <w:rFonts w:ascii="仿宋" w:hAnsi="仿宋" w:eastAsia="仿宋" w:cs="Arial Narrow"/>
          <w:b/>
          <w:bCs/>
          <w:highlight w:val="none"/>
        </w:rPr>
        <w:t>附件</w:t>
      </w:r>
      <w:bookmarkEnd w:id="111"/>
      <w:r>
        <w:rPr>
          <w:rFonts w:ascii="仿宋" w:hAnsi="仿宋" w:eastAsia="仿宋" w:cs="Arial Narrow"/>
          <w:b/>
          <w:bCs/>
          <w:highlight w:val="none"/>
        </w:rPr>
        <w:t>：</w:t>
      </w:r>
      <w:bookmarkEnd w:id="112"/>
      <w:bookmarkEnd w:id="113"/>
      <w:bookmarkEnd w:id="114"/>
    </w:p>
    <w:p w14:paraId="0C331443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ascii="仿宋" w:hAnsi="仿宋" w:eastAsia="仿宋" w:cs="Arial Narrow"/>
          <w:highlight w:val="none"/>
        </w:rPr>
        <w:t>1：项目绩效评价评分表</w:t>
      </w:r>
      <w:r>
        <w:rPr>
          <w:rFonts w:hint="eastAsia" w:ascii="仿宋" w:hAnsi="仿宋" w:eastAsia="仿宋" w:cs="Arial Narrow"/>
          <w:highlight w:val="none"/>
        </w:rPr>
        <w:t>及说明</w:t>
      </w:r>
    </w:p>
    <w:p w14:paraId="7D4551ED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2：评价机构营业执照（复印件）</w:t>
      </w:r>
    </w:p>
    <w:p w14:paraId="7D097113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3：相关评价人员执业证明文件（复印件）</w:t>
      </w:r>
    </w:p>
    <w:p w14:paraId="192F0B34">
      <w:pPr>
        <w:snapToGrid w:val="0"/>
        <w:ind w:firstLine="480"/>
        <w:rPr>
          <w:rFonts w:ascii="仿宋" w:hAnsi="仿宋" w:eastAsia="仿宋" w:cs="Arial Narrow"/>
          <w:highlight w:val="none"/>
        </w:rPr>
      </w:pPr>
    </w:p>
    <w:p w14:paraId="19D59F51">
      <w:pPr>
        <w:snapToGrid w:val="0"/>
        <w:ind w:firstLine="480"/>
        <w:jc w:val="righ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湖北正大会计师事务有限责任公司</w:t>
      </w:r>
    </w:p>
    <w:p w14:paraId="58299A1D">
      <w:pPr>
        <w:snapToGrid w:val="0"/>
        <w:ind w:firstLine="480"/>
        <w:jc w:val="righ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2019年7月30日</w:t>
      </w:r>
    </w:p>
    <w:sectPr>
      <w:headerReference r:id="rId11" w:type="default"/>
      <w:footerReference r:id="rId12" w:type="default"/>
      <w:pgSz w:w="11906" w:h="16838"/>
      <w:pgMar w:top="1440" w:right="1406" w:bottom="1089" w:left="1800" w:header="1134" w:footer="1134" w:gutter="0"/>
      <w:pgNumType w:start="1"/>
      <w:cols w:space="720" w:num="1"/>
      <w:docGrid w:type="lines" w:linePitch="408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BC0303">
    <w:pPr>
      <w:pStyle w:val="1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59B94F">
    <w:pPr>
      <w:pStyle w:val="1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4FE153">
    <w:pPr>
      <w:ind w:firstLine="480"/>
    </w:pPr>
    <w:r>
      <w:cr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6C4F2F">
    <w:pPr>
      <w:pStyle w:val="13"/>
      <w:framePr w:wrap="around" w:vAnchor="text" w:hAnchor="margin" w:xAlign="center" w:y="1"/>
      <w:ind w:firstLine="210" w:firstLineChars="100"/>
      <w:jc w:val="center"/>
      <w:rPr>
        <w:rStyle w:val="25"/>
        <w:rFonts w:ascii="Arial Narrow" w:hAnsi="Arial Narrow" w:eastAsia="宋体"/>
        <w:sz w:val="21"/>
        <w:szCs w:val="21"/>
      </w:rPr>
    </w:pPr>
    <w:r>
      <w:rPr>
        <w:rFonts w:ascii="Arial Narrow" w:hAnsi="Arial Narrow"/>
        <w:sz w:val="21"/>
        <w:szCs w:val="21"/>
      </w:rPr>
      <w:fldChar w:fldCharType="begin"/>
    </w:r>
    <w:r>
      <w:rPr>
        <w:rFonts w:ascii="Arial Narrow" w:hAnsi="Arial Narrow"/>
        <w:sz w:val="21"/>
        <w:szCs w:val="21"/>
      </w:rPr>
      <w:instrText xml:space="preserve"> PAGE </w:instrText>
    </w:r>
    <w:r>
      <w:rPr>
        <w:rFonts w:ascii="Arial Narrow" w:hAnsi="Arial Narrow"/>
        <w:sz w:val="21"/>
        <w:szCs w:val="21"/>
      </w:rPr>
      <w:fldChar w:fldCharType="separate"/>
    </w:r>
    <w:r>
      <w:rPr>
        <w:rFonts w:ascii="Arial Narrow" w:hAnsi="Arial Narrow"/>
        <w:sz w:val="21"/>
        <w:szCs w:val="21"/>
      </w:rPr>
      <w:t>9</w:t>
    </w:r>
    <w:r>
      <w:rPr>
        <w:rFonts w:ascii="Arial Narrow" w:hAnsi="Arial Narrow"/>
        <w:sz w:val="21"/>
        <w:szCs w:val="21"/>
      </w:rPr>
      <w:fldChar w:fldCharType="end"/>
    </w:r>
  </w:p>
  <w:p w14:paraId="02F1D3D3">
    <w:pPr>
      <w:pStyle w:val="1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DF95C1">
    <w:pPr>
      <w:pStyle w:val="14"/>
      <w:pBdr>
        <w:bottom w:val="none" w:color="auto" w:sz="0" w:space="0"/>
      </w:pBdr>
      <w:ind w:firstLine="360"/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9DE64C">
    <w:pPr>
      <w:pStyle w:val="1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DF776">
    <w:pPr>
      <w:pStyle w:val="14"/>
      <w:ind w:firstLine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92B320">
    <w:pPr>
      <w:pStyle w:val="14"/>
      <w:pBdr>
        <w:bottom w:val="none" w:color="auto" w:sz="0" w:space="0"/>
      </w:pBdr>
      <w:ind w:firstLine="0" w:firstLineChars="0"/>
      <w:jc w:val="both"/>
    </w:pPr>
    <w:r>
      <w:rPr>
        <w:rFonts w:ascii="Calibri" w:hAnsi="Calibri" w:eastAsia="黑体" w:cs="黑体"/>
        <w:b/>
        <w:sz w:val="14"/>
        <w:szCs w:val="14"/>
      </w:rPr>
      <w:pict>
        <v:rect id="文本框 26" o:spid="_x0000_s4097" o:spt="1" style="position:absolute;left:0pt;margin-left:359.05pt;margin-top:39.95pt;height:74.45pt;width:150.15pt;mso-position-horizontal-relative:page;mso-position-vertical-relative:page;z-index:251659264;mso-width-relative:page;mso-height-relative:page;" filled="f" stroked="f" coordsize="21600,21600">
          <v:path/>
          <v:fill on="f" focussize="0,0"/>
          <v:stroke on="f"/>
          <v:imagedata o:title=""/>
          <o:lock v:ext="edit"/>
          <v:textbox>
            <w:txbxContent>
              <w:p w14:paraId="793E9434">
                <w:pPr>
                  <w:ind w:firstLine="280"/>
                  <w:rPr>
                    <w:rFonts w:ascii="Arial Narrow" w:hAnsi="Arial Narrow" w:eastAsia="黑体" w:cs="Arial Narrow"/>
                    <w:sz w:val="14"/>
                    <w:szCs w:val="14"/>
                  </w:rPr>
                </w:pPr>
              </w:p>
            </w:txbxContent>
          </v:textbox>
        </v:rect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20"/>
  <w:drawingGridVerticalSpacing w:val="204"/>
  <w:displayHorizontalDrawingGridEvery w:val="1"/>
  <w:displayVerticalDrawingGridEvery w:val="1"/>
  <w:noPunctuationKerning w:val="1"/>
  <w:characterSpacingControl w:val="compressPunctuation"/>
  <w:doNotValidateAgainstSchema/>
  <w:doNotDemarcateInvalidXml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02A69"/>
    <w:rsid w:val="000107B2"/>
    <w:rsid w:val="00011E0B"/>
    <w:rsid w:val="00012B09"/>
    <w:rsid w:val="00012B47"/>
    <w:rsid w:val="000153F5"/>
    <w:rsid w:val="00016011"/>
    <w:rsid w:val="000225A4"/>
    <w:rsid w:val="000231B2"/>
    <w:rsid w:val="000235EA"/>
    <w:rsid w:val="0002369C"/>
    <w:rsid w:val="00027617"/>
    <w:rsid w:val="00030459"/>
    <w:rsid w:val="00034CB1"/>
    <w:rsid w:val="00037160"/>
    <w:rsid w:val="00037FDA"/>
    <w:rsid w:val="00041931"/>
    <w:rsid w:val="000435FD"/>
    <w:rsid w:val="00051092"/>
    <w:rsid w:val="0005129C"/>
    <w:rsid w:val="0005263F"/>
    <w:rsid w:val="000578E1"/>
    <w:rsid w:val="00057BBE"/>
    <w:rsid w:val="00060B99"/>
    <w:rsid w:val="000647BB"/>
    <w:rsid w:val="00065443"/>
    <w:rsid w:val="00070099"/>
    <w:rsid w:val="0007044D"/>
    <w:rsid w:val="00071B04"/>
    <w:rsid w:val="00071C74"/>
    <w:rsid w:val="00082AA1"/>
    <w:rsid w:val="000839C4"/>
    <w:rsid w:val="00083F0C"/>
    <w:rsid w:val="000850E9"/>
    <w:rsid w:val="0008556C"/>
    <w:rsid w:val="00086B6B"/>
    <w:rsid w:val="00092652"/>
    <w:rsid w:val="00092834"/>
    <w:rsid w:val="00095860"/>
    <w:rsid w:val="00097F61"/>
    <w:rsid w:val="000A2B58"/>
    <w:rsid w:val="000A38CF"/>
    <w:rsid w:val="000B0707"/>
    <w:rsid w:val="000B351B"/>
    <w:rsid w:val="000C0AC8"/>
    <w:rsid w:val="000C2C67"/>
    <w:rsid w:val="000C4653"/>
    <w:rsid w:val="000C4C40"/>
    <w:rsid w:val="000C7932"/>
    <w:rsid w:val="000C793B"/>
    <w:rsid w:val="000D124B"/>
    <w:rsid w:val="000D1F28"/>
    <w:rsid w:val="000D264B"/>
    <w:rsid w:val="000D32E5"/>
    <w:rsid w:val="000D34A6"/>
    <w:rsid w:val="000D353C"/>
    <w:rsid w:val="000D37BE"/>
    <w:rsid w:val="000D50DC"/>
    <w:rsid w:val="000D5CCA"/>
    <w:rsid w:val="000D7608"/>
    <w:rsid w:val="000E16BD"/>
    <w:rsid w:val="000E1A4F"/>
    <w:rsid w:val="000E3E46"/>
    <w:rsid w:val="000E5026"/>
    <w:rsid w:val="000E5B9F"/>
    <w:rsid w:val="000F1F5E"/>
    <w:rsid w:val="000F2AE1"/>
    <w:rsid w:val="000F482F"/>
    <w:rsid w:val="00101AA1"/>
    <w:rsid w:val="0010488B"/>
    <w:rsid w:val="00107C77"/>
    <w:rsid w:val="00107E2F"/>
    <w:rsid w:val="00115891"/>
    <w:rsid w:val="00117519"/>
    <w:rsid w:val="001247D7"/>
    <w:rsid w:val="001315B8"/>
    <w:rsid w:val="001346FF"/>
    <w:rsid w:val="00134F95"/>
    <w:rsid w:val="001373D3"/>
    <w:rsid w:val="001405F7"/>
    <w:rsid w:val="00142BA0"/>
    <w:rsid w:val="00143DA4"/>
    <w:rsid w:val="001441F8"/>
    <w:rsid w:val="00144210"/>
    <w:rsid w:val="0014542F"/>
    <w:rsid w:val="00146219"/>
    <w:rsid w:val="00147E31"/>
    <w:rsid w:val="00152FB6"/>
    <w:rsid w:val="001542F3"/>
    <w:rsid w:val="001548CF"/>
    <w:rsid w:val="00156601"/>
    <w:rsid w:val="00157614"/>
    <w:rsid w:val="0016074D"/>
    <w:rsid w:val="00164900"/>
    <w:rsid w:val="001676D8"/>
    <w:rsid w:val="00172A27"/>
    <w:rsid w:val="00173694"/>
    <w:rsid w:val="0017597C"/>
    <w:rsid w:val="0018053D"/>
    <w:rsid w:val="00180C97"/>
    <w:rsid w:val="00180E5E"/>
    <w:rsid w:val="00182EEA"/>
    <w:rsid w:val="0018363A"/>
    <w:rsid w:val="001871E1"/>
    <w:rsid w:val="001907A0"/>
    <w:rsid w:val="001907BC"/>
    <w:rsid w:val="0019172C"/>
    <w:rsid w:val="00191C51"/>
    <w:rsid w:val="00191FE0"/>
    <w:rsid w:val="00197977"/>
    <w:rsid w:val="001A02C6"/>
    <w:rsid w:val="001A4611"/>
    <w:rsid w:val="001A6E1D"/>
    <w:rsid w:val="001A7035"/>
    <w:rsid w:val="001A71D3"/>
    <w:rsid w:val="001A7BCC"/>
    <w:rsid w:val="001B156C"/>
    <w:rsid w:val="001B206F"/>
    <w:rsid w:val="001B2C2B"/>
    <w:rsid w:val="001B564E"/>
    <w:rsid w:val="001C1AB0"/>
    <w:rsid w:val="001C4A11"/>
    <w:rsid w:val="001C6498"/>
    <w:rsid w:val="001C7FC5"/>
    <w:rsid w:val="001D2B8D"/>
    <w:rsid w:val="001D4085"/>
    <w:rsid w:val="001D50A9"/>
    <w:rsid w:val="001E1192"/>
    <w:rsid w:val="001E3766"/>
    <w:rsid w:val="001E4DD7"/>
    <w:rsid w:val="001E57AC"/>
    <w:rsid w:val="001E63EB"/>
    <w:rsid w:val="001E73FF"/>
    <w:rsid w:val="001F0DE7"/>
    <w:rsid w:val="001F3D0C"/>
    <w:rsid w:val="001F50AE"/>
    <w:rsid w:val="00203E55"/>
    <w:rsid w:val="00205C9D"/>
    <w:rsid w:val="002060DB"/>
    <w:rsid w:val="00206B01"/>
    <w:rsid w:val="00206B46"/>
    <w:rsid w:val="0020706B"/>
    <w:rsid w:val="00214270"/>
    <w:rsid w:val="00214BA4"/>
    <w:rsid w:val="00217BE1"/>
    <w:rsid w:val="00220AE1"/>
    <w:rsid w:val="00226CA1"/>
    <w:rsid w:val="00227F82"/>
    <w:rsid w:val="00232250"/>
    <w:rsid w:val="002331CD"/>
    <w:rsid w:val="00242395"/>
    <w:rsid w:val="00242589"/>
    <w:rsid w:val="00243172"/>
    <w:rsid w:val="00243D70"/>
    <w:rsid w:val="00244813"/>
    <w:rsid w:val="0024753B"/>
    <w:rsid w:val="0024762E"/>
    <w:rsid w:val="00247BA5"/>
    <w:rsid w:val="00251B7B"/>
    <w:rsid w:val="002520DB"/>
    <w:rsid w:val="002604FB"/>
    <w:rsid w:val="002612E9"/>
    <w:rsid w:val="00263172"/>
    <w:rsid w:val="00263E33"/>
    <w:rsid w:val="00263E5D"/>
    <w:rsid w:val="00264E80"/>
    <w:rsid w:val="00267DA6"/>
    <w:rsid w:val="002706C6"/>
    <w:rsid w:val="00272407"/>
    <w:rsid w:val="00273665"/>
    <w:rsid w:val="0027412C"/>
    <w:rsid w:val="00275D0D"/>
    <w:rsid w:val="00280B02"/>
    <w:rsid w:val="0028633D"/>
    <w:rsid w:val="0028764F"/>
    <w:rsid w:val="00287DEB"/>
    <w:rsid w:val="0029106A"/>
    <w:rsid w:val="002911A7"/>
    <w:rsid w:val="00291951"/>
    <w:rsid w:val="002933BC"/>
    <w:rsid w:val="002953EE"/>
    <w:rsid w:val="002A0822"/>
    <w:rsid w:val="002A0862"/>
    <w:rsid w:val="002A3B59"/>
    <w:rsid w:val="002A731C"/>
    <w:rsid w:val="002A7693"/>
    <w:rsid w:val="002B49DE"/>
    <w:rsid w:val="002B55AD"/>
    <w:rsid w:val="002B60B2"/>
    <w:rsid w:val="002C012C"/>
    <w:rsid w:val="002C05DC"/>
    <w:rsid w:val="002C21EB"/>
    <w:rsid w:val="002C439E"/>
    <w:rsid w:val="002C5757"/>
    <w:rsid w:val="002C5D77"/>
    <w:rsid w:val="002D1D84"/>
    <w:rsid w:val="002E11FA"/>
    <w:rsid w:val="002E21D6"/>
    <w:rsid w:val="002F1C3F"/>
    <w:rsid w:val="002F44AB"/>
    <w:rsid w:val="002F7973"/>
    <w:rsid w:val="00307693"/>
    <w:rsid w:val="0031024E"/>
    <w:rsid w:val="00312F11"/>
    <w:rsid w:val="003132F6"/>
    <w:rsid w:val="00315407"/>
    <w:rsid w:val="0031645A"/>
    <w:rsid w:val="00322C3A"/>
    <w:rsid w:val="0032760C"/>
    <w:rsid w:val="003313C3"/>
    <w:rsid w:val="00333EE7"/>
    <w:rsid w:val="003363C3"/>
    <w:rsid w:val="0034018A"/>
    <w:rsid w:val="00343216"/>
    <w:rsid w:val="00344CC3"/>
    <w:rsid w:val="0034515E"/>
    <w:rsid w:val="00347FD1"/>
    <w:rsid w:val="003506E6"/>
    <w:rsid w:val="00352DF8"/>
    <w:rsid w:val="00356E00"/>
    <w:rsid w:val="0036466F"/>
    <w:rsid w:val="0036740B"/>
    <w:rsid w:val="003712A9"/>
    <w:rsid w:val="00372944"/>
    <w:rsid w:val="00374FFF"/>
    <w:rsid w:val="003750CC"/>
    <w:rsid w:val="0037593E"/>
    <w:rsid w:val="00376DC7"/>
    <w:rsid w:val="0038083D"/>
    <w:rsid w:val="00384B54"/>
    <w:rsid w:val="00387964"/>
    <w:rsid w:val="0039007B"/>
    <w:rsid w:val="00390399"/>
    <w:rsid w:val="0039079D"/>
    <w:rsid w:val="003919EC"/>
    <w:rsid w:val="003920BE"/>
    <w:rsid w:val="0039236F"/>
    <w:rsid w:val="00392AA2"/>
    <w:rsid w:val="00392F5E"/>
    <w:rsid w:val="00394FAF"/>
    <w:rsid w:val="0039690B"/>
    <w:rsid w:val="003A377A"/>
    <w:rsid w:val="003B1278"/>
    <w:rsid w:val="003C00A3"/>
    <w:rsid w:val="003C047C"/>
    <w:rsid w:val="003C0622"/>
    <w:rsid w:val="003C10E7"/>
    <w:rsid w:val="003C49E8"/>
    <w:rsid w:val="003C5736"/>
    <w:rsid w:val="003D37E8"/>
    <w:rsid w:val="003D3CD8"/>
    <w:rsid w:val="003D5E40"/>
    <w:rsid w:val="003D6BE5"/>
    <w:rsid w:val="003D7EF3"/>
    <w:rsid w:val="003D7FF0"/>
    <w:rsid w:val="003E16C4"/>
    <w:rsid w:val="003E2919"/>
    <w:rsid w:val="003E3C53"/>
    <w:rsid w:val="003E6369"/>
    <w:rsid w:val="003E68B6"/>
    <w:rsid w:val="003F0641"/>
    <w:rsid w:val="003F2581"/>
    <w:rsid w:val="003F3003"/>
    <w:rsid w:val="003F4A08"/>
    <w:rsid w:val="003F640B"/>
    <w:rsid w:val="003F78E3"/>
    <w:rsid w:val="004016BF"/>
    <w:rsid w:val="00402380"/>
    <w:rsid w:val="0040727E"/>
    <w:rsid w:val="00407F86"/>
    <w:rsid w:val="004102C2"/>
    <w:rsid w:val="00412C52"/>
    <w:rsid w:val="0041356F"/>
    <w:rsid w:val="00414470"/>
    <w:rsid w:val="004156F2"/>
    <w:rsid w:val="0041689F"/>
    <w:rsid w:val="00417F32"/>
    <w:rsid w:val="0042114C"/>
    <w:rsid w:val="0042187B"/>
    <w:rsid w:val="00424A8D"/>
    <w:rsid w:val="004250AA"/>
    <w:rsid w:val="004251FE"/>
    <w:rsid w:val="00432769"/>
    <w:rsid w:val="00436630"/>
    <w:rsid w:val="00436685"/>
    <w:rsid w:val="00436978"/>
    <w:rsid w:val="00437ABF"/>
    <w:rsid w:val="004406CE"/>
    <w:rsid w:val="004416B6"/>
    <w:rsid w:val="00444C92"/>
    <w:rsid w:val="00444F7A"/>
    <w:rsid w:val="00446C56"/>
    <w:rsid w:val="00446E9B"/>
    <w:rsid w:val="00447CE1"/>
    <w:rsid w:val="00461176"/>
    <w:rsid w:val="00461419"/>
    <w:rsid w:val="004637D6"/>
    <w:rsid w:val="00465728"/>
    <w:rsid w:val="004720AA"/>
    <w:rsid w:val="0047247F"/>
    <w:rsid w:val="00473A77"/>
    <w:rsid w:val="00475D0F"/>
    <w:rsid w:val="00477022"/>
    <w:rsid w:val="0049123B"/>
    <w:rsid w:val="00496736"/>
    <w:rsid w:val="00497DCD"/>
    <w:rsid w:val="004A4024"/>
    <w:rsid w:val="004A4C34"/>
    <w:rsid w:val="004A5982"/>
    <w:rsid w:val="004A5CFE"/>
    <w:rsid w:val="004A5E6A"/>
    <w:rsid w:val="004B0A18"/>
    <w:rsid w:val="004B2A1B"/>
    <w:rsid w:val="004B2DE5"/>
    <w:rsid w:val="004B331B"/>
    <w:rsid w:val="004B6F1C"/>
    <w:rsid w:val="004C2F4D"/>
    <w:rsid w:val="004C3638"/>
    <w:rsid w:val="004C39A4"/>
    <w:rsid w:val="004C52FF"/>
    <w:rsid w:val="004D070B"/>
    <w:rsid w:val="004D33DF"/>
    <w:rsid w:val="004D58C6"/>
    <w:rsid w:val="004D749D"/>
    <w:rsid w:val="004D7DEA"/>
    <w:rsid w:val="004E04DA"/>
    <w:rsid w:val="004E1D06"/>
    <w:rsid w:val="004E1FA4"/>
    <w:rsid w:val="004E20B1"/>
    <w:rsid w:val="004E3DAA"/>
    <w:rsid w:val="004E4EB8"/>
    <w:rsid w:val="004E6203"/>
    <w:rsid w:val="004F42A1"/>
    <w:rsid w:val="004F5FA6"/>
    <w:rsid w:val="00500581"/>
    <w:rsid w:val="005041BE"/>
    <w:rsid w:val="00505635"/>
    <w:rsid w:val="00507805"/>
    <w:rsid w:val="005134B0"/>
    <w:rsid w:val="0051441E"/>
    <w:rsid w:val="005155D3"/>
    <w:rsid w:val="005204D6"/>
    <w:rsid w:val="00525692"/>
    <w:rsid w:val="00527E66"/>
    <w:rsid w:val="00534945"/>
    <w:rsid w:val="005360A1"/>
    <w:rsid w:val="00537C3E"/>
    <w:rsid w:val="00543555"/>
    <w:rsid w:val="0054431F"/>
    <w:rsid w:val="00544890"/>
    <w:rsid w:val="00547FC6"/>
    <w:rsid w:val="00552615"/>
    <w:rsid w:val="005567B3"/>
    <w:rsid w:val="00560EED"/>
    <w:rsid w:val="005632D3"/>
    <w:rsid w:val="005655D1"/>
    <w:rsid w:val="005658C9"/>
    <w:rsid w:val="00565929"/>
    <w:rsid w:val="005659EE"/>
    <w:rsid w:val="00565D9A"/>
    <w:rsid w:val="00566498"/>
    <w:rsid w:val="005708E6"/>
    <w:rsid w:val="005812C2"/>
    <w:rsid w:val="00583F95"/>
    <w:rsid w:val="00596AF0"/>
    <w:rsid w:val="00597947"/>
    <w:rsid w:val="005A0AF1"/>
    <w:rsid w:val="005A21FC"/>
    <w:rsid w:val="005B1178"/>
    <w:rsid w:val="005B159F"/>
    <w:rsid w:val="005C7BB8"/>
    <w:rsid w:val="005D0FBF"/>
    <w:rsid w:val="005D24E1"/>
    <w:rsid w:val="005D7826"/>
    <w:rsid w:val="005E016C"/>
    <w:rsid w:val="005E07E1"/>
    <w:rsid w:val="005E0E0C"/>
    <w:rsid w:val="005E1EC1"/>
    <w:rsid w:val="005E31A5"/>
    <w:rsid w:val="005E38D2"/>
    <w:rsid w:val="005E4DF6"/>
    <w:rsid w:val="005E6A5B"/>
    <w:rsid w:val="005E7290"/>
    <w:rsid w:val="005E7431"/>
    <w:rsid w:val="005F072F"/>
    <w:rsid w:val="005F0A83"/>
    <w:rsid w:val="005F0D41"/>
    <w:rsid w:val="005F234F"/>
    <w:rsid w:val="005F3C50"/>
    <w:rsid w:val="00601607"/>
    <w:rsid w:val="006047F8"/>
    <w:rsid w:val="006066A6"/>
    <w:rsid w:val="00606CC4"/>
    <w:rsid w:val="006138EE"/>
    <w:rsid w:val="0061452E"/>
    <w:rsid w:val="00614B06"/>
    <w:rsid w:val="00615D9E"/>
    <w:rsid w:val="00621643"/>
    <w:rsid w:val="00624274"/>
    <w:rsid w:val="00626CD9"/>
    <w:rsid w:val="00630956"/>
    <w:rsid w:val="00636115"/>
    <w:rsid w:val="00640016"/>
    <w:rsid w:val="00641EED"/>
    <w:rsid w:val="00642106"/>
    <w:rsid w:val="00644429"/>
    <w:rsid w:val="00646876"/>
    <w:rsid w:val="00647079"/>
    <w:rsid w:val="00647F6C"/>
    <w:rsid w:val="00650DEF"/>
    <w:rsid w:val="00651741"/>
    <w:rsid w:val="00656BC8"/>
    <w:rsid w:val="0066273D"/>
    <w:rsid w:val="00662D0D"/>
    <w:rsid w:val="006642D3"/>
    <w:rsid w:val="006711A5"/>
    <w:rsid w:val="00676441"/>
    <w:rsid w:val="00677567"/>
    <w:rsid w:val="00682BA7"/>
    <w:rsid w:val="00687B7B"/>
    <w:rsid w:val="00691499"/>
    <w:rsid w:val="00692356"/>
    <w:rsid w:val="0069340D"/>
    <w:rsid w:val="006A71EF"/>
    <w:rsid w:val="006A769A"/>
    <w:rsid w:val="006A7A55"/>
    <w:rsid w:val="006B2DDC"/>
    <w:rsid w:val="006B5939"/>
    <w:rsid w:val="006B6D45"/>
    <w:rsid w:val="006B776D"/>
    <w:rsid w:val="006C0C87"/>
    <w:rsid w:val="006C2D83"/>
    <w:rsid w:val="006C3F2E"/>
    <w:rsid w:val="006C4D9E"/>
    <w:rsid w:val="006D10DC"/>
    <w:rsid w:val="006D22CB"/>
    <w:rsid w:val="006D281E"/>
    <w:rsid w:val="006D3823"/>
    <w:rsid w:val="006D3E5C"/>
    <w:rsid w:val="006D41F1"/>
    <w:rsid w:val="006D431A"/>
    <w:rsid w:val="006D6DB9"/>
    <w:rsid w:val="006E149F"/>
    <w:rsid w:val="006E4514"/>
    <w:rsid w:val="006E5C42"/>
    <w:rsid w:val="006F2B5C"/>
    <w:rsid w:val="006F581B"/>
    <w:rsid w:val="006F74F7"/>
    <w:rsid w:val="006F7E68"/>
    <w:rsid w:val="00702AE3"/>
    <w:rsid w:val="0070567E"/>
    <w:rsid w:val="00705ADC"/>
    <w:rsid w:val="0070659F"/>
    <w:rsid w:val="007078C7"/>
    <w:rsid w:val="00713989"/>
    <w:rsid w:val="007148E9"/>
    <w:rsid w:val="00715EA4"/>
    <w:rsid w:val="007165EC"/>
    <w:rsid w:val="0072189F"/>
    <w:rsid w:val="00721C9B"/>
    <w:rsid w:val="0072285B"/>
    <w:rsid w:val="00722909"/>
    <w:rsid w:val="00723249"/>
    <w:rsid w:val="007260DC"/>
    <w:rsid w:val="00726E74"/>
    <w:rsid w:val="00727EF2"/>
    <w:rsid w:val="007309B9"/>
    <w:rsid w:val="00731661"/>
    <w:rsid w:val="00733038"/>
    <w:rsid w:val="0073421A"/>
    <w:rsid w:val="00737E3E"/>
    <w:rsid w:val="00744BE7"/>
    <w:rsid w:val="007455A5"/>
    <w:rsid w:val="00747C3E"/>
    <w:rsid w:val="00750C7B"/>
    <w:rsid w:val="00751783"/>
    <w:rsid w:val="00753FB8"/>
    <w:rsid w:val="00756213"/>
    <w:rsid w:val="00757369"/>
    <w:rsid w:val="00760264"/>
    <w:rsid w:val="0076125E"/>
    <w:rsid w:val="007614A0"/>
    <w:rsid w:val="00766CC5"/>
    <w:rsid w:val="0076789B"/>
    <w:rsid w:val="00771519"/>
    <w:rsid w:val="0077612D"/>
    <w:rsid w:val="0078403F"/>
    <w:rsid w:val="00784977"/>
    <w:rsid w:val="007857C2"/>
    <w:rsid w:val="007951AE"/>
    <w:rsid w:val="007960FC"/>
    <w:rsid w:val="007A1325"/>
    <w:rsid w:val="007A260C"/>
    <w:rsid w:val="007A3D65"/>
    <w:rsid w:val="007A4561"/>
    <w:rsid w:val="007A7FFA"/>
    <w:rsid w:val="007B096A"/>
    <w:rsid w:val="007B5BCC"/>
    <w:rsid w:val="007B63BA"/>
    <w:rsid w:val="007C0582"/>
    <w:rsid w:val="007C2929"/>
    <w:rsid w:val="007C5815"/>
    <w:rsid w:val="007C5A97"/>
    <w:rsid w:val="007D0A9C"/>
    <w:rsid w:val="007D12ED"/>
    <w:rsid w:val="007D518A"/>
    <w:rsid w:val="007D6002"/>
    <w:rsid w:val="007D6F8A"/>
    <w:rsid w:val="007E062F"/>
    <w:rsid w:val="007E5FF6"/>
    <w:rsid w:val="007F0CD4"/>
    <w:rsid w:val="007F15F0"/>
    <w:rsid w:val="007F3EA6"/>
    <w:rsid w:val="007F581B"/>
    <w:rsid w:val="007F6A15"/>
    <w:rsid w:val="00800E4A"/>
    <w:rsid w:val="008015DF"/>
    <w:rsid w:val="00801640"/>
    <w:rsid w:val="0080288E"/>
    <w:rsid w:val="008053EB"/>
    <w:rsid w:val="00805A0A"/>
    <w:rsid w:val="0081201D"/>
    <w:rsid w:val="00812ECD"/>
    <w:rsid w:val="0081473D"/>
    <w:rsid w:val="008157AE"/>
    <w:rsid w:val="008167AB"/>
    <w:rsid w:val="00820A25"/>
    <w:rsid w:val="0082440D"/>
    <w:rsid w:val="00825D97"/>
    <w:rsid w:val="008325FA"/>
    <w:rsid w:val="00833B9B"/>
    <w:rsid w:val="00835356"/>
    <w:rsid w:val="00844F4F"/>
    <w:rsid w:val="008453B8"/>
    <w:rsid w:val="0084547F"/>
    <w:rsid w:val="00845BD8"/>
    <w:rsid w:val="00845CE4"/>
    <w:rsid w:val="008468CD"/>
    <w:rsid w:val="00847827"/>
    <w:rsid w:val="0085148F"/>
    <w:rsid w:val="008526D0"/>
    <w:rsid w:val="00852C63"/>
    <w:rsid w:val="00854541"/>
    <w:rsid w:val="008567A5"/>
    <w:rsid w:val="008616A6"/>
    <w:rsid w:val="00862075"/>
    <w:rsid w:val="008642C8"/>
    <w:rsid w:val="008662A2"/>
    <w:rsid w:val="0087108E"/>
    <w:rsid w:val="00871DE9"/>
    <w:rsid w:val="00880CA7"/>
    <w:rsid w:val="00885CF7"/>
    <w:rsid w:val="00886E69"/>
    <w:rsid w:val="008934FA"/>
    <w:rsid w:val="008A0F83"/>
    <w:rsid w:val="008A175E"/>
    <w:rsid w:val="008A2E40"/>
    <w:rsid w:val="008B0C24"/>
    <w:rsid w:val="008B15BE"/>
    <w:rsid w:val="008B7645"/>
    <w:rsid w:val="008B77E1"/>
    <w:rsid w:val="008C1976"/>
    <w:rsid w:val="008C5857"/>
    <w:rsid w:val="008C771D"/>
    <w:rsid w:val="008D0512"/>
    <w:rsid w:val="008D1468"/>
    <w:rsid w:val="008D28B0"/>
    <w:rsid w:val="008D33D6"/>
    <w:rsid w:val="008D5A00"/>
    <w:rsid w:val="008E0EA8"/>
    <w:rsid w:val="008E573D"/>
    <w:rsid w:val="008E5FB9"/>
    <w:rsid w:val="008F5689"/>
    <w:rsid w:val="008F69BF"/>
    <w:rsid w:val="009003B0"/>
    <w:rsid w:val="009015AD"/>
    <w:rsid w:val="009036DE"/>
    <w:rsid w:val="00903AAF"/>
    <w:rsid w:val="0090416C"/>
    <w:rsid w:val="009043EF"/>
    <w:rsid w:val="00907956"/>
    <w:rsid w:val="0091079F"/>
    <w:rsid w:val="00911F9D"/>
    <w:rsid w:val="00913B55"/>
    <w:rsid w:val="009153E3"/>
    <w:rsid w:val="0091597F"/>
    <w:rsid w:val="009177D8"/>
    <w:rsid w:val="00921DCF"/>
    <w:rsid w:val="00923D59"/>
    <w:rsid w:val="0092464E"/>
    <w:rsid w:val="00924F4C"/>
    <w:rsid w:val="009337F2"/>
    <w:rsid w:val="00934B5A"/>
    <w:rsid w:val="0094138A"/>
    <w:rsid w:val="00946554"/>
    <w:rsid w:val="00953385"/>
    <w:rsid w:val="009536E4"/>
    <w:rsid w:val="009553EB"/>
    <w:rsid w:val="009556E8"/>
    <w:rsid w:val="00960332"/>
    <w:rsid w:val="00963C82"/>
    <w:rsid w:val="0097102B"/>
    <w:rsid w:val="009754A1"/>
    <w:rsid w:val="00975F8C"/>
    <w:rsid w:val="00977A2D"/>
    <w:rsid w:val="00977B6C"/>
    <w:rsid w:val="00977E58"/>
    <w:rsid w:val="00981B94"/>
    <w:rsid w:val="009850DD"/>
    <w:rsid w:val="009852EE"/>
    <w:rsid w:val="009918A8"/>
    <w:rsid w:val="00995CC6"/>
    <w:rsid w:val="009964F7"/>
    <w:rsid w:val="009A07B6"/>
    <w:rsid w:val="009A2934"/>
    <w:rsid w:val="009A3167"/>
    <w:rsid w:val="009A488C"/>
    <w:rsid w:val="009A6B01"/>
    <w:rsid w:val="009B0E77"/>
    <w:rsid w:val="009B7C3D"/>
    <w:rsid w:val="009C21D3"/>
    <w:rsid w:val="009C3BDF"/>
    <w:rsid w:val="009C6399"/>
    <w:rsid w:val="009C700D"/>
    <w:rsid w:val="009D117E"/>
    <w:rsid w:val="009D2C81"/>
    <w:rsid w:val="009D3BCE"/>
    <w:rsid w:val="009D4762"/>
    <w:rsid w:val="009D61D3"/>
    <w:rsid w:val="009D63C3"/>
    <w:rsid w:val="009D6FD8"/>
    <w:rsid w:val="009D7E0C"/>
    <w:rsid w:val="009E0181"/>
    <w:rsid w:val="009E1ED3"/>
    <w:rsid w:val="009E4A95"/>
    <w:rsid w:val="009E6004"/>
    <w:rsid w:val="009F0897"/>
    <w:rsid w:val="009F5345"/>
    <w:rsid w:val="009F53C2"/>
    <w:rsid w:val="009F58A2"/>
    <w:rsid w:val="009F6F50"/>
    <w:rsid w:val="009F7EAE"/>
    <w:rsid w:val="00A00406"/>
    <w:rsid w:val="00A0057C"/>
    <w:rsid w:val="00A016BF"/>
    <w:rsid w:val="00A0210F"/>
    <w:rsid w:val="00A058CF"/>
    <w:rsid w:val="00A072FE"/>
    <w:rsid w:val="00A07475"/>
    <w:rsid w:val="00A07496"/>
    <w:rsid w:val="00A10865"/>
    <w:rsid w:val="00A11537"/>
    <w:rsid w:val="00A11A7A"/>
    <w:rsid w:val="00A128C5"/>
    <w:rsid w:val="00A20055"/>
    <w:rsid w:val="00A210A1"/>
    <w:rsid w:val="00A22D6C"/>
    <w:rsid w:val="00A231F8"/>
    <w:rsid w:val="00A24CA1"/>
    <w:rsid w:val="00A269A7"/>
    <w:rsid w:val="00A31277"/>
    <w:rsid w:val="00A33350"/>
    <w:rsid w:val="00A34428"/>
    <w:rsid w:val="00A44C1F"/>
    <w:rsid w:val="00A452F5"/>
    <w:rsid w:val="00A46DAF"/>
    <w:rsid w:val="00A47C58"/>
    <w:rsid w:val="00A529A1"/>
    <w:rsid w:val="00A52BA6"/>
    <w:rsid w:val="00A52F2C"/>
    <w:rsid w:val="00A54B3F"/>
    <w:rsid w:val="00A60500"/>
    <w:rsid w:val="00A61261"/>
    <w:rsid w:val="00A61FD4"/>
    <w:rsid w:val="00A63AA9"/>
    <w:rsid w:val="00A669E9"/>
    <w:rsid w:val="00A67D0F"/>
    <w:rsid w:val="00A8609D"/>
    <w:rsid w:val="00A86542"/>
    <w:rsid w:val="00A87F7C"/>
    <w:rsid w:val="00A908A5"/>
    <w:rsid w:val="00A91DAE"/>
    <w:rsid w:val="00A9633A"/>
    <w:rsid w:val="00AA46EA"/>
    <w:rsid w:val="00AA559B"/>
    <w:rsid w:val="00AA6EA4"/>
    <w:rsid w:val="00AB29C4"/>
    <w:rsid w:val="00AB60C4"/>
    <w:rsid w:val="00AC14F0"/>
    <w:rsid w:val="00AC2DF7"/>
    <w:rsid w:val="00AC548A"/>
    <w:rsid w:val="00AD5C59"/>
    <w:rsid w:val="00AE270B"/>
    <w:rsid w:val="00AE5064"/>
    <w:rsid w:val="00AE5365"/>
    <w:rsid w:val="00AE55CB"/>
    <w:rsid w:val="00AE71DB"/>
    <w:rsid w:val="00AF3FDF"/>
    <w:rsid w:val="00AF5069"/>
    <w:rsid w:val="00AF564E"/>
    <w:rsid w:val="00B01326"/>
    <w:rsid w:val="00B0164D"/>
    <w:rsid w:val="00B019F5"/>
    <w:rsid w:val="00B02152"/>
    <w:rsid w:val="00B04CC4"/>
    <w:rsid w:val="00B04F4E"/>
    <w:rsid w:val="00B052BC"/>
    <w:rsid w:val="00B05BCA"/>
    <w:rsid w:val="00B05CB2"/>
    <w:rsid w:val="00B05F14"/>
    <w:rsid w:val="00B146C7"/>
    <w:rsid w:val="00B222AE"/>
    <w:rsid w:val="00B22D6C"/>
    <w:rsid w:val="00B31B65"/>
    <w:rsid w:val="00B33B98"/>
    <w:rsid w:val="00B349F7"/>
    <w:rsid w:val="00B3578A"/>
    <w:rsid w:val="00B422E2"/>
    <w:rsid w:val="00B431EF"/>
    <w:rsid w:val="00B51ADD"/>
    <w:rsid w:val="00B553D8"/>
    <w:rsid w:val="00B569AD"/>
    <w:rsid w:val="00B56E34"/>
    <w:rsid w:val="00B57039"/>
    <w:rsid w:val="00B57263"/>
    <w:rsid w:val="00B6093A"/>
    <w:rsid w:val="00B62EAA"/>
    <w:rsid w:val="00B668D2"/>
    <w:rsid w:val="00B72C1F"/>
    <w:rsid w:val="00B73C5F"/>
    <w:rsid w:val="00B74177"/>
    <w:rsid w:val="00B76D53"/>
    <w:rsid w:val="00B82656"/>
    <w:rsid w:val="00B83704"/>
    <w:rsid w:val="00B90CC2"/>
    <w:rsid w:val="00B93330"/>
    <w:rsid w:val="00B96017"/>
    <w:rsid w:val="00B96778"/>
    <w:rsid w:val="00BA0EB4"/>
    <w:rsid w:val="00BA2BEC"/>
    <w:rsid w:val="00BA498C"/>
    <w:rsid w:val="00BA4E80"/>
    <w:rsid w:val="00BA56B6"/>
    <w:rsid w:val="00BB60A8"/>
    <w:rsid w:val="00BC2BF8"/>
    <w:rsid w:val="00BC3E88"/>
    <w:rsid w:val="00BC7EFD"/>
    <w:rsid w:val="00BD0BA4"/>
    <w:rsid w:val="00BD15B8"/>
    <w:rsid w:val="00BD1F78"/>
    <w:rsid w:val="00BD1FC3"/>
    <w:rsid w:val="00BE1259"/>
    <w:rsid w:val="00BE73A7"/>
    <w:rsid w:val="00BF0647"/>
    <w:rsid w:val="00BF0E5F"/>
    <w:rsid w:val="00BF33D3"/>
    <w:rsid w:val="00C00CEE"/>
    <w:rsid w:val="00C06624"/>
    <w:rsid w:val="00C10B17"/>
    <w:rsid w:val="00C117C2"/>
    <w:rsid w:val="00C11868"/>
    <w:rsid w:val="00C16188"/>
    <w:rsid w:val="00C22374"/>
    <w:rsid w:val="00C2276F"/>
    <w:rsid w:val="00C23FFB"/>
    <w:rsid w:val="00C2698A"/>
    <w:rsid w:val="00C308CC"/>
    <w:rsid w:val="00C30A7C"/>
    <w:rsid w:val="00C30E54"/>
    <w:rsid w:val="00C32BC8"/>
    <w:rsid w:val="00C34157"/>
    <w:rsid w:val="00C348C3"/>
    <w:rsid w:val="00C41CE3"/>
    <w:rsid w:val="00C41EAE"/>
    <w:rsid w:val="00C44CDE"/>
    <w:rsid w:val="00C515F8"/>
    <w:rsid w:val="00C5195C"/>
    <w:rsid w:val="00C52063"/>
    <w:rsid w:val="00C60D35"/>
    <w:rsid w:val="00C61427"/>
    <w:rsid w:val="00C62122"/>
    <w:rsid w:val="00C6411B"/>
    <w:rsid w:val="00C66CD2"/>
    <w:rsid w:val="00C72429"/>
    <w:rsid w:val="00C75D95"/>
    <w:rsid w:val="00C76049"/>
    <w:rsid w:val="00C770CC"/>
    <w:rsid w:val="00C770DB"/>
    <w:rsid w:val="00C80786"/>
    <w:rsid w:val="00C807F9"/>
    <w:rsid w:val="00C81852"/>
    <w:rsid w:val="00C81D03"/>
    <w:rsid w:val="00C830AA"/>
    <w:rsid w:val="00C83E2E"/>
    <w:rsid w:val="00C853F1"/>
    <w:rsid w:val="00C8640F"/>
    <w:rsid w:val="00C90C57"/>
    <w:rsid w:val="00C927C0"/>
    <w:rsid w:val="00C92A41"/>
    <w:rsid w:val="00CA629B"/>
    <w:rsid w:val="00CA67FB"/>
    <w:rsid w:val="00CA77CE"/>
    <w:rsid w:val="00CB0887"/>
    <w:rsid w:val="00CC1988"/>
    <w:rsid w:val="00CC19AA"/>
    <w:rsid w:val="00CC3865"/>
    <w:rsid w:val="00CC5C28"/>
    <w:rsid w:val="00CC6A6D"/>
    <w:rsid w:val="00CD01A6"/>
    <w:rsid w:val="00CD314C"/>
    <w:rsid w:val="00CD4E1A"/>
    <w:rsid w:val="00CD5D7A"/>
    <w:rsid w:val="00CD740C"/>
    <w:rsid w:val="00CE1BE6"/>
    <w:rsid w:val="00CE36B8"/>
    <w:rsid w:val="00CE4D5D"/>
    <w:rsid w:val="00CE6E37"/>
    <w:rsid w:val="00CE7334"/>
    <w:rsid w:val="00CF161B"/>
    <w:rsid w:val="00CF21E2"/>
    <w:rsid w:val="00CF4907"/>
    <w:rsid w:val="00CF7BA7"/>
    <w:rsid w:val="00D00EA8"/>
    <w:rsid w:val="00D01135"/>
    <w:rsid w:val="00D015C5"/>
    <w:rsid w:val="00D03455"/>
    <w:rsid w:val="00D05BF5"/>
    <w:rsid w:val="00D0705D"/>
    <w:rsid w:val="00D10173"/>
    <w:rsid w:val="00D14C73"/>
    <w:rsid w:val="00D21760"/>
    <w:rsid w:val="00D23BBE"/>
    <w:rsid w:val="00D27AF2"/>
    <w:rsid w:val="00D27DC8"/>
    <w:rsid w:val="00D32D8D"/>
    <w:rsid w:val="00D33266"/>
    <w:rsid w:val="00D33644"/>
    <w:rsid w:val="00D413DB"/>
    <w:rsid w:val="00D41D85"/>
    <w:rsid w:val="00D41E86"/>
    <w:rsid w:val="00D4220E"/>
    <w:rsid w:val="00D42316"/>
    <w:rsid w:val="00D427FC"/>
    <w:rsid w:val="00D44D3A"/>
    <w:rsid w:val="00D44F9B"/>
    <w:rsid w:val="00D45885"/>
    <w:rsid w:val="00D45961"/>
    <w:rsid w:val="00D45983"/>
    <w:rsid w:val="00D459BF"/>
    <w:rsid w:val="00D47231"/>
    <w:rsid w:val="00D47A53"/>
    <w:rsid w:val="00D52E6E"/>
    <w:rsid w:val="00D54B02"/>
    <w:rsid w:val="00D54B69"/>
    <w:rsid w:val="00D554CB"/>
    <w:rsid w:val="00D564B6"/>
    <w:rsid w:val="00D60680"/>
    <w:rsid w:val="00D61B4E"/>
    <w:rsid w:val="00D726C9"/>
    <w:rsid w:val="00D740C4"/>
    <w:rsid w:val="00D77B55"/>
    <w:rsid w:val="00D77F22"/>
    <w:rsid w:val="00D800EA"/>
    <w:rsid w:val="00D83991"/>
    <w:rsid w:val="00D83A75"/>
    <w:rsid w:val="00D848FF"/>
    <w:rsid w:val="00D86515"/>
    <w:rsid w:val="00D92DBF"/>
    <w:rsid w:val="00D942F0"/>
    <w:rsid w:val="00D95DA1"/>
    <w:rsid w:val="00D9704A"/>
    <w:rsid w:val="00DA2837"/>
    <w:rsid w:val="00DA2C69"/>
    <w:rsid w:val="00DA3DE8"/>
    <w:rsid w:val="00DA4A1F"/>
    <w:rsid w:val="00DB0341"/>
    <w:rsid w:val="00DB1144"/>
    <w:rsid w:val="00DB1A6E"/>
    <w:rsid w:val="00DB3373"/>
    <w:rsid w:val="00DB3ACE"/>
    <w:rsid w:val="00DB4415"/>
    <w:rsid w:val="00DB662D"/>
    <w:rsid w:val="00DB6793"/>
    <w:rsid w:val="00DC4310"/>
    <w:rsid w:val="00DC69A7"/>
    <w:rsid w:val="00DC7E56"/>
    <w:rsid w:val="00DD027C"/>
    <w:rsid w:val="00DD07D3"/>
    <w:rsid w:val="00DD19A1"/>
    <w:rsid w:val="00DD1ADD"/>
    <w:rsid w:val="00DD2557"/>
    <w:rsid w:val="00DE0934"/>
    <w:rsid w:val="00DE105F"/>
    <w:rsid w:val="00DE2090"/>
    <w:rsid w:val="00DE658A"/>
    <w:rsid w:val="00DE6720"/>
    <w:rsid w:val="00DF0BEC"/>
    <w:rsid w:val="00DF47DD"/>
    <w:rsid w:val="00DF6599"/>
    <w:rsid w:val="00DF73FE"/>
    <w:rsid w:val="00DF7AC0"/>
    <w:rsid w:val="00E01478"/>
    <w:rsid w:val="00E01655"/>
    <w:rsid w:val="00E01E5D"/>
    <w:rsid w:val="00E04274"/>
    <w:rsid w:val="00E11DC5"/>
    <w:rsid w:val="00E12295"/>
    <w:rsid w:val="00E20C05"/>
    <w:rsid w:val="00E22B62"/>
    <w:rsid w:val="00E2632C"/>
    <w:rsid w:val="00E31C4A"/>
    <w:rsid w:val="00E377AB"/>
    <w:rsid w:val="00E40AE7"/>
    <w:rsid w:val="00E41741"/>
    <w:rsid w:val="00E42612"/>
    <w:rsid w:val="00E458D6"/>
    <w:rsid w:val="00E53A1D"/>
    <w:rsid w:val="00E560DE"/>
    <w:rsid w:val="00E56786"/>
    <w:rsid w:val="00E63C72"/>
    <w:rsid w:val="00E66114"/>
    <w:rsid w:val="00E67CC2"/>
    <w:rsid w:val="00E720E0"/>
    <w:rsid w:val="00E735DF"/>
    <w:rsid w:val="00E77782"/>
    <w:rsid w:val="00E77DC4"/>
    <w:rsid w:val="00E84161"/>
    <w:rsid w:val="00E854ED"/>
    <w:rsid w:val="00E8595D"/>
    <w:rsid w:val="00E86E90"/>
    <w:rsid w:val="00E913DD"/>
    <w:rsid w:val="00E91D89"/>
    <w:rsid w:val="00E94946"/>
    <w:rsid w:val="00E957DC"/>
    <w:rsid w:val="00E96F22"/>
    <w:rsid w:val="00EA2BEB"/>
    <w:rsid w:val="00EA35ED"/>
    <w:rsid w:val="00EA7259"/>
    <w:rsid w:val="00EA7F9E"/>
    <w:rsid w:val="00EB1926"/>
    <w:rsid w:val="00EB2560"/>
    <w:rsid w:val="00EB44D6"/>
    <w:rsid w:val="00EB5268"/>
    <w:rsid w:val="00EB5BA6"/>
    <w:rsid w:val="00EB5CE9"/>
    <w:rsid w:val="00EB69EC"/>
    <w:rsid w:val="00EB7D02"/>
    <w:rsid w:val="00EC0D33"/>
    <w:rsid w:val="00EC243C"/>
    <w:rsid w:val="00EC3D5E"/>
    <w:rsid w:val="00EC5C8F"/>
    <w:rsid w:val="00ED3252"/>
    <w:rsid w:val="00ED625C"/>
    <w:rsid w:val="00EE1A96"/>
    <w:rsid w:val="00EE3359"/>
    <w:rsid w:val="00EE6CEB"/>
    <w:rsid w:val="00EF2329"/>
    <w:rsid w:val="00EF3750"/>
    <w:rsid w:val="00EF3AD0"/>
    <w:rsid w:val="00EF51D9"/>
    <w:rsid w:val="00EF6670"/>
    <w:rsid w:val="00EF7867"/>
    <w:rsid w:val="00F007F5"/>
    <w:rsid w:val="00F034DE"/>
    <w:rsid w:val="00F050C5"/>
    <w:rsid w:val="00F105BB"/>
    <w:rsid w:val="00F11D13"/>
    <w:rsid w:val="00F15BC0"/>
    <w:rsid w:val="00F22E11"/>
    <w:rsid w:val="00F245AA"/>
    <w:rsid w:val="00F32201"/>
    <w:rsid w:val="00F346F0"/>
    <w:rsid w:val="00F34780"/>
    <w:rsid w:val="00F42462"/>
    <w:rsid w:val="00F429FB"/>
    <w:rsid w:val="00F42C07"/>
    <w:rsid w:val="00F43025"/>
    <w:rsid w:val="00F43CA0"/>
    <w:rsid w:val="00F479AC"/>
    <w:rsid w:val="00F47AC0"/>
    <w:rsid w:val="00F50C5F"/>
    <w:rsid w:val="00F537E6"/>
    <w:rsid w:val="00F54C72"/>
    <w:rsid w:val="00F5586D"/>
    <w:rsid w:val="00F56F36"/>
    <w:rsid w:val="00F579C1"/>
    <w:rsid w:val="00F605C6"/>
    <w:rsid w:val="00F61705"/>
    <w:rsid w:val="00F75A94"/>
    <w:rsid w:val="00F7643C"/>
    <w:rsid w:val="00F866DF"/>
    <w:rsid w:val="00F875C5"/>
    <w:rsid w:val="00F87BB1"/>
    <w:rsid w:val="00F91449"/>
    <w:rsid w:val="00F91525"/>
    <w:rsid w:val="00F93A2D"/>
    <w:rsid w:val="00F945F2"/>
    <w:rsid w:val="00F9606C"/>
    <w:rsid w:val="00F96E1E"/>
    <w:rsid w:val="00F973C9"/>
    <w:rsid w:val="00FA017F"/>
    <w:rsid w:val="00FA5652"/>
    <w:rsid w:val="00FA614A"/>
    <w:rsid w:val="00FA66DE"/>
    <w:rsid w:val="00FB1DF1"/>
    <w:rsid w:val="00FB2DEF"/>
    <w:rsid w:val="00FB4149"/>
    <w:rsid w:val="00FB57F6"/>
    <w:rsid w:val="00FB7D78"/>
    <w:rsid w:val="00FC429A"/>
    <w:rsid w:val="00FC451B"/>
    <w:rsid w:val="00FC4EB6"/>
    <w:rsid w:val="00FC52B0"/>
    <w:rsid w:val="00FC6596"/>
    <w:rsid w:val="00FC69D4"/>
    <w:rsid w:val="00FD1348"/>
    <w:rsid w:val="00FD4B23"/>
    <w:rsid w:val="00FE15C5"/>
    <w:rsid w:val="00FE1DB5"/>
    <w:rsid w:val="00FE1F54"/>
    <w:rsid w:val="00FE5BA5"/>
    <w:rsid w:val="00FE7174"/>
    <w:rsid w:val="00FF018C"/>
    <w:rsid w:val="00FF0713"/>
    <w:rsid w:val="00FF1DC6"/>
    <w:rsid w:val="00FF6F97"/>
    <w:rsid w:val="00FF7089"/>
    <w:rsid w:val="02572AE5"/>
    <w:rsid w:val="04C11975"/>
    <w:rsid w:val="0E631517"/>
    <w:rsid w:val="21D87D2C"/>
    <w:rsid w:val="2D8B2DA5"/>
    <w:rsid w:val="3076689D"/>
    <w:rsid w:val="30A14707"/>
    <w:rsid w:val="339903BF"/>
    <w:rsid w:val="3A2A1B78"/>
    <w:rsid w:val="3A34222E"/>
    <w:rsid w:val="3AC577F8"/>
    <w:rsid w:val="3C75362B"/>
    <w:rsid w:val="4712320E"/>
    <w:rsid w:val="49B61922"/>
    <w:rsid w:val="4E0C1ED3"/>
    <w:rsid w:val="517E0914"/>
    <w:rsid w:val="51871A66"/>
    <w:rsid w:val="62314002"/>
    <w:rsid w:val="63144C62"/>
    <w:rsid w:val="70344EA3"/>
    <w:rsid w:val="71C852BA"/>
    <w:rsid w:val="72031E6D"/>
    <w:rsid w:val="7DD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99" w:name="Normal Indent"/>
    <w:lsdException w:uiPriority="99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9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ind w:firstLine="0" w:firstLineChars="0"/>
      <w:jc w:val="left"/>
      <w:outlineLvl w:val="0"/>
    </w:pPr>
    <w:rPr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42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ind w:firstLine="0" w:firstLineChars="0"/>
      <w:jc w:val="left"/>
      <w:outlineLvl w:val="2"/>
    </w:pPr>
    <w:rPr>
      <w:b/>
      <w:bCs/>
      <w:szCs w:val="32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7"/>
    <w:basedOn w:val="1"/>
    <w:next w:val="1"/>
    <w:uiPriority w:val="39"/>
    <w:pPr>
      <w:ind w:left="1800"/>
      <w:jc w:val="left"/>
    </w:pPr>
    <w:rPr>
      <w:sz w:val="18"/>
      <w:szCs w:val="18"/>
    </w:rPr>
  </w:style>
  <w:style w:type="paragraph" w:styleId="6">
    <w:name w:val="Document Map"/>
    <w:basedOn w:val="1"/>
    <w:link w:val="35"/>
    <w:unhideWhenUsed/>
    <w:qFormat/>
    <w:uiPriority w:val="99"/>
    <w:rPr>
      <w:rFonts w:ascii="宋体" w:eastAsia="宋体"/>
      <w:sz w:val="18"/>
      <w:szCs w:val="18"/>
    </w:rPr>
  </w:style>
  <w:style w:type="paragraph" w:styleId="7">
    <w:name w:val="annotation text"/>
    <w:basedOn w:val="1"/>
    <w:link w:val="32"/>
    <w:unhideWhenUsed/>
    <w:qFormat/>
    <w:uiPriority w:val="99"/>
    <w:pPr>
      <w:jc w:val="left"/>
    </w:pPr>
  </w:style>
  <w:style w:type="paragraph" w:styleId="8">
    <w:name w:val="toc 5"/>
    <w:basedOn w:val="1"/>
    <w:next w:val="1"/>
    <w:qFormat/>
    <w:uiPriority w:val="39"/>
    <w:pPr>
      <w:ind w:left="1200"/>
      <w:jc w:val="left"/>
    </w:pPr>
    <w:rPr>
      <w:sz w:val="18"/>
      <w:szCs w:val="18"/>
    </w:rPr>
  </w:style>
  <w:style w:type="paragraph" w:styleId="9">
    <w:name w:val="toc 3"/>
    <w:basedOn w:val="1"/>
    <w:next w:val="1"/>
    <w:qFormat/>
    <w:uiPriority w:val="39"/>
    <w:pPr>
      <w:spacing w:line="300" w:lineRule="exact"/>
      <w:ind w:left="567"/>
      <w:jc w:val="left"/>
    </w:pPr>
    <w:rPr>
      <w:iCs/>
      <w:sz w:val="28"/>
      <w:szCs w:val="20"/>
    </w:rPr>
  </w:style>
  <w:style w:type="paragraph" w:styleId="10">
    <w:name w:val="toc 8"/>
    <w:basedOn w:val="1"/>
    <w:next w:val="1"/>
    <w:qFormat/>
    <w:uiPriority w:val="39"/>
    <w:pPr>
      <w:ind w:left="2100"/>
      <w:jc w:val="left"/>
    </w:pPr>
    <w:rPr>
      <w:sz w:val="18"/>
      <w:szCs w:val="18"/>
    </w:rPr>
  </w:style>
  <w:style w:type="paragraph" w:styleId="11">
    <w:name w:val="Date"/>
    <w:basedOn w:val="1"/>
    <w:next w:val="1"/>
    <w:qFormat/>
    <w:uiPriority w:val="0"/>
    <w:pPr>
      <w:ind w:left="100" w:leftChars="2500"/>
    </w:pPr>
    <w:rPr>
      <w:rFonts w:eastAsia="宋体"/>
      <w:sz w:val="21"/>
    </w:rPr>
  </w:style>
  <w:style w:type="paragraph" w:styleId="12">
    <w:name w:val="Balloon Text"/>
    <w:basedOn w:val="1"/>
    <w:link w:val="29"/>
    <w:qFormat/>
    <w:uiPriority w:val="0"/>
    <w:rPr>
      <w:sz w:val="18"/>
      <w:szCs w:val="18"/>
    </w:rPr>
  </w:style>
  <w:style w:type="paragraph" w:styleId="13">
    <w:name w:val="footer"/>
    <w:basedOn w:val="1"/>
    <w:link w:val="3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3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qFormat/>
    <w:uiPriority w:val="39"/>
    <w:pPr>
      <w:spacing w:before="120" w:after="120"/>
      <w:jc w:val="left"/>
    </w:pPr>
    <w:rPr>
      <w:b/>
      <w:bCs/>
      <w:caps/>
      <w:sz w:val="28"/>
      <w:szCs w:val="20"/>
    </w:rPr>
  </w:style>
  <w:style w:type="paragraph" w:styleId="16">
    <w:name w:val="toc 4"/>
    <w:basedOn w:val="1"/>
    <w:next w:val="1"/>
    <w:qFormat/>
    <w:uiPriority w:val="39"/>
    <w:pPr>
      <w:tabs>
        <w:tab w:val="right" w:leader="dot" w:pos="8693"/>
      </w:tabs>
      <w:spacing w:line="300" w:lineRule="exact"/>
      <w:ind w:left="902"/>
      <w:jc w:val="left"/>
    </w:pPr>
    <w:rPr>
      <w:sz w:val="28"/>
      <w:szCs w:val="18"/>
    </w:rPr>
  </w:style>
  <w:style w:type="paragraph" w:styleId="17">
    <w:name w:val="toc 6"/>
    <w:basedOn w:val="1"/>
    <w:next w:val="1"/>
    <w:qFormat/>
    <w:uiPriority w:val="39"/>
    <w:pPr>
      <w:ind w:left="1500"/>
      <w:jc w:val="left"/>
    </w:pPr>
    <w:rPr>
      <w:sz w:val="18"/>
      <w:szCs w:val="18"/>
    </w:rPr>
  </w:style>
  <w:style w:type="paragraph" w:styleId="18">
    <w:name w:val="toc 2"/>
    <w:basedOn w:val="1"/>
    <w:next w:val="1"/>
    <w:qFormat/>
    <w:uiPriority w:val="39"/>
    <w:pPr>
      <w:spacing w:line="300" w:lineRule="exact"/>
      <w:jc w:val="left"/>
    </w:pPr>
    <w:rPr>
      <w:smallCaps/>
      <w:sz w:val="28"/>
      <w:szCs w:val="20"/>
    </w:rPr>
  </w:style>
  <w:style w:type="paragraph" w:styleId="19">
    <w:name w:val="toc 9"/>
    <w:basedOn w:val="1"/>
    <w:next w:val="1"/>
    <w:qFormat/>
    <w:uiPriority w:val="39"/>
    <w:pPr>
      <w:ind w:left="2400"/>
      <w:jc w:val="left"/>
    </w:pPr>
    <w:rPr>
      <w:sz w:val="18"/>
      <w:szCs w:val="18"/>
    </w:rPr>
  </w:style>
  <w:style w:type="paragraph" w:styleId="20">
    <w:name w:val="Title"/>
    <w:basedOn w:val="1"/>
    <w:next w:val="1"/>
    <w:link w:val="28"/>
    <w:qFormat/>
    <w:uiPriority w:val="10"/>
    <w:pPr>
      <w:jc w:val="left"/>
      <w:outlineLvl w:val="3"/>
    </w:pPr>
    <w:rPr>
      <w:rFonts w:ascii="Cambria" w:hAnsi="Cambria"/>
      <w:bCs/>
      <w:szCs w:val="32"/>
    </w:rPr>
  </w:style>
  <w:style w:type="paragraph" w:styleId="21">
    <w:name w:val="annotation subject"/>
    <w:basedOn w:val="7"/>
    <w:next w:val="7"/>
    <w:link w:val="34"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9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25">
    <w:name w:val="page number"/>
    <w:basedOn w:val="24"/>
    <w:qFormat/>
    <w:uiPriority w:val="0"/>
  </w:style>
  <w:style w:type="character" w:styleId="26">
    <w:name w:val="Hyperlink"/>
    <w:qFormat/>
    <w:uiPriority w:val="99"/>
    <w:rPr>
      <w:color w:val="0000FF"/>
      <w:u w:val="single"/>
    </w:rPr>
  </w:style>
  <w:style w:type="character" w:styleId="27">
    <w:name w:val="annotation reference"/>
    <w:basedOn w:val="24"/>
    <w:unhideWhenUsed/>
    <w:qFormat/>
    <w:uiPriority w:val="99"/>
    <w:rPr>
      <w:sz w:val="21"/>
      <w:szCs w:val="21"/>
    </w:rPr>
  </w:style>
  <w:style w:type="character" w:customStyle="1" w:styleId="28">
    <w:name w:val="标题 Char"/>
    <w:basedOn w:val="24"/>
    <w:link w:val="20"/>
    <w:qFormat/>
    <w:uiPriority w:val="10"/>
    <w:rPr>
      <w:rFonts w:ascii="Cambria" w:hAnsi="Cambria" w:eastAsia="仿宋_GB2312" w:cs="Times New Roman"/>
      <w:bCs/>
      <w:kern w:val="2"/>
      <w:sz w:val="24"/>
      <w:szCs w:val="32"/>
    </w:rPr>
  </w:style>
  <w:style w:type="character" w:customStyle="1" w:styleId="29">
    <w:name w:val="批注框文本 Char"/>
    <w:link w:val="12"/>
    <w:qFormat/>
    <w:uiPriority w:val="0"/>
    <w:rPr>
      <w:rFonts w:eastAsia="仿宋_GB2312"/>
      <w:kern w:val="2"/>
      <w:sz w:val="18"/>
      <w:szCs w:val="18"/>
    </w:rPr>
  </w:style>
  <w:style w:type="character" w:customStyle="1" w:styleId="30">
    <w:name w:val="页脚 Char"/>
    <w:link w:val="13"/>
    <w:qFormat/>
    <w:uiPriority w:val="99"/>
    <w:rPr>
      <w:rFonts w:eastAsia="仿宋_GB2312"/>
      <w:kern w:val="2"/>
      <w:sz w:val="18"/>
      <w:szCs w:val="18"/>
    </w:rPr>
  </w:style>
  <w:style w:type="character" w:customStyle="1" w:styleId="31">
    <w:name w:val="apple-converted-space"/>
    <w:basedOn w:val="24"/>
    <w:qFormat/>
    <w:uiPriority w:val="0"/>
  </w:style>
  <w:style w:type="character" w:customStyle="1" w:styleId="32">
    <w:name w:val="批注文字 Char"/>
    <w:basedOn w:val="24"/>
    <w:link w:val="7"/>
    <w:semiHidden/>
    <w:qFormat/>
    <w:uiPriority w:val="99"/>
    <w:rPr>
      <w:rFonts w:eastAsia="仿宋_GB2312"/>
      <w:kern w:val="2"/>
      <w:sz w:val="24"/>
      <w:szCs w:val="24"/>
    </w:rPr>
  </w:style>
  <w:style w:type="character" w:customStyle="1" w:styleId="33">
    <w:name w:val="页眉 Char"/>
    <w:link w:val="14"/>
    <w:qFormat/>
    <w:uiPriority w:val="0"/>
    <w:rPr>
      <w:rFonts w:eastAsia="仿宋_GB2312"/>
      <w:kern w:val="2"/>
      <w:sz w:val="18"/>
      <w:szCs w:val="18"/>
    </w:rPr>
  </w:style>
  <w:style w:type="character" w:customStyle="1" w:styleId="34">
    <w:name w:val="批注主题 Char"/>
    <w:basedOn w:val="32"/>
    <w:link w:val="21"/>
    <w:semiHidden/>
    <w:qFormat/>
    <w:uiPriority w:val="99"/>
    <w:rPr>
      <w:rFonts w:eastAsia="仿宋_GB2312"/>
      <w:b/>
      <w:bCs/>
      <w:kern w:val="2"/>
      <w:sz w:val="24"/>
      <w:szCs w:val="24"/>
    </w:rPr>
  </w:style>
  <w:style w:type="character" w:customStyle="1" w:styleId="35">
    <w:name w:val="文档结构图 Char"/>
    <w:basedOn w:val="24"/>
    <w:link w:val="6"/>
    <w:semiHidden/>
    <w:qFormat/>
    <w:uiPriority w:val="99"/>
    <w:rPr>
      <w:rFonts w:ascii="宋体"/>
      <w:kern w:val="2"/>
      <w:sz w:val="18"/>
      <w:szCs w:val="18"/>
    </w:rPr>
  </w:style>
  <w:style w:type="paragraph" w:customStyle="1" w:styleId="36">
    <w:name w:val="_Style 1"/>
    <w:basedOn w:val="1"/>
    <w:qFormat/>
    <w:uiPriority w:val="0"/>
    <w:rPr>
      <w:rFonts w:eastAsia="宋体"/>
      <w:sz w:val="21"/>
    </w:rPr>
  </w:style>
  <w:style w:type="paragraph" w:styleId="37">
    <w:name w:val="No Spacing"/>
    <w:qFormat/>
    <w:uiPriority w:val="1"/>
    <w:pPr>
      <w:widowControl w:val="0"/>
      <w:spacing w:line="360" w:lineRule="auto"/>
      <w:ind w:firstLine="200" w:firstLineChars="200"/>
      <w:outlineLvl w:val="2"/>
    </w:pPr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paragraph" w:customStyle="1" w:styleId="38">
    <w:name w:val="TOC Heading"/>
    <w:basedOn w:val="2"/>
    <w:next w:val="1"/>
    <w:qFormat/>
    <w:uiPriority w:val="39"/>
    <w:pPr>
      <w:widowControl/>
      <w:spacing w:before="480" w:line="276" w:lineRule="auto"/>
      <w:outlineLvl w:val="9"/>
    </w:pPr>
    <w:rPr>
      <w:rFonts w:ascii="Cambria" w:hAnsi="Cambria" w:eastAsia="宋体"/>
      <w:color w:val="365F91"/>
      <w:kern w:val="0"/>
      <w:szCs w:val="28"/>
    </w:rPr>
  </w:style>
  <w:style w:type="paragraph" w:customStyle="1" w:styleId="39">
    <w:name w:val="列出段落1"/>
    <w:basedOn w:val="1"/>
    <w:qFormat/>
    <w:uiPriority w:val="34"/>
    <w:pPr>
      <w:ind w:firstLine="420"/>
    </w:pPr>
  </w:style>
  <w:style w:type="paragraph" w:styleId="40">
    <w:name w:val="List Paragraph"/>
    <w:basedOn w:val="1"/>
    <w:qFormat/>
    <w:uiPriority w:val="34"/>
    <w:pPr>
      <w:ind w:firstLine="420"/>
    </w:pPr>
  </w:style>
  <w:style w:type="paragraph" w:customStyle="1" w:styleId="41">
    <w:name w:val="Revision"/>
    <w:semiHidden/>
    <w:qFormat/>
    <w:uiPriority w:val="99"/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character" w:customStyle="1" w:styleId="42">
    <w:name w:val="标题 2 Char"/>
    <w:basedOn w:val="24"/>
    <w:link w:val="3"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42E6F5-C633-4B15-917B-8A4A2F076E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12</Pages>
  <Words>5937</Words>
  <Characters>6121</Characters>
  <Lines>68</Lines>
  <Paragraphs>19</Paragraphs>
  <TotalTime>0</TotalTime>
  <ScaleCrop>false</ScaleCrop>
  <LinksUpToDate>false</LinksUpToDate>
  <CharactersWithSpaces>6218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2017-03-14T02:32:00Z</dcterms:created>
  <dc:creator>lhn</dc:creator>
  <cp:lastModifiedBy>lovelife</cp:lastModifiedBy>
  <cp:lastPrinted>2015-12-10T09:13:00Z</cp:lastPrinted>
  <dcterms:modified xsi:type="dcterms:W3CDTF">2025-02-12T03:02:15Z</dcterms:modified>
  <dc:title>财政支出绩效评价报告</dc:title>
  <cp:revision>172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eyJoZGlkIjoiNjIzNWNjMjZkMzAxMzE3Y2FlN2ZmYjg5ZThkNDU3OWYiLCJ1c2VySWQiOiI1NjM2NjUzNzEifQ==</vt:lpwstr>
  </property>
  <property fmtid="{D5CDD505-2E9C-101B-9397-08002B2CF9AE}" pid="4" name="ICV">
    <vt:lpwstr>9158E37C0AFC4A9D95E9A6A66DBCD161_12</vt:lpwstr>
  </property>
</Properties>
</file>