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40342">
      <w:pPr>
        <w:ind w:firstLine="883"/>
        <w:jc w:val="center"/>
        <w:rPr>
          <w:rFonts w:ascii="宋体" w:hAnsi="宋体" w:eastAsia="宋体"/>
          <w:b/>
          <w:color w:val="000000"/>
          <w:sz w:val="44"/>
          <w:szCs w:val="44"/>
          <w:highlight w:val="none"/>
        </w:rPr>
      </w:pPr>
    </w:p>
    <w:p w14:paraId="2D539BA8">
      <w:pPr>
        <w:ind w:firstLine="883"/>
        <w:jc w:val="center"/>
        <w:rPr>
          <w:rFonts w:ascii="宋体" w:hAnsi="宋体" w:eastAsia="宋体"/>
          <w:b/>
          <w:color w:val="000000"/>
          <w:sz w:val="44"/>
          <w:szCs w:val="44"/>
          <w:highlight w:val="none"/>
        </w:rPr>
      </w:pPr>
    </w:p>
    <w:p w14:paraId="5D73E407">
      <w:pPr>
        <w:ind w:firstLine="0" w:firstLineChars="0"/>
        <w:jc w:val="center"/>
        <w:rPr>
          <w:rFonts w:ascii="仿宋" w:hAnsi="仿宋" w:eastAsia="仿宋"/>
          <w:b/>
          <w:color w:val="000000"/>
          <w:sz w:val="44"/>
          <w:szCs w:val="44"/>
          <w:highlight w:val="none"/>
        </w:rPr>
      </w:pPr>
      <w:r>
        <w:rPr>
          <w:rFonts w:hint="eastAsia" w:ascii="仿宋" w:hAnsi="仿宋" w:eastAsia="仿宋"/>
          <w:b/>
          <w:color w:val="000000"/>
          <w:sz w:val="44"/>
          <w:szCs w:val="44"/>
          <w:highlight w:val="none"/>
        </w:rPr>
        <w:t>武汉经济技术开发区（汉南区）行政审批局</w:t>
      </w:r>
    </w:p>
    <w:p w14:paraId="47FE5E6E">
      <w:pPr>
        <w:ind w:firstLine="0" w:firstLineChars="0"/>
        <w:jc w:val="center"/>
        <w:rPr>
          <w:rFonts w:hint="default" w:ascii="仿宋" w:hAnsi="仿宋" w:eastAsia="仿宋"/>
          <w:b/>
          <w:bCs/>
          <w:color w:val="000000"/>
          <w:sz w:val="44"/>
          <w:szCs w:val="44"/>
          <w:highlight w:val="none"/>
          <w:lang w:val="en-US" w:eastAsia="zh-CN"/>
        </w:rPr>
      </w:pPr>
      <w:r>
        <w:rPr>
          <w:rFonts w:hint="eastAsia" w:ascii="仿宋" w:hAnsi="仿宋" w:eastAsia="仿宋"/>
          <w:b/>
          <w:bCs/>
          <w:color w:val="000000"/>
          <w:sz w:val="44"/>
          <w:szCs w:val="44"/>
          <w:highlight w:val="none"/>
          <w:lang w:val="en-US" w:eastAsia="zh-CN"/>
        </w:rPr>
        <w:t>信息化项目一期</w:t>
      </w:r>
    </w:p>
    <w:p w14:paraId="495EC4B4">
      <w:pPr>
        <w:ind w:firstLine="0" w:firstLineChars="0"/>
        <w:jc w:val="center"/>
        <w:rPr>
          <w:rFonts w:ascii="仿宋" w:hAnsi="仿宋" w:eastAsia="仿宋"/>
          <w:b/>
          <w:bCs/>
          <w:color w:val="000000"/>
          <w:sz w:val="44"/>
          <w:szCs w:val="44"/>
          <w:highlight w:val="none"/>
        </w:rPr>
      </w:pPr>
      <w:r>
        <w:rPr>
          <w:rFonts w:hint="eastAsia" w:ascii="仿宋" w:hAnsi="仿宋" w:eastAsia="仿宋"/>
          <w:b/>
          <w:bCs/>
          <w:color w:val="000000"/>
          <w:sz w:val="44"/>
          <w:szCs w:val="44"/>
          <w:highlight w:val="none"/>
        </w:rPr>
        <w:t>2018年度绩效评价报告</w:t>
      </w:r>
    </w:p>
    <w:p w14:paraId="70EDD686">
      <w:pPr>
        <w:ind w:firstLine="480"/>
        <w:rPr>
          <w:highlight w:val="none"/>
        </w:rPr>
      </w:pPr>
    </w:p>
    <w:p w14:paraId="6F6C9811">
      <w:pPr>
        <w:ind w:firstLine="480"/>
        <w:rPr>
          <w:highlight w:val="none"/>
        </w:rPr>
      </w:pPr>
    </w:p>
    <w:p w14:paraId="0FEBCC7F">
      <w:pPr>
        <w:ind w:firstLine="480"/>
        <w:rPr>
          <w:highlight w:val="none"/>
        </w:rPr>
      </w:pPr>
    </w:p>
    <w:p w14:paraId="7DA46B8C">
      <w:pPr>
        <w:widowControl/>
        <w:spacing w:line="800" w:lineRule="exact"/>
        <w:ind w:firstLine="790" w:firstLineChars="246"/>
        <w:jc w:val="left"/>
        <w:rPr>
          <w:b/>
          <w:bCs/>
          <w:kern w:val="32"/>
          <w:sz w:val="32"/>
          <w:highlight w:val="none"/>
          <w:lang w:bidi="he-IL"/>
        </w:rPr>
      </w:pPr>
    </w:p>
    <w:p w14:paraId="47F9A53F">
      <w:pPr>
        <w:widowControl/>
        <w:spacing w:line="800" w:lineRule="exact"/>
        <w:ind w:firstLine="790" w:firstLineChars="246"/>
        <w:jc w:val="left"/>
        <w:rPr>
          <w:b/>
          <w:bCs/>
          <w:kern w:val="32"/>
          <w:sz w:val="32"/>
          <w:highlight w:val="none"/>
          <w:lang w:bidi="he-IL"/>
        </w:rPr>
      </w:pPr>
    </w:p>
    <w:p w14:paraId="74D3BA85">
      <w:pPr>
        <w:widowControl/>
        <w:spacing w:line="480" w:lineRule="auto"/>
        <w:ind w:right="-192" w:rightChars="-80" w:firstLine="790" w:firstLineChars="246"/>
        <w:jc w:val="left"/>
        <w:rPr>
          <w:rFonts w:hint="default" w:eastAsia="仿宋_GB2312"/>
          <w:b/>
          <w:bCs/>
          <w:sz w:val="32"/>
          <w:szCs w:val="32"/>
          <w:highlight w:val="none"/>
          <w:lang w:val="en-US" w:eastAsia="zh-CN"/>
        </w:rPr>
      </w:pPr>
      <w:r>
        <w:rPr>
          <w:b/>
          <w:bCs/>
          <w:kern w:val="32"/>
          <w:sz w:val="32"/>
          <w:highlight w:val="none"/>
          <w:lang w:bidi="he-IL"/>
        </w:rPr>
        <w:t>项目名称：</w:t>
      </w:r>
      <w:r>
        <w:rPr>
          <w:rFonts w:hint="eastAsia"/>
          <w:b/>
          <w:bCs/>
          <w:sz w:val="32"/>
          <w:szCs w:val="32"/>
          <w:highlight w:val="none"/>
          <w:lang w:val="en-US" w:eastAsia="zh-CN"/>
        </w:rPr>
        <w:t>行政审批局信息化项目一期</w:t>
      </w:r>
    </w:p>
    <w:p w14:paraId="02B416F1">
      <w:pPr>
        <w:widowControl/>
        <w:spacing w:line="480" w:lineRule="auto"/>
        <w:ind w:right="-192" w:rightChars="-80" w:firstLine="790" w:firstLineChars="246"/>
        <w:jc w:val="left"/>
        <w:rPr>
          <w:b/>
          <w:bCs/>
          <w:sz w:val="32"/>
          <w:szCs w:val="32"/>
          <w:highlight w:val="none"/>
        </w:rPr>
      </w:pPr>
      <w:r>
        <w:rPr>
          <w:b/>
          <w:bCs/>
          <w:kern w:val="32"/>
          <w:sz w:val="32"/>
          <w:highlight w:val="none"/>
          <w:lang w:bidi="he-IL"/>
        </w:rPr>
        <w:t>项目单位：</w:t>
      </w:r>
      <w:r>
        <w:rPr>
          <w:rFonts w:hint="eastAsia"/>
          <w:b/>
          <w:bCs/>
          <w:kern w:val="32"/>
          <w:sz w:val="32"/>
          <w:highlight w:val="none"/>
          <w:lang w:bidi="he-IL"/>
        </w:rPr>
        <w:t>武汉经济技术开发区（汉南区）行政审批局</w:t>
      </w:r>
    </w:p>
    <w:p w14:paraId="40FD5B17">
      <w:pPr>
        <w:widowControl/>
        <w:spacing w:line="480" w:lineRule="auto"/>
        <w:ind w:firstLine="790" w:firstLineChars="246"/>
        <w:jc w:val="left"/>
        <w:rPr>
          <w:b/>
          <w:bCs/>
          <w:kern w:val="32"/>
          <w:sz w:val="32"/>
          <w:highlight w:val="none"/>
          <w:lang w:bidi="he-IL"/>
        </w:rPr>
      </w:pPr>
      <w:r>
        <w:rPr>
          <w:b/>
          <w:bCs/>
          <w:kern w:val="32"/>
          <w:sz w:val="32"/>
          <w:highlight w:val="none"/>
          <w:lang w:bidi="he-IL"/>
        </w:rPr>
        <w:t>主管部门：</w:t>
      </w:r>
      <w:r>
        <w:rPr>
          <w:rFonts w:hint="eastAsia"/>
          <w:b/>
          <w:bCs/>
          <w:kern w:val="32"/>
          <w:sz w:val="32"/>
          <w:highlight w:val="none"/>
          <w:lang w:bidi="he-IL"/>
        </w:rPr>
        <w:t>武汉经济技术开发区（汉南区）行政审批局</w:t>
      </w:r>
    </w:p>
    <w:p w14:paraId="7CF646D2">
      <w:pPr>
        <w:widowControl/>
        <w:spacing w:line="480" w:lineRule="auto"/>
        <w:ind w:firstLine="790" w:firstLineChars="246"/>
        <w:jc w:val="left"/>
        <w:rPr>
          <w:b/>
          <w:bCs/>
          <w:sz w:val="32"/>
          <w:szCs w:val="32"/>
          <w:highlight w:val="none"/>
        </w:rPr>
      </w:pPr>
      <w:r>
        <w:rPr>
          <w:b/>
          <w:bCs/>
          <w:kern w:val="32"/>
          <w:sz w:val="32"/>
          <w:highlight w:val="none"/>
          <w:lang w:bidi="he-IL"/>
        </w:rPr>
        <w:t>评价机构：</w:t>
      </w:r>
      <w:r>
        <w:rPr>
          <w:rFonts w:hint="eastAsia"/>
          <w:b/>
          <w:bCs/>
          <w:sz w:val="32"/>
          <w:szCs w:val="32"/>
          <w:highlight w:val="none"/>
        </w:rPr>
        <w:t>湖北正大会计师事务有限责任公司</w:t>
      </w:r>
    </w:p>
    <w:p w14:paraId="74E4C29A">
      <w:pPr>
        <w:spacing w:line="800" w:lineRule="exact"/>
        <w:ind w:firstLine="0" w:firstLineChars="0"/>
        <w:rPr>
          <w:b/>
          <w:bCs/>
          <w:sz w:val="32"/>
          <w:szCs w:val="32"/>
          <w:highlight w:val="none"/>
        </w:rPr>
      </w:pPr>
    </w:p>
    <w:p w14:paraId="47C6A0BE">
      <w:pPr>
        <w:spacing w:line="800" w:lineRule="exact"/>
        <w:ind w:firstLine="0" w:firstLineChars="0"/>
        <w:rPr>
          <w:b/>
          <w:bCs/>
          <w:sz w:val="32"/>
          <w:szCs w:val="32"/>
          <w:highlight w:val="none"/>
        </w:rPr>
      </w:pPr>
    </w:p>
    <w:p w14:paraId="6937F9E7">
      <w:pPr>
        <w:spacing w:line="800" w:lineRule="exact"/>
        <w:ind w:firstLine="0" w:firstLineChars="0"/>
        <w:jc w:val="center"/>
        <w:rPr>
          <w:b/>
          <w:bCs/>
          <w:sz w:val="32"/>
          <w:szCs w:val="32"/>
          <w:highlight w:val="none"/>
        </w:rPr>
      </w:pPr>
      <w:r>
        <w:rPr>
          <w:b/>
          <w:bCs/>
          <w:sz w:val="32"/>
          <w:szCs w:val="32"/>
          <w:highlight w:val="none"/>
        </w:rPr>
        <w:t>二〇</w:t>
      </w:r>
      <w:r>
        <w:rPr>
          <w:rFonts w:hint="eastAsia"/>
          <w:b/>
          <w:bCs/>
          <w:sz w:val="32"/>
          <w:szCs w:val="32"/>
          <w:highlight w:val="none"/>
        </w:rPr>
        <w:t>一九</w:t>
      </w:r>
      <w:r>
        <w:rPr>
          <w:b/>
          <w:bCs/>
          <w:sz w:val="32"/>
          <w:szCs w:val="32"/>
          <w:highlight w:val="none"/>
        </w:rPr>
        <w:t>年</w:t>
      </w:r>
      <w:r>
        <w:rPr>
          <w:rFonts w:hint="eastAsia"/>
          <w:b/>
          <w:bCs/>
          <w:sz w:val="32"/>
          <w:szCs w:val="32"/>
          <w:highlight w:val="none"/>
        </w:rPr>
        <w:t>七</w:t>
      </w:r>
      <w:r>
        <w:rPr>
          <w:b/>
          <w:bCs/>
          <w:sz w:val="32"/>
          <w:szCs w:val="32"/>
          <w:highlight w:val="none"/>
        </w:rPr>
        <w:t>月</w:t>
      </w:r>
    </w:p>
    <w:p w14:paraId="3852E2EA">
      <w:pPr>
        <w:pStyle w:val="15"/>
        <w:tabs>
          <w:tab w:val="right" w:leader="dot" w:pos="8693"/>
        </w:tabs>
        <w:ind w:firstLine="0" w:firstLineChars="0"/>
        <w:rPr>
          <w:rFonts w:ascii="Arial Narrow" w:hAnsi="Arial Narrow" w:cs="Arial Narrow"/>
          <w:bCs w:val="0"/>
          <w:caps w:val="0"/>
          <w:sz w:val="32"/>
          <w:szCs w:val="32"/>
          <w:highlight w:val="none"/>
        </w:rPr>
      </w:pPr>
    </w:p>
    <w:sdt>
      <w:sdtPr>
        <w:rPr>
          <w:rFonts w:ascii="Times New Roman" w:hAnsi="Times New Roman" w:eastAsia="仿宋_GB2312"/>
          <w:b w:val="0"/>
          <w:bCs w:val="0"/>
          <w:color w:val="auto"/>
          <w:kern w:val="2"/>
          <w:sz w:val="24"/>
          <w:szCs w:val="24"/>
          <w:highlight w:val="none"/>
          <w:lang w:val="zh-CN"/>
        </w:rPr>
        <w:id w:val="-1191839909"/>
        <w:docPartObj>
          <w:docPartGallery w:val="Table of Contents"/>
          <w:docPartUnique/>
        </w:docPartObj>
      </w:sdtPr>
      <w:sdtEndPr>
        <w:rPr>
          <w:rFonts w:ascii="Times New Roman" w:hAnsi="Times New Roman" w:eastAsia="仿宋_GB2312"/>
          <w:b w:val="0"/>
          <w:bCs w:val="0"/>
          <w:color w:val="auto"/>
          <w:kern w:val="2"/>
          <w:sz w:val="24"/>
          <w:szCs w:val="24"/>
          <w:highlight w:val="none"/>
          <w:lang w:val="zh-CN"/>
        </w:rPr>
      </w:sdtEndPr>
      <w:sdtContent>
        <w:p w14:paraId="37A2C455">
          <w:pPr>
            <w:spacing w:before="0" w:beforeLines="0" w:after="0" w:afterLines="0" w:line="240" w:lineRule="auto"/>
            <w:ind w:left="0" w:leftChars="0" w:right="0" w:rightChars="0" w:firstLine="0" w:firstLineChars="0"/>
            <w:jc w:val="center"/>
          </w:pPr>
          <w:r>
            <w:rPr>
              <w:rFonts w:ascii="宋体" w:hAnsi="宋体" w:eastAsia="宋体"/>
              <w:b/>
              <w:bCs/>
              <w:sz w:val="28"/>
              <w:szCs w:val="28"/>
            </w:rPr>
            <w:t>目录</w:t>
          </w:r>
        </w:p>
        <w:p w14:paraId="6F1DE088">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sz w:val="24"/>
              <w:szCs w:val="24"/>
              <w:highlight w:val="none"/>
            </w:rPr>
            <w:fldChar w:fldCharType="begin"/>
          </w:r>
          <w:r>
            <w:rPr>
              <w:rFonts w:ascii="仿宋" w:hAnsi="仿宋" w:eastAsia="仿宋"/>
              <w:sz w:val="24"/>
              <w:szCs w:val="24"/>
              <w:highlight w:val="none"/>
            </w:rPr>
            <w:instrText xml:space="preserve"> TOC \o "1-3" \h \z \u </w:instrText>
          </w:r>
          <w:r>
            <w:rPr>
              <w:rFonts w:ascii="仿宋" w:hAnsi="仿宋" w:eastAsia="仿宋"/>
              <w:sz w:val="24"/>
              <w:szCs w:val="24"/>
              <w:highlight w:val="none"/>
            </w:rPr>
            <w:fldChar w:fldCharType="separate"/>
          </w:r>
          <w:r>
            <w:rPr>
              <w:rFonts w:ascii="仿宋" w:hAnsi="仿宋" w:eastAsia="仿宋"/>
              <w:szCs w:val="24"/>
              <w:highlight w:val="none"/>
            </w:rPr>
            <w:fldChar w:fldCharType="begin"/>
          </w:r>
          <w:r>
            <w:rPr>
              <w:rFonts w:ascii="仿宋" w:hAnsi="仿宋" w:eastAsia="仿宋"/>
              <w:szCs w:val="24"/>
              <w:highlight w:val="none"/>
            </w:rPr>
            <w:instrText xml:space="preserve"> HYPERLINK \l _Toc913 </w:instrText>
          </w:r>
          <w:r>
            <w:rPr>
              <w:rFonts w:ascii="仿宋" w:hAnsi="仿宋" w:eastAsia="仿宋"/>
              <w:szCs w:val="24"/>
              <w:highlight w:val="none"/>
            </w:rPr>
            <w:fldChar w:fldCharType="separate"/>
          </w:r>
          <w:r>
            <w:rPr>
              <w:rFonts w:hint="eastAsia" w:ascii="仿宋" w:hAnsi="仿宋" w:eastAsia="仿宋" w:cs="仿宋"/>
              <w:szCs w:val="32"/>
              <w:highlight w:val="none"/>
              <w:lang w:val="en-US" w:eastAsia="zh-CN"/>
            </w:rPr>
            <w:t>一、</w:t>
          </w:r>
          <w:r>
            <w:rPr>
              <w:rFonts w:hint="eastAsia" w:ascii="仿宋" w:hAnsi="仿宋" w:eastAsia="仿宋" w:cs="仿宋"/>
              <w:szCs w:val="32"/>
              <w:highlight w:val="none"/>
            </w:rPr>
            <w:t>摘要</w:t>
          </w:r>
          <w:r>
            <w:tab/>
          </w:r>
          <w:r>
            <w:fldChar w:fldCharType="begin"/>
          </w:r>
          <w:r>
            <w:instrText xml:space="preserve"> PAGEREF _Toc913 </w:instrText>
          </w:r>
          <w:r>
            <w:fldChar w:fldCharType="separate"/>
          </w:r>
          <w:r>
            <w:t>1</w:t>
          </w:r>
          <w:r>
            <w:fldChar w:fldCharType="end"/>
          </w:r>
          <w:r>
            <w:rPr>
              <w:rFonts w:ascii="仿宋" w:hAnsi="仿宋" w:eastAsia="仿宋"/>
              <w:szCs w:val="24"/>
              <w:highlight w:val="none"/>
            </w:rPr>
            <w:fldChar w:fldCharType="end"/>
          </w:r>
        </w:p>
        <w:p w14:paraId="33B9595E">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_Toc10917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（一）</w:t>
          </w:r>
          <w:r>
            <w:rPr>
              <w:rFonts w:hint="eastAsia" w:ascii="仿宋" w:hAnsi="仿宋" w:eastAsia="仿宋" w:cs="Arial Narrow"/>
              <w:szCs w:val="28"/>
              <w:highlight w:val="none"/>
            </w:rPr>
            <w:t>基本情况</w:t>
          </w:r>
          <w:r>
            <w:tab/>
          </w:r>
          <w:r>
            <w:fldChar w:fldCharType="begin"/>
          </w:r>
          <w:r>
            <w:instrText xml:space="preserve"> PAGEREF _Toc10917 </w:instrText>
          </w:r>
          <w:r>
            <w:fldChar w:fldCharType="separate"/>
          </w:r>
          <w:r>
            <w:t>1</w:t>
          </w:r>
          <w:r>
            <w:fldChar w:fldCharType="end"/>
          </w:r>
          <w:r>
            <w:rPr>
              <w:rFonts w:ascii="仿宋" w:hAnsi="仿宋" w:eastAsia="仿宋"/>
              <w:bCs/>
              <w:highlight w:val="none"/>
              <w:lang w:val="zh-CN"/>
            </w:rPr>
            <w:fldChar w:fldCharType="end"/>
          </w:r>
        </w:p>
        <w:p w14:paraId="6A853245">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_Toc24897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1、项目基本情况</w:t>
          </w:r>
          <w:r>
            <w:rPr>
              <w:b w:val="0"/>
              <w:bCs w:val="0"/>
            </w:rPr>
            <w:tab/>
          </w:r>
          <w:r>
            <w:rPr>
              <w:b w:val="0"/>
              <w:bCs w:val="0"/>
            </w:rPr>
            <w:fldChar w:fldCharType="begin"/>
          </w:r>
          <w:r>
            <w:rPr>
              <w:b w:val="0"/>
              <w:bCs w:val="0"/>
            </w:rPr>
            <w:instrText xml:space="preserve"> PAGEREF _Toc24897 </w:instrText>
          </w:r>
          <w:r>
            <w:rPr>
              <w:b w:val="0"/>
              <w:bCs w:val="0"/>
            </w:rPr>
            <w:fldChar w:fldCharType="separate"/>
          </w:r>
          <w:r>
            <w:rPr>
              <w:b w:val="0"/>
              <w:bCs w:val="0"/>
            </w:rPr>
            <w:t>1</w:t>
          </w:r>
          <w:r>
            <w:rPr>
              <w:b w:val="0"/>
              <w:bCs w:val="0"/>
            </w:rPr>
            <w:fldChar w:fldCharType="end"/>
          </w:r>
          <w:r>
            <w:rPr>
              <w:rFonts w:ascii="仿宋" w:hAnsi="仿宋" w:eastAsia="仿宋"/>
              <w:b w:val="0"/>
              <w:bCs w:val="0"/>
              <w:highlight w:val="none"/>
              <w:lang w:val="zh-CN"/>
            </w:rPr>
            <w:fldChar w:fldCharType="end"/>
          </w:r>
        </w:p>
        <w:p w14:paraId="06B7EC70">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_Toc23377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2、绩效评价工作情况</w:t>
          </w:r>
          <w:r>
            <w:rPr>
              <w:b w:val="0"/>
              <w:bCs w:val="0"/>
            </w:rPr>
            <w:tab/>
          </w:r>
          <w:r>
            <w:rPr>
              <w:b w:val="0"/>
              <w:bCs w:val="0"/>
            </w:rPr>
            <w:fldChar w:fldCharType="begin"/>
          </w:r>
          <w:r>
            <w:rPr>
              <w:b w:val="0"/>
              <w:bCs w:val="0"/>
            </w:rPr>
            <w:instrText xml:space="preserve"> PAGEREF _Toc23377 </w:instrText>
          </w:r>
          <w:r>
            <w:rPr>
              <w:b w:val="0"/>
              <w:bCs w:val="0"/>
            </w:rPr>
            <w:fldChar w:fldCharType="separate"/>
          </w:r>
          <w:r>
            <w:rPr>
              <w:b w:val="0"/>
              <w:bCs w:val="0"/>
            </w:rPr>
            <w:t>1</w:t>
          </w:r>
          <w:r>
            <w:rPr>
              <w:b w:val="0"/>
              <w:bCs w:val="0"/>
            </w:rPr>
            <w:fldChar w:fldCharType="end"/>
          </w:r>
          <w:r>
            <w:rPr>
              <w:rFonts w:ascii="仿宋" w:hAnsi="仿宋" w:eastAsia="仿宋"/>
              <w:b w:val="0"/>
              <w:bCs w:val="0"/>
              <w:highlight w:val="none"/>
              <w:lang w:val="zh-CN"/>
            </w:rPr>
            <w:fldChar w:fldCharType="end"/>
          </w:r>
        </w:p>
        <w:p w14:paraId="51E62D33">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_Toc28457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（二）绩效评价结论</w:t>
          </w:r>
          <w:r>
            <w:tab/>
          </w:r>
          <w:r>
            <w:fldChar w:fldCharType="begin"/>
          </w:r>
          <w:r>
            <w:instrText xml:space="preserve"> PAGEREF _Toc28457 </w:instrText>
          </w:r>
          <w:r>
            <w:fldChar w:fldCharType="separate"/>
          </w:r>
          <w:r>
            <w:t>1</w:t>
          </w:r>
          <w:r>
            <w:fldChar w:fldCharType="end"/>
          </w:r>
          <w:r>
            <w:rPr>
              <w:rFonts w:ascii="仿宋" w:hAnsi="仿宋" w:eastAsia="仿宋"/>
              <w:bCs/>
              <w:highlight w:val="none"/>
              <w:lang w:val="zh-CN"/>
            </w:rPr>
            <w:fldChar w:fldCharType="end"/>
          </w:r>
        </w:p>
        <w:p w14:paraId="62115490">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_Toc23165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（三）项目经验与问题</w:t>
          </w:r>
          <w:r>
            <w:tab/>
          </w:r>
          <w:r>
            <w:fldChar w:fldCharType="begin"/>
          </w:r>
          <w:r>
            <w:instrText xml:space="preserve"> PAGEREF _Toc23165 </w:instrText>
          </w:r>
          <w:r>
            <w:fldChar w:fldCharType="separate"/>
          </w:r>
          <w:r>
            <w:t>1</w:t>
          </w:r>
          <w:r>
            <w:fldChar w:fldCharType="end"/>
          </w:r>
          <w:r>
            <w:rPr>
              <w:rFonts w:ascii="仿宋" w:hAnsi="仿宋" w:eastAsia="仿宋"/>
              <w:bCs/>
              <w:highlight w:val="none"/>
              <w:lang w:val="zh-CN"/>
            </w:rPr>
            <w:fldChar w:fldCharType="end"/>
          </w:r>
        </w:p>
        <w:p w14:paraId="4A2CED76">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_Toc23835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1、经验</w:t>
          </w:r>
          <w:r>
            <w:rPr>
              <w:b w:val="0"/>
              <w:bCs w:val="0"/>
            </w:rPr>
            <w:tab/>
          </w:r>
          <w:r>
            <w:rPr>
              <w:b w:val="0"/>
              <w:bCs w:val="0"/>
            </w:rPr>
            <w:fldChar w:fldCharType="begin"/>
          </w:r>
          <w:r>
            <w:rPr>
              <w:b w:val="0"/>
              <w:bCs w:val="0"/>
            </w:rPr>
            <w:instrText xml:space="preserve"> PAGEREF _Toc23835 </w:instrText>
          </w:r>
          <w:r>
            <w:rPr>
              <w:b w:val="0"/>
              <w:bCs w:val="0"/>
            </w:rPr>
            <w:fldChar w:fldCharType="separate"/>
          </w:r>
          <w:r>
            <w:rPr>
              <w:b w:val="0"/>
              <w:bCs w:val="0"/>
            </w:rPr>
            <w:t>1</w:t>
          </w:r>
          <w:r>
            <w:rPr>
              <w:b w:val="0"/>
              <w:bCs w:val="0"/>
            </w:rPr>
            <w:fldChar w:fldCharType="end"/>
          </w:r>
          <w:r>
            <w:rPr>
              <w:rFonts w:ascii="仿宋" w:hAnsi="仿宋" w:eastAsia="仿宋"/>
              <w:b w:val="0"/>
              <w:bCs w:val="0"/>
              <w:highlight w:val="none"/>
              <w:lang w:val="zh-CN"/>
            </w:rPr>
            <w:fldChar w:fldCharType="end"/>
          </w:r>
        </w:p>
        <w:p w14:paraId="23ED9D8D">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_Toc7139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2、问题</w:t>
          </w:r>
          <w:r>
            <w:rPr>
              <w:b w:val="0"/>
              <w:bCs w:val="0"/>
            </w:rPr>
            <w:tab/>
          </w:r>
          <w:r>
            <w:rPr>
              <w:b w:val="0"/>
              <w:bCs w:val="0"/>
            </w:rPr>
            <w:fldChar w:fldCharType="begin"/>
          </w:r>
          <w:r>
            <w:rPr>
              <w:b w:val="0"/>
              <w:bCs w:val="0"/>
            </w:rPr>
            <w:instrText xml:space="preserve"> PAGEREF _Toc7139 </w:instrText>
          </w:r>
          <w:r>
            <w:rPr>
              <w:b w:val="0"/>
              <w:bCs w:val="0"/>
            </w:rPr>
            <w:fldChar w:fldCharType="separate"/>
          </w:r>
          <w:r>
            <w:rPr>
              <w:b w:val="0"/>
              <w:bCs w:val="0"/>
            </w:rPr>
            <w:t>2</w:t>
          </w:r>
          <w:r>
            <w:rPr>
              <w:b w:val="0"/>
              <w:bCs w:val="0"/>
            </w:rPr>
            <w:fldChar w:fldCharType="end"/>
          </w:r>
          <w:r>
            <w:rPr>
              <w:rFonts w:ascii="仿宋" w:hAnsi="仿宋" w:eastAsia="仿宋"/>
              <w:b w:val="0"/>
              <w:bCs w:val="0"/>
              <w:highlight w:val="none"/>
              <w:lang w:val="zh-CN"/>
            </w:rPr>
            <w:fldChar w:fldCharType="end"/>
          </w:r>
        </w:p>
        <w:p w14:paraId="3B57AB19">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_Toc3671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（四）建议</w:t>
          </w:r>
          <w:r>
            <w:tab/>
          </w:r>
          <w:r>
            <w:fldChar w:fldCharType="begin"/>
          </w:r>
          <w:r>
            <w:instrText xml:space="preserve"> PAGEREF _Toc3671 </w:instrText>
          </w:r>
          <w:r>
            <w:fldChar w:fldCharType="separate"/>
          </w:r>
          <w:r>
            <w:t>2</w:t>
          </w:r>
          <w:r>
            <w:fldChar w:fldCharType="end"/>
          </w:r>
          <w:r>
            <w:rPr>
              <w:rFonts w:ascii="仿宋" w:hAnsi="仿宋" w:eastAsia="仿宋"/>
              <w:bCs/>
              <w:highlight w:val="none"/>
              <w:lang w:val="zh-CN"/>
            </w:rPr>
            <w:fldChar w:fldCharType="end"/>
          </w:r>
        </w:p>
        <w:p w14:paraId="0C2AF1AB">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_Toc25220 </w:instrText>
          </w:r>
          <w:r>
            <w:rPr>
              <w:rFonts w:ascii="仿宋" w:hAnsi="仿宋" w:eastAsia="仿宋"/>
              <w:bCs/>
              <w:highlight w:val="none"/>
              <w:lang w:val="zh-CN"/>
            </w:rPr>
            <w:fldChar w:fldCharType="separate"/>
          </w:r>
          <w:r>
            <w:rPr>
              <w:rFonts w:hint="eastAsia" w:ascii="仿宋" w:hAnsi="仿宋" w:eastAsia="仿宋" w:cs="仿宋"/>
              <w:szCs w:val="32"/>
              <w:highlight w:val="none"/>
              <w:lang w:val="en-US" w:eastAsia="zh-CN"/>
            </w:rPr>
            <w:t>二、正文</w:t>
          </w:r>
          <w:r>
            <w:tab/>
          </w:r>
          <w:r>
            <w:fldChar w:fldCharType="begin"/>
          </w:r>
          <w:r>
            <w:instrText xml:space="preserve"> PAGEREF _Toc25220 </w:instrText>
          </w:r>
          <w:r>
            <w:fldChar w:fldCharType="separate"/>
          </w:r>
          <w:r>
            <w:t>3</w:t>
          </w:r>
          <w:r>
            <w:fldChar w:fldCharType="end"/>
          </w:r>
          <w:r>
            <w:rPr>
              <w:rFonts w:ascii="仿宋" w:hAnsi="仿宋" w:eastAsia="仿宋"/>
              <w:bCs/>
              <w:highlight w:val="none"/>
              <w:lang w:val="zh-CN"/>
            </w:rPr>
            <w:fldChar w:fldCharType="end"/>
          </w:r>
        </w:p>
        <w:p w14:paraId="72240DBB">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_Toc31636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（一）项目基本情况</w:t>
          </w:r>
          <w:r>
            <w:tab/>
          </w:r>
          <w:r>
            <w:fldChar w:fldCharType="begin"/>
          </w:r>
          <w:r>
            <w:instrText xml:space="preserve"> PAGEREF _Toc31636 </w:instrText>
          </w:r>
          <w:r>
            <w:fldChar w:fldCharType="separate"/>
          </w:r>
          <w:r>
            <w:t>3</w:t>
          </w:r>
          <w:r>
            <w:fldChar w:fldCharType="end"/>
          </w:r>
          <w:r>
            <w:rPr>
              <w:rFonts w:ascii="仿宋" w:hAnsi="仿宋" w:eastAsia="仿宋"/>
              <w:bCs/>
              <w:highlight w:val="none"/>
              <w:lang w:val="zh-CN"/>
            </w:rPr>
            <w:fldChar w:fldCharType="end"/>
          </w:r>
        </w:p>
        <w:p w14:paraId="557FB354">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_Toc26381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1、</w:t>
          </w:r>
          <w:r>
            <w:rPr>
              <w:rFonts w:hint="eastAsia" w:ascii="仿宋" w:hAnsi="仿宋" w:eastAsia="仿宋" w:cs="Arial Narrow"/>
              <w:b w:val="0"/>
              <w:bCs w:val="0"/>
              <w:highlight w:val="none"/>
            </w:rPr>
            <w:t>项目立项背景和依据</w:t>
          </w:r>
          <w:r>
            <w:rPr>
              <w:b w:val="0"/>
              <w:bCs w:val="0"/>
            </w:rPr>
            <w:tab/>
          </w:r>
          <w:r>
            <w:rPr>
              <w:b w:val="0"/>
              <w:bCs w:val="0"/>
            </w:rPr>
            <w:fldChar w:fldCharType="begin"/>
          </w:r>
          <w:r>
            <w:rPr>
              <w:b w:val="0"/>
              <w:bCs w:val="0"/>
            </w:rPr>
            <w:instrText xml:space="preserve"> PAGEREF _Toc26381 </w:instrText>
          </w:r>
          <w:r>
            <w:rPr>
              <w:b w:val="0"/>
              <w:bCs w:val="0"/>
            </w:rPr>
            <w:fldChar w:fldCharType="separate"/>
          </w:r>
          <w:r>
            <w:rPr>
              <w:b w:val="0"/>
              <w:bCs w:val="0"/>
            </w:rPr>
            <w:t>3</w:t>
          </w:r>
          <w:r>
            <w:rPr>
              <w:b w:val="0"/>
              <w:bCs w:val="0"/>
            </w:rPr>
            <w:fldChar w:fldCharType="end"/>
          </w:r>
          <w:r>
            <w:rPr>
              <w:rFonts w:ascii="仿宋" w:hAnsi="仿宋" w:eastAsia="仿宋"/>
              <w:b w:val="0"/>
              <w:bCs w:val="0"/>
              <w:highlight w:val="none"/>
              <w:lang w:val="zh-CN"/>
            </w:rPr>
            <w:fldChar w:fldCharType="end"/>
          </w:r>
        </w:p>
        <w:p w14:paraId="0687660E">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_Toc23121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2、</w:t>
          </w:r>
          <w:r>
            <w:rPr>
              <w:rFonts w:hint="eastAsia" w:ascii="仿宋" w:hAnsi="仿宋" w:eastAsia="仿宋" w:cs="Arial Narrow"/>
              <w:b w:val="0"/>
              <w:bCs w:val="0"/>
              <w:highlight w:val="none"/>
            </w:rPr>
            <w:t>项目绩效目标</w:t>
          </w:r>
          <w:r>
            <w:rPr>
              <w:b w:val="0"/>
              <w:bCs w:val="0"/>
            </w:rPr>
            <w:tab/>
          </w:r>
          <w:r>
            <w:rPr>
              <w:b w:val="0"/>
              <w:bCs w:val="0"/>
            </w:rPr>
            <w:fldChar w:fldCharType="begin"/>
          </w:r>
          <w:r>
            <w:rPr>
              <w:b w:val="0"/>
              <w:bCs w:val="0"/>
            </w:rPr>
            <w:instrText xml:space="preserve"> PAGEREF _Toc23121 </w:instrText>
          </w:r>
          <w:r>
            <w:rPr>
              <w:b w:val="0"/>
              <w:bCs w:val="0"/>
            </w:rPr>
            <w:fldChar w:fldCharType="separate"/>
          </w:r>
          <w:r>
            <w:rPr>
              <w:b w:val="0"/>
              <w:bCs w:val="0"/>
            </w:rPr>
            <w:t>3</w:t>
          </w:r>
          <w:r>
            <w:rPr>
              <w:b w:val="0"/>
              <w:bCs w:val="0"/>
            </w:rPr>
            <w:fldChar w:fldCharType="end"/>
          </w:r>
          <w:r>
            <w:rPr>
              <w:rFonts w:ascii="仿宋" w:hAnsi="仿宋" w:eastAsia="仿宋"/>
              <w:b w:val="0"/>
              <w:bCs w:val="0"/>
              <w:highlight w:val="none"/>
              <w:lang w:val="zh-CN"/>
            </w:rPr>
            <w:fldChar w:fldCharType="end"/>
          </w:r>
        </w:p>
        <w:p w14:paraId="57928E02">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_Toc4709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3、</w:t>
          </w:r>
          <w:r>
            <w:rPr>
              <w:rFonts w:hint="eastAsia" w:ascii="仿宋" w:hAnsi="仿宋" w:eastAsia="仿宋" w:cs="Arial Narrow"/>
              <w:b w:val="0"/>
              <w:bCs w:val="0"/>
              <w:highlight w:val="none"/>
            </w:rPr>
            <w:t>项目经费来源和使用情况</w:t>
          </w:r>
          <w:r>
            <w:rPr>
              <w:b w:val="0"/>
              <w:bCs w:val="0"/>
            </w:rPr>
            <w:tab/>
          </w:r>
          <w:r>
            <w:rPr>
              <w:b w:val="0"/>
              <w:bCs w:val="0"/>
            </w:rPr>
            <w:fldChar w:fldCharType="begin"/>
          </w:r>
          <w:r>
            <w:rPr>
              <w:b w:val="0"/>
              <w:bCs w:val="0"/>
            </w:rPr>
            <w:instrText xml:space="preserve"> PAGEREF _Toc4709 </w:instrText>
          </w:r>
          <w:r>
            <w:rPr>
              <w:b w:val="0"/>
              <w:bCs w:val="0"/>
            </w:rPr>
            <w:fldChar w:fldCharType="separate"/>
          </w:r>
          <w:r>
            <w:rPr>
              <w:b w:val="0"/>
              <w:bCs w:val="0"/>
            </w:rPr>
            <w:t>3</w:t>
          </w:r>
          <w:r>
            <w:rPr>
              <w:b w:val="0"/>
              <w:bCs w:val="0"/>
            </w:rPr>
            <w:fldChar w:fldCharType="end"/>
          </w:r>
          <w:r>
            <w:rPr>
              <w:rFonts w:ascii="仿宋" w:hAnsi="仿宋" w:eastAsia="仿宋"/>
              <w:b w:val="0"/>
              <w:bCs w:val="0"/>
              <w:highlight w:val="none"/>
              <w:lang w:val="zh-CN"/>
            </w:rPr>
            <w:fldChar w:fldCharType="end"/>
          </w:r>
        </w:p>
        <w:p w14:paraId="34D7DCA0">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_Toc23481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4、</w:t>
          </w:r>
          <w:r>
            <w:rPr>
              <w:rFonts w:hint="eastAsia" w:ascii="仿宋" w:hAnsi="仿宋" w:eastAsia="仿宋" w:cs="Arial Narrow"/>
              <w:b w:val="0"/>
              <w:bCs w:val="0"/>
              <w:highlight w:val="none"/>
            </w:rPr>
            <w:t>项目实施情况</w:t>
          </w:r>
          <w:r>
            <w:rPr>
              <w:b w:val="0"/>
              <w:bCs w:val="0"/>
            </w:rPr>
            <w:tab/>
          </w:r>
          <w:r>
            <w:rPr>
              <w:b w:val="0"/>
              <w:bCs w:val="0"/>
            </w:rPr>
            <w:fldChar w:fldCharType="begin"/>
          </w:r>
          <w:r>
            <w:rPr>
              <w:b w:val="0"/>
              <w:bCs w:val="0"/>
            </w:rPr>
            <w:instrText xml:space="preserve"> PAGEREF _Toc23481 </w:instrText>
          </w:r>
          <w:r>
            <w:rPr>
              <w:b w:val="0"/>
              <w:bCs w:val="0"/>
            </w:rPr>
            <w:fldChar w:fldCharType="separate"/>
          </w:r>
          <w:r>
            <w:rPr>
              <w:b w:val="0"/>
              <w:bCs w:val="0"/>
            </w:rPr>
            <w:t>3</w:t>
          </w:r>
          <w:r>
            <w:rPr>
              <w:b w:val="0"/>
              <w:bCs w:val="0"/>
            </w:rPr>
            <w:fldChar w:fldCharType="end"/>
          </w:r>
          <w:r>
            <w:rPr>
              <w:rFonts w:ascii="仿宋" w:hAnsi="仿宋" w:eastAsia="仿宋"/>
              <w:b w:val="0"/>
              <w:bCs w:val="0"/>
              <w:highlight w:val="none"/>
              <w:lang w:val="zh-CN"/>
            </w:rPr>
            <w:fldChar w:fldCharType="end"/>
          </w:r>
        </w:p>
        <w:p w14:paraId="2B32A0BC">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_Toc30078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（二）绩效评价工作情况</w:t>
          </w:r>
          <w:r>
            <w:tab/>
          </w:r>
          <w:r>
            <w:fldChar w:fldCharType="begin"/>
          </w:r>
          <w:r>
            <w:instrText xml:space="preserve"> PAGEREF _Toc30078 </w:instrText>
          </w:r>
          <w:r>
            <w:fldChar w:fldCharType="separate"/>
          </w:r>
          <w:r>
            <w:t>4</w:t>
          </w:r>
          <w:r>
            <w:fldChar w:fldCharType="end"/>
          </w:r>
          <w:r>
            <w:rPr>
              <w:rFonts w:ascii="仿宋" w:hAnsi="仿宋" w:eastAsia="仿宋"/>
              <w:bCs/>
              <w:highlight w:val="none"/>
              <w:lang w:val="zh-CN"/>
            </w:rPr>
            <w:fldChar w:fldCharType="end"/>
          </w:r>
        </w:p>
        <w:p w14:paraId="71E4608B">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_Toc10142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1、</w:t>
          </w:r>
          <w:r>
            <w:rPr>
              <w:rFonts w:hint="eastAsia" w:ascii="仿宋" w:hAnsi="仿宋" w:eastAsia="仿宋" w:cs="Arial Narrow"/>
              <w:b w:val="0"/>
              <w:bCs w:val="0"/>
              <w:highlight w:val="none"/>
            </w:rPr>
            <w:t>绩效评价目的</w:t>
          </w:r>
          <w:r>
            <w:rPr>
              <w:b w:val="0"/>
              <w:bCs w:val="0"/>
            </w:rPr>
            <w:tab/>
          </w:r>
          <w:r>
            <w:rPr>
              <w:b w:val="0"/>
              <w:bCs w:val="0"/>
            </w:rPr>
            <w:fldChar w:fldCharType="begin"/>
          </w:r>
          <w:r>
            <w:rPr>
              <w:b w:val="0"/>
              <w:bCs w:val="0"/>
            </w:rPr>
            <w:instrText xml:space="preserve"> PAGEREF _Toc10142 </w:instrText>
          </w:r>
          <w:r>
            <w:rPr>
              <w:b w:val="0"/>
              <w:bCs w:val="0"/>
            </w:rPr>
            <w:fldChar w:fldCharType="separate"/>
          </w:r>
          <w:r>
            <w:rPr>
              <w:b w:val="0"/>
              <w:bCs w:val="0"/>
            </w:rPr>
            <w:t>4</w:t>
          </w:r>
          <w:r>
            <w:rPr>
              <w:b w:val="0"/>
              <w:bCs w:val="0"/>
            </w:rPr>
            <w:fldChar w:fldCharType="end"/>
          </w:r>
          <w:r>
            <w:rPr>
              <w:rFonts w:ascii="仿宋" w:hAnsi="仿宋" w:eastAsia="仿宋"/>
              <w:b w:val="0"/>
              <w:bCs w:val="0"/>
              <w:highlight w:val="none"/>
              <w:lang w:val="zh-CN"/>
            </w:rPr>
            <w:fldChar w:fldCharType="end"/>
          </w:r>
        </w:p>
        <w:p w14:paraId="193C46D0">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_Toc12516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2、</w:t>
          </w:r>
          <w:r>
            <w:rPr>
              <w:rFonts w:hint="eastAsia" w:ascii="仿宋" w:hAnsi="仿宋" w:eastAsia="仿宋" w:cs="Arial Narrow"/>
              <w:b w:val="0"/>
              <w:bCs w:val="0"/>
              <w:highlight w:val="none"/>
            </w:rPr>
            <w:t>绩效评价工作过程</w:t>
          </w:r>
          <w:r>
            <w:rPr>
              <w:b w:val="0"/>
              <w:bCs w:val="0"/>
            </w:rPr>
            <w:tab/>
          </w:r>
          <w:r>
            <w:rPr>
              <w:b w:val="0"/>
              <w:bCs w:val="0"/>
            </w:rPr>
            <w:fldChar w:fldCharType="begin"/>
          </w:r>
          <w:r>
            <w:rPr>
              <w:b w:val="0"/>
              <w:bCs w:val="0"/>
            </w:rPr>
            <w:instrText xml:space="preserve"> PAGEREF _Toc12516 </w:instrText>
          </w:r>
          <w:r>
            <w:rPr>
              <w:b w:val="0"/>
              <w:bCs w:val="0"/>
            </w:rPr>
            <w:fldChar w:fldCharType="separate"/>
          </w:r>
          <w:r>
            <w:rPr>
              <w:b w:val="0"/>
              <w:bCs w:val="0"/>
            </w:rPr>
            <w:t>4</w:t>
          </w:r>
          <w:r>
            <w:rPr>
              <w:b w:val="0"/>
              <w:bCs w:val="0"/>
            </w:rPr>
            <w:fldChar w:fldCharType="end"/>
          </w:r>
          <w:r>
            <w:rPr>
              <w:rFonts w:ascii="仿宋" w:hAnsi="仿宋" w:eastAsia="仿宋"/>
              <w:b w:val="0"/>
              <w:bCs w:val="0"/>
              <w:highlight w:val="none"/>
              <w:lang w:val="zh-CN"/>
            </w:rPr>
            <w:fldChar w:fldCharType="end"/>
          </w:r>
        </w:p>
        <w:p w14:paraId="1A98E2C1">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_Toc7253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3、</w:t>
          </w:r>
          <w:r>
            <w:rPr>
              <w:rFonts w:hint="eastAsia" w:ascii="仿宋" w:hAnsi="仿宋" w:eastAsia="仿宋" w:cs="Arial Narrow"/>
              <w:b w:val="0"/>
              <w:bCs w:val="0"/>
              <w:highlight w:val="none"/>
            </w:rPr>
            <w:t>绩效评价框架</w:t>
          </w:r>
          <w:r>
            <w:rPr>
              <w:b w:val="0"/>
              <w:bCs w:val="0"/>
            </w:rPr>
            <w:tab/>
          </w:r>
          <w:r>
            <w:rPr>
              <w:b w:val="0"/>
              <w:bCs w:val="0"/>
            </w:rPr>
            <w:fldChar w:fldCharType="begin"/>
          </w:r>
          <w:r>
            <w:rPr>
              <w:b w:val="0"/>
              <w:bCs w:val="0"/>
            </w:rPr>
            <w:instrText xml:space="preserve"> PAGEREF _Toc7253 </w:instrText>
          </w:r>
          <w:r>
            <w:rPr>
              <w:b w:val="0"/>
              <w:bCs w:val="0"/>
            </w:rPr>
            <w:fldChar w:fldCharType="separate"/>
          </w:r>
          <w:r>
            <w:rPr>
              <w:b w:val="0"/>
              <w:bCs w:val="0"/>
            </w:rPr>
            <w:t>4</w:t>
          </w:r>
          <w:r>
            <w:rPr>
              <w:b w:val="0"/>
              <w:bCs w:val="0"/>
            </w:rPr>
            <w:fldChar w:fldCharType="end"/>
          </w:r>
          <w:r>
            <w:rPr>
              <w:rFonts w:ascii="仿宋" w:hAnsi="仿宋" w:eastAsia="仿宋"/>
              <w:b w:val="0"/>
              <w:bCs w:val="0"/>
              <w:highlight w:val="none"/>
              <w:lang w:val="zh-CN"/>
            </w:rPr>
            <w:fldChar w:fldCharType="end"/>
          </w:r>
        </w:p>
        <w:p w14:paraId="3E3CAA58">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_Toc20900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4、</w:t>
          </w:r>
          <w:r>
            <w:rPr>
              <w:rFonts w:hint="eastAsia" w:ascii="仿宋" w:hAnsi="仿宋" w:eastAsia="仿宋" w:cs="Arial Narrow"/>
              <w:b w:val="0"/>
              <w:bCs w:val="0"/>
              <w:highlight w:val="none"/>
            </w:rPr>
            <w:t>评价抽样情况概述</w:t>
          </w:r>
          <w:r>
            <w:rPr>
              <w:b w:val="0"/>
              <w:bCs w:val="0"/>
            </w:rPr>
            <w:tab/>
          </w:r>
          <w:r>
            <w:rPr>
              <w:b w:val="0"/>
              <w:bCs w:val="0"/>
            </w:rPr>
            <w:fldChar w:fldCharType="begin"/>
          </w:r>
          <w:r>
            <w:rPr>
              <w:b w:val="0"/>
              <w:bCs w:val="0"/>
            </w:rPr>
            <w:instrText xml:space="preserve"> PAGEREF _Toc20900 </w:instrText>
          </w:r>
          <w:r>
            <w:rPr>
              <w:b w:val="0"/>
              <w:bCs w:val="0"/>
            </w:rPr>
            <w:fldChar w:fldCharType="separate"/>
          </w:r>
          <w:r>
            <w:rPr>
              <w:b w:val="0"/>
              <w:bCs w:val="0"/>
            </w:rPr>
            <w:t>6</w:t>
          </w:r>
          <w:r>
            <w:rPr>
              <w:b w:val="0"/>
              <w:bCs w:val="0"/>
            </w:rPr>
            <w:fldChar w:fldCharType="end"/>
          </w:r>
          <w:r>
            <w:rPr>
              <w:rFonts w:ascii="仿宋" w:hAnsi="仿宋" w:eastAsia="仿宋"/>
              <w:b w:val="0"/>
              <w:bCs w:val="0"/>
              <w:highlight w:val="none"/>
              <w:lang w:val="zh-CN"/>
            </w:rPr>
            <w:fldChar w:fldCharType="end"/>
          </w:r>
        </w:p>
        <w:p w14:paraId="65FE4155">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_Toc25218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（三）绩效分析及评价结论</w:t>
          </w:r>
          <w:r>
            <w:tab/>
          </w:r>
          <w:r>
            <w:fldChar w:fldCharType="begin"/>
          </w:r>
          <w:r>
            <w:instrText xml:space="preserve"> PAGEREF _Toc25218 </w:instrText>
          </w:r>
          <w:r>
            <w:fldChar w:fldCharType="separate"/>
          </w:r>
          <w:r>
            <w:t>6</w:t>
          </w:r>
          <w:r>
            <w:fldChar w:fldCharType="end"/>
          </w:r>
          <w:r>
            <w:rPr>
              <w:rFonts w:ascii="仿宋" w:hAnsi="仿宋" w:eastAsia="仿宋"/>
              <w:bCs/>
              <w:highlight w:val="none"/>
              <w:lang w:val="zh-CN"/>
            </w:rPr>
            <w:fldChar w:fldCharType="end"/>
          </w:r>
        </w:p>
        <w:p w14:paraId="612D372F">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_Toc5754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1、</w:t>
          </w:r>
          <w:r>
            <w:rPr>
              <w:rFonts w:hint="eastAsia" w:ascii="仿宋" w:hAnsi="仿宋" w:eastAsia="仿宋" w:cs="Arial Narrow"/>
              <w:b w:val="0"/>
              <w:bCs w:val="0"/>
              <w:highlight w:val="none"/>
            </w:rPr>
            <w:t>绩效分析</w:t>
          </w:r>
          <w:r>
            <w:rPr>
              <w:b w:val="0"/>
              <w:bCs w:val="0"/>
            </w:rPr>
            <w:tab/>
          </w:r>
          <w:r>
            <w:rPr>
              <w:b w:val="0"/>
              <w:bCs w:val="0"/>
            </w:rPr>
            <w:fldChar w:fldCharType="begin"/>
          </w:r>
          <w:r>
            <w:rPr>
              <w:b w:val="0"/>
              <w:bCs w:val="0"/>
            </w:rPr>
            <w:instrText xml:space="preserve"> PAGEREF _Toc5754 </w:instrText>
          </w:r>
          <w:r>
            <w:rPr>
              <w:b w:val="0"/>
              <w:bCs w:val="0"/>
            </w:rPr>
            <w:fldChar w:fldCharType="separate"/>
          </w:r>
          <w:r>
            <w:rPr>
              <w:b w:val="0"/>
              <w:bCs w:val="0"/>
            </w:rPr>
            <w:t>6</w:t>
          </w:r>
          <w:r>
            <w:rPr>
              <w:b w:val="0"/>
              <w:bCs w:val="0"/>
            </w:rPr>
            <w:fldChar w:fldCharType="end"/>
          </w:r>
          <w:r>
            <w:rPr>
              <w:rFonts w:ascii="仿宋" w:hAnsi="仿宋" w:eastAsia="仿宋"/>
              <w:b w:val="0"/>
              <w:bCs w:val="0"/>
              <w:highlight w:val="none"/>
              <w:lang w:val="zh-CN"/>
            </w:rPr>
            <w:fldChar w:fldCharType="end"/>
          </w:r>
        </w:p>
        <w:p w14:paraId="1AE79E53">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_Toc7176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2、</w:t>
          </w:r>
          <w:r>
            <w:rPr>
              <w:rFonts w:hint="eastAsia" w:ascii="仿宋" w:hAnsi="仿宋" w:eastAsia="仿宋" w:cs="Arial Narrow"/>
              <w:b w:val="0"/>
              <w:bCs w:val="0"/>
              <w:highlight w:val="none"/>
            </w:rPr>
            <w:t>评价结论</w:t>
          </w:r>
          <w:r>
            <w:rPr>
              <w:b w:val="0"/>
              <w:bCs w:val="0"/>
            </w:rPr>
            <w:tab/>
          </w:r>
          <w:r>
            <w:rPr>
              <w:b w:val="0"/>
              <w:bCs w:val="0"/>
            </w:rPr>
            <w:fldChar w:fldCharType="begin"/>
          </w:r>
          <w:r>
            <w:rPr>
              <w:b w:val="0"/>
              <w:bCs w:val="0"/>
            </w:rPr>
            <w:instrText xml:space="preserve"> PAGEREF _Toc7176 </w:instrText>
          </w:r>
          <w:r>
            <w:rPr>
              <w:b w:val="0"/>
              <w:bCs w:val="0"/>
            </w:rPr>
            <w:fldChar w:fldCharType="separate"/>
          </w:r>
          <w:r>
            <w:rPr>
              <w:b w:val="0"/>
              <w:bCs w:val="0"/>
            </w:rPr>
            <w:t>9</w:t>
          </w:r>
          <w:r>
            <w:rPr>
              <w:b w:val="0"/>
              <w:bCs w:val="0"/>
            </w:rPr>
            <w:fldChar w:fldCharType="end"/>
          </w:r>
          <w:r>
            <w:rPr>
              <w:rFonts w:ascii="仿宋" w:hAnsi="仿宋" w:eastAsia="仿宋"/>
              <w:b w:val="0"/>
              <w:bCs w:val="0"/>
              <w:highlight w:val="none"/>
              <w:lang w:val="zh-CN"/>
            </w:rPr>
            <w:fldChar w:fldCharType="end"/>
          </w:r>
        </w:p>
        <w:p w14:paraId="250A5B41">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_Toc26478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（四）主要经验及做法、存在的问题和建议</w:t>
          </w:r>
          <w:r>
            <w:tab/>
          </w:r>
          <w:r>
            <w:fldChar w:fldCharType="begin"/>
          </w:r>
          <w:r>
            <w:instrText xml:space="preserve"> PAGEREF _Toc26478 </w:instrText>
          </w:r>
          <w:r>
            <w:fldChar w:fldCharType="separate"/>
          </w:r>
          <w:r>
            <w:t>10</w:t>
          </w:r>
          <w:r>
            <w:fldChar w:fldCharType="end"/>
          </w:r>
          <w:r>
            <w:rPr>
              <w:rFonts w:ascii="仿宋" w:hAnsi="仿宋" w:eastAsia="仿宋"/>
              <w:bCs/>
              <w:highlight w:val="none"/>
              <w:lang w:val="zh-CN"/>
            </w:rPr>
            <w:fldChar w:fldCharType="end"/>
          </w:r>
        </w:p>
        <w:p w14:paraId="4ED27A10">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_Toc28605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1、主要经验及做法</w:t>
          </w:r>
          <w:r>
            <w:rPr>
              <w:b w:val="0"/>
              <w:bCs w:val="0"/>
            </w:rPr>
            <w:tab/>
          </w:r>
          <w:r>
            <w:rPr>
              <w:b w:val="0"/>
              <w:bCs w:val="0"/>
            </w:rPr>
            <w:fldChar w:fldCharType="begin"/>
          </w:r>
          <w:r>
            <w:rPr>
              <w:b w:val="0"/>
              <w:bCs w:val="0"/>
            </w:rPr>
            <w:instrText xml:space="preserve"> PAGEREF _Toc28605 </w:instrText>
          </w:r>
          <w:r>
            <w:rPr>
              <w:b w:val="0"/>
              <w:bCs w:val="0"/>
            </w:rPr>
            <w:fldChar w:fldCharType="separate"/>
          </w:r>
          <w:r>
            <w:rPr>
              <w:b w:val="0"/>
              <w:bCs w:val="0"/>
            </w:rPr>
            <w:t>10</w:t>
          </w:r>
          <w:r>
            <w:rPr>
              <w:b w:val="0"/>
              <w:bCs w:val="0"/>
            </w:rPr>
            <w:fldChar w:fldCharType="end"/>
          </w:r>
          <w:r>
            <w:rPr>
              <w:rFonts w:ascii="仿宋" w:hAnsi="仿宋" w:eastAsia="仿宋"/>
              <w:b w:val="0"/>
              <w:bCs w:val="0"/>
              <w:highlight w:val="none"/>
              <w:lang w:val="zh-CN"/>
            </w:rPr>
            <w:fldChar w:fldCharType="end"/>
          </w:r>
        </w:p>
        <w:p w14:paraId="4891AB5E">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_Toc23359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2、存在的问题</w:t>
          </w:r>
          <w:r>
            <w:rPr>
              <w:b w:val="0"/>
              <w:bCs w:val="0"/>
            </w:rPr>
            <w:tab/>
          </w:r>
          <w:r>
            <w:rPr>
              <w:b w:val="0"/>
              <w:bCs w:val="0"/>
            </w:rPr>
            <w:fldChar w:fldCharType="begin"/>
          </w:r>
          <w:r>
            <w:rPr>
              <w:b w:val="0"/>
              <w:bCs w:val="0"/>
            </w:rPr>
            <w:instrText xml:space="preserve"> PAGEREF _Toc23359 </w:instrText>
          </w:r>
          <w:r>
            <w:rPr>
              <w:b w:val="0"/>
              <w:bCs w:val="0"/>
            </w:rPr>
            <w:fldChar w:fldCharType="separate"/>
          </w:r>
          <w:r>
            <w:rPr>
              <w:b w:val="0"/>
              <w:bCs w:val="0"/>
            </w:rPr>
            <w:t>10</w:t>
          </w:r>
          <w:r>
            <w:rPr>
              <w:b w:val="0"/>
              <w:bCs w:val="0"/>
            </w:rPr>
            <w:fldChar w:fldCharType="end"/>
          </w:r>
          <w:r>
            <w:rPr>
              <w:rFonts w:ascii="仿宋" w:hAnsi="仿宋" w:eastAsia="仿宋"/>
              <w:b w:val="0"/>
              <w:bCs w:val="0"/>
              <w:highlight w:val="none"/>
              <w:lang w:val="zh-CN"/>
            </w:rPr>
            <w:fldChar w:fldCharType="end"/>
          </w:r>
        </w:p>
        <w:p w14:paraId="0B41DCA2">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_Toc32665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3、建议</w:t>
          </w:r>
          <w:r>
            <w:rPr>
              <w:b w:val="0"/>
              <w:bCs w:val="0"/>
            </w:rPr>
            <w:tab/>
          </w:r>
          <w:r>
            <w:rPr>
              <w:b w:val="0"/>
              <w:bCs w:val="0"/>
            </w:rPr>
            <w:fldChar w:fldCharType="begin"/>
          </w:r>
          <w:r>
            <w:rPr>
              <w:b w:val="0"/>
              <w:bCs w:val="0"/>
            </w:rPr>
            <w:instrText xml:space="preserve"> PAGEREF _Toc32665 </w:instrText>
          </w:r>
          <w:r>
            <w:rPr>
              <w:b w:val="0"/>
              <w:bCs w:val="0"/>
            </w:rPr>
            <w:fldChar w:fldCharType="separate"/>
          </w:r>
          <w:r>
            <w:rPr>
              <w:b w:val="0"/>
              <w:bCs w:val="0"/>
            </w:rPr>
            <w:t>10</w:t>
          </w:r>
          <w:r>
            <w:rPr>
              <w:b w:val="0"/>
              <w:bCs w:val="0"/>
            </w:rPr>
            <w:fldChar w:fldCharType="end"/>
          </w:r>
          <w:r>
            <w:rPr>
              <w:rFonts w:ascii="仿宋" w:hAnsi="仿宋" w:eastAsia="仿宋"/>
              <w:b w:val="0"/>
              <w:bCs w:val="0"/>
              <w:highlight w:val="none"/>
              <w:lang w:val="zh-CN"/>
            </w:rPr>
            <w:fldChar w:fldCharType="end"/>
          </w:r>
        </w:p>
        <w:p w14:paraId="17789F67">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_Toc16725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（五）其他需说明的问题</w:t>
          </w:r>
          <w:r>
            <w:tab/>
          </w:r>
          <w:r>
            <w:fldChar w:fldCharType="begin"/>
          </w:r>
          <w:r>
            <w:instrText xml:space="preserve"> PAGEREF _Toc16725 </w:instrText>
          </w:r>
          <w:r>
            <w:fldChar w:fldCharType="separate"/>
          </w:r>
          <w:r>
            <w:t>10</w:t>
          </w:r>
          <w:r>
            <w:fldChar w:fldCharType="end"/>
          </w:r>
          <w:r>
            <w:rPr>
              <w:rFonts w:ascii="仿宋" w:hAnsi="仿宋" w:eastAsia="仿宋"/>
              <w:bCs/>
              <w:highlight w:val="none"/>
              <w:lang w:val="zh-CN"/>
            </w:rPr>
            <w:fldChar w:fldCharType="end"/>
          </w:r>
        </w:p>
        <w:p w14:paraId="5DD4EC98">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rPr>
              <w:b w:val="0"/>
              <w:bCs w:val="0"/>
            </w:rPr>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_Toc1397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1、</w:t>
          </w:r>
          <w:r>
            <w:rPr>
              <w:rFonts w:hint="eastAsia" w:ascii="仿宋" w:hAnsi="仿宋" w:eastAsia="仿宋" w:cs="Arial Narrow"/>
              <w:b w:val="0"/>
              <w:bCs w:val="0"/>
              <w:highlight w:val="none"/>
            </w:rPr>
            <w:t>关于评价责任的说明</w:t>
          </w:r>
          <w:r>
            <w:rPr>
              <w:b w:val="0"/>
              <w:bCs w:val="0"/>
            </w:rPr>
            <w:tab/>
          </w:r>
          <w:r>
            <w:rPr>
              <w:b w:val="0"/>
              <w:bCs w:val="0"/>
            </w:rPr>
            <w:fldChar w:fldCharType="begin"/>
          </w:r>
          <w:r>
            <w:rPr>
              <w:b w:val="0"/>
              <w:bCs w:val="0"/>
            </w:rPr>
            <w:instrText xml:space="preserve"> PAGEREF _Toc1397 </w:instrText>
          </w:r>
          <w:r>
            <w:rPr>
              <w:b w:val="0"/>
              <w:bCs w:val="0"/>
            </w:rPr>
            <w:fldChar w:fldCharType="separate"/>
          </w:r>
          <w:r>
            <w:rPr>
              <w:b w:val="0"/>
              <w:bCs w:val="0"/>
            </w:rPr>
            <w:t>10</w:t>
          </w:r>
          <w:r>
            <w:rPr>
              <w:b w:val="0"/>
              <w:bCs w:val="0"/>
            </w:rPr>
            <w:fldChar w:fldCharType="end"/>
          </w:r>
          <w:r>
            <w:rPr>
              <w:rFonts w:ascii="仿宋" w:hAnsi="仿宋" w:eastAsia="仿宋"/>
              <w:b w:val="0"/>
              <w:bCs w:val="0"/>
              <w:highlight w:val="none"/>
              <w:lang w:val="zh-CN"/>
            </w:rPr>
            <w:fldChar w:fldCharType="end"/>
          </w:r>
        </w:p>
        <w:p w14:paraId="6C8BA23E">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 w:val="0"/>
              <w:bCs w:val="0"/>
              <w:highlight w:val="none"/>
              <w:lang w:val="zh-CN"/>
            </w:rPr>
            <w:fldChar w:fldCharType="begin"/>
          </w:r>
          <w:r>
            <w:rPr>
              <w:rFonts w:ascii="仿宋" w:hAnsi="仿宋" w:eastAsia="仿宋"/>
              <w:b w:val="0"/>
              <w:bCs w:val="0"/>
              <w:highlight w:val="none"/>
              <w:lang w:val="zh-CN"/>
            </w:rPr>
            <w:instrText xml:space="preserve"> HYPERLINK \l _Toc7182 </w:instrText>
          </w:r>
          <w:r>
            <w:rPr>
              <w:rFonts w:ascii="仿宋" w:hAnsi="仿宋" w:eastAsia="仿宋"/>
              <w:b w:val="0"/>
              <w:bCs w:val="0"/>
              <w:highlight w:val="none"/>
              <w:lang w:val="zh-CN"/>
            </w:rPr>
            <w:fldChar w:fldCharType="separate"/>
          </w:r>
          <w:r>
            <w:rPr>
              <w:rFonts w:hint="eastAsia" w:ascii="仿宋" w:hAnsi="仿宋" w:eastAsia="仿宋" w:cs="Arial Narrow"/>
              <w:b w:val="0"/>
              <w:bCs w:val="0"/>
              <w:highlight w:val="none"/>
              <w:lang w:val="en-US" w:eastAsia="zh-CN"/>
            </w:rPr>
            <w:t>2、</w:t>
          </w:r>
          <w:r>
            <w:rPr>
              <w:rFonts w:hint="eastAsia" w:ascii="仿宋" w:hAnsi="仿宋" w:eastAsia="仿宋" w:cs="Arial Narrow"/>
              <w:b w:val="0"/>
              <w:bCs w:val="0"/>
              <w:highlight w:val="none"/>
            </w:rPr>
            <w:t>关于本项目评价中存在的局限性的说明</w:t>
          </w:r>
          <w:r>
            <w:rPr>
              <w:b w:val="0"/>
              <w:bCs w:val="0"/>
            </w:rPr>
            <w:tab/>
          </w:r>
          <w:r>
            <w:rPr>
              <w:b w:val="0"/>
              <w:bCs w:val="0"/>
            </w:rPr>
            <w:fldChar w:fldCharType="begin"/>
          </w:r>
          <w:r>
            <w:rPr>
              <w:b w:val="0"/>
              <w:bCs w:val="0"/>
            </w:rPr>
            <w:instrText xml:space="preserve"> PAGEREF _Toc7182 </w:instrText>
          </w:r>
          <w:r>
            <w:rPr>
              <w:b w:val="0"/>
              <w:bCs w:val="0"/>
            </w:rPr>
            <w:fldChar w:fldCharType="separate"/>
          </w:r>
          <w:r>
            <w:rPr>
              <w:b w:val="0"/>
              <w:bCs w:val="0"/>
            </w:rPr>
            <w:t>10</w:t>
          </w:r>
          <w:r>
            <w:rPr>
              <w:b w:val="0"/>
              <w:bCs w:val="0"/>
            </w:rPr>
            <w:fldChar w:fldCharType="end"/>
          </w:r>
          <w:r>
            <w:rPr>
              <w:rFonts w:ascii="仿宋" w:hAnsi="仿宋" w:eastAsia="仿宋"/>
              <w:b w:val="0"/>
              <w:bCs w:val="0"/>
              <w:highlight w:val="none"/>
              <w:lang w:val="zh-CN"/>
            </w:rPr>
            <w:fldChar w:fldCharType="end"/>
          </w:r>
        </w:p>
        <w:p w14:paraId="4C7E5A05">
          <w:pPr>
            <w:keepNext w:val="0"/>
            <w:keepLines w:val="0"/>
            <w:pageBreakBefore w:val="0"/>
            <w:widowControl w:val="0"/>
            <w:kinsoku/>
            <w:wordWrap/>
            <w:overflowPunct/>
            <w:topLinePunct w:val="0"/>
            <w:autoSpaceDE/>
            <w:autoSpaceDN/>
            <w:bidi w:val="0"/>
            <w:adjustRightInd/>
            <w:snapToGrid/>
            <w:spacing w:line="300" w:lineRule="exact"/>
            <w:ind w:firstLine="482"/>
            <w:textAlignment w:val="auto"/>
            <w:rPr>
              <w:highlight w:val="none"/>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1361" w:right="1406" w:bottom="1089" w:left="1797" w:header="1361" w:footer="992" w:gutter="0"/>
              <w:pgNumType w:start="0"/>
              <w:cols w:space="720" w:num="1"/>
              <w:docGrid w:type="lines" w:linePitch="408" w:charSpace="0"/>
            </w:sectPr>
          </w:pPr>
          <w:r>
            <w:rPr>
              <w:rFonts w:ascii="仿宋" w:hAnsi="仿宋" w:eastAsia="仿宋"/>
              <w:bCs/>
              <w:highlight w:val="none"/>
              <w:lang w:val="zh-CN"/>
            </w:rPr>
            <w:fldChar w:fldCharType="end"/>
          </w:r>
        </w:p>
      </w:sdtContent>
    </w:sdt>
    <w:p w14:paraId="09FFF443">
      <w:pPr>
        <w:pStyle w:val="2"/>
        <w:keepNext/>
        <w:keepLines/>
        <w:pageBreakBefore w:val="0"/>
        <w:widowControl w:val="0"/>
        <w:kinsoku/>
        <w:wordWrap/>
        <w:overflowPunct/>
        <w:topLinePunct w:val="0"/>
        <w:autoSpaceDE/>
        <w:autoSpaceDN/>
        <w:bidi w:val="0"/>
        <w:adjustRightInd/>
        <w:snapToGrid/>
        <w:ind w:firstLine="643" w:firstLineChars="200"/>
        <w:jc w:val="left"/>
        <w:textAlignment w:val="auto"/>
        <w:rPr>
          <w:rFonts w:hint="eastAsia" w:ascii="仿宋" w:hAnsi="仿宋" w:eastAsia="仿宋" w:cs="仿宋"/>
          <w:b w:val="0"/>
          <w:sz w:val="32"/>
          <w:szCs w:val="32"/>
          <w:highlight w:val="none"/>
        </w:rPr>
      </w:pPr>
      <w:bookmarkStart w:id="0" w:name="_Toc14165722"/>
      <w:bookmarkStart w:id="1" w:name="_Toc913"/>
      <w:bookmarkStart w:id="2" w:name="_Toc406668024"/>
      <w:bookmarkStart w:id="3" w:name="_Toc406666351"/>
      <w:r>
        <w:rPr>
          <w:rFonts w:hint="eastAsia" w:ascii="仿宋" w:hAnsi="仿宋" w:eastAsia="仿宋" w:cs="仿宋"/>
          <w:sz w:val="32"/>
          <w:szCs w:val="32"/>
          <w:highlight w:val="none"/>
          <w:lang w:val="en-US" w:eastAsia="zh-CN"/>
        </w:rPr>
        <w:t>一、</w:t>
      </w:r>
      <w:r>
        <w:rPr>
          <w:rFonts w:hint="eastAsia" w:ascii="仿宋" w:hAnsi="仿宋" w:eastAsia="仿宋" w:cs="仿宋"/>
          <w:sz w:val="32"/>
          <w:szCs w:val="32"/>
          <w:highlight w:val="none"/>
        </w:rPr>
        <w:t>摘要</w:t>
      </w:r>
      <w:bookmarkEnd w:id="0"/>
      <w:bookmarkEnd w:id="1"/>
    </w:p>
    <w:p w14:paraId="2CEE8D65">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rPr>
      </w:pPr>
      <w:bookmarkStart w:id="4" w:name="_Toc10917"/>
      <w:r>
        <w:rPr>
          <w:rFonts w:hint="eastAsia" w:ascii="仿宋" w:hAnsi="仿宋" w:eastAsia="仿宋" w:cs="Arial Narrow"/>
          <w:sz w:val="28"/>
          <w:szCs w:val="28"/>
          <w:highlight w:val="none"/>
          <w:lang w:val="en-US" w:eastAsia="zh-CN"/>
        </w:rPr>
        <w:t>（一）</w:t>
      </w:r>
      <w:r>
        <w:rPr>
          <w:rFonts w:hint="eastAsia" w:ascii="仿宋" w:hAnsi="仿宋" w:eastAsia="仿宋" w:cs="Arial Narrow"/>
          <w:sz w:val="28"/>
          <w:szCs w:val="28"/>
          <w:highlight w:val="none"/>
        </w:rPr>
        <w:t>基本情况</w:t>
      </w:r>
      <w:bookmarkEnd w:id="4"/>
    </w:p>
    <w:p w14:paraId="4E17D713">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lang w:val="en-US" w:eastAsia="zh-CN"/>
        </w:rPr>
      </w:pPr>
      <w:bookmarkStart w:id="5" w:name="_Toc24897"/>
      <w:r>
        <w:rPr>
          <w:rFonts w:hint="eastAsia" w:ascii="仿宋" w:hAnsi="仿宋" w:eastAsia="仿宋" w:cs="Arial Narrow"/>
          <w:sz w:val="24"/>
          <w:highlight w:val="none"/>
          <w:lang w:val="en-US" w:eastAsia="zh-CN"/>
        </w:rPr>
        <w:t>1、项目基本情况</w:t>
      </w:r>
      <w:bookmarkEnd w:id="5"/>
      <w:r>
        <w:rPr>
          <w:rFonts w:hint="eastAsia" w:ascii="仿宋" w:hAnsi="仿宋" w:eastAsia="仿宋" w:cs="Arial Narrow"/>
          <w:sz w:val="24"/>
          <w:highlight w:val="none"/>
          <w:lang w:val="en-US" w:eastAsia="zh-CN"/>
        </w:rPr>
        <w:t xml:space="preserve">  </w:t>
      </w:r>
    </w:p>
    <w:p w14:paraId="75619F4A">
      <w:pPr>
        <w:snapToGrid w:val="0"/>
        <w:ind w:firstLine="480"/>
        <w:rPr>
          <w:rFonts w:hint="default" w:ascii="仿宋" w:hAnsi="仿宋" w:eastAsia="仿宋" w:cs="Arial Narrow"/>
          <w:highlight w:val="none"/>
          <w:lang w:val="en-US" w:eastAsia="zh-CN"/>
        </w:rPr>
      </w:pPr>
      <w:r>
        <w:rPr>
          <w:rFonts w:hint="eastAsia" w:ascii="仿宋" w:hAnsi="仿宋" w:eastAsia="仿宋" w:cs="Arial Narrow"/>
          <w:highlight w:val="none"/>
          <w:lang w:val="en-US" w:eastAsia="zh-CN"/>
        </w:rPr>
        <w:t>（1）项目名称：行政审批局信息化项目一期</w:t>
      </w:r>
    </w:p>
    <w:p w14:paraId="562E6342">
      <w:pPr>
        <w:snapToGrid w:val="0"/>
        <w:ind w:firstLine="480"/>
        <w:rPr>
          <w:rFonts w:hint="eastAsia" w:ascii="仿宋" w:hAnsi="仿宋" w:eastAsia="仿宋" w:cs="Arial Narrow"/>
          <w:highlight w:val="none"/>
          <w:lang w:val="en-US" w:eastAsia="zh-CN"/>
        </w:rPr>
      </w:pPr>
      <w:r>
        <w:rPr>
          <w:rFonts w:hint="eastAsia" w:ascii="仿宋" w:hAnsi="仿宋" w:eastAsia="仿宋" w:cs="Arial Narrow"/>
          <w:highlight w:val="none"/>
          <w:lang w:val="en-US" w:eastAsia="zh-CN"/>
        </w:rPr>
        <w:t>（2）项目预算金额：1,054,895.00元</w:t>
      </w:r>
    </w:p>
    <w:p w14:paraId="149AE8AF">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lang w:val="en-US" w:eastAsia="zh-CN"/>
        </w:rPr>
      </w:pPr>
      <w:bookmarkStart w:id="6" w:name="_Toc23377"/>
      <w:r>
        <w:rPr>
          <w:rFonts w:hint="eastAsia" w:ascii="仿宋" w:hAnsi="仿宋" w:eastAsia="仿宋" w:cs="Arial Narrow"/>
          <w:sz w:val="24"/>
          <w:highlight w:val="none"/>
          <w:lang w:val="en-US" w:eastAsia="zh-CN"/>
        </w:rPr>
        <w:t>2、绩效评价工作情况</w:t>
      </w:r>
      <w:bookmarkEnd w:id="6"/>
    </w:p>
    <w:p w14:paraId="0F0B5793">
      <w:pPr>
        <w:snapToGrid w:val="0"/>
        <w:ind w:firstLine="480"/>
        <w:rPr>
          <w:rFonts w:hint="eastAsia" w:ascii="仿宋" w:hAnsi="仿宋" w:eastAsia="仿宋" w:cs="Arial Narrow"/>
          <w:highlight w:val="none"/>
          <w:lang w:val="en-US" w:eastAsia="zh-CN"/>
        </w:rPr>
      </w:pPr>
      <w:r>
        <w:rPr>
          <w:rFonts w:hint="eastAsia" w:ascii="仿宋" w:hAnsi="仿宋" w:eastAsia="仿宋" w:cs="Arial Narrow"/>
          <w:highlight w:val="none"/>
          <w:lang w:val="en-US" w:eastAsia="zh-CN"/>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绩效评价指标是指衡量绩效目标实现程度的考核工具，具体分为共性指标和个性指标；绩效评价方法主要采用成本效益分析法、比较法、因素分析法、最低成本法、公评判法及其他评价方法等。</w:t>
      </w:r>
    </w:p>
    <w:p w14:paraId="70ACCE26">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7" w:name="_Toc28457"/>
      <w:r>
        <w:rPr>
          <w:rFonts w:hint="eastAsia" w:ascii="仿宋" w:hAnsi="仿宋" w:eastAsia="仿宋" w:cs="Arial Narrow"/>
          <w:sz w:val="28"/>
          <w:szCs w:val="28"/>
          <w:highlight w:val="none"/>
          <w:lang w:val="en-US" w:eastAsia="zh-CN"/>
        </w:rPr>
        <w:t>（二）绩效评价结论</w:t>
      </w:r>
      <w:bookmarkEnd w:id="7"/>
    </w:p>
    <w:tbl>
      <w:tblPr>
        <w:tblStyle w:val="23"/>
        <w:tblW w:w="8363" w:type="dxa"/>
        <w:tblInd w:w="2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979"/>
        <w:gridCol w:w="2132"/>
        <w:gridCol w:w="2126"/>
        <w:gridCol w:w="2126"/>
      </w:tblGrid>
      <w:tr w14:paraId="0D2DC2F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79" w:type="dxa"/>
          </w:tcPr>
          <w:p w14:paraId="5C88C403">
            <w:pPr>
              <w:ind w:firstLine="0" w:firstLineChars="0"/>
              <w:jc w:val="center"/>
              <w:rPr>
                <w:rFonts w:ascii="仿宋" w:hAnsi="仿宋" w:eastAsia="仿宋" w:cs="Arial Narrow"/>
                <w:highlight w:val="none"/>
              </w:rPr>
            </w:pPr>
            <w:r>
              <w:rPr>
                <w:rFonts w:hint="eastAsia" w:ascii="仿宋" w:hAnsi="仿宋" w:eastAsia="仿宋" w:cs="Arial Narrow"/>
                <w:highlight w:val="none"/>
              </w:rPr>
              <w:t>评价准则</w:t>
            </w:r>
          </w:p>
        </w:tc>
        <w:tc>
          <w:tcPr>
            <w:tcW w:w="2132" w:type="dxa"/>
          </w:tcPr>
          <w:p w14:paraId="20353FBA">
            <w:pPr>
              <w:ind w:firstLine="0" w:firstLineChars="0"/>
              <w:jc w:val="center"/>
              <w:rPr>
                <w:rFonts w:ascii="仿宋" w:hAnsi="仿宋" w:eastAsia="仿宋" w:cs="Arial Narrow"/>
                <w:highlight w:val="none"/>
              </w:rPr>
            </w:pPr>
            <w:r>
              <w:rPr>
                <w:rFonts w:hint="eastAsia" w:ascii="仿宋" w:hAnsi="仿宋" w:eastAsia="仿宋" w:cs="Arial Narrow"/>
                <w:highlight w:val="none"/>
              </w:rPr>
              <w:t>准则分值</w:t>
            </w:r>
          </w:p>
        </w:tc>
        <w:tc>
          <w:tcPr>
            <w:tcW w:w="2126" w:type="dxa"/>
          </w:tcPr>
          <w:p w14:paraId="2F04FA84">
            <w:pPr>
              <w:ind w:firstLine="0" w:firstLineChars="0"/>
              <w:jc w:val="center"/>
              <w:rPr>
                <w:rFonts w:ascii="仿宋" w:hAnsi="仿宋" w:eastAsia="仿宋" w:cs="Arial Narrow"/>
                <w:highlight w:val="none"/>
              </w:rPr>
            </w:pPr>
            <w:r>
              <w:rPr>
                <w:rFonts w:hint="eastAsia" w:ascii="仿宋" w:hAnsi="仿宋" w:eastAsia="仿宋" w:cs="Arial Narrow"/>
                <w:highlight w:val="none"/>
              </w:rPr>
              <w:t>评价得分</w:t>
            </w:r>
          </w:p>
        </w:tc>
        <w:tc>
          <w:tcPr>
            <w:tcW w:w="2126" w:type="dxa"/>
          </w:tcPr>
          <w:p w14:paraId="772929B6">
            <w:pPr>
              <w:ind w:firstLine="0" w:firstLineChars="0"/>
              <w:jc w:val="center"/>
              <w:rPr>
                <w:rFonts w:ascii="仿宋" w:hAnsi="仿宋" w:eastAsia="仿宋" w:cs="Arial Narrow"/>
                <w:highlight w:val="none"/>
              </w:rPr>
            </w:pPr>
            <w:r>
              <w:rPr>
                <w:rFonts w:hint="eastAsia" w:ascii="仿宋" w:hAnsi="仿宋" w:eastAsia="仿宋" w:cs="Arial Narrow"/>
                <w:highlight w:val="none"/>
              </w:rPr>
              <w:t>评价等级</w:t>
            </w:r>
          </w:p>
        </w:tc>
      </w:tr>
      <w:tr w14:paraId="5DD4B4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79" w:type="dxa"/>
          </w:tcPr>
          <w:p w14:paraId="6E13B361">
            <w:pPr>
              <w:ind w:firstLine="0" w:firstLineChars="0"/>
              <w:jc w:val="center"/>
              <w:rPr>
                <w:rFonts w:ascii="仿宋" w:hAnsi="仿宋" w:eastAsia="仿宋" w:cs="Arial Narrow"/>
                <w:highlight w:val="none"/>
              </w:rPr>
            </w:pPr>
            <w:r>
              <w:rPr>
                <w:rFonts w:hint="eastAsia" w:ascii="仿宋" w:hAnsi="仿宋" w:eastAsia="仿宋" w:cs="Arial Narrow"/>
                <w:highlight w:val="none"/>
              </w:rPr>
              <w:t>投入</w:t>
            </w:r>
          </w:p>
        </w:tc>
        <w:tc>
          <w:tcPr>
            <w:tcW w:w="2132" w:type="dxa"/>
          </w:tcPr>
          <w:p w14:paraId="73B08D8C">
            <w:pPr>
              <w:ind w:firstLine="0" w:firstLineChars="0"/>
              <w:jc w:val="center"/>
              <w:rPr>
                <w:rFonts w:ascii="仿宋" w:hAnsi="仿宋" w:eastAsia="仿宋" w:cs="Arial Narrow"/>
                <w:highlight w:val="none"/>
              </w:rPr>
            </w:pPr>
            <w:r>
              <w:rPr>
                <w:rFonts w:hint="eastAsia" w:ascii="仿宋" w:hAnsi="仿宋" w:eastAsia="仿宋" w:cs="Arial Narrow"/>
                <w:highlight w:val="none"/>
              </w:rPr>
              <w:t>16分</w:t>
            </w:r>
          </w:p>
        </w:tc>
        <w:tc>
          <w:tcPr>
            <w:tcW w:w="2126" w:type="dxa"/>
          </w:tcPr>
          <w:p w14:paraId="2A4AF32E">
            <w:pPr>
              <w:ind w:firstLine="0" w:firstLineChars="0"/>
              <w:jc w:val="center"/>
              <w:rPr>
                <w:rFonts w:ascii="仿宋" w:hAnsi="仿宋" w:eastAsia="仿宋" w:cs="Arial Narrow"/>
                <w:highlight w:val="none"/>
              </w:rPr>
            </w:pPr>
            <w:r>
              <w:rPr>
                <w:rFonts w:hint="eastAsia" w:ascii="仿宋" w:hAnsi="仿宋" w:eastAsia="仿宋" w:cs="Arial Narrow"/>
                <w:highlight w:val="none"/>
              </w:rPr>
              <w:t>1</w:t>
            </w:r>
            <w:r>
              <w:rPr>
                <w:rFonts w:hint="eastAsia" w:ascii="仿宋" w:hAnsi="仿宋" w:eastAsia="仿宋" w:cs="Arial Narrow"/>
                <w:highlight w:val="none"/>
                <w:lang w:val="en-US" w:eastAsia="zh-CN"/>
              </w:rPr>
              <w:t>5</w:t>
            </w:r>
            <w:r>
              <w:rPr>
                <w:rFonts w:hint="eastAsia" w:ascii="仿宋" w:hAnsi="仿宋" w:eastAsia="仿宋" w:cs="Arial Narrow"/>
                <w:highlight w:val="none"/>
              </w:rPr>
              <w:t>分</w:t>
            </w:r>
          </w:p>
        </w:tc>
        <w:tc>
          <w:tcPr>
            <w:tcW w:w="2126" w:type="dxa"/>
          </w:tcPr>
          <w:p w14:paraId="604F414E">
            <w:pPr>
              <w:ind w:firstLine="0" w:firstLineChars="0"/>
              <w:jc w:val="center"/>
              <w:rPr>
                <w:rFonts w:ascii="仿宋" w:hAnsi="仿宋" w:eastAsia="仿宋" w:cs="Arial Narrow"/>
                <w:highlight w:val="none"/>
              </w:rPr>
            </w:pPr>
            <w:r>
              <w:rPr>
                <w:rFonts w:ascii="仿宋" w:hAnsi="仿宋" w:eastAsia="仿宋" w:cs="Arial Narrow"/>
                <w:highlight w:val="none"/>
              </w:rPr>
              <w:t>优</w:t>
            </w:r>
          </w:p>
        </w:tc>
      </w:tr>
      <w:tr w14:paraId="37E5D5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79" w:type="dxa"/>
          </w:tcPr>
          <w:p w14:paraId="275E5E54">
            <w:pPr>
              <w:ind w:firstLine="0" w:firstLineChars="0"/>
              <w:jc w:val="center"/>
              <w:rPr>
                <w:rFonts w:ascii="仿宋" w:hAnsi="仿宋" w:eastAsia="仿宋" w:cs="Arial Narrow"/>
                <w:highlight w:val="none"/>
              </w:rPr>
            </w:pPr>
            <w:r>
              <w:rPr>
                <w:rFonts w:hint="eastAsia" w:ascii="仿宋" w:hAnsi="仿宋" w:eastAsia="仿宋" w:cs="Arial Narrow"/>
                <w:highlight w:val="none"/>
              </w:rPr>
              <w:t>过程</w:t>
            </w:r>
          </w:p>
        </w:tc>
        <w:tc>
          <w:tcPr>
            <w:tcW w:w="2132" w:type="dxa"/>
          </w:tcPr>
          <w:p w14:paraId="66A7E366">
            <w:pPr>
              <w:ind w:firstLine="0" w:firstLineChars="0"/>
              <w:jc w:val="center"/>
              <w:rPr>
                <w:rFonts w:ascii="仿宋" w:hAnsi="仿宋" w:eastAsia="仿宋" w:cs="Arial Narrow"/>
                <w:highlight w:val="none"/>
              </w:rPr>
            </w:pPr>
            <w:r>
              <w:rPr>
                <w:rFonts w:hint="eastAsia" w:ascii="仿宋" w:hAnsi="仿宋" w:eastAsia="仿宋" w:cs="Arial Narrow"/>
                <w:highlight w:val="none"/>
              </w:rPr>
              <w:t>24分</w:t>
            </w:r>
          </w:p>
        </w:tc>
        <w:tc>
          <w:tcPr>
            <w:tcW w:w="2126" w:type="dxa"/>
          </w:tcPr>
          <w:p w14:paraId="310463A1">
            <w:pPr>
              <w:ind w:firstLine="0" w:firstLineChars="0"/>
              <w:jc w:val="center"/>
              <w:rPr>
                <w:rFonts w:ascii="仿宋" w:hAnsi="仿宋" w:eastAsia="仿宋" w:cs="Arial Narrow"/>
                <w:highlight w:val="none"/>
              </w:rPr>
            </w:pPr>
            <w:r>
              <w:rPr>
                <w:rFonts w:hint="eastAsia" w:ascii="仿宋" w:hAnsi="仿宋" w:eastAsia="仿宋" w:cs="Arial Narrow"/>
                <w:highlight w:val="none"/>
              </w:rPr>
              <w:t>2</w:t>
            </w:r>
            <w:r>
              <w:rPr>
                <w:rFonts w:hint="eastAsia" w:ascii="仿宋" w:hAnsi="仿宋" w:eastAsia="仿宋" w:cs="Arial Narrow"/>
                <w:highlight w:val="none"/>
                <w:lang w:val="en-US" w:eastAsia="zh-CN"/>
              </w:rPr>
              <w:t>4</w:t>
            </w:r>
            <w:r>
              <w:rPr>
                <w:rFonts w:hint="eastAsia" w:ascii="仿宋" w:hAnsi="仿宋" w:eastAsia="仿宋" w:cs="Arial Narrow"/>
                <w:highlight w:val="none"/>
              </w:rPr>
              <w:t>分</w:t>
            </w:r>
          </w:p>
        </w:tc>
        <w:tc>
          <w:tcPr>
            <w:tcW w:w="2126" w:type="dxa"/>
          </w:tcPr>
          <w:p w14:paraId="2D618BF4">
            <w:pPr>
              <w:ind w:firstLine="0" w:firstLineChars="0"/>
              <w:jc w:val="center"/>
              <w:rPr>
                <w:rFonts w:ascii="仿宋" w:hAnsi="仿宋" w:eastAsia="仿宋" w:cs="Arial Narrow"/>
                <w:highlight w:val="none"/>
              </w:rPr>
            </w:pPr>
            <w:r>
              <w:rPr>
                <w:rFonts w:ascii="仿宋" w:hAnsi="仿宋" w:eastAsia="仿宋" w:cs="Arial Narrow"/>
                <w:highlight w:val="none"/>
              </w:rPr>
              <w:t>优</w:t>
            </w:r>
          </w:p>
        </w:tc>
      </w:tr>
      <w:tr w14:paraId="04EFD4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79" w:type="dxa"/>
          </w:tcPr>
          <w:p w14:paraId="24362250">
            <w:pPr>
              <w:ind w:firstLine="0" w:firstLineChars="0"/>
              <w:jc w:val="center"/>
              <w:rPr>
                <w:rFonts w:ascii="仿宋" w:hAnsi="仿宋" w:eastAsia="仿宋" w:cs="Arial Narrow"/>
                <w:highlight w:val="none"/>
              </w:rPr>
            </w:pPr>
            <w:r>
              <w:rPr>
                <w:rFonts w:hint="eastAsia" w:ascii="仿宋" w:hAnsi="仿宋" w:eastAsia="仿宋" w:cs="Arial Narrow"/>
                <w:highlight w:val="none"/>
              </w:rPr>
              <w:t>产出</w:t>
            </w:r>
          </w:p>
        </w:tc>
        <w:tc>
          <w:tcPr>
            <w:tcW w:w="2132" w:type="dxa"/>
          </w:tcPr>
          <w:p w14:paraId="753E3476">
            <w:pPr>
              <w:ind w:firstLine="0" w:firstLineChars="0"/>
              <w:jc w:val="center"/>
              <w:rPr>
                <w:rFonts w:ascii="仿宋" w:hAnsi="仿宋" w:eastAsia="仿宋" w:cs="Arial Narrow"/>
                <w:highlight w:val="none"/>
              </w:rPr>
            </w:pPr>
            <w:r>
              <w:rPr>
                <w:rFonts w:hint="eastAsia" w:ascii="仿宋" w:hAnsi="仿宋" w:eastAsia="仿宋" w:cs="Arial Narrow"/>
                <w:highlight w:val="none"/>
              </w:rPr>
              <w:t>28分</w:t>
            </w:r>
          </w:p>
        </w:tc>
        <w:tc>
          <w:tcPr>
            <w:tcW w:w="2126" w:type="dxa"/>
          </w:tcPr>
          <w:p w14:paraId="76705CE6">
            <w:pPr>
              <w:ind w:firstLine="0" w:firstLineChars="0"/>
              <w:jc w:val="center"/>
              <w:rPr>
                <w:rFonts w:ascii="仿宋" w:hAnsi="仿宋" w:eastAsia="仿宋" w:cs="Arial Narrow"/>
                <w:highlight w:val="none"/>
              </w:rPr>
            </w:pPr>
            <w:r>
              <w:rPr>
                <w:rFonts w:hint="eastAsia" w:ascii="仿宋" w:hAnsi="仿宋" w:eastAsia="仿宋" w:cs="Arial Narrow"/>
                <w:highlight w:val="none"/>
              </w:rPr>
              <w:t>28分</w:t>
            </w:r>
          </w:p>
        </w:tc>
        <w:tc>
          <w:tcPr>
            <w:tcW w:w="2126" w:type="dxa"/>
          </w:tcPr>
          <w:p w14:paraId="65512E18">
            <w:pPr>
              <w:ind w:firstLine="0" w:firstLineChars="0"/>
              <w:jc w:val="center"/>
              <w:rPr>
                <w:rFonts w:ascii="仿宋" w:hAnsi="仿宋" w:eastAsia="仿宋" w:cs="Arial Narrow"/>
                <w:highlight w:val="none"/>
              </w:rPr>
            </w:pPr>
            <w:r>
              <w:rPr>
                <w:rFonts w:ascii="仿宋" w:hAnsi="仿宋" w:eastAsia="仿宋" w:cs="Arial Narrow"/>
                <w:highlight w:val="none"/>
              </w:rPr>
              <w:t>优</w:t>
            </w:r>
          </w:p>
        </w:tc>
      </w:tr>
      <w:tr w14:paraId="0731A0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79" w:type="dxa"/>
          </w:tcPr>
          <w:p w14:paraId="5CEDF41C">
            <w:pPr>
              <w:ind w:firstLine="0" w:firstLineChars="0"/>
              <w:jc w:val="center"/>
              <w:rPr>
                <w:rFonts w:ascii="仿宋" w:hAnsi="仿宋" w:eastAsia="仿宋" w:cs="Arial Narrow"/>
                <w:highlight w:val="none"/>
              </w:rPr>
            </w:pPr>
            <w:r>
              <w:rPr>
                <w:rFonts w:hint="eastAsia" w:ascii="仿宋" w:hAnsi="仿宋" w:eastAsia="仿宋" w:cs="Arial Narrow"/>
                <w:highlight w:val="none"/>
              </w:rPr>
              <w:t>效果</w:t>
            </w:r>
          </w:p>
        </w:tc>
        <w:tc>
          <w:tcPr>
            <w:tcW w:w="2132" w:type="dxa"/>
          </w:tcPr>
          <w:p w14:paraId="1A8A901B">
            <w:pPr>
              <w:ind w:firstLine="0" w:firstLineChars="0"/>
              <w:jc w:val="center"/>
              <w:rPr>
                <w:rFonts w:ascii="仿宋" w:hAnsi="仿宋" w:eastAsia="仿宋" w:cs="Arial Narrow"/>
                <w:highlight w:val="none"/>
              </w:rPr>
            </w:pPr>
            <w:r>
              <w:rPr>
                <w:rFonts w:hint="eastAsia" w:ascii="仿宋" w:hAnsi="仿宋" w:eastAsia="仿宋" w:cs="Arial Narrow"/>
                <w:highlight w:val="none"/>
              </w:rPr>
              <w:t>32分</w:t>
            </w:r>
          </w:p>
        </w:tc>
        <w:tc>
          <w:tcPr>
            <w:tcW w:w="2126" w:type="dxa"/>
          </w:tcPr>
          <w:p w14:paraId="1BF9A8EC">
            <w:pPr>
              <w:ind w:firstLine="0" w:firstLineChars="0"/>
              <w:jc w:val="center"/>
              <w:rPr>
                <w:rFonts w:ascii="仿宋" w:hAnsi="仿宋" w:eastAsia="仿宋" w:cs="Arial Narrow"/>
                <w:highlight w:val="none"/>
              </w:rPr>
            </w:pPr>
            <w:r>
              <w:rPr>
                <w:rFonts w:hint="eastAsia" w:ascii="仿宋" w:hAnsi="仿宋" w:eastAsia="仿宋" w:cs="Arial Narrow"/>
                <w:highlight w:val="none"/>
              </w:rPr>
              <w:t>2</w:t>
            </w:r>
            <w:r>
              <w:rPr>
                <w:rFonts w:hint="eastAsia" w:ascii="仿宋" w:hAnsi="仿宋" w:eastAsia="仿宋" w:cs="Arial Narrow"/>
                <w:highlight w:val="none"/>
                <w:lang w:val="en-US" w:eastAsia="zh-CN"/>
              </w:rPr>
              <w:t>9</w:t>
            </w:r>
            <w:r>
              <w:rPr>
                <w:rFonts w:hint="eastAsia" w:ascii="仿宋" w:hAnsi="仿宋" w:eastAsia="仿宋" w:cs="Arial Narrow"/>
                <w:highlight w:val="none"/>
              </w:rPr>
              <w:t>分</w:t>
            </w:r>
          </w:p>
        </w:tc>
        <w:tc>
          <w:tcPr>
            <w:tcW w:w="2126" w:type="dxa"/>
          </w:tcPr>
          <w:p w14:paraId="6C2C9956">
            <w:pPr>
              <w:ind w:firstLine="0" w:firstLineChars="0"/>
              <w:jc w:val="center"/>
              <w:rPr>
                <w:rFonts w:ascii="仿宋" w:hAnsi="仿宋" w:eastAsia="仿宋" w:cs="Arial Narrow"/>
                <w:highlight w:val="none"/>
              </w:rPr>
            </w:pPr>
            <w:r>
              <w:rPr>
                <w:rFonts w:ascii="仿宋" w:hAnsi="仿宋" w:eastAsia="仿宋" w:cs="Arial Narrow"/>
                <w:highlight w:val="none"/>
              </w:rPr>
              <w:t>优</w:t>
            </w:r>
          </w:p>
        </w:tc>
      </w:tr>
      <w:tr w14:paraId="76D002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79" w:type="dxa"/>
          </w:tcPr>
          <w:p w14:paraId="3ACCE9E5">
            <w:pPr>
              <w:ind w:firstLine="0" w:firstLineChars="0"/>
              <w:jc w:val="center"/>
              <w:rPr>
                <w:rFonts w:ascii="仿宋" w:hAnsi="仿宋" w:eastAsia="仿宋" w:cs="Arial Narrow"/>
                <w:highlight w:val="none"/>
              </w:rPr>
            </w:pPr>
            <w:r>
              <w:rPr>
                <w:rFonts w:hint="eastAsia" w:ascii="仿宋" w:hAnsi="仿宋" w:eastAsia="仿宋" w:cs="Arial Narrow"/>
                <w:highlight w:val="none"/>
              </w:rPr>
              <w:t>综合绩效</w:t>
            </w:r>
          </w:p>
        </w:tc>
        <w:tc>
          <w:tcPr>
            <w:tcW w:w="2132" w:type="dxa"/>
          </w:tcPr>
          <w:p w14:paraId="15847776">
            <w:pPr>
              <w:ind w:firstLine="0" w:firstLineChars="0"/>
              <w:jc w:val="center"/>
              <w:rPr>
                <w:rFonts w:ascii="仿宋" w:hAnsi="仿宋" w:eastAsia="仿宋" w:cs="Arial Narrow"/>
                <w:highlight w:val="none"/>
              </w:rPr>
            </w:pPr>
            <w:r>
              <w:rPr>
                <w:rFonts w:hint="eastAsia" w:ascii="仿宋" w:hAnsi="仿宋" w:eastAsia="仿宋" w:cs="Arial Narrow"/>
                <w:highlight w:val="none"/>
              </w:rPr>
              <w:t>100分</w:t>
            </w:r>
          </w:p>
        </w:tc>
        <w:tc>
          <w:tcPr>
            <w:tcW w:w="2126" w:type="dxa"/>
          </w:tcPr>
          <w:p w14:paraId="44FB317B">
            <w:pPr>
              <w:ind w:firstLine="0" w:firstLineChars="0"/>
              <w:jc w:val="center"/>
              <w:rPr>
                <w:rFonts w:ascii="仿宋" w:hAnsi="仿宋" w:eastAsia="仿宋" w:cs="Arial Narrow"/>
                <w:highlight w:val="none"/>
              </w:rPr>
            </w:pPr>
            <w:r>
              <w:rPr>
                <w:rFonts w:hint="eastAsia" w:ascii="仿宋" w:hAnsi="仿宋" w:eastAsia="仿宋" w:cs="Arial Narrow"/>
                <w:highlight w:val="none"/>
              </w:rPr>
              <w:t>9</w:t>
            </w:r>
            <w:r>
              <w:rPr>
                <w:rFonts w:hint="eastAsia" w:ascii="仿宋" w:hAnsi="仿宋" w:eastAsia="仿宋" w:cs="Arial Narrow"/>
                <w:highlight w:val="none"/>
                <w:lang w:val="en-US" w:eastAsia="zh-CN"/>
              </w:rPr>
              <w:t>6</w:t>
            </w:r>
            <w:r>
              <w:rPr>
                <w:rFonts w:hint="eastAsia" w:ascii="仿宋" w:hAnsi="仿宋" w:eastAsia="仿宋" w:cs="Arial Narrow"/>
                <w:highlight w:val="none"/>
              </w:rPr>
              <w:t>分</w:t>
            </w:r>
          </w:p>
        </w:tc>
        <w:tc>
          <w:tcPr>
            <w:tcW w:w="2126" w:type="dxa"/>
          </w:tcPr>
          <w:p w14:paraId="638C1D0B">
            <w:pPr>
              <w:ind w:firstLine="0" w:firstLineChars="0"/>
              <w:jc w:val="center"/>
              <w:rPr>
                <w:rFonts w:ascii="仿宋" w:hAnsi="仿宋" w:eastAsia="仿宋" w:cs="Arial Narrow"/>
                <w:highlight w:val="none"/>
              </w:rPr>
            </w:pPr>
            <w:r>
              <w:rPr>
                <w:rFonts w:ascii="仿宋" w:hAnsi="仿宋" w:eastAsia="仿宋" w:cs="Arial Narrow"/>
                <w:highlight w:val="none"/>
              </w:rPr>
              <w:t>优</w:t>
            </w:r>
          </w:p>
        </w:tc>
      </w:tr>
    </w:tbl>
    <w:p w14:paraId="05956DFE">
      <w:pPr>
        <w:ind w:firstLine="0" w:firstLineChars="0"/>
        <w:jc w:val="left"/>
        <w:rPr>
          <w:rFonts w:ascii="仿宋" w:hAnsi="仿宋" w:eastAsia="仿宋" w:cs="Arial Narrow"/>
          <w:b/>
          <w:sz w:val="28"/>
          <w:highlight w:val="none"/>
        </w:rPr>
      </w:pPr>
    </w:p>
    <w:p w14:paraId="5F53BE35">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8" w:name="_Toc23165"/>
      <w:r>
        <w:rPr>
          <w:rFonts w:hint="eastAsia" w:ascii="仿宋" w:hAnsi="仿宋" w:eastAsia="仿宋" w:cs="Arial Narrow"/>
          <w:sz w:val="28"/>
          <w:szCs w:val="28"/>
          <w:highlight w:val="none"/>
          <w:lang w:val="en-US" w:eastAsia="zh-CN"/>
        </w:rPr>
        <w:t>（三）项目经验与问题</w:t>
      </w:r>
      <w:bookmarkEnd w:id="8"/>
    </w:p>
    <w:p w14:paraId="2345AA0D">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lang w:val="en-US" w:eastAsia="zh-CN"/>
        </w:rPr>
      </w:pPr>
      <w:bookmarkStart w:id="9" w:name="_Toc23835"/>
      <w:r>
        <w:rPr>
          <w:rFonts w:hint="eastAsia" w:ascii="仿宋" w:hAnsi="仿宋" w:eastAsia="仿宋" w:cs="Arial Narrow"/>
          <w:sz w:val="24"/>
          <w:highlight w:val="none"/>
          <w:lang w:val="en-US" w:eastAsia="zh-CN"/>
        </w:rPr>
        <w:t>1、经验</w:t>
      </w:r>
      <w:bookmarkEnd w:id="9"/>
      <w:r>
        <w:rPr>
          <w:rFonts w:hint="eastAsia" w:ascii="仿宋" w:hAnsi="仿宋" w:eastAsia="仿宋" w:cs="Arial Narrow"/>
          <w:sz w:val="24"/>
          <w:highlight w:val="none"/>
          <w:lang w:val="en-US" w:eastAsia="zh-CN"/>
        </w:rPr>
        <w:t xml:space="preserve">  </w:t>
      </w:r>
    </w:p>
    <w:p w14:paraId="5FE3FCA9">
      <w:pPr>
        <w:snapToGrid w:val="0"/>
        <w:ind w:firstLine="480"/>
        <w:rPr>
          <w:rFonts w:hint="eastAsia" w:ascii="仿宋" w:hAnsi="仿宋" w:eastAsia="仿宋" w:cs="Arial Narrow"/>
          <w:highlight w:val="none"/>
          <w:lang w:val="en-US" w:eastAsia="zh-CN"/>
        </w:rPr>
      </w:pPr>
      <w:r>
        <w:rPr>
          <w:rFonts w:hint="eastAsia" w:ascii="仿宋" w:hAnsi="仿宋" w:eastAsia="仿宋" w:cs="Arial Narrow"/>
          <w:highlight w:val="none"/>
          <w:lang w:val="en-US" w:eastAsia="zh-CN"/>
        </w:rPr>
        <w:t>2018年，在工委（区委）、管委会（区政府）的领导下，在区各部门、街道、园区的大力支持和配合下，武汉经济技术开发区（汉南区）行政审批局坚持以问题为导向，以人民为中心，在局党组领导和党员示范引领带动下，通过大家不断的努力探索，大胆创新，“放管服”改革取得阶段性成效，“三办”改革试点经验在省市得到推广，党建品牌在区级基层组织进行了广泛交流，较好地完成了年度各项工作任务。</w:t>
      </w:r>
    </w:p>
    <w:p w14:paraId="2E929410">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lang w:val="en-US" w:eastAsia="zh-CN"/>
        </w:rPr>
      </w:pPr>
      <w:bookmarkStart w:id="10" w:name="_Toc7139"/>
      <w:r>
        <w:rPr>
          <w:rFonts w:hint="eastAsia" w:ascii="仿宋" w:hAnsi="仿宋" w:eastAsia="仿宋" w:cs="Arial Narrow"/>
          <w:sz w:val="24"/>
          <w:highlight w:val="none"/>
          <w:lang w:val="en-US" w:eastAsia="zh-CN"/>
        </w:rPr>
        <w:t>2、问题</w:t>
      </w:r>
      <w:bookmarkEnd w:id="10"/>
    </w:p>
    <w:p w14:paraId="6AEB7137">
      <w:pPr>
        <w:snapToGrid w:val="0"/>
        <w:ind w:firstLine="480"/>
        <w:rPr>
          <w:rFonts w:hint="eastAsia" w:ascii="仿宋" w:hAnsi="仿宋" w:eastAsia="仿宋" w:cs="Arial Narrow"/>
          <w:highlight w:val="none"/>
          <w:lang w:val="en-US" w:eastAsia="zh-CN"/>
        </w:rPr>
      </w:pPr>
      <w:r>
        <w:rPr>
          <w:rFonts w:hint="eastAsia" w:ascii="仿宋" w:hAnsi="仿宋" w:eastAsia="仿宋" w:cs="Arial Narrow"/>
          <w:highlight w:val="none"/>
          <w:lang w:val="en-US" w:eastAsia="zh-CN"/>
        </w:rPr>
        <w:t>未编制“行政审批局信息化项目一期”项目申报表（含绩效目标），该项目支出未纳入2018年开发区（汉南区）财政局关于批复行政审批局2018年预算的函。</w:t>
      </w:r>
    </w:p>
    <w:p w14:paraId="54B9C522">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11" w:name="_Toc3671"/>
      <w:r>
        <w:rPr>
          <w:rFonts w:hint="eastAsia" w:ascii="仿宋" w:hAnsi="仿宋" w:eastAsia="仿宋" w:cs="Arial Narrow"/>
          <w:sz w:val="28"/>
          <w:szCs w:val="28"/>
          <w:highlight w:val="none"/>
          <w:lang w:val="en-US" w:eastAsia="zh-CN"/>
        </w:rPr>
        <w:t>（四）建议</w:t>
      </w:r>
      <w:bookmarkEnd w:id="11"/>
    </w:p>
    <w:p w14:paraId="5EA72683">
      <w:pPr>
        <w:snapToGrid w:val="0"/>
        <w:ind w:firstLine="480"/>
        <w:rPr>
          <w:rFonts w:hint="default" w:ascii="仿宋" w:hAnsi="仿宋" w:eastAsia="仿宋" w:cs="Arial Narrow"/>
          <w:highlight w:val="none"/>
          <w:lang w:val="en-US" w:eastAsia="zh-CN"/>
        </w:rPr>
      </w:pPr>
      <w:r>
        <w:rPr>
          <w:rFonts w:hint="eastAsia" w:ascii="仿宋" w:hAnsi="仿宋" w:eastAsia="仿宋" w:cs="Arial Narrow"/>
          <w:highlight w:val="none"/>
          <w:lang w:val="en-US" w:eastAsia="zh-CN"/>
        </w:rPr>
        <w:t>进一步规范我区审批服务事项实施清单和办事服务指南，提高办事指南和电子证照归集种类准确率，提升网上办事综合收件统一窗口办件量。升级改造24小时自助服务区和智能机器人导办服务，推进线上线下集成融合，实现功能互补、合一通办。充分发挥省投资项目在线审批监管平台的作用，实现投资项目在线审批，在线监管。</w:t>
      </w:r>
    </w:p>
    <w:bookmarkEnd w:id="2"/>
    <w:bookmarkEnd w:id="3"/>
    <w:p w14:paraId="2B657532">
      <w:pPr>
        <w:snapToGrid w:val="0"/>
        <w:ind w:firstLine="480"/>
        <w:jc w:val="left"/>
        <w:rPr>
          <w:rFonts w:ascii="仿宋_GB2312" w:hAnsi="Arial Narrow" w:cs="Arial Narrow"/>
          <w:highlight w:val="none"/>
        </w:rPr>
      </w:pPr>
    </w:p>
    <w:p w14:paraId="69C73A9A">
      <w:pPr>
        <w:widowControl/>
        <w:spacing w:line="240" w:lineRule="auto"/>
        <w:ind w:firstLine="0" w:firstLineChars="0"/>
        <w:jc w:val="left"/>
        <w:rPr>
          <w:rFonts w:ascii="仿宋_GB2312" w:hAnsi="Arial Narrow" w:cs="Arial Narrow"/>
          <w:highlight w:val="none"/>
        </w:rPr>
      </w:pPr>
      <w:r>
        <w:rPr>
          <w:rFonts w:ascii="仿宋_GB2312" w:hAnsi="Arial Narrow" w:cs="Arial Narrow"/>
          <w:highlight w:val="none"/>
        </w:rPr>
        <w:br w:type="page"/>
      </w:r>
    </w:p>
    <w:p w14:paraId="1CCE89FE">
      <w:pPr>
        <w:pStyle w:val="2"/>
        <w:keepNext/>
        <w:keepLines/>
        <w:pageBreakBefore w:val="0"/>
        <w:widowControl w:val="0"/>
        <w:kinsoku/>
        <w:wordWrap/>
        <w:overflowPunct/>
        <w:topLinePunct w:val="0"/>
        <w:autoSpaceDE/>
        <w:autoSpaceDN/>
        <w:bidi w:val="0"/>
        <w:adjustRightInd/>
        <w:snapToGrid/>
        <w:ind w:firstLine="643" w:firstLineChars="200"/>
        <w:jc w:val="left"/>
        <w:textAlignment w:val="auto"/>
        <w:rPr>
          <w:rFonts w:hint="eastAsia" w:ascii="仿宋" w:hAnsi="仿宋" w:eastAsia="仿宋" w:cs="仿宋"/>
          <w:sz w:val="32"/>
          <w:szCs w:val="32"/>
          <w:highlight w:val="none"/>
          <w:lang w:val="en-US" w:eastAsia="zh-CN"/>
        </w:rPr>
      </w:pPr>
      <w:bookmarkStart w:id="12" w:name="_Toc25220"/>
      <w:bookmarkStart w:id="13" w:name="_Toc14165723"/>
      <w:bookmarkStart w:id="14" w:name="_Toc387957799"/>
      <w:bookmarkStart w:id="15" w:name="_Toc361304672"/>
      <w:bookmarkStart w:id="16" w:name="_Toc387957800"/>
      <w:bookmarkStart w:id="17" w:name="_Toc361304673"/>
      <w:r>
        <w:rPr>
          <w:rFonts w:hint="eastAsia" w:ascii="仿宋" w:hAnsi="仿宋" w:eastAsia="仿宋" w:cs="仿宋"/>
          <w:sz w:val="32"/>
          <w:szCs w:val="32"/>
          <w:highlight w:val="none"/>
          <w:lang w:val="en-US" w:eastAsia="zh-CN"/>
        </w:rPr>
        <w:t>二、正文</w:t>
      </w:r>
      <w:bookmarkEnd w:id="12"/>
    </w:p>
    <w:p w14:paraId="3D013388">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18" w:name="_Toc31636"/>
      <w:r>
        <w:rPr>
          <w:rFonts w:hint="eastAsia" w:ascii="仿宋" w:hAnsi="仿宋" w:eastAsia="仿宋" w:cs="Arial Narrow"/>
          <w:sz w:val="28"/>
          <w:szCs w:val="28"/>
          <w:highlight w:val="none"/>
          <w:lang w:val="en-US" w:eastAsia="zh-CN"/>
        </w:rPr>
        <w:t>（一）项目基本情况</w:t>
      </w:r>
      <w:bookmarkEnd w:id="13"/>
      <w:bookmarkEnd w:id="18"/>
    </w:p>
    <w:p w14:paraId="2CA1DEE0">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19" w:name="_Toc14165724"/>
      <w:bookmarkStart w:id="20" w:name="_Toc26381"/>
      <w:r>
        <w:rPr>
          <w:rFonts w:hint="eastAsia" w:ascii="仿宋" w:hAnsi="仿宋" w:eastAsia="仿宋" w:cs="Arial Narrow"/>
          <w:sz w:val="24"/>
          <w:highlight w:val="none"/>
          <w:lang w:val="en-US" w:eastAsia="zh-CN"/>
        </w:rPr>
        <w:t>1、</w:t>
      </w:r>
      <w:r>
        <w:rPr>
          <w:rFonts w:hint="eastAsia" w:ascii="仿宋" w:hAnsi="仿宋" w:eastAsia="仿宋" w:cs="Arial Narrow"/>
          <w:sz w:val="24"/>
          <w:highlight w:val="none"/>
        </w:rPr>
        <w:t>项目立项背景和依据</w:t>
      </w:r>
      <w:bookmarkEnd w:id="19"/>
      <w:bookmarkEnd w:id="20"/>
    </w:p>
    <w:bookmarkEnd w:id="14"/>
    <w:bookmarkEnd w:id="15"/>
    <w:p w14:paraId="510991DD">
      <w:pPr>
        <w:snapToGrid w:val="0"/>
        <w:ind w:firstLine="480"/>
        <w:rPr>
          <w:rFonts w:ascii="仿宋" w:hAnsi="仿宋" w:eastAsia="仿宋" w:cs="Arial Narrow"/>
          <w:highlight w:val="none"/>
        </w:rPr>
      </w:pPr>
      <w:bookmarkStart w:id="21" w:name="_Toc14165725"/>
      <w:bookmarkStart w:id="22" w:name="_Toc406666356"/>
      <w:bookmarkStart w:id="23" w:name="_Toc406668030"/>
      <w:bookmarkStart w:id="24" w:name="_Toc16351"/>
      <w:bookmarkStart w:id="25" w:name="_Toc361304680"/>
      <w:r>
        <w:rPr>
          <w:rFonts w:hint="eastAsia" w:ascii="仿宋" w:hAnsi="仿宋" w:eastAsia="仿宋" w:cs="Arial Narrow"/>
          <w:highlight w:val="none"/>
          <w:lang w:val="en-US" w:eastAsia="zh-CN"/>
        </w:rPr>
        <w:t>坚持以党的十九大报告精神为指导，秉承“阳光、智慧、规范、高新”的服务宗旨，以锐意改革创新的精神，进一步深化“马上办、网上办、一次办”改革，改进服务方式，提升服务效能，切实提高群众的满意度，增强群众获得感，为加快建设“活力车都、生态车都、法治车都和幸福车都”升级版做出新的更大贡献。按照开发区“智慧城市”整体规划，为积极构建覆盖全区企业和群众的行政审批与公共服务平台，经研究并报管委会批准，设立了行政审批局信息化项目</w:t>
      </w:r>
      <w:r>
        <w:rPr>
          <w:rFonts w:hint="eastAsia" w:ascii="仿宋" w:hAnsi="仿宋" w:eastAsia="仿宋" w:cs="Arial Narrow"/>
          <w:highlight w:val="none"/>
        </w:rPr>
        <w:t>。</w:t>
      </w:r>
      <w:r>
        <w:rPr>
          <w:rFonts w:hint="eastAsia" w:ascii="仿宋" w:hAnsi="仿宋" w:eastAsia="仿宋" w:cs="Arial Narrow"/>
          <w:highlight w:val="none"/>
        </w:rPr>
        <w:tab/>
      </w:r>
    </w:p>
    <w:p w14:paraId="097F377A">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26" w:name="_Toc23121"/>
      <w:r>
        <w:rPr>
          <w:rFonts w:hint="eastAsia" w:ascii="仿宋" w:hAnsi="仿宋" w:eastAsia="仿宋" w:cs="Arial Narrow"/>
          <w:sz w:val="24"/>
          <w:highlight w:val="none"/>
          <w:lang w:val="en-US" w:eastAsia="zh-CN"/>
        </w:rPr>
        <w:t>2、</w:t>
      </w:r>
      <w:r>
        <w:rPr>
          <w:rFonts w:hint="eastAsia" w:ascii="仿宋" w:hAnsi="仿宋" w:eastAsia="仿宋" w:cs="Arial Narrow"/>
          <w:sz w:val="24"/>
          <w:highlight w:val="none"/>
        </w:rPr>
        <w:t>项目绩效目标</w:t>
      </w:r>
      <w:bookmarkEnd w:id="21"/>
      <w:bookmarkEnd w:id="26"/>
    </w:p>
    <w:bookmarkEnd w:id="22"/>
    <w:bookmarkEnd w:id="23"/>
    <w:bookmarkEnd w:id="24"/>
    <w:bookmarkEnd w:id="25"/>
    <w:p w14:paraId="227742D6">
      <w:pPr>
        <w:snapToGrid w:val="0"/>
        <w:ind w:firstLine="480"/>
        <w:rPr>
          <w:rFonts w:hint="default" w:ascii="仿宋" w:hAnsi="仿宋" w:eastAsia="仿宋" w:cs="Arial Narrow"/>
          <w:highlight w:val="none"/>
          <w:lang w:val="en-US" w:eastAsia="zh-CN"/>
        </w:rPr>
      </w:pPr>
      <w:bookmarkStart w:id="27" w:name="_Toc14165726"/>
      <w:r>
        <w:rPr>
          <w:rFonts w:hint="eastAsia" w:ascii="仿宋" w:hAnsi="仿宋" w:eastAsia="仿宋" w:cs="Arial Narrow"/>
          <w:highlight w:val="none"/>
          <w:lang w:val="en-US" w:eastAsia="zh-CN"/>
        </w:rPr>
        <w:t>加强区级政务服务中心功能建设，加快街道政务服务中心升级改造，强化街道政务服务中心的业务指导，完善街道中心窗口设置和基础设施建设，加强窗口队伍管理，推进信息化、网格化建设，向实现政务服务城乡均等化发展。“行政审批局信息化项目一期”内容主要包括行政审批及服务门户网站、网上审批服务系统、移动门户系统、办公及管理系统、审批监管共享系统五个系统的软件编制和配套硬件购置。</w:t>
      </w:r>
    </w:p>
    <w:p w14:paraId="4F4C97C6">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28" w:name="_Toc4709"/>
      <w:r>
        <w:rPr>
          <w:rFonts w:hint="eastAsia" w:ascii="仿宋" w:hAnsi="仿宋" w:eastAsia="仿宋" w:cs="Arial Narrow"/>
          <w:sz w:val="24"/>
          <w:highlight w:val="none"/>
          <w:lang w:val="en-US" w:eastAsia="zh-CN"/>
        </w:rPr>
        <w:t>3、</w:t>
      </w:r>
      <w:r>
        <w:rPr>
          <w:rFonts w:hint="eastAsia" w:ascii="仿宋" w:hAnsi="仿宋" w:eastAsia="仿宋" w:cs="Arial Narrow"/>
          <w:sz w:val="24"/>
          <w:highlight w:val="none"/>
        </w:rPr>
        <w:t>项目经费来源和使用情况</w:t>
      </w:r>
      <w:bookmarkEnd w:id="27"/>
      <w:bookmarkEnd w:id="28"/>
    </w:p>
    <w:p w14:paraId="007549B6">
      <w:pPr>
        <w:snapToGrid w:val="0"/>
        <w:ind w:firstLine="480"/>
        <w:rPr>
          <w:rFonts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1</w:t>
      </w:r>
      <w:r>
        <w:rPr>
          <w:rFonts w:hint="eastAsia" w:ascii="仿宋" w:hAnsi="仿宋" w:eastAsia="仿宋" w:cs="Arial Narrow"/>
          <w:highlight w:val="none"/>
          <w:lang w:eastAsia="zh-CN"/>
        </w:rPr>
        <w:t>）</w:t>
      </w:r>
      <w:r>
        <w:rPr>
          <w:rFonts w:hint="eastAsia" w:ascii="仿宋" w:hAnsi="仿宋" w:eastAsia="仿宋" w:cs="Arial Narrow"/>
          <w:highlight w:val="none"/>
        </w:rPr>
        <w:t>项目资金来源</w:t>
      </w:r>
    </w:p>
    <w:p w14:paraId="769E21C7">
      <w:pPr>
        <w:snapToGrid w:val="0"/>
        <w:ind w:firstLine="480"/>
        <w:rPr>
          <w:rFonts w:ascii="仿宋" w:hAnsi="仿宋" w:eastAsia="仿宋" w:cs="Arial Narrow"/>
          <w:highlight w:val="none"/>
        </w:rPr>
      </w:pPr>
      <w:r>
        <w:rPr>
          <w:rFonts w:hint="eastAsia" w:ascii="仿宋" w:hAnsi="仿宋" w:eastAsia="仿宋" w:cs="Arial Narrow"/>
          <w:highlight w:val="none"/>
          <w:lang w:val="en-US" w:eastAsia="zh-CN"/>
        </w:rPr>
        <w:t>武汉经济技术开发区（汉南区）行政审批局“行政审批局信息化项目一期”</w:t>
      </w:r>
      <w:r>
        <w:rPr>
          <w:rFonts w:hint="eastAsia" w:ascii="仿宋" w:hAnsi="仿宋" w:eastAsia="仿宋" w:cs="Arial Narrow"/>
          <w:highlight w:val="none"/>
        </w:rPr>
        <w:t>项目</w:t>
      </w:r>
      <w:r>
        <w:rPr>
          <w:rFonts w:hint="eastAsia" w:ascii="仿宋" w:hAnsi="仿宋" w:eastAsia="仿宋" w:cs="Arial Narrow"/>
          <w:highlight w:val="none"/>
          <w:lang w:val="en-US" w:eastAsia="zh-CN"/>
        </w:rPr>
        <w:t>支出</w:t>
      </w:r>
      <w:r>
        <w:rPr>
          <w:rFonts w:hint="eastAsia" w:ascii="仿宋" w:hAnsi="仿宋" w:eastAsia="仿宋" w:cs="Arial Narrow"/>
          <w:highlight w:val="none"/>
        </w:rPr>
        <w:t>年初预算</w:t>
      </w:r>
      <w:r>
        <w:rPr>
          <w:rFonts w:hint="eastAsia" w:ascii="仿宋" w:hAnsi="仿宋" w:eastAsia="仿宋" w:cs="Arial Narrow"/>
          <w:highlight w:val="none"/>
          <w:lang w:val="en-US" w:eastAsia="zh-CN"/>
        </w:rPr>
        <w:t>批复为</w:t>
      </w:r>
      <w:r>
        <w:rPr>
          <w:rFonts w:hint="eastAsia" w:ascii="仿宋" w:hAnsi="仿宋" w:eastAsia="仿宋" w:cs="Arial Narrow"/>
          <w:highlight w:val="none"/>
        </w:rPr>
        <w:t>1</w:t>
      </w:r>
      <w:r>
        <w:rPr>
          <w:rFonts w:hint="eastAsia" w:ascii="仿宋" w:hAnsi="仿宋" w:eastAsia="仿宋" w:cs="Arial Narrow"/>
          <w:highlight w:val="none"/>
          <w:lang w:val="en-US" w:eastAsia="zh-CN"/>
        </w:rPr>
        <w:t>,</w:t>
      </w:r>
      <w:r>
        <w:rPr>
          <w:rFonts w:hint="eastAsia" w:ascii="仿宋" w:hAnsi="仿宋" w:eastAsia="仿宋" w:cs="Arial Narrow"/>
          <w:highlight w:val="none"/>
        </w:rPr>
        <w:t>054</w:t>
      </w:r>
      <w:r>
        <w:rPr>
          <w:rFonts w:hint="eastAsia" w:ascii="仿宋" w:hAnsi="仿宋" w:eastAsia="仿宋" w:cs="Arial Narrow"/>
          <w:highlight w:val="none"/>
          <w:lang w:val="en-US" w:eastAsia="zh-CN"/>
        </w:rPr>
        <w:t>,</w:t>
      </w:r>
      <w:r>
        <w:rPr>
          <w:rFonts w:hint="eastAsia" w:ascii="仿宋" w:hAnsi="仿宋" w:eastAsia="仿宋" w:cs="Arial Narrow"/>
          <w:highlight w:val="none"/>
        </w:rPr>
        <w:t>895</w:t>
      </w:r>
      <w:r>
        <w:rPr>
          <w:rFonts w:hint="eastAsia" w:ascii="仿宋" w:hAnsi="仿宋" w:eastAsia="仿宋" w:cs="Arial Narrow"/>
          <w:highlight w:val="none"/>
          <w:lang w:val="en-US" w:eastAsia="zh-CN"/>
        </w:rPr>
        <w:t>.00</w:t>
      </w:r>
      <w:r>
        <w:rPr>
          <w:rFonts w:hint="eastAsia" w:ascii="仿宋" w:hAnsi="仿宋" w:eastAsia="仿宋" w:cs="Arial Narrow"/>
          <w:highlight w:val="none"/>
        </w:rPr>
        <w:t>元，均系财政拨款。</w:t>
      </w:r>
    </w:p>
    <w:p w14:paraId="7B79158E">
      <w:pPr>
        <w:snapToGrid w:val="0"/>
        <w:ind w:firstLine="480"/>
        <w:rPr>
          <w:rFonts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2</w:t>
      </w:r>
      <w:r>
        <w:rPr>
          <w:rFonts w:hint="eastAsia" w:ascii="仿宋" w:hAnsi="仿宋" w:eastAsia="仿宋" w:cs="Arial Narrow"/>
          <w:highlight w:val="none"/>
          <w:lang w:eastAsia="zh-CN"/>
        </w:rPr>
        <w:t>）</w:t>
      </w:r>
      <w:r>
        <w:rPr>
          <w:rFonts w:hint="eastAsia" w:ascii="仿宋" w:hAnsi="仿宋" w:eastAsia="仿宋" w:cs="Arial Narrow"/>
          <w:highlight w:val="none"/>
        </w:rPr>
        <w:t>项目资金使用概况</w:t>
      </w:r>
    </w:p>
    <w:p w14:paraId="45760FB1">
      <w:pPr>
        <w:snapToGrid w:val="0"/>
        <w:ind w:firstLine="480"/>
        <w:rPr>
          <w:rFonts w:ascii="仿宋" w:hAnsi="仿宋" w:eastAsia="仿宋" w:cs="Arial Narrow"/>
          <w:highlight w:val="none"/>
        </w:rPr>
      </w:pPr>
      <w:r>
        <w:rPr>
          <w:rFonts w:hint="eastAsia" w:ascii="仿宋" w:hAnsi="仿宋" w:eastAsia="仿宋" w:cs="Arial Narrow"/>
          <w:highlight w:val="none"/>
          <w:lang w:val="en-US" w:eastAsia="zh-CN"/>
        </w:rPr>
        <w:t>截止到绩效评价日，“行政审批局信息化项目一期”</w:t>
      </w:r>
      <w:r>
        <w:rPr>
          <w:rFonts w:hint="eastAsia" w:ascii="仿宋" w:hAnsi="仿宋" w:eastAsia="仿宋" w:cs="Arial Narrow"/>
          <w:highlight w:val="none"/>
        </w:rPr>
        <w:t>项目计划支出1</w:t>
      </w:r>
      <w:r>
        <w:rPr>
          <w:rFonts w:hint="eastAsia" w:ascii="仿宋" w:hAnsi="仿宋" w:eastAsia="仿宋" w:cs="Arial Narrow"/>
          <w:highlight w:val="none"/>
          <w:lang w:val="en-US" w:eastAsia="zh-CN"/>
        </w:rPr>
        <w:t>,</w:t>
      </w:r>
      <w:r>
        <w:rPr>
          <w:rFonts w:hint="eastAsia" w:ascii="仿宋" w:hAnsi="仿宋" w:eastAsia="仿宋" w:cs="Arial Narrow"/>
          <w:highlight w:val="none"/>
        </w:rPr>
        <w:t>054</w:t>
      </w:r>
      <w:r>
        <w:rPr>
          <w:rFonts w:hint="eastAsia" w:ascii="仿宋" w:hAnsi="仿宋" w:eastAsia="仿宋" w:cs="Arial Narrow"/>
          <w:highlight w:val="none"/>
          <w:lang w:val="en-US" w:eastAsia="zh-CN"/>
        </w:rPr>
        <w:t>,</w:t>
      </w:r>
      <w:r>
        <w:rPr>
          <w:rFonts w:hint="eastAsia" w:ascii="仿宋" w:hAnsi="仿宋" w:eastAsia="仿宋" w:cs="Arial Narrow"/>
          <w:highlight w:val="none"/>
        </w:rPr>
        <w:t>895</w:t>
      </w:r>
      <w:r>
        <w:rPr>
          <w:rFonts w:hint="eastAsia" w:ascii="仿宋" w:hAnsi="仿宋" w:eastAsia="仿宋" w:cs="Arial Narrow"/>
          <w:highlight w:val="none"/>
          <w:lang w:val="en-US" w:eastAsia="zh-CN"/>
        </w:rPr>
        <w:t>.00</w:t>
      </w:r>
      <w:r>
        <w:rPr>
          <w:rFonts w:hint="eastAsia" w:ascii="仿宋" w:hAnsi="仿宋" w:eastAsia="仿宋" w:cs="Arial Narrow"/>
          <w:highlight w:val="none"/>
        </w:rPr>
        <w:t>元，实际支出为1</w:t>
      </w:r>
      <w:r>
        <w:rPr>
          <w:rFonts w:hint="eastAsia" w:ascii="仿宋" w:hAnsi="仿宋" w:eastAsia="仿宋" w:cs="Arial Narrow"/>
          <w:highlight w:val="none"/>
          <w:lang w:val="en-US" w:eastAsia="zh-CN"/>
        </w:rPr>
        <w:t>,</w:t>
      </w:r>
      <w:r>
        <w:rPr>
          <w:rFonts w:hint="eastAsia" w:ascii="仿宋" w:hAnsi="仿宋" w:eastAsia="仿宋" w:cs="Arial Narrow"/>
          <w:highlight w:val="none"/>
        </w:rPr>
        <w:t>054</w:t>
      </w:r>
      <w:r>
        <w:rPr>
          <w:rFonts w:hint="eastAsia" w:ascii="仿宋" w:hAnsi="仿宋" w:eastAsia="仿宋" w:cs="Arial Narrow"/>
          <w:highlight w:val="none"/>
          <w:lang w:val="en-US" w:eastAsia="zh-CN"/>
        </w:rPr>
        <w:t>,</w:t>
      </w:r>
      <w:r>
        <w:rPr>
          <w:rFonts w:hint="eastAsia" w:ascii="仿宋" w:hAnsi="仿宋" w:eastAsia="仿宋" w:cs="Arial Narrow"/>
          <w:highlight w:val="none"/>
        </w:rPr>
        <w:t>895</w:t>
      </w:r>
      <w:r>
        <w:rPr>
          <w:rFonts w:hint="eastAsia" w:ascii="仿宋" w:hAnsi="仿宋" w:eastAsia="仿宋" w:cs="Arial Narrow"/>
          <w:highlight w:val="none"/>
          <w:lang w:val="en-US" w:eastAsia="zh-CN"/>
        </w:rPr>
        <w:t>.00</w:t>
      </w:r>
      <w:r>
        <w:rPr>
          <w:rFonts w:hint="eastAsia" w:ascii="仿宋" w:hAnsi="仿宋" w:eastAsia="仿宋" w:cs="Arial Narrow"/>
          <w:highlight w:val="none"/>
        </w:rPr>
        <w:t>元。包括基础设施建设费96</w:t>
      </w:r>
      <w:r>
        <w:rPr>
          <w:rFonts w:hint="eastAsia" w:ascii="仿宋" w:hAnsi="仿宋" w:eastAsia="仿宋" w:cs="Arial Narrow"/>
          <w:highlight w:val="none"/>
          <w:lang w:val="en-US" w:eastAsia="zh-CN"/>
        </w:rPr>
        <w:t>,</w:t>
      </w:r>
      <w:r>
        <w:rPr>
          <w:rFonts w:hint="eastAsia" w:ascii="仿宋" w:hAnsi="仿宋" w:eastAsia="仿宋" w:cs="Arial Narrow"/>
          <w:highlight w:val="none"/>
        </w:rPr>
        <w:t>695</w:t>
      </w:r>
      <w:r>
        <w:rPr>
          <w:rFonts w:hint="eastAsia" w:ascii="仿宋" w:hAnsi="仿宋" w:eastAsia="仿宋" w:cs="Arial Narrow"/>
          <w:highlight w:val="none"/>
          <w:lang w:val="en-US" w:eastAsia="zh-CN"/>
        </w:rPr>
        <w:t>.00</w:t>
      </w:r>
      <w:r>
        <w:rPr>
          <w:rFonts w:hint="eastAsia" w:ascii="仿宋" w:hAnsi="仿宋" w:eastAsia="仿宋" w:cs="Arial Narrow"/>
          <w:highlight w:val="none"/>
        </w:rPr>
        <w:t>元，信息网络及软件购置更新</w:t>
      </w:r>
      <w:r>
        <w:rPr>
          <w:rFonts w:hint="eastAsia" w:ascii="仿宋" w:hAnsi="仿宋" w:eastAsia="仿宋" w:cs="Arial Narrow"/>
          <w:highlight w:val="none"/>
          <w:lang w:val="en-US" w:eastAsia="zh-CN"/>
        </w:rPr>
        <w:t>费</w:t>
      </w:r>
      <w:r>
        <w:rPr>
          <w:rFonts w:hint="eastAsia" w:ascii="仿宋" w:hAnsi="仿宋" w:eastAsia="仿宋" w:cs="Arial Narrow"/>
          <w:highlight w:val="none"/>
        </w:rPr>
        <w:t>958</w:t>
      </w:r>
      <w:r>
        <w:rPr>
          <w:rFonts w:hint="eastAsia" w:ascii="仿宋" w:hAnsi="仿宋" w:eastAsia="仿宋" w:cs="Arial Narrow"/>
          <w:highlight w:val="none"/>
          <w:lang w:val="en-US" w:eastAsia="zh-CN"/>
        </w:rPr>
        <w:t>,</w:t>
      </w:r>
      <w:r>
        <w:rPr>
          <w:rFonts w:hint="eastAsia" w:ascii="仿宋" w:hAnsi="仿宋" w:eastAsia="仿宋" w:cs="Arial Narrow"/>
          <w:highlight w:val="none"/>
        </w:rPr>
        <w:t>200</w:t>
      </w:r>
      <w:r>
        <w:rPr>
          <w:rFonts w:hint="eastAsia" w:ascii="仿宋" w:hAnsi="仿宋" w:eastAsia="仿宋" w:cs="Arial Narrow"/>
          <w:highlight w:val="none"/>
          <w:lang w:val="en-US" w:eastAsia="zh-CN"/>
        </w:rPr>
        <w:t>.00</w:t>
      </w:r>
      <w:r>
        <w:rPr>
          <w:rFonts w:ascii="仿宋" w:hAnsi="仿宋" w:eastAsia="仿宋" w:cs="Arial Narrow"/>
          <w:highlight w:val="none"/>
        </w:rPr>
        <w:t>元</w:t>
      </w:r>
      <w:r>
        <w:rPr>
          <w:rFonts w:hint="eastAsia" w:ascii="仿宋" w:hAnsi="仿宋" w:eastAsia="仿宋" w:cs="Arial Narrow"/>
          <w:highlight w:val="none"/>
        </w:rPr>
        <w:t>。资金使用率为100.00%。</w:t>
      </w:r>
    </w:p>
    <w:bookmarkEnd w:id="16"/>
    <w:bookmarkEnd w:id="17"/>
    <w:p w14:paraId="0B70CE70">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29" w:name="_Toc14165727"/>
      <w:bookmarkStart w:id="30" w:name="_Toc23481"/>
      <w:r>
        <w:rPr>
          <w:rFonts w:hint="eastAsia" w:ascii="仿宋" w:hAnsi="仿宋" w:eastAsia="仿宋" w:cs="Arial Narrow"/>
          <w:sz w:val="24"/>
          <w:highlight w:val="none"/>
          <w:lang w:val="en-US" w:eastAsia="zh-CN"/>
        </w:rPr>
        <w:t>4、</w:t>
      </w:r>
      <w:r>
        <w:rPr>
          <w:rFonts w:hint="eastAsia" w:ascii="仿宋" w:hAnsi="仿宋" w:eastAsia="仿宋" w:cs="Arial Narrow"/>
          <w:sz w:val="24"/>
          <w:highlight w:val="none"/>
        </w:rPr>
        <w:t>项目实施情况</w:t>
      </w:r>
      <w:bookmarkEnd w:id="29"/>
      <w:bookmarkEnd w:id="30"/>
    </w:p>
    <w:p w14:paraId="0D79468A">
      <w:pPr>
        <w:snapToGrid w:val="0"/>
        <w:ind w:firstLine="480"/>
        <w:rPr>
          <w:rFonts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1</w:t>
      </w:r>
      <w:r>
        <w:rPr>
          <w:rFonts w:hint="eastAsia" w:ascii="仿宋" w:hAnsi="仿宋" w:eastAsia="仿宋" w:cs="Arial Narrow"/>
          <w:highlight w:val="none"/>
          <w:lang w:eastAsia="zh-CN"/>
        </w:rPr>
        <w:t>）</w:t>
      </w:r>
      <w:r>
        <w:rPr>
          <w:rFonts w:hint="eastAsia" w:ascii="仿宋" w:hAnsi="仿宋" w:eastAsia="仿宋" w:cs="Arial Narrow"/>
          <w:highlight w:val="none"/>
        </w:rPr>
        <w:t>项目实施单位：武汉经济技术开发区（汉南区）行政审批局</w:t>
      </w:r>
    </w:p>
    <w:p w14:paraId="24BE944A">
      <w:pPr>
        <w:snapToGrid w:val="0"/>
        <w:ind w:firstLine="480"/>
        <w:rPr>
          <w:rFonts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2</w:t>
      </w:r>
      <w:r>
        <w:rPr>
          <w:rFonts w:hint="eastAsia" w:ascii="仿宋" w:hAnsi="仿宋" w:eastAsia="仿宋" w:cs="Arial Narrow"/>
          <w:highlight w:val="none"/>
          <w:lang w:eastAsia="zh-CN"/>
        </w:rPr>
        <w:t>）</w:t>
      </w:r>
      <w:r>
        <w:rPr>
          <w:rFonts w:hint="eastAsia" w:ascii="仿宋" w:hAnsi="仿宋" w:eastAsia="仿宋" w:cs="Arial Narrow"/>
          <w:highlight w:val="none"/>
        </w:rPr>
        <w:t>项目主要内容：</w:t>
      </w:r>
      <w:r>
        <w:rPr>
          <w:rFonts w:hint="eastAsia" w:ascii="仿宋" w:hAnsi="仿宋" w:eastAsia="仿宋" w:cs="Arial Narrow"/>
          <w:highlight w:val="none"/>
          <w:lang w:val="en-US" w:eastAsia="zh-CN"/>
        </w:rPr>
        <w:t>“行政审批局信息化项目一期”主要采购内容包括行政审批局政务门户网站建设、智慧网上办事大厅系统、智能手机APP、政务微信公众号、大厅实时运行感知系统、OA系统等的软件子系统的开发和实体大厅排队服务系统相应设备的安装调试工作等</w:t>
      </w:r>
      <w:r>
        <w:rPr>
          <w:rFonts w:hint="eastAsia" w:ascii="仿宋" w:hAnsi="仿宋" w:eastAsia="仿宋" w:cs="Arial Narrow"/>
          <w:highlight w:val="none"/>
        </w:rPr>
        <w:t xml:space="preserve">。 </w:t>
      </w:r>
    </w:p>
    <w:p w14:paraId="0D90D37A">
      <w:pPr>
        <w:snapToGrid w:val="0"/>
        <w:ind w:firstLine="480"/>
        <w:rPr>
          <w:rFonts w:hint="default" w:ascii="仿宋" w:hAnsi="仿宋" w:eastAsia="仿宋" w:cs="Arial Narrow"/>
          <w:highlight w:val="none"/>
          <w:lang w:val="en-US"/>
        </w:rPr>
      </w:pPr>
      <w:r>
        <w:rPr>
          <w:rFonts w:hint="eastAsia" w:ascii="仿宋" w:hAnsi="仿宋" w:eastAsia="仿宋" w:cs="Arial Narrow"/>
          <w:highlight w:val="none"/>
          <w:lang w:eastAsia="zh-CN"/>
        </w:rPr>
        <w:t>（</w:t>
      </w:r>
      <w:r>
        <w:rPr>
          <w:rFonts w:hint="eastAsia" w:ascii="仿宋" w:hAnsi="仿宋" w:eastAsia="仿宋" w:cs="Arial Narrow"/>
          <w:highlight w:val="none"/>
        </w:rPr>
        <w:t>3</w:t>
      </w:r>
      <w:r>
        <w:rPr>
          <w:rFonts w:hint="eastAsia" w:ascii="仿宋" w:hAnsi="仿宋" w:eastAsia="仿宋" w:cs="Arial Narrow"/>
          <w:highlight w:val="none"/>
          <w:lang w:eastAsia="zh-CN"/>
        </w:rPr>
        <w:t>）</w:t>
      </w:r>
      <w:r>
        <w:rPr>
          <w:rFonts w:hint="eastAsia" w:ascii="仿宋" w:hAnsi="仿宋" w:eastAsia="仿宋" w:cs="Arial Narrow"/>
          <w:highlight w:val="none"/>
          <w:lang w:val="en-US" w:eastAsia="zh-CN"/>
        </w:rPr>
        <w:t>项目完成概况：2017年11月14日，武汉经济技术开发区（汉南区）行政审批局在武汉市组织召开信息化项目专家验收会，专家组同意该项目通过验收。工程咨询管理中心于2018年1月18日出具《工程量核查报告》。</w:t>
      </w:r>
    </w:p>
    <w:p w14:paraId="79EA2BD3">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31" w:name="_Toc30078"/>
      <w:bookmarkStart w:id="32" w:name="_Toc406668031"/>
      <w:bookmarkStart w:id="33" w:name="_Toc387957806"/>
      <w:bookmarkStart w:id="34" w:name="_Toc361304681"/>
      <w:bookmarkStart w:id="35" w:name="_Toc14165728"/>
      <w:bookmarkStart w:id="36" w:name="_Toc406666357"/>
      <w:bookmarkStart w:id="37" w:name="_Toc14372"/>
      <w:r>
        <w:rPr>
          <w:rFonts w:hint="eastAsia" w:ascii="仿宋" w:hAnsi="仿宋" w:eastAsia="仿宋" w:cs="Arial Narrow"/>
          <w:sz w:val="28"/>
          <w:szCs w:val="28"/>
          <w:highlight w:val="none"/>
          <w:lang w:val="en-US" w:eastAsia="zh-CN"/>
        </w:rPr>
        <w:t>（二）绩效评价工作情况</w:t>
      </w:r>
      <w:bookmarkEnd w:id="31"/>
      <w:bookmarkEnd w:id="32"/>
      <w:bookmarkEnd w:id="33"/>
      <w:bookmarkEnd w:id="34"/>
      <w:bookmarkEnd w:id="35"/>
      <w:bookmarkEnd w:id="36"/>
      <w:bookmarkEnd w:id="37"/>
      <w:bookmarkStart w:id="38" w:name="_Toc361304682"/>
    </w:p>
    <w:p w14:paraId="2CB5BD55">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39" w:name="_Toc387957807"/>
      <w:bookmarkStart w:id="40" w:name="_Toc406666358"/>
      <w:bookmarkStart w:id="41" w:name="_Toc29064"/>
      <w:bookmarkStart w:id="42" w:name="_Toc10142"/>
      <w:bookmarkStart w:id="43" w:name="_Toc406668032"/>
      <w:bookmarkStart w:id="44" w:name="_Toc14165729"/>
      <w:r>
        <w:rPr>
          <w:rFonts w:hint="eastAsia" w:ascii="仿宋" w:hAnsi="仿宋" w:eastAsia="仿宋" w:cs="Arial Narrow"/>
          <w:sz w:val="24"/>
          <w:highlight w:val="none"/>
          <w:lang w:val="en-US" w:eastAsia="zh-CN"/>
        </w:rPr>
        <w:t>1、</w:t>
      </w:r>
      <w:r>
        <w:rPr>
          <w:rFonts w:hint="eastAsia" w:ascii="仿宋" w:hAnsi="仿宋" w:eastAsia="仿宋" w:cs="Arial Narrow"/>
          <w:sz w:val="24"/>
          <w:highlight w:val="none"/>
        </w:rPr>
        <w:t>绩效评价目</w:t>
      </w:r>
      <w:bookmarkEnd w:id="38"/>
      <w:bookmarkEnd w:id="39"/>
      <w:r>
        <w:rPr>
          <w:rFonts w:hint="eastAsia" w:ascii="仿宋" w:hAnsi="仿宋" w:eastAsia="仿宋" w:cs="Arial Narrow"/>
          <w:sz w:val="24"/>
          <w:highlight w:val="none"/>
        </w:rPr>
        <w:t>的</w:t>
      </w:r>
      <w:bookmarkEnd w:id="40"/>
      <w:bookmarkEnd w:id="41"/>
      <w:bookmarkEnd w:id="42"/>
      <w:bookmarkEnd w:id="43"/>
      <w:bookmarkEnd w:id="44"/>
    </w:p>
    <w:p w14:paraId="05D18D0F">
      <w:pPr>
        <w:snapToGrid w:val="0"/>
        <w:ind w:firstLine="480"/>
        <w:rPr>
          <w:rFonts w:hint="eastAsia" w:ascii="仿宋" w:hAnsi="仿宋" w:eastAsia="仿宋" w:cs="Arial Narrow"/>
          <w:bCs/>
          <w:highlight w:val="none"/>
        </w:rPr>
      </w:pPr>
      <w:r>
        <w:rPr>
          <w:rFonts w:hint="eastAsia" w:ascii="仿宋" w:hAnsi="仿宋" w:eastAsia="仿宋" w:cs="Arial Narrow"/>
          <w:bCs/>
          <w:highlight w:val="none"/>
        </w:rPr>
        <w:t>本次绩效评价的主要目的是加强项目资金管理，提高“行政审批局信息化项目一期”支出补贴资金使用效益。</w:t>
      </w:r>
    </w:p>
    <w:p w14:paraId="5794E29E">
      <w:pPr>
        <w:snapToGrid w:val="0"/>
        <w:ind w:firstLine="480"/>
        <w:rPr>
          <w:rFonts w:ascii="仿宋" w:hAnsi="仿宋" w:eastAsia="仿宋" w:cs="Arial Narrow"/>
          <w:bCs/>
          <w:highlight w:val="none"/>
        </w:rPr>
      </w:pPr>
      <w:r>
        <w:rPr>
          <w:rFonts w:hint="eastAsia" w:ascii="仿宋" w:hAnsi="仿宋" w:eastAsia="仿宋" w:cs="Arial Narrow"/>
          <w:bCs/>
          <w:highlight w:val="none"/>
        </w:rPr>
        <w:t>通过绩效评价，能够核查201</w:t>
      </w:r>
      <w:r>
        <w:rPr>
          <w:rFonts w:hint="eastAsia" w:ascii="仿宋" w:hAnsi="仿宋" w:eastAsia="仿宋" w:cs="Arial Narrow"/>
          <w:bCs/>
          <w:highlight w:val="none"/>
          <w:lang w:val="en-US" w:eastAsia="zh-CN"/>
        </w:rPr>
        <w:t>8</w:t>
      </w:r>
      <w:r>
        <w:rPr>
          <w:rFonts w:hint="eastAsia" w:ascii="仿宋" w:hAnsi="仿宋" w:eastAsia="仿宋" w:cs="Arial Narrow"/>
          <w:bCs/>
          <w:highlight w:val="none"/>
        </w:rPr>
        <w:t>年度行政审批中心项目绩效目标、指标的实现程度，考核资金使用效率和综合绩效，总结项目管理与执行经验，管理部门决策、管理提供参考依据；推动建立以绩效评价结果为导向的财政资金分配与管理制度，提升财政资金科学化、精细化管理水平。</w:t>
      </w:r>
    </w:p>
    <w:p w14:paraId="2AF5DDCB">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45" w:name="_Toc12516"/>
      <w:bookmarkStart w:id="46" w:name="_Toc14165730"/>
      <w:bookmarkStart w:id="47" w:name="_Toc32197"/>
      <w:bookmarkStart w:id="48" w:name="_Toc361304684"/>
      <w:bookmarkStart w:id="49" w:name="_Toc387957809"/>
      <w:bookmarkStart w:id="50" w:name="_Toc361302025"/>
      <w:bookmarkStart w:id="51" w:name="_Toc406668033"/>
      <w:bookmarkStart w:id="52" w:name="_Toc406666359"/>
      <w:r>
        <w:rPr>
          <w:rFonts w:hint="eastAsia" w:ascii="仿宋" w:hAnsi="仿宋" w:eastAsia="仿宋" w:cs="Arial Narrow"/>
          <w:sz w:val="24"/>
          <w:highlight w:val="none"/>
          <w:lang w:val="en-US" w:eastAsia="zh-CN"/>
        </w:rPr>
        <w:t>2、</w:t>
      </w:r>
      <w:r>
        <w:rPr>
          <w:rFonts w:hint="eastAsia" w:ascii="仿宋" w:hAnsi="仿宋" w:eastAsia="仿宋" w:cs="Arial Narrow"/>
          <w:sz w:val="24"/>
          <w:highlight w:val="none"/>
        </w:rPr>
        <w:t>绩效评价工作过程</w:t>
      </w:r>
      <w:bookmarkEnd w:id="45"/>
      <w:bookmarkEnd w:id="46"/>
      <w:bookmarkEnd w:id="47"/>
    </w:p>
    <w:p w14:paraId="3D98EDB7">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eastAsia="zh-CN"/>
        </w:rPr>
        <w:t>（</w:t>
      </w:r>
      <w:r>
        <w:rPr>
          <w:rFonts w:hint="eastAsia" w:ascii="仿宋" w:hAnsi="仿宋" w:eastAsia="仿宋" w:cs="Arial Narrow"/>
          <w:bCs/>
          <w:highlight w:val="none"/>
        </w:rPr>
        <w:t>1</w:t>
      </w:r>
      <w:r>
        <w:rPr>
          <w:rFonts w:hint="eastAsia" w:ascii="仿宋" w:hAnsi="仿宋" w:eastAsia="仿宋" w:cs="Arial Narrow"/>
          <w:bCs/>
          <w:highlight w:val="none"/>
          <w:lang w:eastAsia="zh-CN"/>
        </w:rPr>
        <w:t>）</w:t>
      </w:r>
      <w:r>
        <w:rPr>
          <w:rFonts w:hint="eastAsia" w:ascii="仿宋" w:hAnsi="仿宋" w:eastAsia="仿宋" w:cs="Arial Narrow"/>
          <w:bCs/>
          <w:highlight w:val="none"/>
        </w:rPr>
        <w:t>绩效评价准备阶段</w:t>
      </w:r>
    </w:p>
    <w:p w14:paraId="75DF6EBB">
      <w:pPr>
        <w:snapToGrid w:val="0"/>
        <w:ind w:firstLine="480"/>
        <w:jc w:val="left"/>
        <w:rPr>
          <w:rFonts w:ascii="仿宋" w:hAnsi="仿宋" w:eastAsia="仿宋" w:cs="Arial Narrow"/>
          <w:bCs/>
          <w:highlight w:val="none"/>
        </w:rPr>
      </w:pPr>
      <w:r>
        <w:rPr>
          <w:rFonts w:hint="eastAsia" w:ascii="仿宋" w:hAnsi="仿宋" w:eastAsia="仿宋" w:cs="Arial Narrow"/>
          <w:bCs/>
          <w:highlight w:val="none"/>
        </w:rPr>
        <w:t>确定评价对象。根据下达的绩效评价通知书，制订绩效评价工作方案。</w:t>
      </w:r>
    </w:p>
    <w:p w14:paraId="5E691363">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eastAsia="zh-CN"/>
        </w:rPr>
        <w:t>（</w:t>
      </w:r>
      <w:r>
        <w:rPr>
          <w:rFonts w:hint="eastAsia" w:ascii="仿宋" w:hAnsi="仿宋" w:eastAsia="仿宋" w:cs="Arial Narrow"/>
          <w:bCs/>
          <w:highlight w:val="none"/>
        </w:rPr>
        <w:t>2</w:t>
      </w:r>
      <w:r>
        <w:rPr>
          <w:rFonts w:hint="eastAsia" w:ascii="仿宋" w:hAnsi="仿宋" w:eastAsia="仿宋" w:cs="Arial Narrow"/>
          <w:bCs/>
          <w:highlight w:val="none"/>
          <w:lang w:eastAsia="zh-CN"/>
        </w:rPr>
        <w:t>）</w:t>
      </w:r>
      <w:r>
        <w:rPr>
          <w:rFonts w:hint="eastAsia" w:ascii="仿宋" w:hAnsi="仿宋" w:eastAsia="仿宋" w:cs="Arial Narrow"/>
          <w:bCs/>
          <w:highlight w:val="none"/>
        </w:rPr>
        <w:t>绩效评价实施阶段</w:t>
      </w:r>
    </w:p>
    <w:p w14:paraId="4E350958">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val="en-US" w:eastAsia="zh-CN"/>
        </w:rPr>
        <w:t>①</w:t>
      </w:r>
      <w:r>
        <w:rPr>
          <w:rFonts w:hint="eastAsia" w:ascii="仿宋" w:hAnsi="仿宋" w:eastAsia="仿宋" w:cs="Arial Narrow"/>
          <w:bCs/>
          <w:highlight w:val="none"/>
        </w:rPr>
        <w:t>拟定评价工作方案；</w:t>
      </w:r>
    </w:p>
    <w:p w14:paraId="6F6826E9">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val="en-US" w:eastAsia="zh-CN"/>
        </w:rPr>
        <w:t>②</w:t>
      </w:r>
      <w:r>
        <w:rPr>
          <w:rFonts w:hint="eastAsia" w:ascii="仿宋" w:hAnsi="仿宋" w:eastAsia="仿宋" w:cs="Arial Narrow"/>
          <w:bCs/>
          <w:highlight w:val="none"/>
        </w:rPr>
        <w:t>资料审核；</w:t>
      </w:r>
    </w:p>
    <w:p w14:paraId="62F550F8">
      <w:pPr>
        <w:snapToGrid w:val="0"/>
        <w:ind w:firstLine="480"/>
        <w:jc w:val="left"/>
        <w:rPr>
          <w:rFonts w:ascii="仿宋" w:hAnsi="仿宋" w:eastAsia="仿宋" w:cs="Arial Narrow"/>
          <w:bCs/>
          <w:highlight w:val="none"/>
        </w:rPr>
      </w:pPr>
      <w:r>
        <w:rPr>
          <w:rFonts w:hint="eastAsia" w:ascii="宋体" w:hAnsi="宋体" w:eastAsia="宋体" w:cs="宋体"/>
          <w:bCs/>
          <w:highlight w:val="none"/>
          <w:lang w:val="en-US" w:eastAsia="zh-CN"/>
        </w:rPr>
        <w:t>③</w:t>
      </w:r>
      <w:r>
        <w:rPr>
          <w:rFonts w:hint="eastAsia" w:ascii="仿宋" w:hAnsi="仿宋" w:eastAsia="仿宋" w:cs="Arial Narrow"/>
          <w:bCs/>
          <w:highlight w:val="none"/>
        </w:rPr>
        <w:t>撰写绩效报告；</w:t>
      </w:r>
    </w:p>
    <w:p w14:paraId="0E560E16">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val="en-US" w:eastAsia="zh-CN"/>
        </w:rPr>
        <w:t>④</w:t>
      </w:r>
      <w:r>
        <w:rPr>
          <w:rFonts w:hint="eastAsia" w:ascii="仿宋" w:hAnsi="仿宋" w:eastAsia="仿宋" w:cs="Arial Narrow"/>
          <w:bCs/>
          <w:highlight w:val="none"/>
        </w:rPr>
        <w:t>实施绩效评价。</w:t>
      </w:r>
    </w:p>
    <w:p w14:paraId="78ECEDE1">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eastAsia="zh-CN"/>
        </w:rPr>
        <w:t>（</w:t>
      </w:r>
      <w:r>
        <w:rPr>
          <w:rFonts w:hint="eastAsia" w:ascii="仿宋" w:hAnsi="仿宋" w:eastAsia="仿宋" w:cs="Arial Narrow"/>
          <w:bCs/>
          <w:highlight w:val="none"/>
          <w:lang w:val="en-US" w:eastAsia="zh-CN"/>
        </w:rPr>
        <w:t>3）</w:t>
      </w:r>
      <w:r>
        <w:rPr>
          <w:rFonts w:hint="eastAsia" w:ascii="仿宋" w:hAnsi="仿宋" w:eastAsia="仿宋" w:cs="Arial Narrow"/>
          <w:bCs/>
          <w:highlight w:val="none"/>
        </w:rPr>
        <w:t>绩效评价总结阶段</w:t>
      </w:r>
    </w:p>
    <w:p w14:paraId="2FE8D8C8">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val="en-US" w:eastAsia="zh-CN"/>
        </w:rPr>
        <w:t>①</w:t>
      </w:r>
      <w:r>
        <w:rPr>
          <w:rFonts w:hint="eastAsia" w:ascii="仿宋" w:hAnsi="仿宋" w:eastAsia="仿宋" w:cs="Arial Narrow"/>
          <w:bCs/>
          <w:highlight w:val="none"/>
        </w:rPr>
        <w:t>撰写报告；</w:t>
      </w:r>
    </w:p>
    <w:p w14:paraId="530DC85D">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val="en-US" w:eastAsia="zh-CN"/>
        </w:rPr>
        <w:t>②</w:t>
      </w:r>
      <w:r>
        <w:rPr>
          <w:rFonts w:hint="eastAsia" w:ascii="仿宋" w:hAnsi="仿宋" w:eastAsia="仿宋" w:cs="Arial Narrow"/>
          <w:bCs/>
          <w:highlight w:val="none"/>
        </w:rPr>
        <w:t>提交报告。</w:t>
      </w:r>
    </w:p>
    <w:p w14:paraId="2A03CBB4">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53" w:name="_Toc7253"/>
      <w:bookmarkStart w:id="54" w:name="_Toc14165731"/>
      <w:r>
        <w:rPr>
          <w:rFonts w:hint="eastAsia" w:ascii="仿宋" w:hAnsi="仿宋" w:eastAsia="仿宋" w:cs="Arial Narrow"/>
          <w:sz w:val="24"/>
          <w:highlight w:val="none"/>
          <w:lang w:val="en-US" w:eastAsia="zh-CN"/>
        </w:rPr>
        <w:t>3、</w:t>
      </w:r>
      <w:r>
        <w:rPr>
          <w:rFonts w:hint="eastAsia" w:ascii="仿宋" w:hAnsi="仿宋" w:eastAsia="仿宋" w:cs="Arial Narrow"/>
          <w:sz w:val="24"/>
          <w:highlight w:val="none"/>
        </w:rPr>
        <w:t>绩效评价框架</w:t>
      </w:r>
      <w:bookmarkEnd w:id="53"/>
      <w:bookmarkEnd w:id="54"/>
    </w:p>
    <w:p w14:paraId="659C2530">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1</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评价原则</w:t>
      </w:r>
    </w:p>
    <w:p w14:paraId="73D4A1E6">
      <w:pPr>
        <w:snapToGrid w:val="0"/>
        <w:ind w:firstLine="480"/>
        <w:jc w:val="left"/>
        <w:rPr>
          <w:rFonts w:ascii="仿宋" w:hAnsi="仿宋" w:eastAsia="仿宋" w:cs="Arial Narrow"/>
          <w:highlight w:val="none"/>
        </w:rPr>
      </w:pPr>
      <w:r>
        <w:rPr>
          <w:rFonts w:hint="eastAsia" w:ascii="仿宋" w:hAnsi="仿宋" w:eastAsia="仿宋" w:cs="Arial Narrow"/>
          <w:highlight w:val="none"/>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本次绩效评价，我们遵循相关性原则、重要性原则、可比性原则、系统性原则、经济性原则。</w:t>
      </w:r>
    </w:p>
    <w:p w14:paraId="7ACD412E">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2</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评价依据</w:t>
      </w:r>
    </w:p>
    <w:p w14:paraId="771D0A16">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①</w:t>
      </w:r>
      <w:r>
        <w:rPr>
          <w:rFonts w:hint="eastAsia" w:ascii="仿宋" w:hAnsi="仿宋" w:eastAsia="仿宋" w:cs="Arial Narrow"/>
          <w:highlight w:val="none"/>
        </w:rPr>
        <w:t>《中华人民共和国预算法》；</w:t>
      </w:r>
    </w:p>
    <w:p w14:paraId="190B7054">
      <w:pPr>
        <w:snapToGrid w:val="0"/>
        <w:ind w:firstLine="480"/>
        <w:jc w:val="left"/>
        <w:rPr>
          <w:rFonts w:hint="eastAsia" w:ascii="仿宋" w:hAnsi="仿宋" w:eastAsia="仿宋" w:cs="Arial Narrow"/>
          <w:highlight w:val="none"/>
          <w:lang w:val="en-US" w:eastAsia="zh-CN"/>
        </w:rPr>
      </w:pPr>
      <w:r>
        <w:rPr>
          <w:rFonts w:hint="eastAsia" w:ascii="仿宋" w:hAnsi="仿宋" w:eastAsia="仿宋" w:cs="Arial Narrow"/>
          <w:highlight w:val="none"/>
          <w:lang w:val="en-US" w:eastAsia="zh-CN"/>
        </w:rPr>
        <w:t>②《财政支出绩效评价管理暂行办法》（财预[2011]285号）；</w:t>
      </w:r>
    </w:p>
    <w:p w14:paraId="22904B52">
      <w:pPr>
        <w:snapToGrid w:val="0"/>
        <w:ind w:firstLine="480"/>
        <w:jc w:val="left"/>
        <w:rPr>
          <w:rFonts w:hint="eastAsia" w:ascii="仿宋" w:hAnsi="仿宋" w:eastAsia="仿宋" w:cs="Arial Narrow"/>
          <w:highlight w:val="none"/>
          <w:lang w:val="en-US" w:eastAsia="zh-CN"/>
        </w:rPr>
      </w:pPr>
      <w:r>
        <w:rPr>
          <w:rFonts w:hint="eastAsia" w:ascii="仿宋" w:hAnsi="仿宋" w:eastAsia="仿宋" w:cs="Arial Narrow"/>
          <w:highlight w:val="none"/>
          <w:lang w:val="en-US" w:eastAsia="zh-CN"/>
        </w:rPr>
        <w:t>③《财政部关于推进预算绩效管理的指导意见》（财预[2011]416号）；</w:t>
      </w:r>
    </w:p>
    <w:p w14:paraId="5CCF8C86">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④</w:t>
      </w:r>
      <w:r>
        <w:rPr>
          <w:rFonts w:hint="eastAsia" w:ascii="仿宋" w:hAnsi="仿宋" w:eastAsia="仿宋" w:cs="Arial Narrow"/>
          <w:highlight w:val="none"/>
          <w:lang w:eastAsia="zh-CN"/>
        </w:rPr>
        <w:t>《</w:t>
      </w:r>
      <w:r>
        <w:rPr>
          <w:rFonts w:hint="eastAsia" w:ascii="仿宋" w:hAnsi="仿宋" w:eastAsia="仿宋" w:cs="Arial Narrow"/>
          <w:highlight w:val="none"/>
        </w:rPr>
        <w:t>湖北省省级财政项目资金绩效评价实施暂行办法》（鄂财绩发[2012]5号）；</w:t>
      </w:r>
    </w:p>
    <w:p w14:paraId="5983025B">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⑤</w:t>
      </w:r>
      <w:r>
        <w:rPr>
          <w:rFonts w:hint="eastAsia" w:ascii="仿宋" w:hAnsi="仿宋" w:eastAsia="仿宋" w:cs="Arial Narrow"/>
          <w:highlight w:val="none"/>
        </w:rPr>
        <w:t>《关于推进预算绩效管理的意见》(武政[2013]95号)；</w:t>
      </w:r>
    </w:p>
    <w:p w14:paraId="0B79AD23">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⑥</w:t>
      </w:r>
      <w:r>
        <w:rPr>
          <w:rFonts w:hint="eastAsia" w:ascii="仿宋" w:hAnsi="仿宋" w:eastAsia="仿宋" w:cs="Arial Narrow"/>
          <w:highlight w:val="none"/>
        </w:rPr>
        <w:t>武汉市财政局《关于进一步推进预算绩效管理改革工作的通知》；</w:t>
      </w:r>
    </w:p>
    <w:p w14:paraId="2BA60634">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⑦</w:t>
      </w:r>
      <w:r>
        <w:rPr>
          <w:rFonts w:hint="eastAsia" w:ascii="仿宋" w:hAnsi="仿宋" w:eastAsia="仿宋" w:cs="Arial Narrow"/>
          <w:highlight w:val="none"/>
        </w:rPr>
        <w:t>《武汉经济技术开发区（汉南区）预算绩效评价管理暂行办法》；</w:t>
      </w:r>
    </w:p>
    <w:p w14:paraId="2FEA52B4">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⑧</w:t>
      </w:r>
      <w:r>
        <w:rPr>
          <w:rFonts w:hint="eastAsia" w:ascii="仿宋" w:hAnsi="仿宋" w:eastAsia="仿宋" w:cs="Arial Narrow"/>
          <w:highlight w:val="none"/>
        </w:rPr>
        <w:t>《中共武汉开发区工委（汉南区委）武汉开发区管委会（汉南区政府）关于全面推进预算绩效管理的实施意见》（武开〔2019〕11号）；</w:t>
      </w:r>
    </w:p>
    <w:p w14:paraId="1F59B944">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⑨</w:t>
      </w:r>
      <w:r>
        <w:rPr>
          <w:rFonts w:hint="eastAsia" w:ascii="仿宋" w:hAnsi="仿宋" w:eastAsia="仿宋" w:cs="Arial Narrow"/>
          <w:highlight w:val="none"/>
        </w:rPr>
        <w:t>《区财政局关于2019年开展预算绩效评价工作的通知》 武经开财〔2019〕29号</w:t>
      </w:r>
    </w:p>
    <w:p w14:paraId="4E6D8677">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⑩</w:t>
      </w:r>
      <w:r>
        <w:rPr>
          <w:rFonts w:hint="eastAsia" w:ascii="仿宋" w:hAnsi="仿宋" w:eastAsia="仿宋" w:cs="Arial Narrow"/>
          <w:highlight w:val="none"/>
        </w:rPr>
        <w:t>项目资金使用明细表、与项目相关的财务账等资料；</w:t>
      </w:r>
    </w:p>
    <w:p w14:paraId="09A35AD8">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⑪</w:t>
      </w:r>
      <w:r>
        <w:rPr>
          <w:rFonts w:hint="eastAsia" w:ascii="仿宋" w:hAnsi="仿宋" w:eastAsia="仿宋" w:cs="Arial Narrow"/>
          <w:highlight w:val="none"/>
        </w:rPr>
        <w:t>其他与项目评价相关的资料。</w:t>
      </w:r>
    </w:p>
    <w:p w14:paraId="645AA154">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3</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评价方法</w:t>
      </w:r>
    </w:p>
    <w:p w14:paraId="76E3B5CE">
      <w:pPr>
        <w:snapToGrid w:val="0"/>
        <w:ind w:firstLine="480"/>
        <w:jc w:val="left"/>
        <w:rPr>
          <w:rFonts w:ascii="仿宋" w:hAnsi="仿宋" w:eastAsia="仿宋" w:cs="Arial Narrow"/>
          <w:highlight w:val="none"/>
        </w:rPr>
      </w:pPr>
      <w:r>
        <w:rPr>
          <w:rFonts w:hint="eastAsia" w:ascii="仿宋" w:hAnsi="仿宋" w:eastAsia="仿宋" w:cs="Arial Narrow"/>
          <w:highlight w:val="none"/>
        </w:rPr>
        <w:t>主要采用成本效益分析法、比较法、因素分析法、最低成本法、公众评判法等。</w:t>
      </w:r>
    </w:p>
    <w:p w14:paraId="48620770">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①</w:t>
      </w:r>
      <w:r>
        <w:rPr>
          <w:rFonts w:hint="eastAsia" w:ascii="仿宋" w:hAnsi="仿宋" w:eastAsia="仿宋" w:cs="Arial Narrow"/>
          <w:highlight w:val="none"/>
        </w:rPr>
        <w:t>成本效益分析法。是指将一定时期内的支出与效益进行对比分析，以评价绩效目标实现程度。</w:t>
      </w:r>
    </w:p>
    <w:p w14:paraId="1EA988BB">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②</w:t>
      </w:r>
      <w:r>
        <w:rPr>
          <w:rFonts w:hint="eastAsia" w:ascii="仿宋" w:hAnsi="仿宋" w:eastAsia="仿宋" w:cs="Arial Narrow"/>
          <w:highlight w:val="none"/>
        </w:rPr>
        <w:t>比较法。是指通过对绩效目标与实施效果、历史与当期情况、不同部门和地区同类支出的比较，综合分析绩效目标实现程度。</w:t>
      </w:r>
    </w:p>
    <w:p w14:paraId="19870ED8">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③</w:t>
      </w:r>
      <w:r>
        <w:rPr>
          <w:rFonts w:hint="eastAsia" w:ascii="仿宋" w:hAnsi="仿宋" w:eastAsia="仿宋" w:cs="Arial Narrow"/>
          <w:highlight w:val="none"/>
        </w:rPr>
        <w:t>因素分析法。是指通过综合分析影响绩效目标实现、实施效果的内外因素，评价绩效目标实现程度。</w:t>
      </w:r>
    </w:p>
    <w:p w14:paraId="315FAB1D">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④</w:t>
      </w:r>
      <w:r>
        <w:rPr>
          <w:rFonts w:hint="eastAsia" w:ascii="仿宋" w:hAnsi="仿宋" w:eastAsia="仿宋" w:cs="Arial Narrow"/>
          <w:highlight w:val="none"/>
        </w:rPr>
        <w:t>最低成本法。是指对效益确定却不易计量的多个同类对象的实施成本进行比较，评价绩效目标实现程度。</w:t>
      </w:r>
    </w:p>
    <w:p w14:paraId="2EA15EC2">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⑤</w:t>
      </w:r>
      <w:r>
        <w:rPr>
          <w:rFonts w:hint="eastAsia" w:ascii="仿宋" w:hAnsi="仿宋" w:eastAsia="仿宋" w:cs="Arial Narrow"/>
          <w:highlight w:val="none"/>
        </w:rPr>
        <w:t>公众评判法。是指通过专家评估、公众问卷及抽样调查等对财政支出效果进行评判，评价绩效目标实现程度。</w:t>
      </w:r>
    </w:p>
    <w:p w14:paraId="49269C29">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55" w:name="_Toc14165732"/>
      <w:bookmarkStart w:id="56" w:name="_Toc20900"/>
      <w:r>
        <w:rPr>
          <w:rFonts w:hint="eastAsia" w:ascii="仿宋" w:hAnsi="仿宋" w:eastAsia="仿宋" w:cs="Arial Narrow"/>
          <w:sz w:val="24"/>
          <w:highlight w:val="none"/>
          <w:lang w:val="en-US" w:eastAsia="zh-CN"/>
        </w:rPr>
        <w:t>4、</w:t>
      </w:r>
      <w:r>
        <w:rPr>
          <w:rFonts w:hint="eastAsia" w:ascii="仿宋" w:hAnsi="仿宋" w:eastAsia="仿宋" w:cs="Arial Narrow"/>
          <w:sz w:val="24"/>
          <w:highlight w:val="none"/>
        </w:rPr>
        <w:t>评价抽样情况概述</w:t>
      </w:r>
      <w:bookmarkEnd w:id="48"/>
      <w:bookmarkEnd w:id="49"/>
      <w:bookmarkEnd w:id="50"/>
      <w:bookmarkEnd w:id="51"/>
      <w:bookmarkEnd w:id="52"/>
      <w:bookmarkEnd w:id="55"/>
      <w:bookmarkEnd w:id="56"/>
      <w:bookmarkStart w:id="57" w:name="_Toc18443"/>
      <w:bookmarkStart w:id="58" w:name="_Toc406668044"/>
      <w:bookmarkStart w:id="59" w:name="_Toc361304693"/>
      <w:bookmarkStart w:id="60" w:name="_Toc387957819"/>
      <w:bookmarkStart w:id="61" w:name="_Toc406666370"/>
      <w:bookmarkStart w:id="62" w:name="_Toc14165733"/>
    </w:p>
    <w:p w14:paraId="03EBFE34">
      <w:pPr>
        <w:snapToGrid w:val="0"/>
        <w:ind w:firstLine="480"/>
        <w:jc w:val="left"/>
        <w:rPr>
          <w:rFonts w:ascii="仿宋" w:hAnsi="仿宋" w:eastAsia="仿宋" w:cs="Arial Narrow"/>
          <w:highlight w:val="none"/>
        </w:rPr>
      </w:pPr>
      <w:r>
        <w:rPr>
          <w:rFonts w:hint="eastAsia" w:ascii="仿宋" w:hAnsi="仿宋" w:eastAsia="仿宋" w:cs="Arial Narrow"/>
          <w:highlight w:val="none"/>
        </w:rPr>
        <w:t>绩效评价小组遵循代表性原则、独立性原则和方便性原则，根据项目属性、区域分布、资金规模进行抽样调查。抽样调查项目个数及总金额可以代表项目实施的总体情况。对被抽样单位进行实地抽查，了解项目的具体实施情况，在反复沟通中了解被抽样单位项目资金的使用情况、项目资金的到位情况及产生的效益，使绩效评价量化指标更加充分，也确保绩效评价与项目的衔接度更高。</w:t>
      </w:r>
    </w:p>
    <w:p w14:paraId="13DFB913">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63" w:name="_Toc25218"/>
      <w:r>
        <w:rPr>
          <w:rFonts w:hint="eastAsia" w:ascii="仿宋" w:hAnsi="仿宋" w:eastAsia="仿宋" w:cs="Arial Narrow"/>
          <w:sz w:val="28"/>
          <w:szCs w:val="28"/>
          <w:highlight w:val="none"/>
          <w:lang w:val="en-US" w:eastAsia="zh-CN"/>
        </w:rPr>
        <w:t>（三）绩效分析</w:t>
      </w:r>
      <w:bookmarkEnd w:id="57"/>
      <w:bookmarkEnd w:id="58"/>
      <w:bookmarkEnd w:id="59"/>
      <w:bookmarkEnd w:id="60"/>
      <w:bookmarkEnd w:id="61"/>
      <w:r>
        <w:rPr>
          <w:rFonts w:hint="eastAsia" w:ascii="仿宋" w:hAnsi="仿宋" w:eastAsia="仿宋" w:cs="Arial Narrow"/>
          <w:sz w:val="28"/>
          <w:szCs w:val="28"/>
          <w:highlight w:val="none"/>
          <w:lang w:val="en-US" w:eastAsia="zh-CN"/>
        </w:rPr>
        <w:t>及评价结论</w:t>
      </w:r>
      <w:bookmarkEnd w:id="62"/>
      <w:bookmarkEnd w:id="63"/>
    </w:p>
    <w:p w14:paraId="1CF0B099">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64" w:name="_Toc14165734"/>
      <w:bookmarkStart w:id="65" w:name="_Toc5754"/>
      <w:r>
        <w:rPr>
          <w:rFonts w:hint="eastAsia" w:ascii="仿宋" w:hAnsi="仿宋" w:eastAsia="仿宋" w:cs="Arial Narrow"/>
          <w:sz w:val="24"/>
          <w:highlight w:val="none"/>
          <w:lang w:val="en-US" w:eastAsia="zh-CN"/>
        </w:rPr>
        <w:t>1、</w:t>
      </w:r>
      <w:r>
        <w:rPr>
          <w:rFonts w:hint="eastAsia" w:ascii="仿宋" w:hAnsi="仿宋" w:eastAsia="仿宋" w:cs="Arial Narrow"/>
          <w:sz w:val="24"/>
          <w:highlight w:val="none"/>
        </w:rPr>
        <w:t>绩效分析</w:t>
      </w:r>
      <w:bookmarkEnd w:id="64"/>
      <w:bookmarkEnd w:id="65"/>
    </w:p>
    <w:p w14:paraId="0ABE69E8">
      <w:pPr>
        <w:snapToGrid w:val="0"/>
        <w:ind w:firstLine="480"/>
        <w:jc w:val="left"/>
        <w:rPr>
          <w:rFonts w:hint="eastAsia" w:ascii="仿宋" w:hAnsi="仿宋" w:eastAsia="仿宋" w:cs="Arial Narrow"/>
          <w:b/>
          <w:bCs/>
          <w:sz w:val="24"/>
          <w:highlight w:val="none"/>
        </w:rPr>
      </w:pPr>
      <w:bookmarkStart w:id="66" w:name="_Toc2992"/>
      <w:bookmarkStart w:id="67" w:name="_Toc14165735"/>
      <w:bookmarkStart w:id="68" w:name="_Toc387957822"/>
      <w:bookmarkStart w:id="69" w:name="_Toc406668047"/>
      <w:bookmarkStart w:id="70" w:name="_Toc361302034"/>
      <w:bookmarkStart w:id="71" w:name="_Toc361304697"/>
      <w:bookmarkStart w:id="72" w:name="_Toc406666373"/>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1</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项目</w:t>
      </w:r>
      <w:bookmarkStart w:id="73" w:name="_Toc394181010"/>
      <w:r>
        <w:rPr>
          <w:rFonts w:hint="eastAsia" w:ascii="仿宋" w:hAnsi="仿宋" w:eastAsia="仿宋" w:cs="Arial Narrow"/>
          <w:b/>
          <w:bCs/>
          <w:sz w:val="24"/>
          <w:highlight w:val="none"/>
        </w:rPr>
        <w:t>投入（16分）</w:t>
      </w:r>
      <w:bookmarkEnd w:id="66"/>
      <w:bookmarkEnd w:id="67"/>
      <w:bookmarkEnd w:id="73"/>
    </w:p>
    <w:p w14:paraId="47C98DD5">
      <w:pPr>
        <w:snapToGrid w:val="0"/>
        <w:ind w:firstLine="480"/>
        <w:rPr>
          <w:rFonts w:ascii="仿宋" w:hAnsi="仿宋" w:eastAsia="仿宋" w:cs="Arial Narrow"/>
          <w:highlight w:val="none"/>
        </w:rPr>
      </w:pPr>
      <w:r>
        <w:rPr>
          <w:rFonts w:hint="eastAsia" w:ascii="仿宋" w:hAnsi="仿宋" w:eastAsia="仿宋" w:cs="Arial Narrow"/>
          <w:highlight w:val="none"/>
        </w:rPr>
        <w:t>项目投入方面主要评价项目立项和资金落实的实际情况。对于该项的评价，评价小组主要通过卷宗研究、现场访谈等方式对资料进行收集、整理和分析，查看了项目立项的相关资料、财政预算的批复文件，对项目决策涉及的指标进行打分，并逐级加权计算结果。经过综合计分，</w:t>
      </w:r>
      <w:r>
        <w:rPr>
          <w:rFonts w:hint="eastAsia" w:ascii="仿宋" w:hAnsi="仿宋" w:eastAsia="仿宋" w:cs="Arial Narrow"/>
          <w:highlight w:val="yellow"/>
        </w:rPr>
        <w:t>该指标得分为1</w:t>
      </w:r>
      <w:r>
        <w:rPr>
          <w:rFonts w:hint="eastAsia" w:ascii="仿宋" w:hAnsi="仿宋" w:eastAsia="仿宋" w:cs="Arial Narrow"/>
          <w:highlight w:val="yellow"/>
          <w:lang w:val="en-US" w:eastAsia="zh-CN"/>
        </w:rPr>
        <w:t>5</w:t>
      </w:r>
      <w:r>
        <w:rPr>
          <w:rFonts w:hint="eastAsia" w:ascii="仿宋" w:hAnsi="仿宋" w:eastAsia="仿宋" w:cs="Arial Narrow"/>
          <w:highlight w:val="yellow"/>
        </w:rPr>
        <w:t>分，评价等级为优（A）</w:t>
      </w:r>
      <w:r>
        <w:rPr>
          <w:rFonts w:hint="eastAsia" w:ascii="仿宋" w:hAnsi="仿宋" w:eastAsia="仿宋" w:cs="Arial Narrow"/>
          <w:highlight w:val="none"/>
        </w:rPr>
        <w:t>。</w:t>
      </w:r>
    </w:p>
    <w:p w14:paraId="463A2F5E">
      <w:pPr>
        <w:snapToGrid w:val="0"/>
        <w:ind w:firstLine="480"/>
        <w:rPr>
          <w:rFonts w:ascii="仿宋" w:hAnsi="仿宋" w:eastAsia="仿宋" w:cs="Arial Narrow"/>
          <w:highlight w:val="none"/>
        </w:rPr>
      </w:pPr>
      <w:r>
        <w:rPr>
          <w:rFonts w:hint="eastAsia" w:ascii="仿宋" w:hAnsi="仿宋" w:eastAsia="仿宋" w:cs="Arial Narrow"/>
          <w:highlight w:val="none"/>
        </w:rPr>
        <w:t>①项目立项（</w:t>
      </w:r>
      <w:r>
        <w:rPr>
          <w:rFonts w:hint="eastAsia" w:ascii="仿宋" w:hAnsi="仿宋" w:eastAsia="仿宋" w:cs="Arial Narrow"/>
          <w:highlight w:val="none"/>
          <w:lang w:val="en-US" w:eastAsia="zh-CN"/>
        </w:rPr>
        <w:t>8</w:t>
      </w:r>
      <w:r>
        <w:rPr>
          <w:rFonts w:hint="eastAsia" w:ascii="仿宋" w:hAnsi="仿宋" w:eastAsia="仿宋" w:cs="Arial Narrow"/>
          <w:highlight w:val="none"/>
        </w:rPr>
        <w:t>分）</w:t>
      </w:r>
    </w:p>
    <w:p w14:paraId="6A0985EA">
      <w:pPr>
        <w:snapToGrid w:val="0"/>
        <w:ind w:firstLine="480"/>
        <w:rPr>
          <w:rFonts w:ascii="仿宋" w:hAnsi="仿宋" w:eastAsia="仿宋" w:cs="Arial Narrow"/>
          <w:highlight w:val="none"/>
        </w:rPr>
      </w:pPr>
      <w:r>
        <w:rPr>
          <w:rFonts w:hint="eastAsia" w:ascii="仿宋" w:hAnsi="仿宋" w:eastAsia="仿宋" w:cs="Arial Narrow"/>
          <w:highlight w:val="none"/>
        </w:rPr>
        <w:t>项目立项是指项目的设立和设定的绩效目标是否参考相关的依据，并且对项目的具体目标进行细化、量化。项目立项主要通过项目立项规范性和绩效目标合理性两个指标反映。经过综合计分，项目立项指标得分为8分。</w:t>
      </w:r>
    </w:p>
    <w:p w14:paraId="31CE75D2">
      <w:pPr>
        <w:snapToGrid w:val="0"/>
        <w:ind w:firstLine="480"/>
        <w:rPr>
          <w:rFonts w:ascii="仿宋" w:hAnsi="仿宋" w:eastAsia="仿宋" w:cs="Arial Narrow"/>
          <w:highlight w:val="none"/>
        </w:rPr>
      </w:pPr>
      <w:r>
        <w:rPr>
          <w:rFonts w:hint="eastAsia" w:ascii="仿宋" w:hAnsi="仿宋" w:eastAsia="仿宋" w:cs="Arial Narrow"/>
          <w:highlight w:val="none"/>
        </w:rPr>
        <w:t>a.</w:t>
      </w:r>
      <w:r>
        <w:rPr>
          <w:rFonts w:hint="eastAsia" w:ascii="仿宋" w:hAnsi="仿宋" w:eastAsia="仿宋" w:cs="Arial Narrow"/>
          <w:highlight w:val="none"/>
        </w:rPr>
        <w:tab/>
      </w:r>
      <w:r>
        <w:rPr>
          <w:rFonts w:hint="eastAsia" w:ascii="仿宋" w:hAnsi="仿宋" w:eastAsia="仿宋" w:cs="Arial Narrow"/>
          <w:highlight w:val="none"/>
        </w:rPr>
        <w:t>项目立项规范性，是指项目的申请、设立过程是否符合相关要求，用以反映和考核项目立项的规范情况。项目立项按照程序申请设立，所提交的文件、材料符合相关要求。</w:t>
      </w:r>
    </w:p>
    <w:p w14:paraId="0F83876C">
      <w:pPr>
        <w:snapToGrid w:val="0"/>
        <w:ind w:firstLine="480"/>
        <w:rPr>
          <w:rFonts w:ascii="仿宋" w:hAnsi="仿宋" w:eastAsia="仿宋" w:cs="Arial Narrow"/>
          <w:highlight w:val="none"/>
        </w:rPr>
      </w:pPr>
      <w:r>
        <w:rPr>
          <w:rFonts w:hint="eastAsia" w:ascii="仿宋" w:hAnsi="仿宋" w:eastAsia="仿宋" w:cs="Arial Narrow"/>
          <w:highlight w:val="none"/>
        </w:rPr>
        <w:t>b. 绩效目标合理性，是指项目所设定的绩效目标依据是否充分，是否符合客观事实，可以反映和考核项目绩效目标与项目实施的相符情况。项目实施单位设计了项目年度绩效目标和项目绩效指标，指标设定合理，基本具有可测性。</w:t>
      </w:r>
    </w:p>
    <w:p w14:paraId="06FFC82E">
      <w:pPr>
        <w:snapToGrid w:val="0"/>
        <w:ind w:firstLine="480"/>
        <w:rPr>
          <w:rFonts w:ascii="仿宋" w:hAnsi="仿宋" w:eastAsia="仿宋" w:cs="Arial Narrow"/>
          <w:highlight w:val="none"/>
        </w:rPr>
      </w:pPr>
      <w:r>
        <w:rPr>
          <w:rFonts w:hint="eastAsia" w:ascii="仿宋" w:hAnsi="仿宋" w:eastAsia="仿宋" w:cs="Arial Narrow"/>
          <w:highlight w:val="none"/>
        </w:rPr>
        <w:t>②资金落实（8分）</w:t>
      </w:r>
    </w:p>
    <w:p w14:paraId="20F8EE44">
      <w:pPr>
        <w:snapToGrid w:val="0"/>
        <w:ind w:firstLine="480"/>
        <w:rPr>
          <w:rFonts w:ascii="仿宋" w:hAnsi="仿宋" w:eastAsia="仿宋" w:cs="Arial Narrow"/>
          <w:highlight w:val="none"/>
        </w:rPr>
      </w:pPr>
      <w:r>
        <w:rPr>
          <w:rFonts w:hint="eastAsia" w:ascii="仿宋" w:hAnsi="仿宋" w:eastAsia="仿宋" w:cs="Arial Narrow"/>
          <w:highlight w:val="none"/>
        </w:rPr>
        <w:t>资金落实主要评价财政预算资金是否全额发放、资金到位是否及时。该情况主要是通过资金到位率和到位及时率两个指标来反映。指标评价得分为8分，评价等级为优。</w:t>
      </w:r>
    </w:p>
    <w:p w14:paraId="6402A783">
      <w:pPr>
        <w:snapToGrid w:val="0"/>
        <w:ind w:firstLine="480"/>
        <w:rPr>
          <w:rFonts w:ascii="仿宋" w:hAnsi="仿宋" w:eastAsia="仿宋" w:cs="Arial Narrow"/>
          <w:highlight w:val="none"/>
        </w:rPr>
      </w:pPr>
      <w:r>
        <w:rPr>
          <w:rFonts w:hint="eastAsia" w:ascii="仿宋" w:hAnsi="仿宋" w:eastAsia="仿宋" w:cs="Arial Narrow"/>
          <w:highlight w:val="none"/>
        </w:rPr>
        <w:t>a.</w:t>
      </w:r>
      <w:r>
        <w:rPr>
          <w:rFonts w:hint="eastAsia" w:ascii="仿宋" w:hAnsi="仿宋" w:eastAsia="仿宋" w:cs="Arial Narrow"/>
          <w:highlight w:val="none"/>
        </w:rPr>
        <w:tab/>
      </w:r>
      <w:r>
        <w:rPr>
          <w:rFonts w:hint="eastAsia" w:ascii="仿宋" w:hAnsi="仿宋" w:eastAsia="仿宋" w:cs="Arial Narrow"/>
          <w:highlight w:val="none"/>
        </w:rPr>
        <w:t>资金到位率，是指实际到位资金与计划投入资金的比率，用以反映和考核资金落实情况对项目实施的总体保障程度。2018年初该项目计划投入资金</w:t>
      </w:r>
      <w:r>
        <w:rPr>
          <w:rFonts w:hint="eastAsia" w:ascii="仿宋" w:hAnsi="仿宋" w:eastAsia="仿宋" w:cs="Arial Narrow"/>
          <w:highlight w:val="none"/>
          <w:lang w:val="en-US" w:eastAsia="zh-CN"/>
        </w:rPr>
        <w:t>1,054,895.00</w:t>
      </w:r>
      <w:r>
        <w:rPr>
          <w:rFonts w:hint="eastAsia" w:ascii="仿宋" w:hAnsi="仿宋" w:eastAsia="仿宋" w:cs="Arial Narrow"/>
          <w:highlight w:val="none"/>
        </w:rPr>
        <w:t>元，实际到位资金共</w:t>
      </w:r>
      <w:r>
        <w:rPr>
          <w:rFonts w:hint="eastAsia" w:ascii="仿宋" w:hAnsi="仿宋" w:eastAsia="仿宋" w:cs="Arial Narrow"/>
          <w:highlight w:val="none"/>
          <w:lang w:val="en-US" w:eastAsia="zh-CN"/>
        </w:rPr>
        <w:t>1,054,895.00</w:t>
      </w:r>
      <w:r>
        <w:rPr>
          <w:rFonts w:hint="eastAsia" w:ascii="仿宋" w:hAnsi="仿宋" w:eastAsia="仿宋" w:cs="Arial Narrow"/>
          <w:highlight w:val="none"/>
        </w:rPr>
        <w:t>元，资金到位率100%。</w:t>
      </w:r>
    </w:p>
    <w:p w14:paraId="03EAD677">
      <w:pPr>
        <w:snapToGrid w:val="0"/>
        <w:ind w:firstLine="480"/>
        <w:rPr>
          <w:rFonts w:ascii="仿宋" w:hAnsi="仿宋" w:eastAsia="仿宋" w:cs="Arial Narrow"/>
          <w:highlight w:val="none"/>
        </w:rPr>
      </w:pPr>
      <w:r>
        <w:rPr>
          <w:rFonts w:hint="eastAsia" w:ascii="仿宋" w:hAnsi="仿宋" w:eastAsia="仿宋" w:cs="Arial Narrow"/>
          <w:highlight w:val="none"/>
        </w:rPr>
        <w:t>b.</w:t>
      </w:r>
      <w:r>
        <w:rPr>
          <w:rFonts w:hint="eastAsia" w:ascii="仿宋" w:hAnsi="仿宋" w:eastAsia="仿宋" w:cs="Arial Narrow"/>
          <w:highlight w:val="none"/>
        </w:rPr>
        <w:tab/>
      </w:r>
      <w:r>
        <w:rPr>
          <w:rFonts w:hint="eastAsia" w:ascii="仿宋" w:hAnsi="仿宋" w:eastAsia="仿宋" w:cs="Arial Narrow"/>
          <w:highlight w:val="none"/>
        </w:rPr>
        <w:t>到位及时率，是指项目及时到位资金与应到位资金的比率，用以反映和考核项目资金落实的及时性程度。武汉经济技术开发区（汉南区）财政局下达项目年初预算申报资金</w:t>
      </w:r>
      <w:r>
        <w:rPr>
          <w:rFonts w:hint="eastAsia" w:ascii="仿宋" w:hAnsi="仿宋" w:eastAsia="仿宋" w:cs="Arial Narrow"/>
          <w:highlight w:val="none"/>
          <w:lang w:val="en-US" w:eastAsia="zh-CN"/>
        </w:rPr>
        <w:t>1,054,895.00</w:t>
      </w:r>
      <w:r>
        <w:rPr>
          <w:rFonts w:hint="eastAsia" w:ascii="仿宋" w:hAnsi="仿宋" w:eastAsia="仿宋" w:cs="Arial Narrow"/>
          <w:highlight w:val="none"/>
        </w:rPr>
        <w:t>元，下达及时，到位及时率100%。</w:t>
      </w:r>
    </w:p>
    <w:p w14:paraId="3914E1DF">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2</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决策过程（24分）</w:t>
      </w:r>
    </w:p>
    <w:p w14:paraId="776EDB9E">
      <w:pPr>
        <w:snapToGrid w:val="0"/>
        <w:ind w:firstLine="480"/>
        <w:rPr>
          <w:rFonts w:ascii="仿宋" w:hAnsi="仿宋" w:eastAsia="仿宋" w:cs="Arial Narrow"/>
          <w:highlight w:val="none"/>
        </w:rPr>
      </w:pPr>
      <w:r>
        <w:rPr>
          <w:rFonts w:hint="eastAsia" w:ascii="仿宋" w:hAnsi="仿宋" w:eastAsia="仿宋" w:cs="Arial Narrow"/>
          <w:highlight w:val="none"/>
        </w:rPr>
        <w:t>过程指标主要从项目管理、财务管理两个方面来具体评价；主要考核项目管理制度的健全性、制度执行的有效性和项目质量的可控性，财务制度的健全性、资金使用的合规性及财务监控的有效性。对于该项的评价，评价小组主要采取了卷宗研究、现场访谈的方式进行资料收集、整理、核实和分析，收集了项目具体实施单位的业务管理制度、财务管理制度等相关文件和项目档案资料管理相关文件；对项目管理、资金使用情况进行评价，对项目过程涉及的指标进行打分，并逐级加权计算结果。经过综合计分，该</w:t>
      </w:r>
      <w:bookmarkStart w:id="119" w:name="_GoBack"/>
      <w:bookmarkEnd w:id="119"/>
      <w:r>
        <w:rPr>
          <w:rFonts w:hint="eastAsia" w:ascii="仿宋" w:hAnsi="仿宋" w:eastAsia="仿宋" w:cs="Arial Narrow"/>
          <w:highlight w:val="none"/>
        </w:rPr>
        <w:t>指标得分为2</w:t>
      </w:r>
      <w:r>
        <w:rPr>
          <w:rFonts w:hint="eastAsia" w:ascii="仿宋" w:hAnsi="仿宋" w:eastAsia="仿宋" w:cs="Arial Narrow"/>
          <w:highlight w:val="none"/>
          <w:lang w:val="en-US" w:eastAsia="zh-CN"/>
        </w:rPr>
        <w:t>4</w:t>
      </w:r>
      <w:r>
        <w:rPr>
          <w:rFonts w:hint="eastAsia" w:ascii="仿宋" w:hAnsi="仿宋" w:eastAsia="仿宋" w:cs="Arial Narrow"/>
          <w:highlight w:val="none"/>
        </w:rPr>
        <w:t>分，评价结果为优。</w:t>
      </w:r>
    </w:p>
    <w:p w14:paraId="724A9E2E">
      <w:pPr>
        <w:snapToGrid w:val="0"/>
        <w:ind w:firstLine="480"/>
        <w:rPr>
          <w:rFonts w:ascii="仿宋" w:hAnsi="仿宋" w:eastAsia="仿宋" w:cs="Arial Narrow"/>
          <w:highlight w:val="none"/>
        </w:rPr>
      </w:pPr>
      <w:r>
        <w:rPr>
          <w:rFonts w:hint="eastAsia" w:ascii="仿宋" w:hAnsi="仿宋" w:eastAsia="仿宋" w:cs="Arial Narrow"/>
          <w:highlight w:val="none"/>
        </w:rPr>
        <w:t>①项目管理（12分）</w:t>
      </w:r>
    </w:p>
    <w:p w14:paraId="397C5AFA">
      <w:pPr>
        <w:snapToGrid w:val="0"/>
        <w:ind w:firstLine="480"/>
        <w:rPr>
          <w:rFonts w:ascii="仿宋" w:hAnsi="仿宋" w:eastAsia="仿宋" w:cs="Arial Narrow"/>
          <w:highlight w:val="none"/>
        </w:rPr>
      </w:pPr>
      <w:r>
        <w:rPr>
          <w:rFonts w:hint="eastAsia" w:ascii="仿宋" w:hAnsi="仿宋" w:eastAsia="仿宋" w:cs="Arial Narrow"/>
          <w:highlight w:val="none"/>
        </w:rPr>
        <w:t>项目管理主要评价管理制度是否健全、制度的执行是否有效、项目的质量是否可控。该指标主要通过管理制度健全性、制度执行有效性、项目质量可控性三个三级指标来反映。该项指标评价得分为1</w:t>
      </w:r>
      <w:r>
        <w:rPr>
          <w:rFonts w:hint="eastAsia" w:ascii="仿宋" w:hAnsi="仿宋" w:eastAsia="仿宋" w:cs="Arial Narrow"/>
          <w:highlight w:val="none"/>
          <w:lang w:val="en-US" w:eastAsia="zh-CN"/>
        </w:rPr>
        <w:t>2</w:t>
      </w:r>
      <w:r>
        <w:rPr>
          <w:rFonts w:hint="eastAsia" w:ascii="仿宋" w:hAnsi="仿宋" w:eastAsia="仿宋" w:cs="Arial Narrow"/>
          <w:highlight w:val="none"/>
        </w:rPr>
        <w:t>分。</w:t>
      </w:r>
    </w:p>
    <w:p w14:paraId="7B187127">
      <w:pPr>
        <w:snapToGrid w:val="0"/>
        <w:ind w:firstLine="480"/>
        <w:rPr>
          <w:rFonts w:ascii="仿宋" w:hAnsi="仿宋" w:eastAsia="仿宋" w:cs="Arial Narrow"/>
          <w:highlight w:val="none"/>
        </w:rPr>
      </w:pPr>
      <w:r>
        <w:rPr>
          <w:rFonts w:hint="eastAsia" w:ascii="仿宋" w:hAnsi="仿宋" w:eastAsia="仿宋" w:cs="Arial Narrow"/>
          <w:highlight w:val="none"/>
        </w:rPr>
        <w:t>a.</w:t>
      </w:r>
      <w:r>
        <w:rPr>
          <w:rFonts w:hint="eastAsia" w:ascii="仿宋" w:hAnsi="仿宋" w:eastAsia="仿宋" w:cs="Arial Narrow"/>
          <w:highlight w:val="none"/>
        </w:rPr>
        <w:tab/>
      </w:r>
      <w:r>
        <w:rPr>
          <w:rFonts w:hint="eastAsia" w:ascii="仿宋" w:hAnsi="仿宋" w:eastAsia="仿宋" w:cs="Arial Narrow"/>
          <w:highlight w:val="none"/>
        </w:rPr>
        <w:t>管理制度健全性，是指项目管理制度是否健全，用以反映和考核项目管理制度对项目顺利实施的保障情况。项目实施单位制定了</w:t>
      </w:r>
      <w:r>
        <w:rPr>
          <w:rFonts w:hint="eastAsia" w:ascii="仿宋" w:hAnsi="仿宋" w:eastAsia="仿宋" w:cs="Arial Narrow"/>
          <w:highlight w:val="none"/>
          <w:lang w:val="en-US" w:eastAsia="zh-CN"/>
        </w:rPr>
        <w:t>预算管理制度、收入管理制度、支出管理制度（包含办公费管理、会议费管理、差旅费管理、培训费管理、公务接待管理、用车管理、电话费、水电费管理、基本工程建设和其他项目支出管理、工会经费管理制度）、固定资产管理制度、采购管理制度、票据使用管理制度、财务监督与审计等制度</w:t>
      </w:r>
      <w:r>
        <w:rPr>
          <w:rFonts w:hint="eastAsia" w:ascii="仿宋" w:hAnsi="仿宋" w:eastAsia="仿宋" w:cs="Arial Narrow"/>
          <w:highlight w:val="none"/>
        </w:rPr>
        <w:t>，项目管理制度健全。</w:t>
      </w:r>
    </w:p>
    <w:p w14:paraId="374C0D36">
      <w:pPr>
        <w:snapToGrid w:val="0"/>
        <w:ind w:firstLine="480"/>
        <w:rPr>
          <w:rFonts w:ascii="仿宋" w:hAnsi="仿宋" w:eastAsia="仿宋" w:cs="Arial Narrow"/>
          <w:highlight w:val="none"/>
        </w:rPr>
      </w:pPr>
      <w:r>
        <w:rPr>
          <w:rFonts w:hint="eastAsia" w:ascii="仿宋" w:hAnsi="仿宋" w:eastAsia="仿宋" w:cs="Arial Narrow"/>
          <w:highlight w:val="none"/>
        </w:rPr>
        <w:t>b.</w:t>
      </w:r>
      <w:r>
        <w:rPr>
          <w:rFonts w:hint="eastAsia" w:ascii="仿宋" w:hAnsi="仿宋" w:eastAsia="仿宋" w:cs="Arial Narrow"/>
          <w:highlight w:val="none"/>
        </w:rPr>
        <w:tab/>
      </w:r>
      <w:r>
        <w:rPr>
          <w:rFonts w:hint="eastAsia" w:ascii="仿宋" w:hAnsi="仿宋" w:eastAsia="仿宋" w:cs="Arial Narrow"/>
          <w:highlight w:val="none"/>
        </w:rPr>
        <w:t>制度执行有效性，是指项目实施是否符合相关项目管理规定，用以反映和考核项目管理制度的有效执行情况。通过查阅项目相关资料以及抽查记账凭证得知，项目实施单位严格执行</w:t>
      </w:r>
      <w:r>
        <w:rPr>
          <w:rFonts w:hint="eastAsia" w:ascii="仿宋" w:hAnsi="仿宋" w:eastAsia="仿宋" w:cs="Arial Narrow"/>
          <w:highlight w:val="none"/>
          <w:lang w:val="en-US" w:eastAsia="zh-CN"/>
        </w:rPr>
        <w:t>基本工程建设</w:t>
      </w:r>
      <w:r>
        <w:rPr>
          <w:rFonts w:hint="eastAsia" w:ascii="仿宋" w:hAnsi="仿宋" w:eastAsia="仿宋" w:cs="Arial Narrow"/>
          <w:highlight w:val="none"/>
        </w:rPr>
        <w:t>项目管理制度，重大事项均经过会议决议，审批程序合规。</w:t>
      </w:r>
    </w:p>
    <w:p w14:paraId="78533532">
      <w:pPr>
        <w:snapToGrid w:val="0"/>
        <w:ind w:firstLine="480"/>
        <w:rPr>
          <w:rFonts w:ascii="仿宋" w:hAnsi="仿宋" w:eastAsia="仿宋" w:cs="Arial Narrow"/>
          <w:highlight w:val="none"/>
        </w:rPr>
      </w:pPr>
      <w:r>
        <w:rPr>
          <w:rFonts w:hint="eastAsia" w:ascii="仿宋" w:hAnsi="仿宋" w:eastAsia="仿宋" w:cs="Arial Narrow"/>
          <w:highlight w:val="none"/>
        </w:rPr>
        <w:t>c.</w:t>
      </w:r>
      <w:r>
        <w:rPr>
          <w:rFonts w:hint="eastAsia" w:ascii="仿宋" w:hAnsi="仿宋" w:eastAsia="仿宋" w:cs="Arial Narrow"/>
          <w:highlight w:val="none"/>
        </w:rPr>
        <w:tab/>
      </w:r>
      <w:r>
        <w:rPr>
          <w:rFonts w:hint="eastAsia" w:ascii="仿宋" w:hAnsi="仿宋" w:eastAsia="仿宋" w:cs="Arial Narrow"/>
          <w:highlight w:val="none"/>
        </w:rPr>
        <w:t>项目质量可控性，是指项目实施单位是否为达到项目质量要求而采取了必需的措施，用以反映和考核项目实施单位对项目质量的控制情况。通过查看</w:t>
      </w:r>
      <w:r>
        <w:rPr>
          <w:rFonts w:hint="eastAsia" w:ascii="仿宋" w:hAnsi="仿宋" w:eastAsia="仿宋" w:cs="Arial Narrow"/>
          <w:highlight w:val="none"/>
          <w:lang w:val="en-US" w:eastAsia="zh-CN"/>
        </w:rPr>
        <w:t>关于印发</w:t>
      </w:r>
      <w:r>
        <w:rPr>
          <w:rFonts w:hint="eastAsia" w:ascii="仿宋" w:hAnsi="仿宋" w:eastAsia="仿宋" w:cs="Arial Narrow"/>
          <w:highlight w:val="none"/>
        </w:rPr>
        <w:t>《</w:t>
      </w:r>
      <w:r>
        <w:rPr>
          <w:rFonts w:hint="eastAsia" w:ascii="仿宋" w:hAnsi="仿宋" w:eastAsia="仿宋" w:cs="Arial Narrow"/>
          <w:highlight w:val="none"/>
          <w:lang w:val="en-US" w:eastAsia="zh-CN"/>
        </w:rPr>
        <w:t>区行政审批局公文处理实施细则</w:t>
      </w:r>
      <w:r>
        <w:rPr>
          <w:rFonts w:hint="eastAsia" w:ascii="仿宋" w:hAnsi="仿宋" w:eastAsia="仿宋" w:cs="Arial Narrow"/>
          <w:highlight w:val="none"/>
        </w:rPr>
        <w:t>》</w:t>
      </w:r>
      <w:r>
        <w:rPr>
          <w:rFonts w:hint="eastAsia" w:ascii="仿宋" w:hAnsi="仿宋" w:eastAsia="仿宋" w:cs="Arial Narrow"/>
          <w:highlight w:val="none"/>
          <w:lang w:val="en-US" w:eastAsia="zh-CN"/>
        </w:rPr>
        <w:t>等有关制度的通知（武经开行审[2018]23号）</w:t>
      </w:r>
      <w:r>
        <w:rPr>
          <w:rFonts w:hint="eastAsia" w:ascii="仿宋" w:hAnsi="仿宋" w:eastAsia="仿宋" w:cs="Arial Narrow"/>
          <w:highlight w:val="none"/>
        </w:rPr>
        <w:t>、《</w:t>
      </w:r>
      <w:r>
        <w:rPr>
          <w:rFonts w:hint="eastAsia" w:ascii="仿宋" w:hAnsi="仿宋" w:eastAsia="仿宋" w:cs="Arial Narrow"/>
          <w:highlight w:val="none"/>
          <w:lang w:val="en-US" w:eastAsia="zh-CN"/>
        </w:rPr>
        <w:t>工程量核查报告</w:t>
      </w:r>
      <w:r>
        <w:rPr>
          <w:rFonts w:hint="eastAsia" w:ascii="仿宋" w:hAnsi="仿宋" w:eastAsia="仿宋" w:cs="Arial Narrow"/>
          <w:highlight w:val="none"/>
        </w:rPr>
        <w:t>》、《武汉经济技术开发区（汉南区）行政审批局2018年工作总结》等项目相关资料，了解到项目实施单位制度了相应的质量评估办法或质量控制制度，相关资料均整理归档，且保存完整。</w:t>
      </w:r>
    </w:p>
    <w:p w14:paraId="40CF600B">
      <w:pPr>
        <w:snapToGrid w:val="0"/>
        <w:ind w:firstLine="480"/>
        <w:rPr>
          <w:rFonts w:ascii="仿宋" w:hAnsi="仿宋" w:eastAsia="仿宋" w:cs="Arial Narrow"/>
          <w:highlight w:val="none"/>
        </w:rPr>
      </w:pPr>
      <w:r>
        <w:rPr>
          <w:rFonts w:hint="eastAsia" w:ascii="仿宋" w:hAnsi="仿宋" w:eastAsia="仿宋" w:cs="Arial Narrow"/>
          <w:highlight w:val="none"/>
        </w:rPr>
        <w:t>②财务管理（12分）</w:t>
      </w:r>
    </w:p>
    <w:p w14:paraId="02DE2C8B">
      <w:pPr>
        <w:snapToGrid w:val="0"/>
        <w:ind w:firstLine="480"/>
        <w:rPr>
          <w:rFonts w:ascii="仿宋" w:hAnsi="仿宋" w:eastAsia="仿宋" w:cs="Arial Narrow"/>
          <w:highlight w:val="none"/>
        </w:rPr>
      </w:pPr>
      <w:r>
        <w:rPr>
          <w:rFonts w:hint="eastAsia" w:ascii="仿宋" w:hAnsi="仿宋" w:eastAsia="仿宋" w:cs="Arial Narrow"/>
          <w:highlight w:val="none"/>
        </w:rPr>
        <w:t>财务管理指标主要评价项目实施单位的财务制度情况，资金使用情况以及财务监控措施的实施情况。该指标主要由财务制度健全性、资金使用合规性、财务监控有效性三个三级指标反映。该项指标评价得分为1</w:t>
      </w:r>
      <w:r>
        <w:rPr>
          <w:rFonts w:hint="eastAsia" w:ascii="仿宋" w:hAnsi="仿宋" w:eastAsia="仿宋" w:cs="Arial Narrow"/>
          <w:highlight w:val="none"/>
          <w:lang w:val="en-US" w:eastAsia="zh-CN"/>
        </w:rPr>
        <w:t>2</w:t>
      </w:r>
      <w:r>
        <w:rPr>
          <w:rFonts w:hint="eastAsia" w:ascii="仿宋" w:hAnsi="仿宋" w:eastAsia="仿宋" w:cs="Arial Narrow"/>
          <w:highlight w:val="none"/>
        </w:rPr>
        <w:t>分。</w:t>
      </w:r>
    </w:p>
    <w:p w14:paraId="6EC564C8">
      <w:pPr>
        <w:snapToGrid w:val="0"/>
        <w:ind w:firstLine="480"/>
        <w:rPr>
          <w:rFonts w:ascii="仿宋" w:hAnsi="仿宋" w:eastAsia="仿宋" w:cs="Arial Narrow"/>
          <w:highlight w:val="none"/>
        </w:rPr>
      </w:pPr>
      <w:r>
        <w:rPr>
          <w:rFonts w:hint="eastAsia" w:ascii="仿宋" w:hAnsi="仿宋" w:eastAsia="仿宋" w:cs="Arial Narrow"/>
          <w:highlight w:val="none"/>
        </w:rPr>
        <w:t>a.</w:t>
      </w:r>
      <w:r>
        <w:rPr>
          <w:rFonts w:hint="eastAsia" w:ascii="仿宋" w:hAnsi="仿宋" w:eastAsia="仿宋" w:cs="Arial Narrow"/>
          <w:highlight w:val="none"/>
        </w:rPr>
        <w:tab/>
      </w:r>
      <w:r>
        <w:rPr>
          <w:rFonts w:hint="eastAsia" w:ascii="仿宋" w:hAnsi="仿宋" w:eastAsia="仿宋" w:cs="Arial Narrow"/>
          <w:highlight w:val="none"/>
        </w:rPr>
        <w:t>财务制度健全性，是指项目实施单位的资金管理、费用支出等制度是否健全，是否严格执行，会计核算是否规范，用以反映和考核财务管理制度对资金规范、安全运行的保障情况。项目实施单位具有《财务管理办法》，对经费审批程序和各类费用有所规定，其中差旅费的管理是根据《武汉市市级党政机关差旅费管理办法》的规定执行；公务接待费管理是根据按照省、市和区规定的标准内办理公务接待事项；会议经费管理是根据《武汉市市级党政机关会议费管理办法》的规定执行；培训费管理是根据《武汉市市级党政机关会议费管理办法》的规定执行。</w:t>
      </w:r>
    </w:p>
    <w:p w14:paraId="5DF91A8A">
      <w:pPr>
        <w:snapToGrid w:val="0"/>
        <w:ind w:firstLine="480"/>
        <w:rPr>
          <w:rFonts w:ascii="仿宋" w:hAnsi="仿宋" w:eastAsia="仿宋" w:cs="Arial Narrow"/>
          <w:highlight w:val="none"/>
        </w:rPr>
      </w:pPr>
      <w:r>
        <w:rPr>
          <w:rFonts w:hint="eastAsia" w:ascii="仿宋" w:hAnsi="仿宋" w:eastAsia="仿宋" w:cs="Arial Narrow"/>
          <w:highlight w:val="none"/>
        </w:rPr>
        <w:t>b.资金使用合规性，是指项目实施单位项目资金使用是否符合相关的财务管理制度规定，用以反映和考核项目资金的规范运行情况。通过查阅项目支出凭证，了解到项目支出符合《中华人民共和国会计法》、《行政单位财务制度》等国家财经法规和财务管理制。项目实际支出包括办公费、印刷费、培训费、差旅费、维修维护费、会议费等费用类别，资金使用符合项目合同规定的用途，不存在截留、挤占、挪用、虚列支出等情况。</w:t>
      </w:r>
    </w:p>
    <w:p w14:paraId="38062D3F">
      <w:pPr>
        <w:snapToGrid w:val="0"/>
        <w:ind w:firstLine="480"/>
        <w:rPr>
          <w:rFonts w:ascii="仿宋" w:hAnsi="仿宋" w:eastAsia="仿宋" w:cs="Arial Narrow"/>
          <w:highlight w:val="none"/>
        </w:rPr>
      </w:pPr>
      <w:r>
        <w:rPr>
          <w:rFonts w:hint="eastAsia" w:ascii="仿宋" w:hAnsi="仿宋" w:eastAsia="仿宋" w:cs="Arial Narrow"/>
          <w:highlight w:val="none"/>
        </w:rPr>
        <w:t>c.</w:t>
      </w:r>
      <w:r>
        <w:rPr>
          <w:rFonts w:hint="eastAsia" w:ascii="仿宋" w:hAnsi="仿宋" w:eastAsia="仿宋" w:cs="Arial Narrow"/>
          <w:highlight w:val="none"/>
        </w:rPr>
        <w:tab/>
      </w:r>
      <w:r>
        <w:rPr>
          <w:rFonts w:hint="eastAsia" w:ascii="仿宋" w:hAnsi="仿宋" w:eastAsia="仿宋" w:cs="Arial Narrow"/>
          <w:highlight w:val="none"/>
        </w:rPr>
        <w:t>财务监控有效性，是指项目实施单位是否为保障资金的安全、规范运行而采取了必要的监控措施，用以反映和考核项目实施单位对资金运行的控制情况。项目绩效评价小组通过查阅项目支出凭证，但未形成与监控相关的总结资料可供查证，扣1分。</w:t>
      </w:r>
    </w:p>
    <w:p w14:paraId="0E3A290F">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3</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项目产出（28分）</w:t>
      </w:r>
    </w:p>
    <w:p w14:paraId="7DD1A95A">
      <w:pPr>
        <w:snapToGrid w:val="0"/>
        <w:ind w:firstLine="480"/>
        <w:rPr>
          <w:rFonts w:ascii="仿宋" w:hAnsi="仿宋" w:eastAsia="仿宋" w:cs="Arial Narrow"/>
          <w:highlight w:val="none"/>
        </w:rPr>
      </w:pPr>
      <w:r>
        <w:rPr>
          <w:rFonts w:hint="eastAsia" w:ascii="仿宋" w:hAnsi="仿宋" w:eastAsia="仿宋" w:cs="Arial Narrow"/>
          <w:highlight w:val="none"/>
        </w:rPr>
        <w:t>项目产出方面主要评价项目实施内容的完成情况，包括完成数量、质量以及时效。对于该项的评价，绩效评价工作小组主要采取了卷宗研究、现场访谈等方式进行资料收集、整理和分析，对项目产出涉及的指标进行打分和评价。经过综合计分，该指标得分为28分，评价结果为优。</w:t>
      </w:r>
    </w:p>
    <w:p w14:paraId="52CA3989">
      <w:pPr>
        <w:snapToGrid w:val="0"/>
        <w:ind w:firstLine="480"/>
        <w:rPr>
          <w:rFonts w:ascii="仿宋" w:hAnsi="仿宋" w:eastAsia="仿宋" w:cs="Arial Narrow"/>
          <w:highlight w:val="none"/>
        </w:rPr>
      </w:pPr>
      <w:r>
        <w:rPr>
          <w:rFonts w:hint="eastAsia" w:ascii="仿宋" w:hAnsi="仿宋" w:eastAsia="仿宋" w:cs="Arial Narrow"/>
          <w:highlight w:val="none"/>
        </w:rPr>
        <w:t>①实际完成率，是指项目实施的实际产出数与计划产出数的比率，用以反映和考核项目产出数量目标的实现程度。</w:t>
      </w:r>
    </w:p>
    <w:p w14:paraId="5D20BB3C">
      <w:pPr>
        <w:snapToGrid w:val="0"/>
        <w:ind w:firstLine="480"/>
        <w:rPr>
          <w:rFonts w:ascii="仿宋" w:hAnsi="仿宋" w:eastAsia="仿宋" w:cs="Arial Narrow"/>
          <w:highlight w:val="none"/>
        </w:rPr>
      </w:pPr>
      <w:r>
        <w:rPr>
          <w:rFonts w:hint="eastAsia" w:ascii="仿宋" w:hAnsi="仿宋" w:eastAsia="仿宋" w:cs="Arial Narrow"/>
          <w:highlight w:val="none"/>
        </w:rPr>
        <w:t>②完成及时率，是指项目实际提前完成时间与计划完成时间的比率，用以反映和考核项目产出时效目标的实现程度。</w:t>
      </w:r>
    </w:p>
    <w:p w14:paraId="780E6106">
      <w:pPr>
        <w:snapToGrid w:val="0"/>
        <w:ind w:firstLine="480"/>
        <w:rPr>
          <w:rFonts w:ascii="仿宋" w:hAnsi="仿宋" w:eastAsia="仿宋" w:cs="Arial Narrow"/>
          <w:highlight w:val="none"/>
        </w:rPr>
      </w:pPr>
      <w:r>
        <w:rPr>
          <w:rFonts w:hint="eastAsia" w:ascii="仿宋" w:hAnsi="仿宋" w:eastAsia="仿宋" w:cs="Arial Narrow"/>
          <w:highlight w:val="none"/>
        </w:rPr>
        <w:t>③质量达标率，是指项目完成的质量达标产出数与实际产出数的比率，用以反映和考核项目产出质量目标的实现程度。</w:t>
      </w:r>
    </w:p>
    <w:p w14:paraId="3F7A6DBC">
      <w:pPr>
        <w:snapToGrid w:val="0"/>
        <w:ind w:firstLine="480"/>
        <w:rPr>
          <w:rFonts w:ascii="仿宋" w:hAnsi="仿宋" w:eastAsia="仿宋" w:cs="Arial Narrow"/>
          <w:highlight w:val="none"/>
        </w:rPr>
      </w:pPr>
      <w:r>
        <w:rPr>
          <w:rFonts w:hint="eastAsia" w:ascii="仿宋" w:hAnsi="仿宋" w:eastAsia="仿宋" w:cs="Arial Narrow"/>
          <w:highlight w:val="none"/>
        </w:rPr>
        <w:t>④资金使用率，是指项目实际支出与项目到位资金的比率，用以反映和考核项目资金使用情况。通过查看项目预算批复文件和支出明细表以及记账凭证得知，该项目项目到位资金为1</w:t>
      </w:r>
      <w:r>
        <w:rPr>
          <w:rFonts w:hint="eastAsia" w:ascii="仿宋" w:hAnsi="仿宋" w:eastAsia="仿宋" w:cs="Arial Narrow"/>
          <w:highlight w:val="none"/>
          <w:lang w:val="en-US" w:eastAsia="zh-CN"/>
        </w:rPr>
        <w:t>,</w:t>
      </w:r>
      <w:r>
        <w:rPr>
          <w:rFonts w:hint="eastAsia" w:ascii="仿宋" w:hAnsi="仿宋" w:eastAsia="仿宋" w:cs="Arial Narrow"/>
          <w:highlight w:val="none"/>
        </w:rPr>
        <w:t>054</w:t>
      </w:r>
      <w:r>
        <w:rPr>
          <w:rFonts w:hint="eastAsia" w:ascii="仿宋" w:hAnsi="仿宋" w:eastAsia="仿宋" w:cs="Arial Narrow"/>
          <w:highlight w:val="none"/>
          <w:lang w:val="en-US" w:eastAsia="zh-CN"/>
        </w:rPr>
        <w:t>,</w:t>
      </w:r>
      <w:r>
        <w:rPr>
          <w:rFonts w:hint="eastAsia" w:ascii="仿宋" w:hAnsi="仿宋" w:eastAsia="仿宋" w:cs="Arial Narrow"/>
          <w:highlight w:val="none"/>
        </w:rPr>
        <w:t>895</w:t>
      </w:r>
      <w:r>
        <w:rPr>
          <w:rFonts w:hint="eastAsia" w:ascii="仿宋" w:hAnsi="仿宋" w:eastAsia="仿宋" w:cs="Arial Narrow"/>
          <w:highlight w:val="none"/>
          <w:lang w:val="en-US" w:eastAsia="zh-CN"/>
        </w:rPr>
        <w:t>.00</w:t>
      </w:r>
      <w:r>
        <w:rPr>
          <w:rFonts w:hint="eastAsia" w:ascii="仿宋" w:hAnsi="仿宋" w:eastAsia="仿宋" w:cs="Arial Narrow"/>
          <w:highlight w:val="none"/>
        </w:rPr>
        <w:t>元，实际支出为1</w:t>
      </w:r>
      <w:r>
        <w:rPr>
          <w:rFonts w:hint="eastAsia" w:ascii="仿宋" w:hAnsi="仿宋" w:eastAsia="仿宋" w:cs="Arial Narrow"/>
          <w:highlight w:val="none"/>
          <w:lang w:val="en-US" w:eastAsia="zh-CN"/>
        </w:rPr>
        <w:t>,</w:t>
      </w:r>
      <w:r>
        <w:rPr>
          <w:rFonts w:hint="eastAsia" w:ascii="仿宋" w:hAnsi="仿宋" w:eastAsia="仿宋" w:cs="Arial Narrow"/>
          <w:highlight w:val="none"/>
        </w:rPr>
        <w:t>054</w:t>
      </w:r>
      <w:r>
        <w:rPr>
          <w:rFonts w:hint="eastAsia" w:ascii="仿宋" w:hAnsi="仿宋" w:eastAsia="仿宋" w:cs="Arial Narrow"/>
          <w:highlight w:val="none"/>
          <w:lang w:val="en-US" w:eastAsia="zh-CN"/>
        </w:rPr>
        <w:t>,</w:t>
      </w:r>
      <w:r>
        <w:rPr>
          <w:rFonts w:hint="eastAsia" w:ascii="仿宋" w:hAnsi="仿宋" w:eastAsia="仿宋" w:cs="Arial Narrow"/>
          <w:highlight w:val="none"/>
        </w:rPr>
        <w:t>895</w:t>
      </w:r>
      <w:r>
        <w:rPr>
          <w:rFonts w:hint="eastAsia" w:ascii="仿宋" w:hAnsi="仿宋" w:eastAsia="仿宋" w:cs="Arial Narrow"/>
          <w:highlight w:val="none"/>
          <w:lang w:val="en-US" w:eastAsia="zh-CN"/>
        </w:rPr>
        <w:t>.00</w:t>
      </w:r>
      <w:r>
        <w:rPr>
          <w:rFonts w:hint="eastAsia" w:ascii="仿宋" w:hAnsi="仿宋" w:eastAsia="仿宋" w:cs="Arial Narrow"/>
          <w:highlight w:val="none"/>
        </w:rPr>
        <w:t>元，资金使用率为100.00%。</w:t>
      </w:r>
    </w:p>
    <w:p w14:paraId="71C74328">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4</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项目效果（32分）</w:t>
      </w:r>
    </w:p>
    <w:bookmarkEnd w:id="68"/>
    <w:bookmarkEnd w:id="69"/>
    <w:bookmarkEnd w:id="70"/>
    <w:bookmarkEnd w:id="71"/>
    <w:bookmarkEnd w:id="72"/>
    <w:p w14:paraId="19383C8B">
      <w:pPr>
        <w:snapToGrid w:val="0"/>
        <w:ind w:firstLine="480"/>
        <w:rPr>
          <w:rFonts w:ascii="仿宋" w:hAnsi="仿宋" w:eastAsia="仿宋" w:cs="Arial Narrow"/>
          <w:highlight w:val="none"/>
        </w:rPr>
      </w:pPr>
      <w:bookmarkStart w:id="74" w:name="_Toc17932"/>
      <w:bookmarkStart w:id="75" w:name="_Toc361302038"/>
      <w:bookmarkStart w:id="76" w:name="_Toc14165738"/>
      <w:bookmarkStart w:id="77" w:name="_Toc406668051"/>
      <w:bookmarkStart w:id="78" w:name="_Toc361304701"/>
      <w:bookmarkStart w:id="79" w:name="_Toc387957826"/>
      <w:bookmarkStart w:id="80" w:name="_Toc406666377"/>
      <w:r>
        <w:rPr>
          <w:rFonts w:hint="eastAsia" w:ascii="仿宋" w:hAnsi="仿宋" w:eastAsia="仿宋" w:cs="Arial Narrow"/>
          <w:highlight w:val="none"/>
        </w:rPr>
        <w:t>项目效果方面主要评价项目实施所产生的经济效益，以及对社会的需求和发展所带来的直接或间接影响，反映项目后续运行及成效发挥的可持续影响情况。对于该项的评价，绩效评价工作小组主要采取了卷宗研究、现场访谈等方式进行资料收集、整理和分析，采集相关信息，对项目效果涉及的指标进行打分和评价。满分32分，最后得分2</w:t>
      </w:r>
      <w:r>
        <w:rPr>
          <w:rFonts w:hint="eastAsia" w:ascii="仿宋" w:hAnsi="仿宋" w:eastAsia="仿宋" w:cs="Arial Narrow"/>
          <w:highlight w:val="none"/>
          <w:lang w:val="en-US" w:eastAsia="zh-CN"/>
        </w:rPr>
        <w:t>9</w:t>
      </w:r>
      <w:r>
        <w:rPr>
          <w:rFonts w:hint="eastAsia" w:ascii="仿宋" w:hAnsi="仿宋" w:eastAsia="仿宋" w:cs="Arial Narrow"/>
          <w:highlight w:val="none"/>
        </w:rPr>
        <w:t>分，评价结果为</w:t>
      </w:r>
      <w:r>
        <w:rPr>
          <w:rFonts w:hint="eastAsia" w:ascii="仿宋" w:hAnsi="仿宋" w:eastAsia="仿宋" w:cs="Arial Narrow"/>
          <w:highlight w:val="none"/>
          <w:lang w:val="en-US" w:eastAsia="zh-CN"/>
        </w:rPr>
        <w:t>优</w:t>
      </w:r>
      <w:r>
        <w:rPr>
          <w:rFonts w:hint="eastAsia" w:ascii="仿宋" w:hAnsi="仿宋" w:eastAsia="仿宋" w:cs="Arial Narrow"/>
          <w:highlight w:val="none"/>
        </w:rPr>
        <w:t>。</w:t>
      </w:r>
    </w:p>
    <w:p w14:paraId="6C33FF36">
      <w:pPr>
        <w:snapToGrid w:val="0"/>
        <w:ind w:firstLine="480"/>
        <w:rPr>
          <w:rFonts w:ascii="仿宋" w:hAnsi="仿宋" w:eastAsia="仿宋" w:cs="Arial Narrow"/>
          <w:highlight w:val="none"/>
        </w:rPr>
      </w:pPr>
      <w:r>
        <w:rPr>
          <w:rFonts w:hint="eastAsia" w:ascii="仿宋" w:hAnsi="仿宋" w:eastAsia="仿宋" w:cs="Arial Narrow"/>
          <w:highlight w:val="none"/>
        </w:rPr>
        <w:t>1）数量指标：（8分）</w:t>
      </w:r>
    </w:p>
    <w:p w14:paraId="67B874E3">
      <w:pPr>
        <w:snapToGrid w:val="0"/>
        <w:ind w:firstLine="480"/>
        <w:rPr>
          <w:rFonts w:hint="default" w:ascii="仿宋" w:hAnsi="仿宋" w:eastAsia="仿宋" w:cs="Arial Narrow"/>
          <w:highlight w:val="none"/>
          <w:lang w:val="en-US" w:eastAsia="zh-CN"/>
        </w:rPr>
      </w:pPr>
      <w:r>
        <w:rPr>
          <w:rFonts w:hint="eastAsia" w:ascii="仿宋" w:hAnsi="仿宋" w:eastAsia="仿宋" w:cs="Arial Narrow"/>
          <w:highlight w:val="none"/>
        </w:rPr>
        <w:t>①</w:t>
      </w:r>
      <w:r>
        <w:rPr>
          <w:rFonts w:hint="eastAsia" w:ascii="仿宋" w:hAnsi="仿宋" w:eastAsia="仿宋" w:cs="Arial Narrow"/>
          <w:highlight w:val="none"/>
          <w:lang w:val="en-US" w:eastAsia="zh-CN"/>
        </w:rPr>
        <w:t>审批局政务门户网1套</w:t>
      </w:r>
      <w:r>
        <w:rPr>
          <w:rFonts w:hint="eastAsia" w:ascii="仿宋" w:hAnsi="仿宋" w:eastAsia="仿宋" w:cs="Arial Narrow"/>
          <w:highlight w:val="none"/>
        </w:rPr>
        <w:t>；②</w:t>
      </w:r>
      <w:r>
        <w:rPr>
          <w:rFonts w:hint="eastAsia" w:ascii="仿宋" w:hAnsi="仿宋" w:eastAsia="仿宋" w:cs="Arial Narrow"/>
          <w:highlight w:val="none"/>
          <w:lang w:val="en-US" w:eastAsia="zh-CN"/>
        </w:rPr>
        <w:t>嵌入式软件产品4套</w:t>
      </w:r>
      <w:r>
        <w:rPr>
          <w:rFonts w:hint="eastAsia" w:ascii="仿宋" w:hAnsi="仿宋" w:eastAsia="仿宋" w:cs="Arial Narrow"/>
          <w:highlight w:val="none"/>
        </w:rPr>
        <w:t>；③</w:t>
      </w:r>
      <w:r>
        <w:rPr>
          <w:rFonts w:hint="eastAsia" w:ascii="仿宋" w:hAnsi="仿宋" w:eastAsia="仿宋" w:cs="Arial Narrow"/>
          <w:highlight w:val="none"/>
          <w:lang w:val="en-US" w:eastAsia="zh-CN"/>
        </w:rPr>
        <w:t>系统开发6套</w:t>
      </w:r>
      <w:r>
        <w:rPr>
          <w:rFonts w:hint="eastAsia" w:ascii="仿宋" w:hAnsi="仿宋" w:eastAsia="仿宋" w:cs="Arial Narrow"/>
          <w:highlight w:val="none"/>
        </w:rPr>
        <w:t>；④</w:t>
      </w:r>
      <w:r>
        <w:rPr>
          <w:rFonts w:hint="eastAsia" w:ascii="仿宋" w:hAnsi="仿宋" w:eastAsia="仿宋" w:cs="Arial Narrow"/>
          <w:highlight w:val="none"/>
          <w:lang w:val="en-US" w:eastAsia="zh-CN"/>
        </w:rPr>
        <w:t>硬件设备购置389件</w:t>
      </w:r>
      <w:r>
        <w:rPr>
          <w:rFonts w:hint="eastAsia" w:ascii="仿宋" w:hAnsi="仿宋" w:eastAsia="仿宋" w:cs="Arial Narrow"/>
          <w:highlight w:val="none"/>
        </w:rPr>
        <w:t>。</w:t>
      </w:r>
      <w:r>
        <w:rPr>
          <w:rFonts w:hint="eastAsia" w:ascii="仿宋" w:hAnsi="仿宋" w:eastAsia="仿宋" w:cs="Arial Narrow"/>
          <w:highlight w:val="none"/>
          <w:lang w:val="en-US" w:eastAsia="zh-CN"/>
        </w:rPr>
        <w:t>计8分。</w:t>
      </w:r>
    </w:p>
    <w:p w14:paraId="253C6C36">
      <w:pPr>
        <w:snapToGrid w:val="0"/>
        <w:ind w:firstLine="480"/>
        <w:rPr>
          <w:rFonts w:ascii="仿宋" w:hAnsi="仿宋" w:eastAsia="仿宋" w:cs="Arial Narrow"/>
          <w:highlight w:val="none"/>
        </w:rPr>
      </w:pPr>
      <w:r>
        <w:rPr>
          <w:rFonts w:hint="eastAsia" w:ascii="仿宋" w:hAnsi="仿宋" w:eastAsia="仿宋" w:cs="Arial Narrow"/>
          <w:highlight w:val="none"/>
        </w:rPr>
        <w:t>2）质量指标：（6分）</w:t>
      </w:r>
    </w:p>
    <w:p w14:paraId="0E90D210">
      <w:pPr>
        <w:snapToGrid w:val="0"/>
        <w:ind w:firstLine="480"/>
        <w:rPr>
          <w:rFonts w:hint="default" w:ascii="仿宋" w:hAnsi="仿宋" w:eastAsia="仿宋" w:cs="Arial Narrow"/>
          <w:highlight w:val="none"/>
          <w:lang w:val="en-US" w:eastAsia="zh-CN"/>
        </w:rPr>
      </w:pPr>
      <w:r>
        <w:rPr>
          <w:rFonts w:hint="eastAsia" w:ascii="仿宋" w:hAnsi="仿宋" w:eastAsia="仿宋" w:cs="Arial Narrow"/>
          <w:highlight w:val="none"/>
          <w:lang w:val="en-US" w:eastAsia="zh-CN"/>
        </w:rPr>
        <w:t>项目已于2017年11月14日通过验收，质量合格</w:t>
      </w:r>
      <w:r>
        <w:rPr>
          <w:rFonts w:hint="eastAsia" w:ascii="仿宋" w:hAnsi="仿宋" w:eastAsia="仿宋" w:cs="Arial Narrow"/>
          <w:highlight w:val="none"/>
        </w:rPr>
        <w:t>。</w:t>
      </w:r>
      <w:r>
        <w:rPr>
          <w:rFonts w:hint="eastAsia" w:ascii="仿宋" w:hAnsi="仿宋" w:eastAsia="仿宋" w:cs="Arial Narrow"/>
          <w:highlight w:val="none"/>
          <w:lang w:val="en-US" w:eastAsia="zh-CN"/>
        </w:rPr>
        <w:t>计6分。</w:t>
      </w:r>
    </w:p>
    <w:p w14:paraId="3C2421A4">
      <w:pPr>
        <w:snapToGrid w:val="0"/>
        <w:ind w:firstLine="480"/>
        <w:rPr>
          <w:rFonts w:ascii="仿宋" w:hAnsi="仿宋" w:eastAsia="仿宋" w:cs="Arial Narrow"/>
          <w:highlight w:val="none"/>
        </w:rPr>
      </w:pPr>
      <w:r>
        <w:rPr>
          <w:rFonts w:hint="eastAsia" w:ascii="仿宋" w:hAnsi="仿宋" w:eastAsia="仿宋" w:cs="Arial Narrow"/>
          <w:highlight w:val="none"/>
        </w:rPr>
        <w:t>3）社会效益指标（6分），项目实施对社会发展所带来的的直接或间接影响情况。</w:t>
      </w:r>
      <w:r>
        <w:rPr>
          <w:rFonts w:hint="eastAsia" w:ascii="仿宋" w:hAnsi="仿宋" w:eastAsia="仿宋" w:cs="Arial Narrow"/>
          <w:highlight w:val="none"/>
          <w:lang w:val="en-US" w:eastAsia="zh-CN"/>
        </w:rPr>
        <w:t>推进了信息化、网格化建设</w:t>
      </w:r>
      <w:r>
        <w:rPr>
          <w:rFonts w:hint="eastAsia" w:ascii="仿宋" w:hAnsi="仿宋" w:eastAsia="仿宋" w:cs="Arial Narrow"/>
          <w:highlight w:val="none"/>
        </w:rPr>
        <w:t>，</w:t>
      </w:r>
      <w:r>
        <w:rPr>
          <w:rFonts w:hint="eastAsia" w:ascii="仿宋" w:hAnsi="仿宋" w:eastAsia="仿宋" w:cs="Arial Narrow"/>
          <w:highlight w:val="none"/>
          <w:lang w:val="en-US" w:eastAsia="zh-CN"/>
        </w:rPr>
        <w:t>向实现政务服务城乡均等化发展</w:t>
      </w:r>
      <w:r>
        <w:rPr>
          <w:rFonts w:hint="eastAsia" w:ascii="仿宋" w:hAnsi="仿宋" w:eastAsia="仿宋" w:cs="Arial Narrow"/>
          <w:highlight w:val="yellow"/>
          <w:lang w:val="en-US" w:eastAsia="zh-CN"/>
        </w:rPr>
        <w:t>，</w:t>
      </w:r>
      <w:r>
        <w:rPr>
          <w:rFonts w:hint="eastAsia" w:ascii="仿宋" w:hAnsi="仿宋" w:eastAsia="仿宋" w:cs="Arial Narrow"/>
          <w:highlight w:val="yellow"/>
        </w:rPr>
        <w:t>计</w:t>
      </w:r>
      <w:r>
        <w:rPr>
          <w:rFonts w:hint="eastAsia" w:ascii="仿宋" w:hAnsi="仿宋" w:eastAsia="仿宋" w:cs="Arial Narrow"/>
          <w:highlight w:val="yellow"/>
          <w:lang w:val="en-US" w:eastAsia="zh-CN"/>
        </w:rPr>
        <w:t>5</w:t>
      </w:r>
      <w:r>
        <w:rPr>
          <w:rFonts w:hint="eastAsia" w:ascii="仿宋" w:hAnsi="仿宋" w:eastAsia="仿宋" w:cs="Arial Narrow"/>
          <w:highlight w:val="yellow"/>
        </w:rPr>
        <w:t>分</w:t>
      </w:r>
      <w:r>
        <w:rPr>
          <w:rFonts w:hint="eastAsia" w:ascii="仿宋" w:hAnsi="仿宋" w:eastAsia="仿宋" w:cs="Arial Narrow"/>
          <w:highlight w:val="none"/>
        </w:rPr>
        <w:t>。</w:t>
      </w:r>
    </w:p>
    <w:p w14:paraId="08D5B540">
      <w:pPr>
        <w:snapToGrid w:val="0"/>
        <w:ind w:firstLine="480"/>
        <w:rPr>
          <w:rFonts w:ascii="仿宋" w:hAnsi="仿宋" w:eastAsia="仿宋" w:cs="Arial Narrow"/>
          <w:highlight w:val="none"/>
        </w:rPr>
      </w:pPr>
      <w:r>
        <w:rPr>
          <w:rFonts w:hint="eastAsia" w:ascii="仿宋" w:hAnsi="仿宋" w:eastAsia="仿宋" w:cs="Arial Narrow"/>
          <w:highlight w:val="none"/>
        </w:rPr>
        <w:t>4）</w:t>
      </w:r>
      <w:r>
        <w:rPr>
          <w:rFonts w:ascii="仿宋" w:hAnsi="仿宋" w:eastAsia="仿宋" w:cs="Arial Narrow"/>
          <w:highlight w:val="none"/>
        </w:rPr>
        <w:t>可持续影响</w:t>
      </w:r>
      <w:r>
        <w:rPr>
          <w:rFonts w:hint="eastAsia" w:ascii="仿宋" w:hAnsi="仿宋" w:eastAsia="仿宋" w:cs="Arial Narrow"/>
          <w:highlight w:val="none"/>
        </w:rPr>
        <w:t>（6分）</w:t>
      </w:r>
      <w:r>
        <w:rPr>
          <w:rFonts w:ascii="仿宋" w:hAnsi="仿宋" w:eastAsia="仿宋" w:cs="Arial Narrow"/>
          <w:highlight w:val="none"/>
        </w:rPr>
        <w:t>，是指项目后续运行及成效发挥的可持续影响情况。</w:t>
      </w:r>
      <w:r>
        <w:rPr>
          <w:rFonts w:hint="eastAsia" w:ascii="仿宋" w:hAnsi="仿宋" w:eastAsia="仿宋" w:cs="Arial Narrow"/>
          <w:highlight w:val="none"/>
        </w:rPr>
        <w:t>项目的实施缩短了审批时限，带来可持续影响</w:t>
      </w:r>
      <w:r>
        <w:rPr>
          <w:rFonts w:ascii="仿宋" w:hAnsi="仿宋" w:eastAsia="仿宋" w:cs="Arial Narrow"/>
          <w:highlight w:val="yellow"/>
        </w:rPr>
        <w:t>。</w:t>
      </w:r>
      <w:r>
        <w:rPr>
          <w:rFonts w:hint="eastAsia" w:ascii="仿宋" w:hAnsi="仿宋" w:eastAsia="仿宋" w:cs="Arial Narrow"/>
          <w:highlight w:val="yellow"/>
        </w:rPr>
        <w:t>计</w:t>
      </w:r>
      <w:r>
        <w:rPr>
          <w:rFonts w:hint="eastAsia" w:ascii="仿宋" w:hAnsi="仿宋" w:eastAsia="仿宋" w:cs="Arial Narrow"/>
          <w:highlight w:val="yellow"/>
          <w:lang w:val="en-US" w:eastAsia="zh-CN"/>
        </w:rPr>
        <w:t>5</w:t>
      </w:r>
      <w:r>
        <w:rPr>
          <w:rFonts w:hint="eastAsia" w:ascii="仿宋" w:hAnsi="仿宋" w:eastAsia="仿宋" w:cs="Arial Narrow"/>
          <w:highlight w:val="yellow"/>
        </w:rPr>
        <w:t>分</w:t>
      </w:r>
      <w:r>
        <w:rPr>
          <w:rFonts w:hint="eastAsia" w:ascii="仿宋" w:hAnsi="仿宋" w:eastAsia="仿宋" w:cs="Arial Narrow"/>
          <w:highlight w:val="none"/>
        </w:rPr>
        <w:t>.</w:t>
      </w:r>
    </w:p>
    <w:p w14:paraId="025B92D7">
      <w:pPr>
        <w:snapToGrid w:val="0"/>
        <w:ind w:firstLine="480"/>
        <w:rPr>
          <w:rFonts w:ascii="仿宋" w:hAnsi="仿宋" w:eastAsia="仿宋" w:cs="Arial Narrow"/>
          <w:highlight w:val="none"/>
        </w:rPr>
      </w:pPr>
      <w:r>
        <w:rPr>
          <w:rFonts w:hint="eastAsia" w:ascii="仿宋" w:hAnsi="仿宋" w:eastAsia="仿宋" w:cs="Arial Narrow"/>
          <w:highlight w:val="none"/>
        </w:rPr>
        <w:t>5）</w:t>
      </w:r>
      <w:r>
        <w:rPr>
          <w:rFonts w:ascii="仿宋" w:hAnsi="仿宋" w:eastAsia="仿宋" w:cs="Arial Narrow"/>
          <w:highlight w:val="none"/>
        </w:rPr>
        <w:t>服务对象满意度</w:t>
      </w:r>
      <w:r>
        <w:rPr>
          <w:rFonts w:hint="eastAsia" w:ascii="仿宋" w:hAnsi="仿宋" w:eastAsia="仿宋" w:cs="Arial Narrow"/>
          <w:highlight w:val="none"/>
        </w:rPr>
        <w:t>（6分）</w:t>
      </w:r>
      <w:r>
        <w:rPr>
          <w:rFonts w:ascii="仿宋" w:hAnsi="仿宋" w:eastAsia="仿宋" w:cs="Arial Narrow"/>
          <w:highlight w:val="none"/>
        </w:rPr>
        <w:t>，是指服务对象对项目实施的满意程度，用以反应和考核项目实施单位的项目实施成果。</w:t>
      </w:r>
      <w:r>
        <w:rPr>
          <w:rFonts w:hint="eastAsia" w:ascii="仿宋" w:hAnsi="仿宋" w:eastAsia="仿宋" w:cs="Arial Narrow"/>
          <w:highlight w:val="none"/>
          <w:lang w:val="en-US" w:eastAsia="zh-CN"/>
        </w:rPr>
        <w:t>项目的实施改进了服务方式，提升了服务效能，切实提高群众的满意度，增强了群众的获得感</w:t>
      </w:r>
      <w:r>
        <w:rPr>
          <w:rFonts w:ascii="仿宋" w:hAnsi="仿宋" w:eastAsia="仿宋" w:cs="Arial Narrow"/>
          <w:highlight w:val="none"/>
        </w:rPr>
        <w:t>。</w:t>
      </w:r>
      <w:r>
        <w:rPr>
          <w:rFonts w:hint="eastAsia" w:ascii="仿宋" w:hAnsi="仿宋" w:eastAsia="仿宋" w:cs="Arial Narrow"/>
          <w:highlight w:val="yellow"/>
        </w:rPr>
        <w:t>计5分</w:t>
      </w:r>
      <w:r>
        <w:rPr>
          <w:rFonts w:hint="eastAsia" w:ascii="仿宋" w:hAnsi="仿宋" w:eastAsia="仿宋" w:cs="Arial Narrow"/>
          <w:highlight w:val="none"/>
        </w:rPr>
        <w:t>。</w:t>
      </w:r>
    </w:p>
    <w:p w14:paraId="5C2AC6FA">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81" w:name="_Toc7176"/>
      <w:r>
        <w:rPr>
          <w:rFonts w:hint="eastAsia" w:ascii="仿宋" w:hAnsi="仿宋" w:eastAsia="仿宋" w:cs="Arial Narrow"/>
          <w:sz w:val="24"/>
          <w:highlight w:val="none"/>
          <w:lang w:val="en-US" w:eastAsia="zh-CN"/>
        </w:rPr>
        <w:t>2、</w:t>
      </w:r>
      <w:r>
        <w:rPr>
          <w:rFonts w:hint="eastAsia" w:ascii="仿宋" w:hAnsi="仿宋" w:eastAsia="仿宋" w:cs="Arial Narrow"/>
          <w:sz w:val="24"/>
          <w:highlight w:val="none"/>
        </w:rPr>
        <w:t>评价结论</w:t>
      </w:r>
      <w:bookmarkEnd w:id="74"/>
      <w:bookmarkEnd w:id="75"/>
      <w:bookmarkEnd w:id="76"/>
      <w:bookmarkEnd w:id="77"/>
      <w:bookmarkEnd w:id="78"/>
      <w:bookmarkEnd w:id="79"/>
      <w:bookmarkEnd w:id="80"/>
      <w:bookmarkEnd w:id="81"/>
      <w:bookmarkStart w:id="82" w:name="_Toc361304702"/>
      <w:bookmarkStart w:id="83" w:name="_Toc361302039"/>
    </w:p>
    <w:bookmarkEnd w:id="82"/>
    <w:bookmarkEnd w:id="83"/>
    <w:p w14:paraId="2BED37DE">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1</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评分结果</w:t>
      </w:r>
    </w:p>
    <w:p w14:paraId="2F741BB0">
      <w:pPr>
        <w:snapToGrid w:val="0"/>
        <w:ind w:firstLine="480"/>
        <w:rPr>
          <w:rFonts w:ascii="仿宋" w:hAnsi="仿宋" w:eastAsia="仿宋" w:cs="Arial Narrow"/>
          <w:highlight w:val="none"/>
        </w:rPr>
      </w:pPr>
      <w:bookmarkStart w:id="84" w:name="_Toc361304705"/>
      <w:bookmarkStart w:id="85" w:name="_Toc406668054"/>
      <w:bookmarkStart w:id="86" w:name="_Toc406666380"/>
      <w:bookmarkStart w:id="87" w:name="_Toc387957829"/>
      <w:r>
        <w:rPr>
          <w:rFonts w:hint="eastAsia" w:ascii="仿宋" w:hAnsi="仿宋" w:eastAsia="仿宋" w:cs="Arial Narrow"/>
          <w:highlight w:val="none"/>
        </w:rPr>
        <w:t>武汉经济技术开发区（汉南区）行政审批局“行政审批局信息化项目一期”项目绩效评价综合得分为9</w:t>
      </w:r>
      <w:r>
        <w:rPr>
          <w:rFonts w:hint="eastAsia" w:ascii="仿宋" w:hAnsi="仿宋" w:eastAsia="仿宋" w:cs="Arial Narrow"/>
          <w:highlight w:val="none"/>
          <w:lang w:val="en-US" w:eastAsia="zh-CN"/>
        </w:rPr>
        <w:t>6</w:t>
      </w:r>
      <w:r>
        <w:rPr>
          <w:rFonts w:hint="eastAsia" w:ascii="仿宋" w:hAnsi="仿宋" w:eastAsia="仿宋" w:cs="Arial Narrow"/>
          <w:highlight w:val="none"/>
        </w:rPr>
        <w:t>分，评价结果为优。</w:t>
      </w:r>
    </w:p>
    <w:p w14:paraId="4F226712">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2</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主要结论</w:t>
      </w:r>
    </w:p>
    <w:p w14:paraId="158EC0B6">
      <w:pPr>
        <w:snapToGrid w:val="0"/>
        <w:ind w:firstLine="480"/>
        <w:rPr>
          <w:rFonts w:ascii="仿宋" w:hAnsi="仿宋" w:eastAsia="仿宋" w:cs="Arial Narrow"/>
          <w:bCs/>
          <w:highlight w:val="none"/>
        </w:rPr>
      </w:pPr>
      <w:bookmarkStart w:id="88" w:name="_Toc14165739"/>
      <w:bookmarkStart w:id="89" w:name="_Toc14373"/>
      <w:r>
        <w:rPr>
          <w:rFonts w:hint="eastAsia" w:ascii="仿宋" w:hAnsi="仿宋" w:eastAsia="仿宋" w:cs="Arial Narrow"/>
          <w:bCs/>
          <w:highlight w:val="none"/>
        </w:rPr>
        <w:t>201</w:t>
      </w:r>
      <w:r>
        <w:rPr>
          <w:rFonts w:hint="eastAsia" w:ascii="仿宋" w:hAnsi="仿宋" w:eastAsia="仿宋" w:cs="Arial Narrow"/>
          <w:bCs/>
          <w:highlight w:val="none"/>
          <w:lang w:val="en-US" w:eastAsia="zh-CN"/>
        </w:rPr>
        <w:t>8</w:t>
      </w:r>
      <w:r>
        <w:rPr>
          <w:rFonts w:hint="eastAsia" w:ascii="仿宋" w:hAnsi="仿宋" w:eastAsia="仿宋" w:cs="Arial Narrow"/>
          <w:bCs/>
          <w:highlight w:val="none"/>
        </w:rPr>
        <w:t>年行政审批局“行政审批局信息化项目一期”项目绩效指标评分结果</w:t>
      </w:r>
      <w:r>
        <w:rPr>
          <w:rFonts w:hint="eastAsia" w:ascii="仿宋" w:hAnsi="仿宋" w:eastAsia="仿宋" w:cs="Arial Narrow"/>
          <w:bCs/>
          <w:highlight w:val="none"/>
          <w:lang w:val="en-US" w:eastAsia="zh-CN"/>
        </w:rPr>
        <w:t>为优</w:t>
      </w:r>
      <w:r>
        <w:rPr>
          <w:rFonts w:hint="eastAsia" w:ascii="仿宋" w:hAnsi="仿宋" w:eastAsia="仿宋" w:cs="Arial Narrow"/>
          <w:bCs/>
          <w:highlight w:val="none"/>
        </w:rPr>
        <w:t>。</w:t>
      </w:r>
    </w:p>
    <w:p w14:paraId="4A4D4809">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90" w:name="_Toc26478"/>
      <w:r>
        <w:rPr>
          <w:rFonts w:hint="eastAsia" w:ascii="仿宋" w:hAnsi="仿宋" w:eastAsia="仿宋" w:cs="Arial Narrow"/>
          <w:sz w:val="28"/>
          <w:szCs w:val="28"/>
          <w:highlight w:val="none"/>
          <w:lang w:val="en-US" w:eastAsia="zh-CN"/>
        </w:rPr>
        <w:t>（四</w:t>
      </w:r>
      <w:bookmarkEnd w:id="84"/>
      <w:bookmarkEnd w:id="85"/>
      <w:bookmarkEnd w:id="86"/>
      <w:bookmarkEnd w:id="87"/>
      <w:r>
        <w:rPr>
          <w:rFonts w:hint="eastAsia" w:ascii="仿宋" w:hAnsi="仿宋" w:eastAsia="仿宋" w:cs="Arial Narrow"/>
          <w:sz w:val="28"/>
          <w:szCs w:val="28"/>
          <w:highlight w:val="none"/>
          <w:lang w:val="en-US" w:eastAsia="zh-CN"/>
        </w:rPr>
        <w:t>）主要经验及做法、存在的问题和建议</w:t>
      </w:r>
      <w:bookmarkEnd w:id="88"/>
      <w:bookmarkEnd w:id="89"/>
      <w:bookmarkEnd w:id="90"/>
    </w:p>
    <w:p w14:paraId="4F5277B4">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lang w:val="en-US" w:eastAsia="zh-CN"/>
        </w:rPr>
      </w:pPr>
      <w:bookmarkStart w:id="91" w:name="_Toc27928"/>
      <w:bookmarkStart w:id="92" w:name="_Toc406668055"/>
      <w:bookmarkStart w:id="93" w:name="_Toc406666381"/>
      <w:bookmarkStart w:id="94" w:name="_Toc14165740"/>
      <w:bookmarkStart w:id="95" w:name="_Toc387957830"/>
      <w:bookmarkStart w:id="96" w:name="_Toc361304706"/>
      <w:bookmarkStart w:id="97" w:name="_Toc28605"/>
      <w:r>
        <w:rPr>
          <w:rFonts w:hint="eastAsia" w:ascii="仿宋" w:hAnsi="仿宋" w:eastAsia="仿宋" w:cs="Arial Narrow"/>
          <w:sz w:val="24"/>
          <w:highlight w:val="none"/>
          <w:lang w:val="en-US" w:eastAsia="zh-CN"/>
        </w:rPr>
        <w:t>1、主要经验及做法</w:t>
      </w:r>
      <w:bookmarkEnd w:id="91"/>
      <w:bookmarkEnd w:id="92"/>
      <w:bookmarkEnd w:id="93"/>
      <w:bookmarkEnd w:id="94"/>
      <w:bookmarkEnd w:id="95"/>
      <w:bookmarkEnd w:id="96"/>
      <w:bookmarkEnd w:id="97"/>
    </w:p>
    <w:p w14:paraId="02718A62">
      <w:pPr>
        <w:snapToGrid w:val="0"/>
        <w:ind w:firstLine="480"/>
        <w:rPr>
          <w:rFonts w:hint="eastAsia" w:ascii="仿宋" w:hAnsi="仿宋" w:eastAsia="仿宋" w:cs="Arial Narrow"/>
          <w:highlight w:val="none"/>
        </w:rPr>
      </w:pPr>
      <w:r>
        <w:rPr>
          <w:rFonts w:hint="eastAsia" w:ascii="仿宋" w:hAnsi="仿宋" w:eastAsia="仿宋" w:cs="Arial Narrow"/>
          <w:highlight w:val="none"/>
        </w:rPr>
        <w:t>通过绩效评价，发现项目实施中的一些经验及做法值得关注与推广，具体如下：</w:t>
      </w:r>
    </w:p>
    <w:p w14:paraId="7113BC2D">
      <w:pPr>
        <w:snapToGrid w:val="0"/>
        <w:ind w:firstLine="480"/>
        <w:rPr>
          <w:rFonts w:hint="eastAsia"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1</w:t>
      </w:r>
      <w:r>
        <w:rPr>
          <w:rFonts w:hint="eastAsia" w:ascii="仿宋" w:hAnsi="仿宋" w:eastAsia="仿宋" w:cs="Arial Narrow"/>
          <w:highlight w:val="none"/>
          <w:lang w:eastAsia="zh-CN"/>
        </w:rPr>
        <w:t>）</w:t>
      </w:r>
      <w:r>
        <w:rPr>
          <w:rFonts w:hint="eastAsia" w:ascii="仿宋" w:hAnsi="仿宋" w:eastAsia="仿宋" w:cs="Arial Narrow"/>
          <w:highlight w:val="none"/>
        </w:rPr>
        <w:t>深化行政审批综合改革，推进政府职能进一步转变。</w:t>
      </w:r>
    </w:p>
    <w:p w14:paraId="5895DCF3">
      <w:pPr>
        <w:snapToGrid w:val="0"/>
        <w:ind w:firstLine="480"/>
        <w:rPr>
          <w:rFonts w:hint="eastAsia"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2</w:t>
      </w:r>
      <w:r>
        <w:rPr>
          <w:rFonts w:hint="eastAsia" w:ascii="仿宋" w:hAnsi="仿宋" w:eastAsia="仿宋" w:cs="Arial Narrow"/>
          <w:highlight w:val="none"/>
          <w:lang w:eastAsia="zh-CN"/>
        </w:rPr>
        <w:t>）</w:t>
      </w:r>
      <w:r>
        <w:rPr>
          <w:rFonts w:hint="eastAsia" w:ascii="仿宋" w:hAnsi="仿宋" w:eastAsia="仿宋" w:cs="Arial Narrow"/>
          <w:highlight w:val="none"/>
        </w:rPr>
        <w:t>创新政务服务运行模式，营造高效便捷政务服务环境。</w:t>
      </w:r>
    </w:p>
    <w:p w14:paraId="1BEDCB57">
      <w:pPr>
        <w:snapToGrid w:val="0"/>
        <w:ind w:firstLine="480"/>
        <w:rPr>
          <w:rFonts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3</w:t>
      </w:r>
      <w:r>
        <w:rPr>
          <w:rFonts w:hint="eastAsia" w:ascii="仿宋" w:hAnsi="仿宋" w:eastAsia="仿宋" w:cs="Arial Narrow"/>
          <w:highlight w:val="none"/>
          <w:lang w:eastAsia="zh-CN"/>
        </w:rPr>
        <w:t>）</w:t>
      </w:r>
      <w:r>
        <w:rPr>
          <w:rFonts w:hint="eastAsia" w:ascii="仿宋" w:hAnsi="仿宋" w:eastAsia="仿宋" w:cs="Arial Narrow"/>
          <w:highlight w:val="none"/>
        </w:rPr>
        <w:t>坚持统筹兼顾，有序推进各项工作科学发展。。</w:t>
      </w:r>
    </w:p>
    <w:p w14:paraId="3D838C1B">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default" w:ascii="仿宋" w:hAnsi="仿宋" w:eastAsia="仿宋" w:cs="Arial Narrow"/>
          <w:sz w:val="24"/>
          <w:highlight w:val="none"/>
          <w:lang w:val="en-US" w:eastAsia="zh-CN"/>
        </w:rPr>
      </w:pPr>
      <w:bookmarkStart w:id="98" w:name="_Toc406668056"/>
      <w:bookmarkStart w:id="99" w:name="_Toc406666382"/>
      <w:bookmarkStart w:id="100" w:name="_Toc23359"/>
      <w:bookmarkStart w:id="101" w:name="_Toc14165741"/>
      <w:bookmarkStart w:id="102" w:name="_Toc16696"/>
      <w:bookmarkStart w:id="103" w:name="_Toc387957833"/>
      <w:r>
        <w:rPr>
          <w:rFonts w:hint="eastAsia" w:ascii="仿宋" w:hAnsi="仿宋" w:eastAsia="仿宋" w:cs="Arial Narrow"/>
          <w:sz w:val="24"/>
          <w:highlight w:val="none"/>
          <w:lang w:val="en-US" w:eastAsia="zh-CN"/>
        </w:rPr>
        <w:t>2、存在的问题</w:t>
      </w:r>
      <w:bookmarkEnd w:id="98"/>
      <w:bookmarkEnd w:id="99"/>
      <w:bookmarkEnd w:id="100"/>
      <w:bookmarkEnd w:id="101"/>
      <w:bookmarkEnd w:id="102"/>
    </w:p>
    <w:p w14:paraId="378B2EC1">
      <w:pPr>
        <w:snapToGrid w:val="0"/>
        <w:ind w:firstLine="480"/>
        <w:rPr>
          <w:rFonts w:ascii="仿宋" w:hAnsi="仿宋" w:eastAsia="仿宋" w:cs="Arial Narrow"/>
          <w:highlight w:val="none"/>
        </w:rPr>
      </w:pPr>
      <w:r>
        <w:rPr>
          <w:rFonts w:hint="eastAsia" w:ascii="仿宋" w:hAnsi="仿宋" w:eastAsia="仿宋" w:cs="Arial Narrow"/>
          <w:highlight w:val="none"/>
          <w:lang w:val="en-US" w:eastAsia="zh-CN"/>
        </w:rPr>
        <w:t>未编制</w:t>
      </w:r>
      <w:r>
        <w:rPr>
          <w:rFonts w:hint="eastAsia" w:ascii="仿宋" w:hAnsi="仿宋" w:eastAsia="仿宋" w:cs="Arial Narrow"/>
          <w:bCs/>
          <w:highlight w:val="none"/>
        </w:rPr>
        <w:t>“行政审批局信息化项目一期”</w:t>
      </w:r>
      <w:r>
        <w:rPr>
          <w:rFonts w:hint="eastAsia" w:ascii="仿宋" w:hAnsi="仿宋" w:eastAsia="仿宋" w:cs="Arial Narrow"/>
          <w:bCs/>
          <w:highlight w:val="none"/>
          <w:lang w:val="en-US" w:eastAsia="zh-CN"/>
        </w:rPr>
        <w:t>项目申报表（含绩效目标），该项目支出未纳入2018年开发区（汉南区）财政局关于批复行政审批局2018年预算的函</w:t>
      </w:r>
      <w:r>
        <w:rPr>
          <w:rFonts w:hint="eastAsia" w:ascii="仿宋" w:hAnsi="仿宋" w:eastAsia="仿宋" w:cs="Arial Narrow"/>
          <w:highlight w:val="none"/>
        </w:rPr>
        <w:t>。</w:t>
      </w:r>
    </w:p>
    <w:p w14:paraId="32468F8B">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lang w:val="en-US" w:eastAsia="zh-CN"/>
        </w:rPr>
      </w:pPr>
      <w:bookmarkStart w:id="104" w:name="_Toc28128"/>
      <w:bookmarkStart w:id="105" w:name="_Toc32665"/>
      <w:bookmarkStart w:id="106" w:name="_Toc14165742"/>
      <w:r>
        <w:rPr>
          <w:rFonts w:hint="eastAsia" w:ascii="仿宋" w:hAnsi="仿宋" w:eastAsia="仿宋" w:cs="Arial Narrow"/>
          <w:sz w:val="24"/>
          <w:highlight w:val="none"/>
          <w:lang w:val="en-US" w:eastAsia="zh-CN"/>
        </w:rPr>
        <w:t>3、建议</w:t>
      </w:r>
      <w:bookmarkEnd w:id="103"/>
      <w:bookmarkEnd w:id="104"/>
      <w:bookmarkEnd w:id="105"/>
      <w:bookmarkEnd w:id="106"/>
      <w:bookmarkStart w:id="107" w:name="_Toc387957834"/>
    </w:p>
    <w:p w14:paraId="0CBDFA36">
      <w:pPr>
        <w:snapToGrid w:val="0"/>
        <w:ind w:firstLine="480"/>
        <w:rPr>
          <w:rFonts w:ascii="仿宋" w:hAnsi="仿宋" w:eastAsia="仿宋" w:cs="Arial Narrow"/>
          <w:highlight w:val="none"/>
        </w:rPr>
      </w:pPr>
      <w:r>
        <w:rPr>
          <w:rFonts w:hint="eastAsia" w:ascii="仿宋" w:hAnsi="仿宋" w:eastAsia="仿宋" w:cs="Arial Narrow"/>
          <w:highlight w:val="none"/>
          <w:lang w:val="en-US" w:eastAsia="zh-CN"/>
        </w:rPr>
        <w:t>建议每年末对下一年预计执行的项目编制项目目标申报表，明确项目资金和各量化指标</w:t>
      </w:r>
      <w:r>
        <w:rPr>
          <w:rFonts w:hint="eastAsia" w:ascii="仿宋" w:hAnsi="仿宋" w:eastAsia="仿宋" w:cs="Arial Narrow"/>
          <w:highlight w:val="none"/>
        </w:rPr>
        <w:t>。</w:t>
      </w:r>
    </w:p>
    <w:p w14:paraId="2686E822">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108" w:name="_Toc9981"/>
      <w:bookmarkStart w:id="109" w:name="_Toc16725"/>
      <w:bookmarkStart w:id="110" w:name="_Toc14165743"/>
      <w:r>
        <w:rPr>
          <w:rFonts w:hint="eastAsia" w:ascii="仿宋" w:hAnsi="仿宋" w:eastAsia="仿宋" w:cs="Arial Narrow"/>
          <w:sz w:val="28"/>
          <w:szCs w:val="28"/>
          <w:highlight w:val="none"/>
          <w:lang w:val="en-US" w:eastAsia="zh-CN"/>
        </w:rPr>
        <w:t>（五）其他需说明的问题</w:t>
      </w:r>
      <w:bookmarkEnd w:id="108"/>
      <w:bookmarkEnd w:id="109"/>
      <w:bookmarkEnd w:id="110"/>
    </w:p>
    <w:bookmarkEnd w:id="107"/>
    <w:p w14:paraId="1BB05A6B">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111" w:name="_Toc14165744"/>
      <w:bookmarkStart w:id="112" w:name="_Toc1397"/>
      <w:bookmarkStart w:id="113" w:name="_Toc387957836"/>
      <w:bookmarkStart w:id="114" w:name="_Toc5673"/>
      <w:bookmarkStart w:id="115" w:name="_Toc406666387"/>
      <w:bookmarkStart w:id="116" w:name="_Toc406668061"/>
      <w:r>
        <w:rPr>
          <w:rFonts w:hint="eastAsia" w:ascii="仿宋" w:hAnsi="仿宋" w:eastAsia="仿宋" w:cs="Arial Narrow"/>
          <w:sz w:val="24"/>
          <w:highlight w:val="none"/>
          <w:lang w:val="en-US" w:eastAsia="zh-CN"/>
        </w:rPr>
        <w:t>1、</w:t>
      </w:r>
      <w:r>
        <w:rPr>
          <w:rFonts w:hint="eastAsia" w:ascii="仿宋" w:hAnsi="仿宋" w:eastAsia="仿宋" w:cs="Arial Narrow"/>
          <w:sz w:val="24"/>
          <w:highlight w:val="none"/>
        </w:rPr>
        <w:t>关于评价责任的说明</w:t>
      </w:r>
      <w:bookmarkEnd w:id="111"/>
      <w:bookmarkEnd w:id="112"/>
    </w:p>
    <w:p w14:paraId="45581FD8">
      <w:pPr>
        <w:snapToGrid w:val="0"/>
        <w:ind w:firstLine="480"/>
        <w:rPr>
          <w:rFonts w:ascii="仿宋" w:hAnsi="仿宋" w:eastAsia="仿宋" w:cs="Arial Narrow"/>
          <w:highlight w:val="none"/>
        </w:rPr>
      </w:pPr>
      <w:r>
        <w:rPr>
          <w:rFonts w:hint="eastAsia" w:ascii="仿宋" w:hAnsi="仿宋" w:eastAsia="仿宋" w:cs="Arial Narrow"/>
          <w:highlight w:val="none"/>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14:paraId="6DDEBA44">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117" w:name="_Toc14165745"/>
      <w:bookmarkStart w:id="118" w:name="_Toc7182"/>
      <w:r>
        <w:rPr>
          <w:rFonts w:hint="eastAsia" w:ascii="仿宋" w:hAnsi="仿宋" w:eastAsia="仿宋" w:cs="Arial Narrow"/>
          <w:sz w:val="24"/>
          <w:highlight w:val="none"/>
          <w:lang w:val="en-US" w:eastAsia="zh-CN"/>
        </w:rPr>
        <w:t>2、</w:t>
      </w:r>
      <w:r>
        <w:rPr>
          <w:rFonts w:hint="eastAsia" w:ascii="仿宋" w:hAnsi="仿宋" w:eastAsia="仿宋" w:cs="Arial Narrow"/>
          <w:sz w:val="24"/>
          <w:highlight w:val="none"/>
        </w:rPr>
        <w:t>关于本项目评价中存在的局限性的说明</w:t>
      </w:r>
      <w:bookmarkEnd w:id="117"/>
      <w:bookmarkEnd w:id="118"/>
    </w:p>
    <w:p w14:paraId="292873D7">
      <w:pPr>
        <w:snapToGrid w:val="0"/>
        <w:ind w:firstLine="480"/>
        <w:rPr>
          <w:rFonts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1</w:t>
      </w:r>
      <w:r>
        <w:rPr>
          <w:rFonts w:hint="eastAsia" w:ascii="仿宋" w:hAnsi="仿宋" w:eastAsia="仿宋" w:cs="Arial Narrow"/>
          <w:highlight w:val="none"/>
          <w:lang w:eastAsia="zh-CN"/>
        </w:rPr>
        <w:t>）</w:t>
      </w:r>
      <w:r>
        <w:rPr>
          <w:rFonts w:hint="eastAsia" w:ascii="仿宋" w:hAnsi="仿宋" w:eastAsia="仿宋" w:cs="Arial Narrow"/>
          <w:highlight w:val="none"/>
        </w:rPr>
        <w:t>评价结论是湖北正大会计师事务有限责任公司出具的，受具体参加本次项目的评价人员的水平和能力的限制。鉴于这种评价工作存在资料的有限性和调查、分析、判断的局限性，评价结论无法考虑影响资金使用的所有因素，评价结论存在一定的局限性。</w:t>
      </w:r>
    </w:p>
    <w:p w14:paraId="07BF7979">
      <w:pPr>
        <w:snapToGrid w:val="0"/>
        <w:ind w:firstLine="480"/>
        <w:rPr>
          <w:rFonts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2</w:t>
      </w:r>
      <w:r>
        <w:rPr>
          <w:rFonts w:hint="eastAsia" w:ascii="仿宋" w:hAnsi="仿宋" w:eastAsia="仿宋" w:cs="Arial Narrow"/>
          <w:highlight w:val="none"/>
          <w:lang w:eastAsia="zh-CN"/>
        </w:rPr>
        <w:t>）</w:t>
      </w:r>
      <w:r>
        <w:rPr>
          <w:rFonts w:hint="eastAsia" w:ascii="仿宋" w:hAnsi="仿宋" w:eastAsia="仿宋" w:cs="Arial Narrow"/>
          <w:highlight w:val="none"/>
        </w:rPr>
        <w:t>本项目是</w:t>
      </w:r>
      <w:r>
        <w:rPr>
          <w:rFonts w:hint="eastAsia" w:ascii="仿宋" w:hAnsi="仿宋" w:eastAsia="仿宋" w:cs="Arial Narrow"/>
          <w:highlight w:val="none"/>
          <w:lang w:val="en-US" w:eastAsia="zh-CN"/>
        </w:rPr>
        <w:t>非</w:t>
      </w:r>
      <w:r>
        <w:rPr>
          <w:rFonts w:hint="eastAsia" w:ascii="仿宋" w:hAnsi="仿宋" w:eastAsia="仿宋" w:cs="Arial Narrow"/>
          <w:highlight w:val="none"/>
        </w:rPr>
        <w:t>经常性的资金使用项目，而且专业性较强。受具体参加本次项目的评价人员的专业能力的影响，对专业指标设定的全面性可能存在一定的局限性。</w:t>
      </w:r>
    </w:p>
    <w:p w14:paraId="55840FF8">
      <w:pPr>
        <w:snapToGrid w:val="0"/>
        <w:ind w:firstLine="480"/>
        <w:rPr>
          <w:rFonts w:ascii="仿宋" w:hAnsi="仿宋" w:eastAsia="仿宋" w:cs="Arial Narrow"/>
          <w:highlight w:val="none"/>
        </w:rPr>
      </w:pPr>
    </w:p>
    <w:p w14:paraId="7676D7EE">
      <w:pPr>
        <w:snapToGrid w:val="0"/>
        <w:ind w:firstLine="482"/>
        <w:rPr>
          <w:rFonts w:ascii="仿宋" w:hAnsi="仿宋" w:eastAsia="仿宋" w:cs="Arial Narrow"/>
          <w:b/>
          <w:bCs/>
          <w:highlight w:val="none"/>
        </w:rPr>
      </w:pPr>
    </w:p>
    <w:p w14:paraId="3C2ABE2D">
      <w:pPr>
        <w:snapToGrid w:val="0"/>
        <w:ind w:firstLine="0" w:firstLineChars="0"/>
        <w:rPr>
          <w:rFonts w:ascii="仿宋" w:hAnsi="仿宋" w:eastAsia="仿宋" w:cs="Arial Narrow"/>
          <w:highlight w:val="none"/>
        </w:rPr>
      </w:pPr>
      <w:r>
        <w:rPr>
          <w:rFonts w:ascii="仿宋" w:hAnsi="仿宋" w:eastAsia="仿宋" w:cs="Arial Narrow"/>
          <w:b/>
          <w:bCs/>
          <w:highlight w:val="none"/>
        </w:rPr>
        <w:t>附件</w:t>
      </w:r>
      <w:bookmarkEnd w:id="113"/>
      <w:r>
        <w:rPr>
          <w:rFonts w:ascii="仿宋" w:hAnsi="仿宋" w:eastAsia="仿宋" w:cs="Arial Narrow"/>
          <w:b/>
          <w:bCs/>
          <w:highlight w:val="none"/>
        </w:rPr>
        <w:t>：</w:t>
      </w:r>
      <w:bookmarkEnd w:id="114"/>
      <w:bookmarkEnd w:id="115"/>
      <w:bookmarkEnd w:id="116"/>
    </w:p>
    <w:p w14:paraId="722CD128">
      <w:pPr>
        <w:snapToGrid w:val="0"/>
        <w:ind w:firstLine="480"/>
        <w:rPr>
          <w:rFonts w:ascii="仿宋" w:hAnsi="仿宋" w:eastAsia="仿宋" w:cs="Arial Narrow"/>
          <w:highlight w:val="none"/>
        </w:rPr>
      </w:pPr>
      <w:r>
        <w:rPr>
          <w:rFonts w:ascii="仿宋" w:hAnsi="仿宋" w:eastAsia="仿宋" w:cs="Arial Narrow"/>
          <w:highlight w:val="none"/>
        </w:rPr>
        <w:t>1：项目绩效评价评分表</w:t>
      </w:r>
      <w:r>
        <w:rPr>
          <w:rFonts w:hint="eastAsia" w:ascii="仿宋" w:hAnsi="仿宋" w:eastAsia="仿宋" w:cs="Arial Narrow"/>
          <w:highlight w:val="none"/>
        </w:rPr>
        <w:t>及说明</w:t>
      </w:r>
    </w:p>
    <w:p w14:paraId="11DC9AE1">
      <w:pPr>
        <w:snapToGrid w:val="0"/>
        <w:ind w:firstLine="480"/>
        <w:rPr>
          <w:rFonts w:ascii="仿宋" w:hAnsi="仿宋" w:eastAsia="仿宋" w:cs="Arial Narrow"/>
          <w:highlight w:val="none"/>
        </w:rPr>
      </w:pPr>
      <w:r>
        <w:rPr>
          <w:rFonts w:hint="eastAsia" w:ascii="仿宋" w:hAnsi="仿宋" w:eastAsia="仿宋" w:cs="Arial Narrow"/>
          <w:highlight w:val="none"/>
        </w:rPr>
        <w:t>2：评价机构营业执照（复印件）</w:t>
      </w:r>
    </w:p>
    <w:p w14:paraId="2B314323">
      <w:pPr>
        <w:snapToGrid w:val="0"/>
        <w:ind w:firstLine="480"/>
        <w:rPr>
          <w:rFonts w:ascii="仿宋" w:hAnsi="仿宋" w:eastAsia="仿宋" w:cs="Arial Narrow"/>
          <w:highlight w:val="none"/>
        </w:rPr>
      </w:pPr>
      <w:r>
        <w:rPr>
          <w:rFonts w:hint="eastAsia" w:ascii="仿宋" w:hAnsi="仿宋" w:eastAsia="仿宋" w:cs="Arial Narrow"/>
          <w:highlight w:val="none"/>
        </w:rPr>
        <w:t>3：相关评价人员执业证明文件（复印件）</w:t>
      </w:r>
    </w:p>
    <w:p w14:paraId="24778EDD">
      <w:pPr>
        <w:snapToGrid w:val="0"/>
        <w:ind w:firstLine="480"/>
        <w:rPr>
          <w:rFonts w:ascii="仿宋" w:hAnsi="仿宋" w:eastAsia="仿宋" w:cs="Arial Narrow"/>
          <w:highlight w:val="none"/>
        </w:rPr>
      </w:pPr>
    </w:p>
    <w:p w14:paraId="28C791C7">
      <w:pPr>
        <w:snapToGrid w:val="0"/>
        <w:ind w:firstLine="480"/>
        <w:jc w:val="right"/>
        <w:rPr>
          <w:rFonts w:ascii="仿宋" w:hAnsi="仿宋" w:eastAsia="仿宋" w:cs="Arial Narrow"/>
          <w:highlight w:val="none"/>
        </w:rPr>
      </w:pPr>
      <w:r>
        <w:rPr>
          <w:rFonts w:hint="eastAsia" w:ascii="仿宋" w:hAnsi="仿宋" w:eastAsia="仿宋" w:cs="Arial Narrow"/>
          <w:highlight w:val="none"/>
        </w:rPr>
        <w:t>湖北正大会计师事务有限责任公司</w:t>
      </w:r>
    </w:p>
    <w:p w14:paraId="3DAC571B">
      <w:pPr>
        <w:snapToGrid w:val="0"/>
        <w:ind w:firstLine="480"/>
        <w:jc w:val="right"/>
        <w:rPr>
          <w:rFonts w:ascii="仿宋" w:hAnsi="仿宋" w:eastAsia="仿宋" w:cs="Arial Narrow"/>
          <w:highlight w:val="none"/>
        </w:rPr>
      </w:pPr>
      <w:r>
        <w:rPr>
          <w:rFonts w:hint="eastAsia" w:ascii="仿宋" w:hAnsi="仿宋" w:eastAsia="仿宋" w:cs="Arial Narrow"/>
          <w:highlight w:val="none"/>
        </w:rPr>
        <w:t>2019年7月30日</w:t>
      </w:r>
    </w:p>
    <w:sectPr>
      <w:headerReference r:id="rId11" w:type="default"/>
      <w:footerReference r:id="rId12" w:type="default"/>
      <w:pgSz w:w="11906" w:h="16838"/>
      <w:pgMar w:top="1440" w:right="1406" w:bottom="1089" w:left="1800" w:header="1134" w:footer="1134"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C319C">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8BC87">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A2701">
    <w:pPr>
      <w:ind w:firstLine="480"/>
    </w:pPr>
    <w:r>
      <w:c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F59F3">
    <w:pPr>
      <w:pStyle w:val="13"/>
      <w:framePr w:wrap="around" w:vAnchor="text" w:hAnchor="margin" w:xAlign="center" w:y="1"/>
      <w:ind w:firstLine="210" w:firstLineChars="100"/>
      <w:jc w:val="center"/>
      <w:rPr>
        <w:rStyle w:val="25"/>
        <w:rFonts w:ascii="Arial Narrow" w:hAnsi="Arial Narrow" w:eastAsia="宋体"/>
        <w:sz w:val="21"/>
        <w:szCs w:val="21"/>
      </w:rPr>
    </w:pPr>
    <w:r>
      <w:rPr>
        <w:rFonts w:ascii="Arial Narrow" w:hAnsi="Arial Narrow"/>
        <w:sz w:val="21"/>
        <w:szCs w:val="21"/>
      </w:rPr>
      <w:fldChar w:fldCharType="begin"/>
    </w:r>
    <w:r>
      <w:rPr>
        <w:rFonts w:ascii="Arial Narrow" w:hAnsi="Arial Narrow"/>
        <w:sz w:val="21"/>
        <w:szCs w:val="21"/>
      </w:rPr>
      <w:instrText xml:space="preserve"> PAGE </w:instrText>
    </w:r>
    <w:r>
      <w:rPr>
        <w:rFonts w:ascii="Arial Narrow" w:hAnsi="Arial Narrow"/>
        <w:sz w:val="21"/>
        <w:szCs w:val="21"/>
      </w:rPr>
      <w:fldChar w:fldCharType="separate"/>
    </w:r>
    <w:r>
      <w:rPr>
        <w:rFonts w:ascii="Arial Narrow" w:hAnsi="Arial Narrow"/>
        <w:sz w:val="21"/>
        <w:szCs w:val="21"/>
      </w:rPr>
      <w:t>9</w:t>
    </w:r>
    <w:r>
      <w:rPr>
        <w:rFonts w:ascii="Arial Narrow" w:hAnsi="Arial Narrow"/>
        <w:sz w:val="21"/>
        <w:szCs w:val="21"/>
      </w:rPr>
      <w:fldChar w:fldCharType="end"/>
    </w:r>
  </w:p>
  <w:p w14:paraId="343E3B12">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82D08">
    <w:pPr>
      <w:pStyle w:val="14"/>
      <w:pBdr>
        <w:bottom w:val="none" w:color="auto" w:sz="0" w:space="0"/>
      </w:pBdr>
      <w:ind w:firstLine="36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DDE63">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4FFFD">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F9F23">
    <w:pPr>
      <w:pStyle w:val="14"/>
      <w:pBdr>
        <w:bottom w:val="none" w:color="auto" w:sz="0" w:space="0"/>
      </w:pBdr>
      <w:ind w:firstLine="0" w:firstLineChars="0"/>
      <w:jc w:val="both"/>
    </w:pPr>
    <w:r>
      <w:rPr>
        <w:rFonts w:ascii="Calibri" w:hAnsi="Calibri" w:eastAsia="黑体" w:cs="黑体"/>
        <w:b/>
        <w:sz w:val="14"/>
        <w:szCs w:val="14"/>
      </w:rPr>
      <w:pict>
        <v:rect id="文本框 26" o:spid="_x0000_s4097" o:spt="1" style="position:absolute;left:0pt;margin-left:359.05pt;margin-top:39.95pt;height:74.45pt;width:150.15pt;mso-position-horizontal-relative:page;mso-position-vertical-relative:page;z-index:251659264;mso-width-relative:page;mso-height-relative:page;" filled="f" stroked="f" coordsize="21600,21600">
          <v:path/>
          <v:fill on="f" focussize="0,0"/>
          <v:stroke on="f"/>
          <v:imagedata o:title=""/>
          <o:lock v:ext="edit"/>
          <v:textbox>
            <w:txbxContent>
              <w:p w14:paraId="5257104A">
                <w:pPr>
                  <w:ind w:firstLine="280"/>
                  <w:rPr>
                    <w:rFonts w:ascii="Arial Narrow" w:hAnsi="Arial Narrow" w:eastAsia="黑体" w:cs="Arial Narrow"/>
                    <w:sz w:val="14"/>
                    <w:szCs w:val="14"/>
                  </w:rPr>
                </w:pPr>
              </w:p>
            </w:txbxContent>
          </v:textbox>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204"/>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2A69"/>
    <w:rsid w:val="000107B2"/>
    <w:rsid w:val="00011E0B"/>
    <w:rsid w:val="00012B09"/>
    <w:rsid w:val="00012B47"/>
    <w:rsid w:val="000153F5"/>
    <w:rsid w:val="00016011"/>
    <w:rsid w:val="000225A4"/>
    <w:rsid w:val="000231B2"/>
    <w:rsid w:val="000235EA"/>
    <w:rsid w:val="0002369C"/>
    <w:rsid w:val="00027617"/>
    <w:rsid w:val="00030459"/>
    <w:rsid w:val="00034CB1"/>
    <w:rsid w:val="00037160"/>
    <w:rsid w:val="00037FDA"/>
    <w:rsid w:val="00041931"/>
    <w:rsid w:val="000435FD"/>
    <w:rsid w:val="00051092"/>
    <w:rsid w:val="0005129C"/>
    <w:rsid w:val="0005263F"/>
    <w:rsid w:val="000578E1"/>
    <w:rsid w:val="00057BBE"/>
    <w:rsid w:val="00060B99"/>
    <w:rsid w:val="000647BB"/>
    <w:rsid w:val="00065443"/>
    <w:rsid w:val="00070099"/>
    <w:rsid w:val="0007044D"/>
    <w:rsid w:val="00071B04"/>
    <w:rsid w:val="00071C74"/>
    <w:rsid w:val="00082AA1"/>
    <w:rsid w:val="000839C4"/>
    <w:rsid w:val="00083F0C"/>
    <w:rsid w:val="000850E9"/>
    <w:rsid w:val="0008556C"/>
    <w:rsid w:val="00086B6B"/>
    <w:rsid w:val="00092652"/>
    <w:rsid w:val="00092834"/>
    <w:rsid w:val="00095860"/>
    <w:rsid w:val="00097F61"/>
    <w:rsid w:val="000A2B58"/>
    <w:rsid w:val="000A38CF"/>
    <w:rsid w:val="000B0707"/>
    <w:rsid w:val="000B351B"/>
    <w:rsid w:val="000C0AC8"/>
    <w:rsid w:val="000C2C67"/>
    <w:rsid w:val="000C4653"/>
    <w:rsid w:val="000C4C40"/>
    <w:rsid w:val="000C7932"/>
    <w:rsid w:val="000C793B"/>
    <w:rsid w:val="000D124B"/>
    <w:rsid w:val="000D1F28"/>
    <w:rsid w:val="000D264B"/>
    <w:rsid w:val="000D32E5"/>
    <w:rsid w:val="000D34A6"/>
    <w:rsid w:val="000D353C"/>
    <w:rsid w:val="000D37BE"/>
    <w:rsid w:val="000D50DC"/>
    <w:rsid w:val="000D5CCA"/>
    <w:rsid w:val="000D7608"/>
    <w:rsid w:val="000E16BD"/>
    <w:rsid w:val="000E1A4F"/>
    <w:rsid w:val="000E3E46"/>
    <w:rsid w:val="000E5026"/>
    <w:rsid w:val="000E5B9F"/>
    <w:rsid w:val="000F1F5E"/>
    <w:rsid w:val="000F2AE1"/>
    <w:rsid w:val="000F482F"/>
    <w:rsid w:val="00101AA1"/>
    <w:rsid w:val="0010488B"/>
    <w:rsid w:val="00107C77"/>
    <w:rsid w:val="00107E2F"/>
    <w:rsid w:val="00115891"/>
    <w:rsid w:val="00117519"/>
    <w:rsid w:val="001247D7"/>
    <w:rsid w:val="001315B8"/>
    <w:rsid w:val="001346FF"/>
    <w:rsid w:val="00134F95"/>
    <w:rsid w:val="001373D3"/>
    <w:rsid w:val="001405F7"/>
    <w:rsid w:val="00142BA0"/>
    <w:rsid w:val="00143DA4"/>
    <w:rsid w:val="001441F8"/>
    <w:rsid w:val="00144210"/>
    <w:rsid w:val="0014542F"/>
    <w:rsid w:val="00146219"/>
    <w:rsid w:val="00147E31"/>
    <w:rsid w:val="00152FB6"/>
    <w:rsid w:val="001542F3"/>
    <w:rsid w:val="001548CF"/>
    <w:rsid w:val="00156601"/>
    <w:rsid w:val="00157614"/>
    <w:rsid w:val="0016074D"/>
    <w:rsid w:val="00164900"/>
    <w:rsid w:val="001676D8"/>
    <w:rsid w:val="00172A27"/>
    <w:rsid w:val="00173694"/>
    <w:rsid w:val="0017597C"/>
    <w:rsid w:val="0018053D"/>
    <w:rsid w:val="00180C97"/>
    <w:rsid w:val="00180E5E"/>
    <w:rsid w:val="00182EEA"/>
    <w:rsid w:val="0018363A"/>
    <w:rsid w:val="001871E1"/>
    <w:rsid w:val="001907A0"/>
    <w:rsid w:val="001907BC"/>
    <w:rsid w:val="0019172C"/>
    <w:rsid w:val="00191C51"/>
    <w:rsid w:val="00191FE0"/>
    <w:rsid w:val="00197977"/>
    <w:rsid w:val="001A02C6"/>
    <w:rsid w:val="001A4611"/>
    <w:rsid w:val="001A6E1D"/>
    <w:rsid w:val="001A7035"/>
    <w:rsid w:val="001A71D3"/>
    <w:rsid w:val="001A7BCC"/>
    <w:rsid w:val="001B156C"/>
    <w:rsid w:val="001B206F"/>
    <w:rsid w:val="001B2C2B"/>
    <w:rsid w:val="001B564E"/>
    <w:rsid w:val="001C1AB0"/>
    <w:rsid w:val="001C4A11"/>
    <w:rsid w:val="001C6498"/>
    <w:rsid w:val="001C7FC5"/>
    <w:rsid w:val="001D2B8D"/>
    <w:rsid w:val="001D4085"/>
    <w:rsid w:val="001D50A9"/>
    <w:rsid w:val="001E1192"/>
    <w:rsid w:val="001E3766"/>
    <w:rsid w:val="001E4DD7"/>
    <w:rsid w:val="001E57AC"/>
    <w:rsid w:val="001E63EB"/>
    <w:rsid w:val="001E73FF"/>
    <w:rsid w:val="001F0DE7"/>
    <w:rsid w:val="001F3D0C"/>
    <w:rsid w:val="001F50AE"/>
    <w:rsid w:val="00203E55"/>
    <w:rsid w:val="00205C9D"/>
    <w:rsid w:val="002060DB"/>
    <w:rsid w:val="00206B01"/>
    <w:rsid w:val="00206B46"/>
    <w:rsid w:val="0020706B"/>
    <w:rsid w:val="00214270"/>
    <w:rsid w:val="00214BA4"/>
    <w:rsid w:val="00217BE1"/>
    <w:rsid w:val="00220AE1"/>
    <w:rsid w:val="00226CA1"/>
    <w:rsid w:val="00227F82"/>
    <w:rsid w:val="00232250"/>
    <w:rsid w:val="002331CD"/>
    <w:rsid w:val="00242395"/>
    <w:rsid w:val="00242589"/>
    <w:rsid w:val="00243172"/>
    <w:rsid w:val="00243D70"/>
    <w:rsid w:val="00244813"/>
    <w:rsid w:val="0024753B"/>
    <w:rsid w:val="0024762E"/>
    <w:rsid w:val="00247BA5"/>
    <w:rsid w:val="00251B7B"/>
    <w:rsid w:val="002520DB"/>
    <w:rsid w:val="002604FB"/>
    <w:rsid w:val="002612E9"/>
    <w:rsid w:val="00263172"/>
    <w:rsid w:val="00263E33"/>
    <w:rsid w:val="00263E5D"/>
    <w:rsid w:val="00264E80"/>
    <w:rsid w:val="00267DA6"/>
    <w:rsid w:val="002706C6"/>
    <w:rsid w:val="00272407"/>
    <w:rsid w:val="00273665"/>
    <w:rsid w:val="0027412C"/>
    <w:rsid w:val="00275D0D"/>
    <w:rsid w:val="00280B02"/>
    <w:rsid w:val="0028633D"/>
    <w:rsid w:val="0028764F"/>
    <w:rsid w:val="00287DEB"/>
    <w:rsid w:val="0029106A"/>
    <w:rsid w:val="002911A7"/>
    <w:rsid w:val="00291951"/>
    <w:rsid w:val="002933BC"/>
    <w:rsid w:val="002953EE"/>
    <w:rsid w:val="002A0822"/>
    <w:rsid w:val="002A0862"/>
    <w:rsid w:val="002A3B59"/>
    <w:rsid w:val="002A731C"/>
    <w:rsid w:val="002A7693"/>
    <w:rsid w:val="002B49DE"/>
    <w:rsid w:val="002B55AD"/>
    <w:rsid w:val="002B60B2"/>
    <w:rsid w:val="002C012C"/>
    <w:rsid w:val="002C05DC"/>
    <w:rsid w:val="002C21EB"/>
    <w:rsid w:val="002C439E"/>
    <w:rsid w:val="002C5757"/>
    <w:rsid w:val="002C5D77"/>
    <w:rsid w:val="002D1D84"/>
    <w:rsid w:val="002E11FA"/>
    <w:rsid w:val="002E21D6"/>
    <w:rsid w:val="002F1C3F"/>
    <w:rsid w:val="002F44AB"/>
    <w:rsid w:val="002F7973"/>
    <w:rsid w:val="00307693"/>
    <w:rsid w:val="0031024E"/>
    <w:rsid w:val="00312F11"/>
    <w:rsid w:val="003132F6"/>
    <w:rsid w:val="00315407"/>
    <w:rsid w:val="0031645A"/>
    <w:rsid w:val="00322C3A"/>
    <w:rsid w:val="0032760C"/>
    <w:rsid w:val="003313C3"/>
    <w:rsid w:val="00333EE7"/>
    <w:rsid w:val="003363C3"/>
    <w:rsid w:val="0034018A"/>
    <w:rsid w:val="00343216"/>
    <w:rsid w:val="00344CC3"/>
    <w:rsid w:val="0034515E"/>
    <w:rsid w:val="00347FD1"/>
    <w:rsid w:val="003506E6"/>
    <w:rsid w:val="00352DF8"/>
    <w:rsid w:val="00356E00"/>
    <w:rsid w:val="0036466F"/>
    <w:rsid w:val="0036740B"/>
    <w:rsid w:val="003712A9"/>
    <w:rsid w:val="00372944"/>
    <w:rsid w:val="00374FFF"/>
    <w:rsid w:val="003750CC"/>
    <w:rsid w:val="0037593E"/>
    <w:rsid w:val="00376DC7"/>
    <w:rsid w:val="0038083D"/>
    <w:rsid w:val="00384B54"/>
    <w:rsid w:val="00387964"/>
    <w:rsid w:val="0039007B"/>
    <w:rsid w:val="00390399"/>
    <w:rsid w:val="0039079D"/>
    <w:rsid w:val="003919EC"/>
    <w:rsid w:val="003920BE"/>
    <w:rsid w:val="0039236F"/>
    <w:rsid w:val="00392AA2"/>
    <w:rsid w:val="00392F5E"/>
    <w:rsid w:val="00394FAF"/>
    <w:rsid w:val="0039690B"/>
    <w:rsid w:val="003A377A"/>
    <w:rsid w:val="003B1278"/>
    <w:rsid w:val="003C00A3"/>
    <w:rsid w:val="003C047C"/>
    <w:rsid w:val="003C0622"/>
    <w:rsid w:val="003C10E7"/>
    <w:rsid w:val="003C49E8"/>
    <w:rsid w:val="003C5736"/>
    <w:rsid w:val="003D37E8"/>
    <w:rsid w:val="003D3CD8"/>
    <w:rsid w:val="003D5E40"/>
    <w:rsid w:val="003D6BE5"/>
    <w:rsid w:val="003D7EF3"/>
    <w:rsid w:val="003D7FF0"/>
    <w:rsid w:val="003E16C4"/>
    <w:rsid w:val="003E2919"/>
    <w:rsid w:val="003E3C53"/>
    <w:rsid w:val="003E6369"/>
    <w:rsid w:val="003E68B6"/>
    <w:rsid w:val="003F0641"/>
    <w:rsid w:val="003F2581"/>
    <w:rsid w:val="003F3003"/>
    <w:rsid w:val="003F4A08"/>
    <w:rsid w:val="003F640B"/>
    <w:rsid w:val="003F78E3"/>
    <w:rsid w:val="004016BF"/>
    <w:rsid w:val="00402380"/>
    <w:rsid w:val="0040727E"/>
    <w:rsid w:val="00407F86"/>
    <w:rsid w:val="004102C2"/>
    <w:rsid w:val="00412C52"/>
    <w:rsid w:val="0041356F"/>
    <w:rsid w:val="00414470"/>
    <w:rsid w:val="004156F2"/>
    <w:rsid w:val="0041689F"/>
    <w:rsid w:val="00417F32"/>
    <w:rsid w:val="0042114C"/>
    <w:rsid w:val="0042187B"/>
    <w:rsid w:val="00424A8D"/>
    <w:rsid w:val="004250AA"/>
    <w:rsid w:val="004251FE"/>
    <w:rsid w:val="00432769"/>
    <w:rsid w:val="00436630"/>
    <w:rsid w:val="00436685"/>
    <w:rsid w:val="00436978"/>
    <w:rsid w:val="00437ABF"/>
    <w:rsid w:val="004406CE"/>
    <w:rsid w:val="004416B6"/>
    <w:rsid w:val="00444C92"/>
    <w:rsid w:val="00444F7A"/>
    <w:rsid w:val="00446C56"/>
    <w:rsid w:val="00446E9B"/>
    <w:rsid w:val="00447CE1"/>
    <w:rsid w:val="00461176"/>
    <w:rsid w:val="00461419"/>
    <w:rsid w:val="004637D6"/>
    <w:rsid w:val="00465728"/>
    <w:rsid w:val="004720AA"/>
    <w:rsid w:val="0047247F"/>
    <w:rsid w:val="00473A77"/>
    <w:rsid w:val="00475D0F"/>
    <w:rsid w:val="00477022"/>
    <w:rsid w:val="0049123B"/>
    <w:rsid w:val="00496736"/>
    <w:rsid w:val="00497DCD"/>
    <w:rsid w:val="004A4024"/>
    <w:rsid w:val="004A4C34"/>
    <w:rsid w:val="004A5982"/>
    <w:rsid w:val="004A5CFE"/>
    <w:rsid w:val="004A5E6A"/>
    <w:rsid w:val="004B0A18"/>
    <w:rsid w:val="004B2A1B"/>
    <w:rsid w:val="004B2DE5"/>
    <w:rsid w:val="004B331B"/>
    <w:rsid w:val="004B6F1C"/>
    <w:rsid w:val="004C2F4D"/>
    <w:rsid w:val="004C3638"/>
    <w:rsid w:val="004C39A4"/>
    <w:rsid w:val="004C52FF"/>
    <w:rsid w:val="004D070B"/>
    <w:rsid w:val="004D33DF"/>
    <w:rsid w:val="004D58C6"/>
    <w:rsid w:val="004D749D"/>
    <w:rsid w:val="004D7DEA"/>
    <w:rsid w:val="004E04DA"/>
    <w:rsid w:val="004E1D06"/>
    <w:rsid w:val="004E1FA4"/>
    <w:rsid w:val="004E20B1"/>
    <w:rsid w:val="004E3DAA"/>
    <w:rsid w:val="004E4EB8"/>
    <w:rsid w:val="004E6203"/>
    <w:rsid w:val="004F42A1"/>
    <w:rsid w:val="004F5FA6"/>
    <w:rsid w:val="00500581"/>
    <w:rsid w:val="005041BE"/>
    <w:rsid w:val="00505635"/>
    <w:rsid w:val="00507805"/>
    <w:rsid w:val="005134B0"/>
    <w:rsid w:val="0051441E"/>
    <w:rsid w:val="005155D3"/>
    <w:rsid w:val="005204D6"/>
    <w:rsid w:val="00525692"/>
    <w:rsid w:val="00527E66"/>
    <w:rsid w:val="00534945"/>
    <w:rsid w:val="005360A1"/>
    <w:rsid w:val="00537C3E"/>
    <w:rsid w:val="00543555"/>
    <w:rsid w:val="0054431F"/>
    <w:rsid w:val="00544890"/>
    <w:rsid w:val="00547FC6"/>
    <w:rsid w:val="00552615"/>
    <w:rsid w:val="005567B3"/>
    <w:rsid w:val="00560EED"/>
    <w:rsid w:val="005632D3"/>
    <w:rsid w:val="005655D1"/>
    <w:rsid w:val="005658C9"/>
    <w:rsid w:val="00565929"/>
    <w:rsid w:val="005659EE"/>
    <w:rsid w:val="00565D9A"/>
    <w:rsid w:val="00566498"/>
    <w:rsid w:val="005708E6"/>
    <w:rsid w:val="005812C2"/>
    <w:rsid w:val="00583F95"/>
    <w:rsid w:val="00596AF0"/>
    <w:rsid w:val="00597947"/>
    <w:rsid w:val="005A0AF1"/>
    <w:rsid w:val="005A21FC"/>
    <w:rsid w:val="005B1178"/>
    <w:rsid w:val="005B159F"/>
    <w:rsid w:val="005C7BB8"/>
    <w:rsid w:val="005D0FBF"/>
    <w:rsid w:val="005D24E1"/>
    <w:rsid w:val="005D7826"/>
    <w:rsid w:val="005E016C"/>
    <w:rsid w:val="005E07E1"/>
    <w:rsid w:val="005E0E0C"/>
    <w:rsid w:val="005E1EC1"/>
    <w:rsid w:val="005E31A5"/>
    <w:rsid w:val="005E38D2"/>
    <w:rsid w:val="005E4DF6"/>
    <w:rsid w:val="005E6A5B"/>
    <w:rsid w:val="005E7290"/>
    <w:rsid w:val="005E7431"/>
    <w:rsid w:val="005F072F"/>
    <w:rsid w:val="005F0A83"/>
    <w:rsid w:val="005F0D41"/>
    <w:rsid w:val="005F234F"/>
    <w:rsid w:val="005F3C50"/>
    <w:rsid w:val="00601607"/>
    <w:rsid w:val="006047F8"/>
    <w:rsid w:val="006066A6"/>
    <w:rsid w:val="00606CC4"/>
    <w:rsid w:val="006138EE"/>
    <w:rsid w:val="0061452E"/>
    <w:rsid w:val="00614B06"/>
    <w:rsid w:val="00615D9E"/>
    <w:rsid w:val="00621643"/>
    <w:rsid w:val="00624274"/>
    <w:rsid w:val="00626CD9"/>
    <w:rsid w:val="00630956"/>
    <w:rsid w:val="00636115"/>
    <w:rsid w:val="00640016"/>
    <w:rsid w:val="00641EED"/>
    <w:rsid w:val="00642106"/>
    <w:rsid w:val="00644429"/>
    <w:rsid w:val="00646876"/>
    <w:rsid w:val="00647079"/>
    <w:rsid w:val="00647F6C"/>
    <w:rsid w:val="00650DEF"/>
    <w:rsid w:val="00651741"/>
    <w:rsid w:val="00656BC8"/>
    <w:rsid w:val="0066273D"/>
    <w:rsid w:val="00662D0D"/>
    <w:rsid w:val="006642D3"/>
    <w:rsid w:val="006711A5"/>
    <w:rsid w:val="00676441"/>
    <w:rsid w:val="00677567"/>
    <w:rsid w:val="00682BA7"/>
    <w:rsid w:val="00687B7B"/>
    <w:rsid w:val="00691499"/>
    <w:rsid w:val="00692356"/>
    <w:rsid w:val="0069340D"/>
    <w:rsid w:val="006A71EF"/>
    <w:rsid w:val="006A769A"/>
    <w:rsid w:val="006A7A55"/>
    <w:rsid w:val="006B2DDC"/>
    <w:rsid w:val="006B5939"/>
    <w:rsid w:val="006B6D45"/>
    <w:rsid w:val="006B776D"/>
    <w:rsid w:val="006C0C87"/>
    <w:rsid w:val="006C2D83"/>
    <w:rsid w:val="006C3F2E"/>
    <w:rsid w:val="006C4D9E"/>
    <w:rsid w:val="006D10DC"/>
    <w:rsid w:val="006D22CB"/>
    <w:rsid w:val="006D281E"/>
    <w:rsid w:val="006D3823"/>
    <w:rsid w:val="006D3E5C"/>
    <w:rsid w:val="006D41F1"/>
    <w:rsid w:val="006D431A"/>
    <w:rsid w:val="006D6DB9"/>
    <w:rsid w:val="006E149F"/>
    <w:rsid w:val="006E4514"/>
    <w:rsid w:val="006E5C42"/>
    <w:rsid w:val="006F2B5C"/>
    <w:rsid w:val="006F581B"/>
    <w:rsid w:val="006F74F7"/>
    <w:rsid w:val="006F7E68"/>
    <w:rsid w:val="00702AE3"/>
    <w:rsid w:val="0070567E"/>
    <w:rsid w:val="00705ADC"/>
    <w:rsid w:val="0070659F"/>
    <w:rsid w:val="007078C7"/>
    <w:rsid w:val="00713989"/>
    <w:rsid w:val="007148E9"/>
    <w:rsid w:val="00715EA4"/>
    <w:rsid w:val="007165EC"/>
    <w:rsid w:val="0072189F"/>
    <w:rsid w:val="00721C9B"/>
    <w:rsid w:val="0072285B"/>
    <w:rsid w:val="00722909"/>
    <w:rsid w:val="00723249"/>
    <w:rsid w:val="007260DC"/>
    <w:rsid w:val="00726E74"/>
    <w:rsid w:val="00727EF2"/>
    <w:rsid w:val="007309B9"/>
    <w:rsid w:val="00731661"/>
    <w:rsid w:val="00733038"/>
    <w:rsid w:val="0073421A"/>
    <w:rsid w:val="00737E3E"/>
    <w:rsid w:val="00744BE7"/>
    <w:rsid w:val="007455A5"/>
    <w:rsid w:val="00747C3E"/>
    <w:rsid w:val="00750C7B"/>
    <w:rsid w:val="00751783"/>
    <w:rsid w:val="00753FB8"/>
    <w:rsid w:val="00756213"/>
    <w:rsid w:val="00757369"/>
    <w:rsid w:val="00760264"/>
    <w:rsid w:val="0076125E"/>
    <w:rsid w:val="007614A0"/>
    <w:rsid w:val="00766CC5"/>
    <w:rsid w:val="0076789B"/>
    <w:rsid w:val="00771519"/>
    <w:rsid w:val="0077612D"/>
    <w:rsid w:val="0078403F"/>
    <w:rsid w:val="00784977"/>
    <w:rsid w:val="007857C2"/>
    <w:rsid w:val="007951AE"/>
    <w:rsid w:val="007960FC"/>
    <w:rsid w:val="007A1325"/>
    <w:rsid w:val="007A260C"/>
    <w:rsid w:val="007A3D65"/>
    <w:rsid w:val="007A4561"/>
    <w:rsid w:val="007A7FFA"/>
    <w:rsid w:val="007B096A"/>
    <w:rsid w:val="007B5BCC"/>
    <w:rsid w:val="007B63BA"/>
    <w:rsid w:val="007C0582"/>
    <w:rsid w:val="007C2929"/>
    <w:rsid w:val="007C5815"/>
    <w:rsid w:val="007C5A97"/>
    <w:rsid w:val="007D0A9C"/>
    <w:rsid w:val="007D12ED"/>
    <w:rsid w:val="007D518A"/>
    <w:rsid w:val="007D6002"/>
    <w:rsid w:val="007D6F8A"/>
    <w:rsid w:val="007E062F"/>
    <w:rsid w:val="007E5FF6"/>
    <w:rsid w:val="007F0CD4"/>
    <w:rsid w:val="007F15F0"/>
    <w:rsid w:val="007F3EA6"/>
    <w:rsid w:val="007F581B"/>
    <w:rsid w:val="007F6A15"/>
    <w:rsid w:val="00800E4A"/>
    <w:rsid w:val="008015DF"/>
    <w:rsid w:val="00801640"/>
    <w:rsid w:val="0080288E"/>
    <w:rsid w:val="008053EB"/>
    <w:rsid w:val="00805A0A"/>
    <w:rsid w:val="0081201D"/>
    <w:rsid w:val="00812ECD"/>
    <w:rsid w:val="0081473D"/>
    <w:rsid w:val="008157AE"/>
    <w:rsid w:val="008167AB"/>
    <w:rsid w:val="00820A25"/>
    <w:rsid w:val="0082440D"/>
    <w:rsid w:val="00825D97"/>
    <w:rsid w:val="008325FA"/>
    <w:rsid w:val="00833B9B"/>
    <w:rsid w:val="00835356"/>
    <w:rsid w:val="00844F4F"/>
    <w:rsid w:val="008453B8"/>
    <w:rsid w:val="0084547F"/>
    <w:rsid w:val="00845BD8"/>
    <w:rsid w:val="00845CE4"/>
    <w:rsid w:val="008468CD"/>
    <w:rsid w:val="00847827"/>
    <w:rsid w:val="0085148F"/>
    <w:rsid w:val="008526D0"/>
    <w:rsid w:val="00852C63"/>
    <w:rsid w:val="00854541"/>
    <w:rsid w:val="008567A5"/>
    <w:rsid w:val="008616A6"/>
    <w:rsid w:val="00862075"/>
    <w:rsid w:val="008642C8"/>
    <w:rsid w:val="008662A2"/>
    <w:rsid w:val="0087108E"/>
    <w:rsid w:val="00871DE9"/>
    <w:rsid w:val="00880CA7"/>
    <w:rsid w:val="00885CF7"/>
    <w:rsid w:val="00886E69"/>
    <w:rsid w:val="008934FA"/>
    <w:rsid w:val="008A0F83"/>
    <w:rsid w:val="008A175E"/>
    <w:rsid w:val="008A2E40"/>
    <w:rsid w:val="008B0C24"/>
    <w:rsid w:val="008B15BE"/>
    <w:rsid w:val="008B7645"/>
    <w:rsid w:val="008B77E1"/>
    <w:rsid w:val="008C1976"/>
    <w:rsid w:val="008C5857"/>
    <w:rsid w:val="008C771D"/>
    <w:rsid w:val="008D0512"/>
    <w:rsid w:val="008D1468"/>
    <w:rsid w:val="008D28B0"/>
    <w:rsid w:val="008D33D6"/>
    <w:rsid w:val="008D5A00"/>
    <w:rsid w:val="008E0EA8"/>
    <w:rsid w:val="008E573D"/>
    <w:rsid w:val="008E5FB9"/>
    <w:rsid w:val="008F5689"/>
    <w:rsid w:val="008F69BF"/>
    <w:rsid w:val="009003B0"/>
    <w:rsid w:val="009015AD"/>
    <w:rsid w:val="009036DE"/>
    <w:rsid w:val="00903AAF"/>
    <w:rsid w:val="0090416C"/>
    <w:rsid w:val="009043EF"/>
    <w:rsid w:val="00907956"/>
    <w:rsid w:val="0091079F"/>
    <w:rsid w:val="00911F9D"/>
    <w:rsid w:val="00913B55"/>
    <w:rsid w:val="009153E3"/>
    <w:rsid w:val="0091597F"/>
    <w:rsid w:val="009177D8"/>
    <w:rsid w:val="00921DCF"/>
    <w:rsid w:val="00923D59"/>
    <w:rsid w:val="0092464E"/>
    <w:rsid w:val="00924F4C"/>
    <w:rsid w:val="009337F2"/>
    <w:rsid w:val="00934B5A"/>
    <w:rsid w:val="0094138A"/>
    <w:rsid w:val="00946554"/>
    <w:rsid w:val="00953385"/>
    <w:rsid w:val="009536E4"/>
    <w:rsid w:val="009553EB"/>
    <w:rsid w:val="009556E8"/>
    <w:rsid w:val="00960332"/>
    <w:rsid w:val="00963C82"/>
    <w:rsid w:val="0097102B"/>
    <w:rsid w:val="009754A1"/>
    <w:rsid w:val="00975F8C"/>
    <w:rsid w:val="00977A2D"/>
    <w:rsid w:val="00977B6C"/>
    <w:rsid w:val="00977E58"/>
    <w:rsid w:val="00981B94"/>
    <w:rsid w:val="009850DD"/>
    <w:rsid w:val="009852EE"/>
    <w:rsid w:val="009918A8"/>
    <w:rsid w:val="00995CC6"/>
    <w:rsid w:val="009964F7"/>
    <w:rsid w:val="009A07B6"/>
    <w:rsid w:val="009A2934"/>
    <w:rsid w:val="009A3167"/>
    <w:rsid w:val="009A488C"/>
    <w:rsid w:val="009A6B01"/>
    <w:rsid w:val="009B0E77"/>
    <w:rsid w:val="009B7C3D"/>
    <w:rsid w:val="009C21D3"/>
    <w:rsid w:val="009C3BDF"/>
    <w:rsid w:val="009C6399"/>
    <w:rsid w:val="009C700D"/>
    <w:rsid w:val="009D117E"/>
    <w:rsid w:val="009D2C81"/>
    <w:rsid w:val="009D3BCE"/>
    <w:rsid w:val="009D4762"/>
    <w:rsid w:val="009D61D3"/>
    <w:rsid w:val="009D63C3"/>
    <w:rsid w:val="009D6FD8"/>
    <w:rsid w:val="009D7E0C"/>
    <w:rsid w:val="009E0181"/>
    <w:rsid w:val="009E1ED3"/>
    <w:rsid w:val="009E4A95"/>
    <w:rsid w:val="009E6004"/>
    <w:rsid w:val="009F0897"/>
    <w:rsid w:val="009F5345"/>
    <w:rsid w:val="009F53C2"/>
    <w:rsid w:val="009F58A2"/>
    <w:rsid w:val="009F6F50"/>
    <w:rsid w:val="009F7EAE"/>
    <w:rsid w:val="00A00406"/>
    <w:rsid w:val="00A0057C"/>
    <w:rsid w:val="00A016BF"/>
    <w:rsid w:val="00A0210F"/>
    <w:rsid w:val="00A058CF"/>
    <w:rsid w:val="00A072FE"/>
    <w:rsid w:val="00A07475"/>
    <w:rsid w:val="00A07496"/>
    <w:rsid w:val="00A10865"/>
    <w:rsid w:val="00A11537"/>
    <w:rsid w:val="00A11A7A"/>
    <w:rsid w:val="00A128C5"/>
    <w:rsid w:val="00A20055"/>
    <w:rsid w:val="00A210A1"/>
    <w:rsid w:val="00A22D6C"/>
    <w:rsid w:val="00A231F8"/>
    <w:rsid w:val="00A24CA1"/>
    <w:rsid w:val="00A269A7"/>
    <w:rsid w:val="00A31277"/>
    <w:rsid w:val="00A33350"/>
    <w:rsid w:val="00A34428"/>
    <w:rsid w:val="00A44C1F"/>
    <w:rsid w:val="00A452F5"/>
    <w:rsid w:val="00A46DAF"/>
    <w:rsid w:val="00A47C58"/>
    <w:rsid w:val="00A529A1"/>
    <w:rsid w:val="00A52BA6"/>
    <w:rsid w:val="00A52F2C"/>
    <w:rsid w:val="00A54B3F"/>
    <w:rsid w:val="00A60500"/>
    <w:rsid w:val="00A61261"/>
    <w:rsid w:val="00A61FD4"/>
    <w:rsid w:val="00A63AA9"/>
    <w:rsid w:val="00A669E9"/>
    <w:rsid w:val="00A67D0F"/>
    <w:rsid w:val="00A8609D"/>
    <w:rsid w:val="00A86542"/>
    <w:rsid w:val="00A87F7C"/>
    <w:rsid w:val="00A908A5"/>
    <w:rsid w:val="00A91DAE"/>
    <w:rsid w:val="00A9633A"/>
    <w:rsid w:val="00AA46EA"/>
    <w:rsid w:val="00AA559B"/>
    <w:rsid w:val="00AA6EA4"/>
    <w:rsid w:val="00AB29C4"/>
    <w:rsid w:val="00AB60C4"/>
    <w:rsid w:val="00AC14F0"/>
    <w:rsid w:val="00AC2DF7"/>
    <w:rsid w:val="00AC548A"/>
    <w:rsid w:val="00AD5C59"/>
    <w:rsid w:val="00AE270B"/>
    <w:rsid w:val="00AE5064"/>
    <w:rsid w:val="00AE5365"/>
    <w:rsid w:val="00AE55CB"/>
    <w:rsid w:val="00AE71DB"/>
    <w:rsid w:val="00AF3FDF"/>
    <w:rsid w:val="00AF5069"/>
    <w:rsid w:val="00AF564E"/>
    <w:rsid w:val="00B01326"/>
    <w:rsid w:val="00B0164D"/>
    <w:rsid w:val="00B019F5"/>
    <w:rsid w:val="00B02152"/>
    <w:rsid w:val="00B04CC4"/>
    <w:rsid w:val="00B04F4E"/>
    <w:rsid w:val="00B052BC"/>
    <w:rsid w:val="00B05BCA"/>
    <w:rsid w:val="00B05CB2"/>
    <w:rsid w:val="00B05F14"/>
    <w:rsid w:val="00B146C7"/>
    <w:rsid w:val="00B222AE"/>
    <w:rsid w:val="00B22D6C"/>
    <w:rsid w:val="00B31B65"/>
    <w:rsid w:val="00B33B98"/>
    <w:rsid w:val="00B349F7"/>
    <w:rsid w:val="00B3578A"/>
    <w:rsid w:val="00B422E2"/>
    <w:rsid w:val="00B431EF"/>
    <w:rsid w:val="00B51ADD"/>
    <w:rsid w:val="00B553D8"/>
    <w:rsid w:val="00B569AD"/>
    <w:rsid w:val="00B56E34"/>
    <w:rsid w:val="00B57039"/>
    <w:rsid w:val="00B57263"/>
    <w:rsid w:val="00B6093A"/>
    <w:rsid w:val="00B62EAA"/>
    <w:rsid w:val="00B668D2"/>
    <w:rsid w:val="00B72C1F"/>
    <w:rsid w:val="00B73C5F"/>
    <w:rsid w:val="00B74177"/>
    <w:rsid w:val="00B76D53"/>
    <w:rsid w:val="00B82656"/>
    <w:rsid w:val="00B83704"/>
    <w:rsid w:val="00B90CC2"/>
    <w:rsid w:val="00B93330"/>
    <w:rsid w:val="00B96017"/>
    <w:rsid w:val="00B96778"/>
    <w:rsid w:val="00BA0EB4"/>
    <w:rsid w:val="00BA2BEC"/>
    <w:rsid w:val="00BA498C"/>
    <w:rsid w:val="00BA4E80"/>
    <w:rsid w:val="00BA56B6"/>
    <w:rsid w:val="00BB60A8"/>
    <w:rsid w:val="00BC2BF8"/>
    <w:rsid w:val="00BC3E88"/>
    <w:rsid w:val="00BC7EFD"/>
    <w:rsid w:val="00BD0BA4"/>
    <w:rsid w:val="00BD15B8"/>
    <w:rsid w:val="00BD1F78"/>
    <w:rsid w:val="00BD1FC3"/>
    <w:rsid w:val="00BE1259"/>
    <w:rsid w:val="00BE73A7"/>
    <w:rsid w:val="00BF0647"/>
    <w:rsid w:val="00BF0E5F"/>
    <w:rsid w:val="00BF33D3"/>
    <w:rsid w:val="00C00CEE"/>
    <w:rsid w:val="00C06624"/>
    <w:rsid w:val="00C10B17"/>
    <w:rsid w:val="00C117C2"/>
    <w:rsid w:val="00C11868"/>
    <w:rsid w:val="00C16188"/>
    <w:rsid w:val="00C22374"/>
    <w:rsid w:val="00C2276F"/>
    <w:rsid w:val="00C23FFB"/>
    <w:rsid w:val="00C2698A"/>
    <w:rsid w:val="00C308CC"/>
    <w:rsid w:val="00C30A7C"/>
    <w:rsid w:val="00C30E54"/>
    <w:rsid w:val="00C32BC8"/>
    <w:rsid w:val="00C34157"/>
    <w:rsid w:val="00C348C3"/>
    <w:rsid w:val="00C41CE3"/>
    <w:rsid w:val="00C41EAE"/>
    <w:rsid w:val="00C44CDE"/>
    <w:rsid w:val="00C515F8"/>
    <w:rsid w:val="00C5195C"/>
    <w:rsid w:val="00C52063"/>
    <w:rsid w:val="00C60D35"/>
    <w:rsid w:val="00C61427"/>
    <w:rsid w:val="00C62122"/>
    <w:rsid w:val="00C6411B"/>
    <w:rsid w:val="00C66CD2"/>
    <w:rsid w:val="00C72429"/>
    <w:rsid w:val="00C75D95"/>
    <w:rsid w:val="00C76049"/>
    <w:rsid w:val="00C770CC"/>
    <w:rsid w:val="00C770DB"/>
    <w:rsid w:val="00C80786"/>
    <w:rsid w:val="00C807F9"/>
    <w:rsid w:val="00C81852"/>
    <w:rsid w:val="00C81D03"/>
    <w:rsid w:val="00C830AA"/>
    <w:rsid w:val="00C83E2E"/>
    <w:rsid w:val="00C853F1"/>
    <w:rsid w:val="00C8640F"/>
    <w:rsid w:val="00C90C57"/>
    <w:rsid w:val="00C927C0"/>
    <w:rsid w:val="00C92A41"/>
    <w:rsid w:val="00CA629B"/>
    <w:rsid w:val="00CA67FB"/>
    <w:rsid w:val="00CA77CE"/>
    <w:rsid w:val="00CB0887"/>
    <w:rsid w:val="00CC1988"/>
    <w:rsid w:val="00CC19AA"/>
    <w:rsid w:val="00CC3865"/>
    <w:rsid w:val="00CC5C28"/>
    <w:rsid w:val="00CC6A6D"/>
    <w:rsid w:val="00CD01A6"/>
    <w:rsid w:val="00CD314C"/>
    <w:rsid w:val="00CD4E1A"/>
    <w:rsid w:val="00CD5D7A"/>
    <w:rsid w:val="00CD740C"/>
    <w:rsid w:val="00CE1BE6"/>
    <w:rsid w:val="00CE36B8"/>
    <w:rsid w:val="00CE4D5D"/>
    <w:rsid w:val="00CE6E37"/>
    <w:rsid w:val="00CE7334"/>
    <w:rsid w:val="00CF161B"/>
    <w:rsid w:val="00CF21E2"/>
    <w:rsid w:val="00CF4907"/>
    <w:rsid w:val="00CF7BA7"/>
    <w:rsid w:val="00D00EA8"/>
    <w:rsid w:val="00D01135"/>
    <w:rsid w:val="00D015C5"/>
    <w:rsid w:val="00D03455"/>
    <w:rsid w:val="00D05BF5"/>
    <w:rsid w:val="00D0705D"/>
    <w:rsid w:val="00D10173"/>
    <w:rsid w:val="00D14C73"/>
    <w:rsid w:val="00D21760"/>
    <w:rsid w:val="00D23BBE"/>
    <w:rsid w:val="00D27AF2"/>
    <w:rsid w:val="00D27DC8"/>
    <w:rsid w:val="00D32D8D"/>
    <w:rsid w:val="00D33266"/>
    <w:rsid w:val="00D33644"/>
    <w:rsid w:val="00D413DB"/>
    <w:rsid w:val="00D41D85"/>
    <w:rsid w:val="00D41E86"/>
    <w:rsid w:val="00D4220E"/>
    <w:rsid w:val="00D42316"/>
    <w:rsid w:val="00D427FC"/>
    <w:rsid w:val="00D44D3A"/>
    <w:rsid w:val="00D44F9B"/>
    <w:rsid w:val="00D45885"/>
    <w:rsid w:val="00D45961"/>
    <w:rsid w:val="00D45983"/>
    <w:rsid w:val="00D459BF"/>
    <w:rsid w:val="00D47231"/>
    <w:rsid w:val="00D47A53"/>
    <w:rsid w:val="00D52E6E"/>
    <w:rsid w:val="00D54B02"/>
    <w:rsid w:val="00D54B69"/>
    <w:rsid w:val="00D554CB"/>
    <w:rsid w:val="00D564B6"/>
    <w:rsid w:val="00D60680"/>
    <w:rsid w:val="00D61B4E"/>
    <w:rsid w:val="00D726C9"/>
    <w:rsid w:val="00D740C4"/>
    <w:rsid w:val="00D77B55"/>
    <w:rsid w:val="00D77F22"/>
    <w:rsid w:val="00D800EA"/>
    <w:rsid w:val="00D83991"/>
    <w:rsid w:val="00D83A75"/>
    <w:rsid w:val="00D848FF"/>
    <w:rsid w:val="00D86515"/>
    <w:rsid w:val="00D92DBF"/>
    <w:rsid w:val="00D942F0"/>
    <w:rsid w:val="00D95DA1"/>
    <w:rsid w:val="00D9704A"/>
    <w:rsid w:val="00DA2837"/>
    <w:rsid w:val="00DA2C69"/>
    <w:rsid w:val="00DA3DE8"/>
    <w:rsid w:val="00DA4A1F"/>
    <w:rsid w:val="00DB0341"/>
    <w:rsid w:val="00DB1144"/>
    <w:rsid w:val="00DB1A6E"/>
    <w:rsid w:val="00DB3373"/>
    <w:rsid w:val="00DB3ACE"/>
    <w:rsid w:val="00DB4415"/>
    <w:rsid w:val="00DB662D"/>
    <w:rsid w:val="00DB6793"/>
    <w:rsid w:val="00DC4310"/>
    <w:rsid w:val="00DC69A7"/>
    <w:rsid w:val="00DC7E56"/>
    <w:rsid w:val="00DD027C"/>
    <w:rsid w:val="00DD07D3"/>
    <w:rsid w:val="00DD19A1"/>
    <w:rsid w:val="00DD1ADD"/>
    <w:rsid w:val="00DD2557"/>
    <w:rsid w:val="00DE0934"/>
    <w:rsid w:val="00DE105F"/>
    <w:rsid w:val="00DE2090"/>
    <w:rsid w:val="00DE658A"/>
    <w:rsid w:val="00DE6720"/>
    <w:rsid w:val="00DF0BEC"/>
    <w:rsid w:val="00DF47DD"/>
    <w:rsid w:val="00DF6599"/>
    <w:rsid w:val="00DF73FE"/>
    <w:rsid w:val="00DF7AC0"/>
    <w:rsid w:val="00E01478"/>
    <w:rsid w:val="00E01655"/>
    <w:rsid w:val="00E01E5D"/>
    <w:rsid w:val="00E04274"/>
    <w:rsid w:val="00E11DC5"/>
    <w:rsid w:val="00E12295"/>
    <w:rsid w:val="00E20C05"/>
    <w:rsid w:val="00E22B62"/>
    <w:rsid w:val="00E2632C"/>
    <w:rsid w:val="00E31C4A"/>
    <w:rsid w:val="00E377AB"/>
    <w:rsid w:val="00E40AE7"/>
    <w:rsid w:val="00E41741"/>
    <w:rsid w:val="00E42612"/>
    <w:rsid w:val="00E458D6"/>
    <w:rsid w:val="00E53A1D"/>
    <w:rsid w:val="00E560DE"/>
    <w:rsid w:val="00E56786"/>
    <w:rsid w:val="00E63C72"/>
    <w:rsid w:val="00E66114"/>
    <w:rsid w:val="00E67CC2"/>
    <w:rsid w:val="00E720E0"/>
    <w:rsid w:val="00E735DF"/>
    <w:rsid w:val="00E77782"/>
    <w:rsid w:val="00E77DC4"/>
    <w:rsid w:val="00E84161"/>
    <w:rsid w:val="00E854ED"/>
    <w:rsid w:val="00E8595D"/>
    <w:rsid w:val="00E86E90"/>
    <w:rsid w:val="00E913DD"/>
    <w:rsid w:val="00E91D89"/>
    <w:rsid w:val="00E94946"/>
    <w:rsid w:val="00E957DC"/>
    <w:rsid w:val="00E96F22"/>
    <w:rsid w:val="00EA2BEB"/>
    <w:rsid w:val="00EA35ED"/>
    <w:rsid w:val="00EA7259"/>
    <w:rsid w:val="00EA7F9E"/>
    <w:rsid w:val="00EB1926"/>
    <w:rsid w:val="00EB2560"/>
    <w:rsid w:val="00EB44D6"/>
    <w:rsid w:val="00EB5268"/>
    <w:rsid w:val="00EB5BA6"/>
    <w:rsid w:val="00EB5CE9"/>
    <w:rsid w:val="00EB69EC"/>
    <w:rsid w:val="00EB7D02"/>
    <w:rsid w:val="00EC0D33"/>
    <w:rsid w:val="00EC243C"/>
    <w:rsid w:val="00EC3D5E"/>
    <w:rsid w:val="00EC5C8F"/>
    <w:rsid w:val="00ED3252"/>
    <w:rsid w:val="00ED625C"/>
    <w:rsid w:val="00EE1A96"/>
    <w:rsid w:val="00EE3359"/>
    <w:rsid w:val="00EE6CEB"/>
    <w:rsid w:val="00EF2329"/>
    <w:rsid w:val="00EF3750"/>
    <w:rsid w:val="00EF3AD0"/>
    <w:rsid w:val="00EF51D9"/>
    <w:rsid w:val="00EF6670"/>
    <w:rsid w:val="00EF7867"/>
    <w:rsid w:val="00F007F5"/>
    <w:rsid w:val="00F034DE"/>
    <w:rsid w:val="00F050C5"/>
    <w:rsid w:val="00F105BB"/>
    <w:rsid w:val="00F11D13"/>
    <w:rsid w:val="00F15BC0"/>
    <w:rsid w:val="00F22E11"/>
    <w:rsid w:val="00F245AA"/>
    <w:rsid w:val="00F32201"/>
    <w:rsid w:val="00F346F0"/>
    <w:rsid w:val="00F34780"/>
    <w:rsid w:val="00F42462"/>
    <w:rsid w:val="00F429FB"/>
    <w:rsid w:val="00F42C07"/>
    <w:rsid w:val="00F43025"/>
    <w:rsid w:val="00F43CA0"/>
    <w:rsid w:val="00F479AC"/>
    <w:rsid w:val="00F47AC0"/>
    <w:rsid w:val="00F50C5F"/>
    <w:rsid w:val="00F537E6"/>
    <w:rsid w:val="00F54C72"/>
    <w:rsid w:val="00F5586D"/>
    <w:rsid w:val="00F56F36"/>
    <w:rsid w:val="00F579C1"/>
    <w:rsid w:val="00F605C6"/>
    <w:rsid w:val="00F61705"/>
    <w:rsid w:val="00F75A94"/>
    <w:rsid w:val="00F7643C"/>
    <w:rsid w:val="00F866DF"/>
    <w:rsid w:val="00F875C5"/>
    <w:rsid w:val="00F87BB1"/>
    <w:rsid w:val="00F91449"/>
    <w:rsid w:val="00F91525"/>
    <w:rsid w:val="00F93A2D"/>
    <w:rsid w:val="00F945F2"/>
    <w:rsid w:val="00F9606C"/>
    <w:rsid w:val="00F96E1E"/>
    <w:rsid w:val="00F973C9"/>
    <w:rsid w:val="00FA017F"/>
    <w:rsid w:val="00FA5652"/>
    <w:rsid w:val="00FA614A"/>
    <w:rsid w:val="00FA66DE"/>
    <w:rsid w:val="00FB1DF1"/>
    <w:rsid w:val="00FB2DEF"/>
    <w:rsid w:val="00FB4149"/>
    <w:rsid w:val="00FB57F6"/>
    <w:rsid w:val="00FB7D78"/>
    <w:rsid w:val="00FC429A"/>
    <w:rsid w:val="00FC451B"/>
    <w:rsid w:val="00FC4EB6"/>
    <w:rsid w:val="00FC52B0"/>
    <w:rsid w:val="00FC6596"/>
    <w:rsid w:val="00FC69D4"/>
    <w:rsid w:val="00FD1348"/>
    <w:rsid w:val="00FD4B23"/>
    <w:rsid w:val="00FE15C5"/>
    <w:rsid w:val="00FE1DB5"/>
    <w:rsid w:val="00FE1F54"/>
    <w:rsid w:val="00FE5BA5"/>
    <w:rsid w:val="00FE7174"/>
    <w:rsid w:val="00FF018C"/>
    <w:rsid w:val="00FF0713"/>
    <w:rsid w:val="00FF1DC6"/>
    <w:rsid w:val="00FF6F97"/>
    <w:rsid w:val="00FF7089"/>
    <w:rsid w:val="02572AE5"/>
    <w:rsid w:val="04C11975"/>
    <w:rsid w:val="21D87D2C"/>
    <w:rsid w:val="30A14707"/>
    <w:rsid w:val="379A2218"/>
    <w:rsid w:val="3A2A1B78"/>
    <w:rsid w:val="3A34222E"/>
    <w:rsid w:val="3AC577F8"/>
    <w:rsid w:val="4712320E"/>
    <w:rsid w:val="49B61922"/>
    <w:rsid w:val="4E0C1ED3"/>
    <w:rsid w:val="517E0914"/>
    <w:rsid w:val="51871A66"/>
    <w:rsid w:val="62314002"/>
    <w:rsid w:val="63144C62"/>
    <w:rsid w:val="65A8501B"/>
    <w:rsid w:val="70344EA3"/>
    <w:rsid w:val="71C852BA"/>
    <w:rsid w:val="7579582F"/>
    <w:rsid w:val="7DDF5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_GB2312" w:cs="Times New Roman"/>
      <w:kern w:val="2"/>
      <w:sz w:val="24"/>
      <w:szCs w:val="24"/>
      <w:lang w:val="en-US" w:eastAsia="zh-CN" w:bidi="ar-SA"/>
    </w:rPr>
  </w:style>
  <w:style w:type="paragraph" w:styleId="2">
    <w:name w:val="heading 1"/>
    <w:basedOn w:val="1"/>
    <w:next w:val="1"/>
    <w:qFormat/>
    <w:uiPriority w:val="0"/>
    <w:pPr>
      <w:keepNext/>
      <w:keepLines/>
      <w:ind w:firstLine="0" w:firstLineChars="0"/>
      <w:jc w:val="left"/>
      <w:outlineLvl w:val="0"/>
    </w:pPr>
    <w:rPr>
      <w:b/>
      <w:bCs/>
      <w:kern w:val="44"/>
      <w:sz w:val="28"/>
      <w:szCs w:val="44"/>
    </w:rPr>
  </w:style>
  <w:style w:type="paragraph" w:styleId="3">
    <w:name w:val="heading 2"/>
    <w:basedOn w:val="1"/>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ind w:firstLine="0" w:firstLineChars="0"/>
      <w:jc w:val="left"/>
      <w:outlineLvl w:val="2"/>
    </w:pPr>
    <w:rPr>
      <w:b/>
      <w:bCs/>
      <w:szCs w:val="3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5">
    <w:name w:val="toc 7"/>
    <w:basedOn w:val="1"/>
    <w:next w:val="1"/>
    <w:uiPriority w:val="39"/>
    <w:pPr>
      <w:ind w:left="1800"/>
      <w:jc w:val="left"/>
    </w:pPr>
    <w:rPr>
      <w:sz w:val="18"/>
      <w:szCs w:val="18"/>
    </w:rPr>
  </w:style>
  <w:style w:type="paragraph" w:styleId="6">
    <w:name w:val="Document Map"/>
    <w:basedOn w:val="1"/>
    <w:link w:val="35"/>
    <w:unhideWhenUsed/>
    <w:qFormat/>
    <w:uiPriority w:val="99"/>
    <w:rPr>
      <w:rFonts w:ascii="宋体" w:eastAsia="宋体"/>
      <w:sz w:val="18"/>
      <w:szCs w:val="18"/>
    </w:rPr>
  </w:style>
  <w:style w:type="paragraph" w:styleId="7">
    <w:name w:val="annotation text"/>
    <w:basedOn w:val="1"/>
    <w:link w:val="32"/>
    <w:unhideWhenUsed/>
    <w:qFormat/>
    <w:uiPriority w:val="99"/>
    <w:pPr>
      <w:jc w:val="left"/>
    </w:pPr>
  </w:style>
  <w:style w:type="paragraph" w:styleId="8">
    <w:name w:val="toc 5"/>
    <w:basedOn w:val="1"/>
    <w:next w:val="1"/>
    <w:qFormat/>
    <w:uiPriority w:val="39"/>
    <w:pPr>
      <w:ind w:left="1200"/>
      <w:jc w:val="left"/>
    </w:pPr>
    <w:rPr>
      <w:sz w:val="18"/>
      <w:szCs w:val="18"/>
    </w:rPr>
  </w:style>
  <w:style w:type="paragraph" w:styleId="9">
    <w:name w:val="toc 3"/>
    <w:basedOn w:val="1"/>
    <w:next w:val="1"/>
    <w:uiPriority w:val="39"/>
    <w:pPr>
      <w:spacing w:line="300" w:lineRule="exact"/>
      <w:ind w:left="567"/>
      <w:jc w:val="left"/>
    </w:pPr>
    <w:rPr>
      <w:iCs/>
      <w:sz w:val="28"/>
      <w:szCs w:val="20"/>
    </w:rPr>
  </w:style>
  <w:style w:type="paragraph" w:styleId="10">
    <w:name w:val="toc 8"/>
    <w:basedOn w:val="1"/>
    <w:next w:val="1"/>
    <w:qFormat/>
    <w:uiPriority w:val="39"/>
    <w:pPr>
      <w:ind w:left="2100"/>
      <w:jc w:val="left"/>
    </w:pPr>
    <w:rPr>
      <w:sz w:val="18"/>
      <w:szCs w:val="18"/>
    </w:rPr>
  </w:style>
  <w:style w:type="paragraph" w:styleId="11">
    <w:name w:val="Date"/>
    <w:basedOn w:val="1"/>
    <w:next w:val="1"/>
    <w:qFormat/>
    <w:uiPriority w:val="0"/>
    <w:pPr>
      <w:ind w:left="100" w:leftChars="2500"/>
    </w:pPr>
    <w:rPr>
      <w:rFonts w:eastAsia="宋体"/>
      <w:sz w:val="21"/>
    </w:rPr>
  </w:style>
  <w:style w:type="paragraph" w:styleId="12">
    <w:name w:val="Balloon Text"/>
    <w:basedOn w:val="1"/>
    <w:link w:val="29"/>
    <w:qFormat/>
    <w:uiPriority w:val="0"/>
    <w:rPr>
      <w:sz w:val="18"/>
      <w:szCs w:val="18"/>
    </w:rPr>
  </w:style>
  <w:style w:type="paragraph" w:styleId="13">
    <w:name w:val="footer"/>
    <w:basedOn w:val="1"/>
    <w:link w:val="30"/>
    <w:uiPriority w:val="99"/>
    <w:pPr>
      <w:tabs>
        <w:tab w:val="center" w:pos="4153"/>
        <w:tab w:val="right" w:pos="8306"/>
      </w:tabs>
      <w:snapToGrid w:val="0"/>
      <w:jc w:val="left"/>
    </w:pPr>
    <w:rPr>
      <w:sz w:val="18"/>
      <w:szCs w:val="18"/>
    </w:rPr>
  </w:style>
  <w:style w:type="paragraph" w:styleId="14">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spacing w:before="120" w:after="120"/>
      <w:jc w:val="left"/>
    </w:pPr>
    <w:rPr>
      <w:b/>
      <w:bCs/>
      <w:caps/>
      <w:sz w:val="28"/>
      <w:szCs w:val="20"/>
    </w:rPr>
  </w:style>
  <w:style w:type="paragraph" w:styleId="16">
    <w:name w:val="toc 4"/>
    <w:basedOn w:val="1"/>
    <w:next w:val="1"/>
    <w:uiPriority w:val="39"/>
    <w:pPr>
      <w:tabs>
        <w:tab w:val="right" w:leader="dot" w:pos="8693"/>
      </w:tabs>
      <w:spacing w:line="300" w:lineRule="exact"/>
      <w:ind w:left="902"/>
      <w:jc w:val="left"/>
    </w:pPr>
    <w:rPr>
      <w:sz w:val="28"/>
      <w:szCs w:val="18"/>
    </w:rPr>
  </w:style>
  <w:style w:type="paragraph" w:styleId="17">
    <w:name w:val="toc 6"/>
    <w:basedOn w:val="1"/>
    <w:next w:val="1"/>
    <w:uiPriority w:val="39"/>
    <w:pPr>
      <w:ind w:left="1500"/>
      <w:jc w:val="left"/>
    </w:pPr>
    <w:rPr>
      <w:sz w:val="18"/>
      <w:szCs w:val="18"/>
    </w:rPr>
  </w:style>
  <w:style w:type="paragraph" w:styleId="18">
    <w:name w:val="toc 2"/>
    <w:basedOn w:val="1"/>
    <w:next w:val="1"/>
    <w:qFormat/>
    <w:uiPriority w:val="39"/>
    <w:pPr>
      <w:spacing w:line="300" w:lineRule="exact"/>
      <w:jc w:val="left"/>
    </w:pPr>
    <w:rPr>
      <w:smallCaps/>
      <w:sz w:val="28"/>
      <w:szCs w:val="20"/>
    </w:rPr>
  </w:style>
  <w:style w:type="paragraph" w:styleId="19">
    <w:name w:val="toc 9"/>
    <w:basedOn w:val="1"/>
    <w:next w:val="1"/>
    <w:qFormat/>
    <w:uiPriority w:val="39"/>
    <w:pPr>
      <w:ind w:left="2400"/>
      <w:jc w:val="left"/>
    </w:pPr>
    <w:rPr>
      <w:sz w:val="18"/>
      <w:szCs w:val="18"/>
    </w:rPr>
  </w:style>
  <w:style w:type="paragraph" w:styleId="20">
    <w:name w:val="Title"/>
    <w:basedOn w:val="1"/>
    <w:next w:val="1"/>
    <w:link w:val="28"/>
    <w:qFormat/>
    <w:uiPriority w:val="10"/>
    <w:pPr>
      <w:jc w:val="left"/>
      <w:outlineLvl w:val="3"/>
    </w:pPr>
    <w:rPr>
      <w:rFonts w:ascii="Cambria" w:hAnsi="Cambria"/>
      <w:bCs/>
      <w:szCs w:val="32"/>
    </w:rPr>
  </w:style>
  <w:style w:type="paragraph" w:styleId="21">
    <w:name w:val="annotation subject"/>
    <w:basedOn w:val="7"/>
    <w:next w:val="7"/>
    <w:link w:val="34"/>
    <w:unhideWhenUsed/>
    <w:qFormat/>
    <w:uiPriority w:val="99"/>
    <w:rPr>
      <w:b/>
      <w:bCs/>
    </w:rPr>
  </w:style>
  <w:style w:type="table" w:styleId="23">
    <w:name w:val="Table Grid"/>
    <w:basedOn w:val="22"/>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basedOn w:val="24"/>
    <w:unhideWhenUsed/>
    <w:qFormat/>
    <w:uiPriority w:val="99"/>
    <w:rPr>
      <w:sz w:val="21"/>
      <w:szCs w:val="21"/>
    </w:rPr>
  </w:style>
  <w:style w:type="character" w:customStyle="1" w:styleId="28">
    <w:name w:val="标题 Char"/>
    <w:basedOn w:val="24"/>
    <w:link w:val="20"/>
    <w:qFormat/>
    <w:uiPriority w:val="10"/>
    <w:rPr>
      <w:rFonts w:ascii="Cambria" w:hAnsi="Cambria" w:eastAsia="仿宋_GB2312" w:cs="Times New Roman"/>
      <w:bCs/>
      <w:kern w:val="2"/>
      <w:sz w:val="24"/>
      <w:szCs w:val="32"/>
    </w:rPr>
  </w:style>
  <w:style w:type="character" w:customStyle="1" w:styleId="29">
    <w:name w:val="批注框文本 Char"/>
    <w:link w:val="12"/>
    <w:qFormat/>
    <w:uiPriority w:val="0"/>
    <w:rPr>
      <w:rFonts w:eastAsia="仿宋_GB2312"/>
      <w:kern w:val="2"/>
      <w:sz w:val="18"/>
      <w:szCs w:val="18"/>
    </w:rPr>
  </w:style>
  <w:style w:type="character" w:customStyle="1" w:styleId="30">
    <w:name w:val="页脚 Char"/>
    <w:link w:val="13"/>
    <w:qFormat/>
    <w:uiPriority w:val="99"/>
    <w:rPr>
      <w:rFonts w:eastAsia="仿宋_GB2312"/>
      <w:kern w:val="2"/>
      <w:sz w:val="18"/>
      <w:szCs w:val="18"/>
    </w:rPr>
  </w:style>
  <w:style w:type="character" w:customStyle="1" w:styleId="31">
    <w:name w:val="apple-converted-space"/>
    <w:basedOn w:val="24"/>
    <w:uiPriority w:val="0"/>
  </w:style>
  <w:style w:type="character" w:customStyle="1" w:styleId="32">
    <w:name w:val="批注文字 Char"/>
    <w:basedOn w:val="24"/>
    <w:link w:val="7"/>
    <w:semiHidden/>
    <w:qFormat/>
    <w:uiPriority w:val="99"/>
    <w:rPr>
      <w:rFonts w:eastAsia="仿宋_GB2312"/>
      <w:kern w:val="2"/>
      <w:sz w:val="24"/>
      <w:szCs w:val="24"/>
    </w:rPr>
  </w:style>
  <w:style w:type="character" w:customStyle="1" w:styleId="33">
    <w:name w:val="页眉 Char"/>
    <w:link w:val="14"/>
    <w:qFormat/>
    <w:uiPriority w:val="0"/>
    <w:rPr>
      <w:rFonts w:eastAsia="仿宋_GB2312"/>
      <w:kern w:val="2"/>
      <w:sz w:val="18"/>
      <w:szCs w:val="18"/>
    </w:rPr>
  </w:style>
  <w:style w:type="character" w:customStyle="1" w:styleId="34">
    <w:name w:val="批注主题 Char"/>
    <w:basedOn w:val="32"/>
    <w:link w:val="21"/>
    <w:semiHidden/>
    <w:qFormat/>
    <w:uiPriority w:val="99"/>
    <w:rPr>
      <w:rFonts w:eastAsia="仿宋_GB2312"/>
      <w:b/>
      <w:bCs/>
      <w:kern w:val="2"/>
      <w:sz w:val="24"/>
      <w:szCs w:val="24"/>
    </w:rPr>
  </w:style>
  <w:style w:type="character" w:customStyle="1" w:styleId="35">
    <w:name w:val="文档结构图 Char"/>
    <w:basedOn w:val="24"/>
    <w:link w:val="6"/>
    <w:semiHidden/>
    <w:qFormat/>
    <w:uiPriority w:val="99"/>
    <w:rPr>
      <w:rFonts w:ascii="宋体"/>
      <w:kern w:val="2"/>
      <w:sz w:val="18"/>
      <w:szCs w:val="18"/>
    </w:rPr>
  </w:style>
  <w:style w:type="paragraph" w:customStyle="1" w:styleId="36">
    <w:name w:val="_Style 1"/>
    <w:basedOn w:val="1"/>
    <w:qFormat/>
    <w:uiPriority w:val="0"/>
    <w:rPr>
      <w:rFonts w:eastAsia="宋体"/>
      <w:sz w:val="21"/>
    </w:rPr>
  </w:style>
  <w:style w:type="paragraph" w:styleId="37">
    <w:name w:val="No Spacing"/>
    <w:qFormat/>
    <w:uiPriority w:val="1"/>
    <w:pPr>
      <w:widowControl w:val="0"/>
      <w:spacing w:line="360" w:lineRule="auto"/>
      <w:ind w:firstLine="200" w:firstLineChars="200"/>
      <w:outlineLvl w:val="2"/>
    </w:pPr>
    <w:rPr>
      <w:rFonts w:ascii="Times New Roman" w:hAnsi="Times New Roman" w:eastAsia="仿宋_GB2312" w:cs="Times New Roman"/>
      <w:kern w:val="2"/>
      <w:sz w:val="24"/>
      <w:szCs w:val="24"/>
      <w:lang w:val="en-US" w:eastAsia="zh-CN" w:bidi="ar-SA"/>
    </w:rPr>
  </w:style>
  <w:style w:type="paragraph" w:customStyle="1" w:styleId="38">
    <w:name w:val="TOC Heading"/>
    <w:basedOn w:val="2"/>
    <w:next w:val="1"/>
    <w:qFormat/>
    <w:uiPriority w:val="39"/>
    <w:pPr>
      <w:widowControl/>
      <w:spacing w:before="480" w:line="276" w:lineRule="auto"/>
      <w:outlineLvl w:val="9"/>
    </w:pPr>
    <w:rPr>
      <w:rFonts w:ascii="Cambria" w:hAnsi="Cambria" w:eastAsia="宋体"/>
      <w:color w:val="365F91"/>
      <w:kern w:val="0"/>
      <w:szCs w:val="28"/>
    </w:rPr>
  </w:style>
  <w:style w:type="paragraph" w:customStyle="1" w:styleId="39">
    <w:name w:val="列出段落1"/>
    <w:basedOn w:val="1"/>
    <w:qFormat/>
    <w:uiPriority w:val="34"/>
    <w:pPr>
      <w:ind w:firstLine="420"/>
    </w:pPr>
  </w:style>
  <w:style w:type="paragraph" w:styleId="40">
    <w:name w:val="List Paragraph"/>
    <w:basedOn w:val="1"/>
    <w:qFormat/>
    <w:uiPriority w:val="34"/>
    <w:pPr>
      <w:ind w:firstLine="420"/>
    </w:pPr>
  </w:style>
  <w:style w:type="paragraph" w:customStyle="1" w:styleId="41">
    <w:name w:val="Revision"/>
    <w:semiHidden/>
    <w:qFormat/>
    <w:uiPriority w:val="99"/>
    <w:rPr>
      <w:rFonts w:ascii="Times New Roman" w:hAnsi="Times New Roman" w:eastAsia="仿宋_GB2312" w:cs="Times New Roman"/>
      <w:kern w:val="2"/>
      <w:sz w:val="24"/>
      <w:szCs w:val="24"/>
      <w:lang w:val="en-US" w:eastAsia="zh-CN" w:bidi="ar-SA"/>
    </w:rPr>
  </w:style>
  <w:style w:type="character" w:customStyle="1" w:styleId="42">
    <w:name w:val="标题 2 Char"/>
    <w:basedOn w:val="24"/>
    <w:link w:val="3"/>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42E6F5-C633-4B15-917B-8A4A2F076E0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3228</Words>
  <Characters>3381</Characters>
  <Lines>68</Lines>
  <Paragraphs>19</Paragraphs>
  <TotalTime>1</TotalTime>
  <ScaleCrop>false</ScaleCrop>
  <LinksUpToDate>false</LinksUpToDate>
  <CharactersWithSpaces>3478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2017-03-14T02:32:00Z</dcterms:created>
  <dc:creator>lhn</dc:creator>
  <cp:lastModifiedBy>lovelife</cp:lastModifiedBy>
  <cp:lastPrinted>2015-12-10T09:13:00Z</cp:lastPrinted>
  <dcterms:modified xsi:type="dcterms:W3CDTF">2025-02-12T03:06:23Z</dcterms:modified>
  <dc:title>财政支出绩效评价报告</dc:title>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eyJoZGlkIjoiNjIzNWNjMjZkMzAxMzE3Y2FlN2ZmYjg5ZThkNDU3OWYiLCJ1c2VySWQiOiI1NjM2NjUzNzEifQ==</vt:lpwstr>
  </property>
  <property fmtid="{D5CDD505-2E9C-101B-9397-08002B2CF9AE}" pid="4" name="ICV">
    <vt:lpwstr>53A83F366AC544C8B4476F1248FC8C0B_12</vt:lpwstr>
  </property>
</Properties>
</file>