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方正仿宋简体"/>
          <w:bCs/>
          <w:sz w:val="32"/>
          <w:szCs w:val="32"/>
        </w:rPr>
      </w:pPr>
      <w:r>
        <w:rPr>
          <w:rFonts w:eastAsia="方正仿宋简体"/>
          <w:bCs/>
          <w:sz w:val="32"/>
          <w:szCs w:val="32"/>
        </w:rPr>
        <w:t>附件2</w:t>
      </w:r>
    </w:p>
    <w:p>
      <w:pPr>
        <w:jc w:val="center"/>
        <w:rPr>
          <w:bCs/>
          <w:sz w:val="36"/>
          <w:szCs w:val="44"/>
        </w:rPr>
      </w:pPr>
    </w:p>
    <w:p>
      <w:pPr>
        <w:spacing w:line="560" w:lineRule="exact"/>
        <w:jc w:val="center"/>
        <w:rPr>
          <w:szCs w:val="32"/>
        </w:rPr>
      </w:pPr>
      <w:r>
        <w:rPr>
          <w:rFonts w:hint="eastAsia" w:eastAsia="方正小标宋简体"/>
          <w:sz w:val="44"/>
          <w:szCs w:val="44"/>
          <w:lang w:eastAsia="zh-CN"/>
        </w:rPr>
        <w:t>区卫生和计划生育局重大公共卫生服务</w:t>
      </w:r>
      <w:r>
        <w:rPr>
          <w:rFonts w:eastAsia="方正小标宋简体"/>
          <w:sz w:val="44"/>
          <w:szCs w:val="44"/>
        </w:rPr>
        <w:t>项目支出201</w:t>
      </w:r>
      <w:r>
        <w:rPr>
          <w:rFonts w:hint="eastAsia" w:eastAsia="方正小标宋简体"/>
          <w:sz w:val="44"/>
          <w:szCs w:val="44"/>
        </w:rPr>
        <w:t>8</w:t>
      </w:r>
      <w:r>
        <w:rPr>
          <w:rFonts w:eastAsia="方正小标宋简体"/>
          <w:sz w:val="44"/>
          <w:szCs w:val="44"/>
        </w:rPr>
        <w:t>年度绩效自评报告</w:t>
      </w:r>
      <w:r>
        <w:rPr>
          <w:rFonts w:eastAsia="方正小标宋简体"/>
          <w:sz w:val="44"/>
          <w:szCs w:val="44"/>
        </w:rPr>
        <w:br w:type="textWrapping"/>
      </w:r>
    </w:p>
    <w:p>
      <w:pPr>
        <w:ind w:firstLine="640" w:firstLineChars="200"/>
        <w:outlineLvl w:val="0"/>
        <w:rPr>
          <w:rFonts w:eastAsia="黑体"/>
          <w:sz w:val="32"/>
          <w:szCs w:val="32"/>
        </w:rPr>
      </w:pPr>
      <w:r>
        <w:rPr>
          <w:rFonts w:eastAsia="黑体"/>
          <w:sz w:val="32"/>
          <w:szCs w:val="32"/>
        </w:rPr>
        <w:t>目录</w:t>
      </w:r>
    </w:p>
    <w:p>
      <w:pPr>
        <w:ind w:firstLine="640" w:firstLineChars="200"/>
        <w:outlineLvl w:val="0"/>
        <w:rPr>
          <w:rFonts w:eastAsia="黑体"/>
          <w:sz w:val="32"/>
          <w:szCs w:val="32"/>
        </w:rPr>
      </w:pPr>
      <w:r>
        <w:rPr>
          <w:rFonts w:eastAsia="黑体"/>
          <w:sz w:val="32"/>
          <w:szCs w:val="32"/>
        </w:rPr>
        <w:t>一、摘要</w:t>
      </w:r>
    </w:p>
    <w:p>
      <w:pPr>
        <w:ind w:firstLine="640" w:firstLineChars="200"/>
        <w:outlineLvl w:val="0"/>
        <w:rPr>
          <w:rFonts w:eastAsia="方正楷体简体"/>
          <w:sz w:val="32"/>
          <w:szCs w:val="32"/>
        </w:rPr>
      </w:pPr>
      <w:r>
        <w:rPr>
          <w:rFonts w:eastAsia="方正楷体简体"/>
          <w:sz w:val="32"/>
          <w:szCs w:val="32"/>
        </w:rPr>
        <w:t>（一）基本情况</w:t>
      </w:r>
    </w:p>
    <w:p>
      <w:pPr>
        <w:ind w:firstLine="640" w:firstLineChars="200"/>
        <w:outlineLvl w:val="0"/>
        <w:rPr>
          <w:rFonts w:eastAsia="方正仿宋简体"/>
          <w:sz w:val="32"/>
          <w:szCs w:val="32"/>
        </w:rPr>
      </w:pPr>
      <w:r>
        <w:rPr>
          <w:rFonts w:eastAsia="方正仿宋简体"/>
          <w:sz w:val="32"/>
          <w:szCs w:val="32"/>
        </w:rPr>
        <w:t>1.项目基本情况</w:t>
      </w:r>
      <w:r>
        <w:rPr>
          <w:rFonts w:hint="eastAsia" w:eastAsia="方正仿宋简体"/>
          <w:sz w:val="32"/>
          <w:szCs w:val="32"/>
          <w:lang w:eastAsia="zh-CN"/>
        </w:rPr>
        <w:t>。</w:t>
      </w:r>
    </w:p>
    <w:p>
      <w:pPr>
        <w:ind w:firstLine="640" w:firstLineChars="200"/>
        <w:outlineLvl w:val="0"/>
        <w:rPr>
          <w:rFonts w:eastAsia="方正仿宋简体"/>
          <w:sz w:val="32"/>
          <w:szCs w:val="32"/>
        </w:rPr>
      </w:pPr>
      <w:r>
        <w:rPr>
          <w:rFonts w:hint="eastAsia" w:eastAsia="方正仿宋简体"/>
          <w:sz w:val="32"/>
          <w:szCs w:val="32"/>
        </w:rPr>
        <w:t>重大公共卫生服务主要包括国家免疫计划、艾滋病、结核病、精神卫生综合管理等工作。</w:t>
      </w:r>
      <w:r>
        <w:rPr>
          <w:rFonts w:hint="eastAsia" w:eastAsia="方正仿宋简体"/>
          <w:sz w:val="32"/>
          <w:szCs w:val="32"/>
          <w:lang w:eastAsia="zh-CN"/>
        </w:rPr>
        <w:t>重点传染病</w:t>
      </w:r>
      <w:r>
        <w:rPr>
          <w:rFonts w:hint="eastAsia" w:eastAsia="方正仿宋简体"/>
          <w:sz w:val="32"/>
          <w:szCs w:val="32"/>
        </w:rPr>
        <w:t>的流行</w:t>
      </w:r>
      <w:r>
        <w:rPr>
          <w:rFonts w:hint="eastAsia" w:eastAsia="方正仿宋简体"/>
          <w:sz w:val="32"/>
          <w:szCs w:val="32"/>
          <w:lang w:eastAsia="zh-CN"/>
        </w:rPr>
        <w:t>会</w:t>
      </w:r>
      <w:r>
        <w:rPr>
          <w:rFonts w:hint="eastAsia" w:eastAsia="方正仿宋简体"/>
          <w:sz w:val="32"/>
          <w:szCs w:val="32"/>
        </w:rPr>
        <w:t>对</w:t>
      </w:r>
      <w:r>
        <w:rPr>
          <w:rFonts w:hint="eastAsia" w:eastAsia="方正仿宋简体"/>
          <w:sz w:val="32"/>
          <w:szCs w:val="32"/>
          <w:lang w:eastAsia="zh-CN"/>
        </w:rPr>
        <w:t>我</w:t>
      </w:r>
      <w:r>
        <w:rPr>
          <w:rFonts w:hint="eastAsia" w:eastAsia="方正仿宋简体"/>
          <w:sz w:val="32"/>
          <w:szCs w:val="32"/>
        </w:rPr>
        <w:t>区的社会稳定和经济发展带来不利影响，造成严重的社会经济负担，项目的实施为全面有效地落实各项防制措施，减少艾滋病</w:t>
      </w:r>
      <w:r>
        <w:rPr>
          <w:rFonts w:hint="eastAsia" w:eastAsia="方正仿宋简体"/>
          <w:sz w:val="32"/>
          <w:szCs w:val="32"/>
          <w:lang w:eastAsia="zh-CN"/>
        </w:rPr>
        <w:t>、结核病等疾病的</w:t>
      </w:r>
      <w:r>
        <w:rPr>
          <w:rFonts w:hint="eastAsia" w:eastAsia="方正仿宋简体"/>
          <w:sz w:val="32"/>
          <w:szCs w:val="32"/>
        </w:rPr>
        <w:t>新发感染，</w:t>
      </w:r>
      <w:r>
        <w:rPr>
          <w:rFonts w:hint="eastAsia" w:eastAsia="方正仿宋简体"/>
          <w:sz w:val="32"/>
          <w:szCs w:val="32"/>
          <w:lang w:eastAsia="zh-CN"/>
        </w:rPr>
        <w:t>提高现存患者的生存状态</w:t>
      </w:r>
      <w:r>
        <w:rPr>
          <w:rFonts w:hint="eastAsia" w:eastAsia="方正仿宋简体"/>
          <w:sz w:val="32"/>
          <w:szCs w:val="32"/>
        </w:rPr>
        <w:t>提供保障。各公共卫生专业机构不定期开展各项培训，提升服务质量；每季度组织一次督导，规范项目运行，2018年基本完成各项工作目标任务。</w:t>
      </w:r>
    </w:p>
    <w:p>
      <w:pPr>
        <w:numPr>
          <w:ilvl w:val="0"/>
          <w:numId w:val="1"/>
        </w:numPr>
        <w:ind w:firstLine="640" w:firstLineChars="200"/>
        <w:outlineLvl w:val="0"/>
        <w:rPr>
          <w:rFonts w:eastAsia="方正仿宋简体"/>
          <w:sz w:val="32"/>
          <w:szCs w:val="32"/>
        </w:rPr>
      </w:pPr>
      <w:r>
        <w:rPr>
          <w:rFonts w:eastAsia="方正仿宋简体"/>
          <w:sz w:val="32"/>
          <w:szCs w:val="32"/>
        </w:rPr>
        <w:t>绩效评价工作情况。</w:t>
      </w:r>
    </w:p>
    <w:p>
      <w:pPr>
        <w:numPr>
          <w:ilvl w:val="0"/>
          <w:numId w:val="0"/>
        </w:numPr>
        <w:outlineLvl w:val="0"/>
        <w:rPr>
          <w:rFonts w:eastAsia="方正仿宋简体"/>
          <w:sz w:val="32"/>
          <w:szCs w:val="32"/>
        </w:rPr>
      </w:pPr>
      <w:r>
        <w:rPr>
          <w:rFonts w:hint="eastAsia" w:eastAsia="方正仿宋简体"/>
          <w:sz w:val="32"/>
          <w:szCs w:val="32"/>
          <w:lang w:val="en-US" w:eastAsia="zh-CN"/>
        </w:rPr>
        <w:t xml:space="preserve">    </w:t>
      </w:r>
      <w:r>
        <w:rPr>
          <w:rFonts w:hint="eastAsia" w:eastAsia="方正仿宋简体"/>
          <w:sz w:val="32"/>
          <w:szCs w:val="32"/>
        </w:rPr>
        <w:t>各公共卫生专业机构每季度组织一次督导，</w:t>
      </w:r>
      <w:r>
        <w:rPr>
          <w:rFonts w:hint="eastAsia" w:eastAsia="方正仿宋简体"/>
          <w:sz w:val="32"/>
          <w:szCs w:val="32"/>
          <w:lang w:eastAsia="zh-CN"/>
        </w:rPr>
        <w:t>通过查看资料、电话访谈等方式，对各基层单位项目实施和进展情况进行考核，市级专业机构不定期对我区进行督导，通过层层督导培训，不断提升工作质量</w:t>
      </w:r>
      <w:r>
        <w:rPr>
          <w:rFonts w:hint="eastAsia" w:eastAsia="方正仿宋简体"/>
          <w:sz w:val="32"/>
          <w:szCs w:val="32"/>
        </w:rPr>
        <w:t>，2018年基本完成各项工作目标任务。</w:t>
      </w:r>
    </w:p>
    <w:p>
      <w:pPr>
        <w:ind w:firstLine="640" w:firstLineChars="200"/>
        <w:outlineLvl w:val="0"/>
        <w:rPr>
          <w:rFonts w:eastAsia="方正楷体简体"/>
          <w:sz w:val="32"/>
          <w:szCs w:val="32"/>
        </w:rPr>
      </w:pPr>
      <w:r>
        <w:rPr>
          <w:rFonts w:eastAsia="方正楷体简体"/>
          <w:sz w:val="32"/>
          <w:szCs w:val="32"/>
        </w:rPr>
        <w:t>（二）绩效评价结论</w:t>
      </w:r>
    </w:p>
    <w:p>
      <w:pPr>
        <w:ind w:firstLine="640" w:firstLineChars="200"/>
        <w:outlineLvl w:val="0"/>
        <w:rPr>
          <w:rFonts w:eastAsia="方正仿宋简体"/>
          <w:sz w:val="32"/>
          <w:szCs w:val="32"/>
        </w:rPr>
      </w:pPr>
      <w:r>
        <w:rPr>
          <w:rFonts w:hint="eastAsia" w:eastAsia="方正仿宋简体"/>
          <w:sz w:val="32"/>
          <w:szCs w:val="32"/>
          <w:lang w:eastAsia="zh-CN"/>
        </w:rPr>
        <w:t>通过项目开展，大部分任务指标都达到了要求，完成质量较好，运行保障有力，有效的维护了我区社会稳定和居民健康</w:t>
      </w:r>
      <w:r>
        <w:rPr>
          <w:rFonts w:hint="eastAsia" w:eastAsia="方正仿宋简体"/>
          <w:sz w:val="32"/>
          <w:szCs w:val="32"/>
        </w:rPr>
        <w:t>。</w:t>
      </w:r>
    </w:p>
    <w:p>
      <w:pPr>
        <w:ind w:firstLine="640" w:firstLineChars="200"/>
        <w:outlineLvl w:val="0"/>
        <w:rPr>
          <w:rFonts w:eastAsia="方正楷体简体"/>
          <w:sz w:val="32"/>
          <w:szCs w:val="32"/>
        </w:rPr>
      </w:pPr>
      <w:r>
        <w:rPr>
          <w:rFonts w:eastAsia="方正楷体简体"/>
          <w:sz w:val="32"/>
          <w:szCs w:val="32"/>
        </w:rPr>
        <w:t>（三）项目的经验与问题</w:t>
      </w:r>
    </w:p>
    <w:p>
      <w:pPr>
        <w:ind w:firstLine="640" w:firstLineChars="200"/>
        <w:outlineLvl w:val="0"/>
        <w:rPr>
          <w:rFonts w:eastAsia="方正仿宋简体"/>
          <w:sz w:val="32"/>
          <w:szCs w:val="32"/>
        </w:rPr>
      </w:pPr>
      <w:r>
        <w:rPr>
          <w:rFonts w:eastAsia="方正仿宋简体"/>
          <w:sz w:val="32"/>
          <w:szCs w:val="32"/>
        </w:rPr>
        <w:t>1.经验。</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①开展预防接种专项整治行动，规范疫苗管理。</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②多部门协作，加强严重精神障碍患者管理。</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③加强宣传，提高老年人体检覆盖面。</w:t>
      </w:r>
    </w:p>
    <w:p>
      <w:pPr>
        <w:numPr>
          <w:ilvl w:val="0"/>
          <w:numId w:val="2"/>
        </w:numPr>
        <w:ind w:firstLine="640" w:firstLineChars="200"/>
        <w:outlineLvl w:val="0"/>
        <w:rPr>
          <w:rFonts w:eastAsia="方正仿宋简体"/>
          <w:sz w:val="32"/>
          <w:szCs w:val="32"/>
        </w:rPr>
      </w:pPr>
      <w:r>
        <w:rPr>
          <w:rFonts w:eastAsia="方正仿宋简体"/>
          <w:sz w:val="32"/>
          <w:szCs w:val="32"/>
        </w:rPr>
        <w:t>问题。</w:t>
      </w:r>
    </w:p>
    <w:p>
      <w:pPr>
        <w:numPr>
          <w:ilvl w:val="0"/>
          <w:numId w:val="0"/>
        </w:numPr>
        <w:outlineLvl w:val="0"/>
        <w:rPr>
          <w:rFonts w:hint="eastAsia" w:eastAsia="方正仿宋简体"/>
          <w:sz w:val="32"/>
          <w:szCs w:val="32"/>
          <w:lang w:val="en-US" w:eastAsia="zh-CN"/>
        </w:rPr>
      </w:pPr>
      <w:r>
        <w:rPr>
          <w:rFonts w:hint="eastAsia" w:eastAsia="方正仿宋简体"/>
          <w:sz w:val="32"/>
          <w:szCs w:val="32"/>
          <w:lang w:val="en-US" w:eastAsia="zh-CN"/>
        </w:rPr>
        <w:t xml:space="preserve">    ①我区无专业精神卫生机构，导致患者流失，报病率低；我区缺乏精神专科医生，导致患者和家属依从性和信任感不足。</w:t>
      </w:r>
    </w:p>
    <w:p>
      <w:pPr>
        <w:numPr>
          <w:ilvl w:val="0"/>
          <w:numId w:val="0"/>
        </w:numPr>
        <w:outlineLvl w:val="0"/>
        <w:rPr>
          <w:rFonts w:hint="eastAsia" w:eastAsia="方正仿宋简体"/>
          <w:sz w:val="32"/>
          <w:szCs w:val="32"/>
          <w:lang w:val="en-US" w:eastAsia="zh-CN"/>
        </w:rPr>
      </w:pPr>
      <w:r>
        <w:rPr>
          <w:rFonts w:hint="eastAsia" w:eastAsia="方正仿宋简体"/>
          <w:sz w:val="32"/>
          <w:szCs w:val="32"/>
          <w:lang w:val="en-US" w:eastAsia="zh-CN"/>
        </w:rPr>
        <w:t xml:space="preserve">    ②老年人体检率不高。</w:t>
      </w:r>
    </w:p>
    <w:p>
      <w:pPr>
        <w:numPr>
          <w:ilvl w:val="0"/>
          <w:numId w:val="3"/>
        </w:numPr>
        <w:ind w:firstLine="640" w:firstLineChars="200"/>
        <w:outlineLvl w:val="0"/>
        <w:rPr>
          <w:rFonts w:eastAsia="方正楷体简体"/>
          <w:sz w:val="32"/>
          <w:szCs w:val="32"/>
        </w:rPr>
      </w:pPr>
      <w:r>
        <w:rPr>
          <w:rFonts w:eastAsia="方正楷体简体"/>
          <w:sz w:val="32"/>
          <w:szCs w:val="32"/>
        </w:rPr>
        <w:t>建议</w:t>
      </w:r>
    </w:p>
    <w:p>
      <w:pPr>
        <w:numPr>
          <w:ilvl w:val="0"/>
          <w:numId w:val="0"/>
        </w:numPr>
        <w:outlineLvl w:val="0"/>
        <w:rPr>
          <w:rFonts w:eastAsia="方正仿宋简体"/>
          <w:sz w:val="32"/>
          <w:szCs w:val="32"/>
        </w:rPr>
      </w:pPr>
      <w:r>
        <w:rPr>
          <w:rFonts w:hint="eastAsia" w:eastAsia="方正仿宋简体"/>
          <w:sz w:val="32"/>
          <w:szCs w:val="32"/>
          <w:lang w:val="en-US" w:eastAsia="zh-CN"/>
        </w:rPr>
        <w:t xml:space="preserve">    每年做区级预算的时候，不知道上级预算有多少，预算的为全年工作经费，造成部分项目资金预算过多，执行率不高，建议每年告知上级预算，或做区级预算时，预算经费为上级资金与本级资金合计，次年再根据实际情况调整预算</w:t>
      </w:r>
      <w:r>
        <w:rPr>
          <w:rFonts w:eastAsia="方正仿宋简体"/>
          <w:sz w:val="32"/>
          <w:szCs w:val="32"/>
        </w:rPr>
        <w:t>。</w:t>
      </w:r>
    </w:p>
    <w:p>
      <w:pPr>
        <w:ind w:firstLine="640" w:firstLineChars="200"/>
        <w:outlineLvl w:val="0"/>
        <w:rPr>
          <w:rFonts w:eastAsia="黑体"/>
          <w:sz w:val="32"/>
          <w:szCs w:val="32"/>
        </w:rPr>
      </w:pPr>
      <w:r>
        <w:rPr>
          <w:rFonts w:eastAsia="黑体"/>
          <w:sz w:val="32"/>
          <w:szCs w:val="32"/>
        </w:rPr>
        <w:t>二、正文</w:t>
      </w:r>
    </w:p>
    <w:p>
      <w:pPr>
        <w:ind w:firstLine="640" w:firstLineChars="200"/>
        <w:outlineLvl w:val="0"/>
        <w:rPr>
          <w:rFonts w:eastAsia="方正楷体简体"/>
          <w:sz w:val="32"/>
          <w:szCs w:val="32"/>
        </w:rPr>
      </w:pPr>
      <w:r>
        <w:rPr>
          <w:rFonts w:eastAsia="方正楷体简体"/>
          <w:sz w:val="32"/>
          <w:szCs w:val="32"/>
        </w:rPr>
        <w:t>（一）项目基本情况（2000字以内）</w:t>
      </w:r>
    </w:p>
    <w:p>
      <w:pPr>
        <w:ind w:firstLine="640" w:firstLineChars="200"/>
        <w:outlineLvl w:val="0"/>
        <w:rPr>
          <w:rFonts w:eastAsia="方正仿宋简体"/>
          <w:sz w:val="32"/>
          <w:szCs w:val="32"/>
        </w:rPr>
      </w:pPr>
      <w:r>
        <w:rPr>
          <w:rFonts w:eastAsia="方正仿宋简体"/>
          <w:sz w:val="32"/>
          <w:szCs w:val="32"/>
        </w:rPr>
        <w:t>1.项目立项背景和依据</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以艾滋病、结核病为代表的重大传染病在全球广泛流行，严重危害了人民群众的身体健康，已成为重大的公共卫生问题和社会问题。</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根据《传染病防治法》、《艾滋病防治条例》、《国务院关于进一步加强艾滋病防治工作的通知》（国发</w:t>
      </w:r>
      <w:r>
        <w:rPr>
          <w:rFonts w:hint="eastAsia" w:ascii="宋体" w:hAnsi="宋体" w:eastAsia="宋体" w:cs="宋体"/>
          <w:sz w:val="32"/>
          <w:szCs w:val="32"/>
          <w:lang w:eastAsia="zh-CN"/>
        </w:rPr>
        <w:t>〔</w:t>
      </w:r>
      <w:r>
        <w:rPr>
          <w:rFonts w:hint="eastAsia" w:eastAsia="方正仿宋简体"/>
          <w:sz w:val="32"/>
          <w:szCs w:val="32"/>
          <w:lang w:eastAsia="zh-CN"/>
        </w:rPr>
        <w:t>2010</w:t>
      </w:r>
      <w:r>
        <w:rPr>
          <w:rFonts w:hint="eastAsia" w:ascii="宋体" w:hAnsi="宋体" w:eastAsia="宋体" w:cs="宋体"/>
          <w:sz w:val="32"/>
          <w:szCs w:val="32"/>
          <w:lang w:eastAsia="zh-CN"/>
        </w:rPr>
        <w:t>〕</w:t>
      </w:r>
      <w:r>
        <w:rPr>
          <w:rFonts w:hint="eastAsia" w:eastAsia="方正仿宋简体"/>
          <w:sz w:val="32"/>
          <w:szCs w:val="32"/>
          <w:lang w:eastAsia="zh-CN"/>
        </w:rPr>
        <w:t>48号）、《关于印发 2014 年中央财政补助结核病项目实施方案的通知》（鄂卫生计生办通</w:t>
      </w:r>
      <w:r>
        <w:rPr>
          <w:rFonts w:hint="eastAsia" w:ascii="宋体" w:hAnsi="宋体" w:eastAsia="宋体" w:cs="宋体"/>
          <w:sz w:val="32"/>
          <w:szCs w:val="32"/>
          <w:lang w:eastAsia="zh-CN"/>
        </w:rPr>
        <w:t>〔</w:t>
      </w:r>
      <w:r>
        <w:rPr>
          <w:rFonts w:hint="eastAsia" w:eastAsia="方正仿宋简体"/>
          <w:sz w:val="32"/>
          <w:szCs w:val="32"/>
          <w:lang w:eastAsia="zh-CN"/>
        </w:rPr>
        <w:t>2014</w:t>
      </w:r>
      <w:r>
        <w:rPr>
          <w:rFonts w:hint="eastAsia" w:ascii="宋体" w:hAnsi="宋体" w:eastAsia="宋体" w:cs="宋体"/>
          <w:sz w:val="32"/>
          <w:szCs w:val="32"/>
          <w:lang w:eastAsia="zh-CN"/>
        </w:rPr>
        <w:t>〕</w:t>
      </w:r>
      <w:r>
        <w:rPr>
          <w:rFonts w:hint="eastAsia" w:eastAsia="方正仿宋简体"/>
          <w:sz w:val="32"/>
          <w:szCs w:val="32"/>
          <w:lang w:eastAsia="zh-CN"/>
        </w:rPr>
        <w:t>300 号）、《市人民政府关于进一步加强艾滋病防治工作的意见》（武政</w:t>
      </w:r>
      <w:r>
        <w:rPr>
          <w:rFonts w:hint="eastAsia" w:ascii="宋体" w:hAnsi="宋体" w:eastAsia="宋体" w:cs="宋体"/>
          <w:sz w:val="32"/>
          <w:szCs w:val="32"/>
          <w:lang w:eastAsia="zh-CN"/>
        </w:rPr>
        <w:t>〔</w:t>
      </w:r>
      <w:r>
        <w:rPr>
          <w:rFonts w:hint="eastAsia" w:eastAsia="方正仿宋简体"/>
          <w:sz w:val="32"/>
          <w:szCs w:val="32"/>
          <w:lang w:eastAsia="zh-CN"/>
        </w:rPr>
        <w:t>2012</w:t>
      </w:r>
      <w:r>
        <w:rPr>
          <w:rFonts w:hint="eastAsia" w:ascii="宋体" w:hAnsi="宋体" w:eastAsia="宋体" w:cs="宋体"/>
          <w:sz w:val="32"/>
          <w:szCs w:val="32"/>
          <w:lang w:eastAsia="zh-CN"/>
        </w:rPr>
        <w:t>〕</w:t>
      </w:r>
      <w:r>
        <w:rPr>
          <w:rFonts w:hint="eastAsia" w:eastAsia="方正仿宋简体"/>
          <w:sz w:val="32"/>
          <w:szCs w:val="32"/>
          <w:lang w:eastAsia="zh-CN"/>
        </w:rPr>
        <w:t>62号）、《市卫生局关于在全市实施扩大国家免疫规划的通知》（武卫</w:t>
      </w:r>
      <w:r>
        <w:rPr>
          <w:rFonts w:hint="eastAsia" w:ascii="宋体" w:hAnsi="宋体" w:eastAsia="宋体" w:cs="宋体"/>
          <w:sz w:val="32"/>
          <w:szCs w:val="32"/>
          <w:lang w:eastAsia="zh-CN"/>
        </w:rPr>
        <w:t>〔</w:t>
      </w:r>
      <w:r>
        <w:rPr>
          <w:rFonts w:hint="eastAsia" w:eastAsia="方正仿宋简体"/>
          <w:sz w:val="32"/>
          <w:szCs w:val="32"/>
          <w:lang w:eastAsia="zh-CN"/>
        </w:rPr>
        <w:t>2008</w:t>
      </w:r>
      <w:r>
        <w:rPr>
          <w:rFonts w:hint="eastAsia" w:ascii="宋体" w:hAnsi="宋体" w:eastAsia="宋体" w:cs="宋体"/>
          <w:sz w:val="32"/>
          <w:szCs w:val="32"/>
          <w:lang w:eastAsia="zh-CN"/>
        </w:rPr>
        <w:t>〕</w:t>
      </w:r>
      <w:r>
        <w:rPr>
          <w:rFonts w:hint="eastAsia" w:eastAsia="方正仿宋简体"/>
          <w:sz w:val="32"/>
          <w:szCs w:val="32"/>
          <w:lang w:eastAsia="zh-CN"/>
        </w:rPr>
        <w:t>170号）、《市卫生计生委关于印发武汉市精神障碍患者康复机构运行细则的通知》（武卫生计生</w:t>
      </w:r>
      <w:r>
        <w:rPr>
          <w:rFonts w:hint="eastAsia" w:ascii="宋体" w:hAnsi="宋体" w:eastAsia="宋体" w:cs="宋体"/>
          <w:sz w:val="32"/>
          <w:szCs w:val="32"/>
          <w:lang w:eastAsia="zh-CN"/>
        </w:rPr>
        <w:t>〔</w:t>
      </w:r>
      <w:r>
        <w:rPr>
          <w:rFonts w:hint="eastAsia" w:eastAsia="方正仿宋简体"/>
          <w:sz w:val="32"/>
          <w:szCs w:val="32"/>
          <w:lang w:eastAsia="zh-CN"/>
        </w:rPr>
        <w:t>2017</w:t>
      </w:r>
      <w:r>
        <w:rPr>
          <w:rFonts w:hint="eastAsia" w:ascii="宋体" w:hAnsi="宋体" w:eastAsia="宋体" w:cs="宋体"/>
          <w:sz w:val="32"/>
          <w:szCs w:val="32"/>
          <w:lang w:eastAsia="zh-CN"/>
        </w:rPr>
        <w:t>〕</w:t>
      </w:r>
      <w:r>
        <w:rPr>
          <w:rFonts w:hint="eastAsia" w:eastAsia="方正仿宋简体"/>
          <w:sz w:val="32"/>
          <w:szCs w:val="32"/>
          <w:lang w:eastAsia="zh-CN"/>
        </w:rPr>
        <w:t>35号）和《市卫生计生委 市民政局 市财政局关于印发武汉市65周岁以上老年人免费体检工作方案2016年版的通知》（武卫生计生</w:t>
      </w:r>
      <w:r>
        <w:rPr>
          <w:rFonts w:hint="eastAsia" w:ascii="宋体" w:hAnsi="宋体" w:eastAsia="宋体" w:cs="宋体"/>
          <w:sz w:val="32"/>
          <w:szCs w:val="32"/>
          <w:lang w:eastAsia="zh-CN"/>
        </w:rPr>
        <w:t>〔</w:t>
      </w:r>
      <w:r>
        <w:rPr>
          <w:rFonts w:hint="eastAsia" w:eastAsia="方正仿宋简体"/>
          <w:sz w:val="32"/>
          <w:szCs w:val="32"/>
          <w:lang w:eastAsia="zh-CN"/>
        </w:rPr>
        <w:t>2016</w:t>
      </w:r>
      <w:r>
        <w:rPr>
          <w:rFonts w:hint="eastAsia" w:ascii="宋体" w:hAnsi="宋体" w:eastAsia="宋体" w:cs="宋体"/>
          <w:sz w:val="32"/>
          <w:szCs w:val="32"/>
          <w:lang w:eastAsia="zh-CN"/>
        </w:rPr>
        <w:t>〕</w:t>
      </w:r>
      <w:r>
        <w:rPr>
          <w:rFonts w:hint="eastAsia" w:eastAsia="方正仿宋简体"/>
          <w:sz w:val="32"/>
          <w:szCs w:val="32"/>
          <w:lang w:eastAsia="zh-CN"/>
        </w:rPr>
        <w:t>9号）等文件精神，我区全面实施扩大国家免疫规划，更大范围地预防疾病和保护儿童的身体健康；促进各部门、全社会广泛参与遏制艾滋病疫情快速上升的趋势，保障人民身体健康和生命安全；心加强疫情信息的报告管理，落实结核病人报告、转诊、追踪、治疗和管理工作，落实各项防控措施；促进精神卫生工作和社区康复工作开展，维护社会和谐稳定；帮助老年人了解自身健康状况，指导老年人进行健康管理，提高老年人的健康水平和生活质量，提升我区居民的幸福感。</w:t>
      </w:r>
    </w:p>
    <w:p>
      <w:pPr>
        <w:numPr>
          <w:ilvl w:val="0"/>
          <w:numId w:val="4"/>
        </w:numPr>
        <w:ind w:firstLine="640" w:firstLineChars="200"/>
        <w:outlineLvl w:val="0"/>
        <w:rPr>
          <w:rFonts w:eastAsia="方正仿宋简体"/>
          <w:sz w:val="32"/>
          <w:szCs w:val="32"/>
        </w:rPr>
      </w:pPr>
      <w:r>
        <w:rPr>
          <w:rFonts w:eastAsia="方正仿宋简体"/>
          <w:sz w:val="32"/>
          <w:szCs w:val="32"/>
        </w:rPr>
        <w:t>项目绩效目标</w:t>
      </w:r>
    </w:p>
    <w:p>
      <w:pPr>
        <w:numPr>
          <w:ilvl w:val="0"/>
          <w:numId w:val="0"/>
        </w:numPr>
        <w:outlineLvl w:val="0"/>
        <w:rPr>
          <w:rFonts w:hint="eastAsia" w:eastAsia="方正仿宋简体"/>
          <w:sz w:val="32"/>
          <w:szCs w:val="32"/>
          <w:lang w:val="en-US" w:eastAsia="zh-CN"/>
        </w:rPr>
      </w:pPr>
      <w:r>
        <w:rPr>
          <w:rFonts w:hint="eastAsia" w:eastAsia="方正仿宋简体"/>
          <w:sz w:val="32"/>
          <w:szCs w:val="32"/>
          <w:lang w:val="en-US" w:eastAsia="zh-CN"/>
        </w:rPr>
        <w:t xml:space="preserve">    老年人体检率（目标值：67%），免疫规划接种量剂次（目标值：98110剂次），发现和治疗活动性肺结核患者（目标值：185人），</w:t>
      </w:r>
      <w:r>
        <w:rPr>
          <w:rFonts w:hint="eastAsia" w:eastAsia="方正仿宋简体"/>
          <w:sz w:val="32"/>
          <w:szCs w:val="32"/>
          <w:lang w:val="en-US" w:eastAsia="zh-CN"/>
        </w:rPr>
        <w:tab/>
      </w:r>
      <w:r>
        <w:rPr>
          <w:rFonts w:hint="eastAsia" w:eastAsia="方正仿宋简体"/>
          <w:sz w:val="32"/>
          <w:szCs w:val="32"/>
          <w:lang w:val="en-US" w:eastAsia="zh-CN"/>
        </w:rPr>
        <w:t>严重精神障碍患者报告患病人数（目标值：1476人），高危人群HIV检测人数（目标值：450人），严重精神障碍患者康复训练（目标值：10人）；严重精神障碍患者规范管理率（目标值：≥80%），免疫规划疫苗安全接种率（目标值：100%），肺结核和疑似肺结核患者报告总体到位率（目标值：≥95%），艾滋病抗病毒治疗覆盖率（目标值：≥86%）；免疫规划疫苗接种率（目标值：90%），严重精神障碍患者服药率（目标值：70%），肺结核免费治疗数（目标值：160人）；65岁老年人体检满意率（目标值：90%）。</w:t>
      </w:r>
    </w:p>
    <w:p>
      <w:pPr>
        <w:numPr>
          <w:ilvl w:val="0"/>
          <w:numId w:val="4"/>
        </w:numPr>
        <w:ind w:firstLine="640" w:firstLineChars="200"/>
        <w:outlineLvl w:val="0"/>
        <w:rPr>
          <w:rFonts w:eastAsia="方正仿宋简体"/>
          <w:sz w:val="32"/>
          <w:szCs w:val="32"/>
        </w:rPr>
      </w:pPr>
      <w:r>
        <w:rPr>
          <w:rFonts w:eastAsia="方正仿宋简体"/>
          <w:sz w:val="32"/>
          <w:szCs w:val="32"/>
        </w:rPr>
        <w:t>经费来源和使用情况</w:t>
      </w:r>
    </w:p>
    <w:p>
      <w:pPr>
        <w:numPr>
          <w:ilvl w:val="0"/>
          <w:numId w:val="0"/>
        </w:numPr>
        <w:outlineLvl w:val="0"/>
        <w:rPr>
          <w:rFonts w:hint="eastAsia" w:eastAsia="方正仿宋简体"/>
          <w:sz w:val="32"/>
          <w:szCs w:val="32"/>
          <w:lang w:val="en-US" w:eastAsia="zh-CN"/>
        </w:rPr>
      </w:pPr>
      <w:r>
        <w:rPr>
          <w:rFonts w:hint="eastAsia" w:eastAsia="方正仿宋简体"/>
          <w:sz w:val="32"/>
          <w:szCs w:val="32"/>
          <w:lang w:val="en-US" w:eastAsia="zh-CN"/>
        </w:rPr>
        <w:t xml:space="preserve">    重大公共卫生项目经费包含上级转移支付资金及区级预算资金。共下拨资金505.442万元。</w:t>
      </w:r>
    </w:p>
    <w:p>
      <w:pPr>
        <w:numPr>
          <w:ilvl w:val="0"/>
          <w:numId w:val="4"/>
        </w:numPr>
        <w:ind w:firstLine="640" w:firstLineChars="200"/>
        <w:outlineLvl w:val="0"/>
        <w:rPr>
          <w:rFonts w:eastAsia="方正仿宋简体"/>
          <w:sz w:val="32"/>
          <w:szCs w:val="32"/>
        </w:rPr>
      </w:pPr>
      <w:r>
        <w:rPr>
          <w:rFonts w:eastAsia="方正仿宋简体"/>
          <w:sz w:val="32"/>
          <w:szCs w:val="32"/>
        </w:rPr>
        <w:t>项目实施情况</w:t>
      </w:r>
    </w:p>
    <w:p>
      <w:pPr>
        <w:ind w:firstLine="640" w:firstLineChars="200"/>
        <w:outlineLvl w:val="0"/>
        <w:rPr>
          <w:rFonts w:hint="eastAsia" w:eastAsia="方正仿宋简体"/>
          <w:sz w:val="32"/>
          <w:szCs w:val="32"/>
          <w:lang w:val="en-US" w:eastAsia="zh-CN"/>
        </w:rPr>
      </w:pPr>
      <w:r>
        <w:rPr>
          <w:rFonts w:hint="eastAsia" w:eastAsia="方正仿宋简体"/>
          <w:sz w:val="32"/>
          <w:szCs w:val="32"/>
          <w:lang w:val="en-US" w:eastAsia="zh-CN"/>
        </w:rPr>
        <w:t>老年人体检率56.68%，免疫规划接种量113108剂次，发现和治疗活动性肺结核患者221人，严重精神障碍患者报告患病1261人，高危人群HIV检测466人，严重精神障碍患者康复训练10人；严重精神障碍患者规范管理率79%，免疫规划疫苗安全接种率100%，肺结核和疑似肺结核患者报告总体到位率96%，艾滋病抗病毒治疗覆盖率91%；免疫规划疫苗接种率99%，严重精神障碍患者服药率78.94%，肺结核免费治疗221人；65岁老年人体检满意率99%。</w:t>
      </w:r>
    </w:p>
    <w:p>
      <w:pPr>
        <w:ind w:firstLine="640" w:firstLineChars="200"/>
        <w:outlineLvl w:val="0"/>
        <w:rPr>
          <w:rFonts w:eastAsia="方正楷体简体"/>
          <w:sz w:val="32"/>
          <w:szCs w:val="32"/>
        </w:rPr>
      </w:pPr>
      <w:r>
        <w:rPr>
          <w:rFonts w:eastAsia="方正楷体简体"/>
          <w:sz w:val="32"/>
          <w:szCs w:val="32"/>
        </w:rPr>
        <w:t>（二）绩效评价工作情况</w:t>
      </w:r>
    </w:p>
    <w:p>
      <w:pPr>
        <w:ind w:firstLine="640" w:firstLineChars="200"/>
        <w:outlineLvl w:val="0"/>
        <w:rPr>
          <w:rFonts w:eastAsia="方正仿宋简体"/>
          <w:sz w:val="32"/>
          <w:szCs w:val="32"/>
        </w:rPr>
      </w:pPr>
      <w:r>
        <w:rPr>
          <w:rFonts w:eastAsia="方正仿宋简体"/>
          <w:sz w:val="32"/>
          <w:szCs w:val="32"/>
        </w:rPr>
        <w:t>1.绩效评价目的</w:t>
      </w:r>
      <w:r>
        <w:rPr>
          <w:rFonts w:hint="eastAsia" w:eastAsia="方正仿宋简体"/>
          <w:sz w:val="32"/>
          <w:szCs w:val="32"/>
          <w:lang w:eastAsia="zh-CN"/>
        </w:rPr>
        <w:t>：优化服务流程，促进项目落实，提升服务水平，提高服务的质量和效率。</w:t>
      </w:r>
    </w:p>
    <w:p>
      <w:pPr>
        <w:ind w:firstLine="640" w:firstLineChars="200"/>
        <w:outlineLvl w:val="0"/>
        <w:rPr>
          <w:rFonts w:eastAsia="方正仿宋简体"/>
          <w:sz w:val="32"/>
          <w:szCs w:val="32"/>
        </w:rPr>
      </w:pPr>
      <w:r>
        <w:rPr>
          <w:rFonts w:eastAsia="方正仿宋简体"/>
          <w:sz w:val="32"/>
          <w:szCs w:val="32"/>
        </w:rPr>
        <w:t>2.绩效评价框架</w:t>
      </w:r>
      <w:r>
        <w:rPr>
          <w:rFonts w:hint="eastAsia" w:eastAsia="方正仿宋简体"/>
          <w:sz w:val="32"/>
          <w:szCs w:val="32"/>
          <w:lang w:eastAsia="zh-CN"/>
        </w:rPr>
        <w:t>：绩效目标完成数量、工作质量和服务对象满意度。</w:t>
      </w:r>
    </w:p>
    <w:p>
      <w:pPr>
        <w:ind w:firstLine="640" w:firstLineChars="200"/>
        <w:outlineLvl w:val="0"/>
        <w:rPr>
          <w:rFonts w:eastAsia="方正仿宋简体"/>
          <w:sz w:val="32"/>
          <w:szCs w:val="32"/>
        </w:rPr>
      </w:pPr>
      <w:r>
        <w:rPr>
          <w:rFonts w:eastAsia="方正仿宋简体"/>
          <w:sz w:val="32"/>
          <w:szCs w:val="32"/>
        </w:rPr>
        <w:t>3.评价抽样情况概述</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我区按照各项工作相关法律法规、相关标准及规范性文件</w:t>
      </w:r>
      <w:r>
        <w:rPr>
          <w:rFonts w:hint="eastAsia" w:eastAsia="方正仿宋简体"/>
          <w:sz w:val="32"/>
          <w:szCs w:val="32"/>
        </w:rPr>
        <w:t>，采取单位自查、区级现场查看资料、电话核查等方式，对全区</w:t>
      </w:r>
      <w:r>
        <w:rPr>
          <w:rFonts w:hint="eastAsia" w:eastAsia="方正仿宋简体"/>
          <w:sz w:val="32"/>
          <w:szCs w:val="32"/>
          <w:lang w:eastAsia="zh-CN"/>
        </w:rPr>
        <w:t>各基层机构的绩效目标完成数量、工作质量和服务对象满意度</w:t>
      </w:r>
      <w:r>
        <w:rPr>
          <w:rFonts w:hint="eastAsia" w:eastAsia="方正仿宋简体"/>
          <w:sz w:val="32"/>
          <w:szCs w:val="32"/>
        </w:rPr>
        <w:t>等</w:t>
      </w:r>
      <w:r>
        <w:rPr>
          <w:rFonts w:hint="eastAsia" w:eastAsia="方正仿宋简体"/>
          <w:sz w:val="32"/>
          <w:szCs w:val="32"/>
          <w:lang w:eastAsia="zh-CN"/>
        </w:rPr>
        <w:t>工作</w:t>
      </w:r>
      <w:r>
        <w:rPr>
          <w:rFonts w:hint="eastAsia" w:eastAsia="方正仿宋简体"/>
          <w:sz w:val="32"/>
          <w:szCs w:val="32"/>
        </w:rPr>
        <w:t>内容进行检查。</w:t>
      </w:r>
      <w:r>
        <w:rPr>
          <w:rFonts w:hint="eastAsia" w:eastAsia="方正仿宋简体"/>
          <w:sz w:val="32"/>
          <w:szCs w:val="32"/>
          <w:lang w:eastAsia="zh-CN"/>
        </w:rPr>
        <w:t>检查发现，各单位服务意识和能力水平在不断提高，但各单位仍然存在规范掌握不全、工作表格填写不完整等问题。</w:t>
      </w:r>
    </w:p>
    <w:p>
      <w:pPr>
        <w:ind w:firstLine="640" w:firstLineChars="200"/>
        <w:outlineLvl w:val="0"/>
        <w:rPr>
          <w:rFonts w:eastAsia="方正楷体简体"/>
          <w:sz w:val="32"/>
          <w:szCs w:val="32"/>
        </w:rPr>
      </w:pPr>
      <w:r>
        <w:rPr>
          <w:rFonts w:eastAsia="方正楷体简体"/>
          <w:sz w:val="32"/>
          <w:szCs w:val="32"/>
        </w:rPr>
        <w:t>（三）绩效分析及评价结论</w:t>
      </w:r>
    </w:p>
    <w:p>
      <w:pPr>
        <w:ind w:firstLine="640" w:firstLineChars="200"/>
        <w:outlineLvl w:val="0"/>
        <w:rPr>
          <w:rFonts w:eastAsia="方正仿宋简体"/>
          <w:sz w:val="32"/>
          <w:szCs w:val="32"/>
        </w:rPr>
      </w:pPr>
      <w:r>
        <w:rPr>
          <w:rFonts w:eastAsia="方正仿宋简体"/>
          <w:sz w:val="32"/>
          <w:szCs w:val="32"/>
        </w:rPr>
        <w:t>1.绩效分析</w:t>
      </w:r>
    </w:p>
    <w:p>
      <w:pPr>
        <w:ind w:firstLine="640" w:firstLineChars="200"/>
        <w:outlineLvl w:val="0"/>
        <w:rPr>
          <w:rFonts w:hint="eastAsia" w:eastAsia="方正仿宋简体"/>
          <w:sz w:val="32"/>
          <w:szCs w:val="32"/>
        </w:rPr>
      </w:pPr>
      <w:r>
        <w:rPr>
          <w:rFonts w:hint="eastAsia" w:eastAsia="方正仿宋简体"/>
          <w:sz w:val="32"/>
          <w:szCs w:val="32"/>
          <w:lang w:eastAsia="zh-CN"/>
        </w:rPr>
        <w:t>按照相关法律法规、规范性文件和相关标准，</w:t>
      </w:r>
      <w:r>
        <w:rPr>
          <w:rFonts w:hint="eastAsia" w:eastAsia="方正仿宋简体"/>
          <w:sz w:val="32"/>
          <w:szCs w:val="32"/>
        </w:rPr>
        <w:t>各公共卫生专业机构</w:t>
      </w:r>
      <w:r>
        <w:rPr>
          <w:rFonts w:hint="eastAsia" w:eastAsia="方正仿宋简体"/>
          <w:sz w:val="32"/>
          <w:szCs w:val="32"/>
          <w:lang w:eastAsia="zh-CN"/>
        </w:rPr>
        <w:t>对相关工作进行培训和</w:t>
      </w:r>
      <w:r>
        <w:rPr>
          <w:rFonts w:hint="eastAsia" w:eastAsia="方正仿宋简体"/>
          <w:sz w:val="32"/>
          <w:szCs w:val="32"/>
        </w:rPr>
        <w:t>督导，</w:t>
      </w:r>
      <w:r>
        <w:rPr>
          <w:rFonts w:hint="eastAsia" w:eastAsia="方正仿宋简体"/>
          <w:sz w:val="32"/>
          <w:szCs w:val="32"/>
          <w:lang w:eastAsia="zh-CN"/>
        </w:rPr>
        <w:t>指出工作存在的问题，并督促整改，提升服务质量</w:t>
      </w:r>
      <w:r>
        <w:rPr>
          <w:rFonts w:hint="eastAsia" w:eastAsia="方正仿宋简体"/>
          <w:sz w:val="32"/>
          <w:szCs w:val="32"/>
        </w:rPr>
        <w:t>。</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我区基本完成各项工作任务，但部分指标未达标，原因分析：</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①老年人体检率：群众对基础项目的体检需求不高，对基层医疗卫生机构信任感不足，部分老年人拒绝到基层单位体检。</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②严重精神障碍患者报病人数：国家精神病报病系统信息连接不成熟，无法从网上获取病人完整资料；我区无专业精神病防治机构，无法及时发现辖区病人；流动人口偏多，且以年轻打工人群为主，严重精神障碍患者相对较少。</w:t>
      </w:r>
      <w:bookmarkStart w:id="0" w:name="_GoBack"/>
      <w:bookmarkEnd w:id="0"/>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③严重精神障碍患者规范管理率：部分医务人员对规范管理理解错误，随访时间间隔过长，部分患者不配合体检工作，导致规范管理率较低。</w:t>
      </w:r>
    </w:p>
    <w:p>
      <w:pPr>
        <w:ind w:firstLine="640" w:firstLineChars="200"/>
        <w:outlineLvl w:val="0"/>
        <w:rPr>
          <w:rFonts w:eastAsia="方正仿宋简体"/>
          <w:sz w:val="32"/>
          <w:szCs w:val="32"/>
        </w:rPr>
      </w:pPr>
      <w:r>
        <w:rPr>
          <w:rFonts w:eastAsia="方正仿宋简体"/>
          <w:sz w:val="32"/>
          <w:szCs w:val="32"/>
        </w:rPr>
        <w:t>2.评价结论</w:t>
      </w:r>
    </w:p>
    <w:p>
      <w:pPr>
        <w:ind w:firstLine="640" w:firstLineChars="200"/>
        <w:outlineLvl w:val="0"/>
        <w:rPr>
          <w:rFonts w:eastAsia="方正仿宋简体"/>
          <w:sz w:val="32"/>
          <w:szCs w:val="32"/>
        </w:rPr>
      </w:pPr>
      <w:r>
        <w:rPr>
          <w:rFonts w:eastAsia="方正仿宋简体"/>
          <w:sz w:val="32"/>
          <w:szCs w:val="32"/>
        </w:rPr>
        <w:t>（1）评分结果。</w:t>
      </w:r>
      <w:r>
        <w:rPr>
          <w:rFonts w:hint="eastAsia" w:eastAsia="方正仿宋简体"/>
          <w:sz w:val="32"/>
          <w:szCs w:val="32"/>
        </w:rPr>
        <w:t>2018年全区各基层机构</w:t>
      </w:r>
      <w:r>
        <w:rPr>
          <w:rFonts w:hint="eastAsia" w:eastAsia="方正仿宋简体"/>
          <w:sz w:val="32"/>
          <w:szCs w:val="32"/>
          <w:lang w:eastAsia="zh-CN"/>
        </w:rPr>
        <w:t>老年人体检工作</w:t>
      </w:r>
      <w:r>
        <w:rPr>
          <w:rFonts w:hint="eastAsia" w:eastAsia="方正仿宋简体"/>
          <w:sz w:val="32"/>
          <w:szCs w:val="32"/>
        </w:rPr>
        <w:t>年度考核得分平均分为</w:t>
      </w:r>
      <w:r>
        <w:rPr>
          <w:rFonts w:hint="eastAsia" w:eastAsia="方正仿宋简体"/>
          <w:sz w:val="32"/>
          <w:szCs w:val="32"/>
          <w:lang w:val="en-US" w:eastAsia="zh-CN"/>
        </w:rPr>
        <w:t>90.4</w:t>
      </w:r>
      <w:r>
        <w:rPr>
          <w:rFonts w:hint="eastAsia" w:eastAsia="方正仿宋简体"/>
          <w:sz w:val="32"/>
          <w:szCs w:val="32"/>
        </w:rPr>
        <w:t>（满分100分），</w:t>
      </w:r>
      <w:r>
        <w:rPr>
          <w:rFonts w:hint="eastAsia" w:eastAsia="方正仿宋简体"/>
          <w:sz w:val="32"/>
          <w:szCs w:val="32"/>
          <w:lang w:val="en-US" w:eastAsia="zh-CN"/>
        </w:rPr>
        <w:t>90</w:t>
      </w:r>
      <w:r>
        <w:rPr>
          <w:rFonts w:hint="eastAsia" w:eastAsia="方正仿宋简体"/>
          <w:sz w:val="32"/>
          <w:szCs w:val="32"/>
        </w:rPr>
        <w:t>分以上的机构占</w:t>
      </w:r>
      <w:r>
        <w:rPr>
          <w:rFonts w:hint="eastAsia" w:eastAsia="方正仿宋简体"/>
          <w:sz w:val="32"/>
          <w:szCs w:val="32"/>
          <w:lang w:val="en-US" w:eastAsia="zh-CN"/>
        </w:rPr>
        <w:t>6</w:t>
      </w:r>
      <w:r>
        <w:rPr>
          <w:rFonts w:hint="eastAsia" w:eastAsia="方正仿宋简体"/>
          <w:sz w:val="32"/>
          <w:szCs w:val="32"/>
        </w:rPr>
        <w:t>0%。</w:t>
      </w:r>
    </w:p>
    <w:p>
      <w:pPr>
        <w:ind w:firstLine="640" w:firstLineChars="200"/>
        <w:outlineLvl w:val="0"/>
        <w:rPr>
          <w:rFonts w:eastAsia="方正仿宋简体"/>
          <w:sz w:val="32"/>
          <w:szCs w:val="32"/>
        </w:rPr>
      </w:pPr>
      <w:r>
        <w:rPr>
          <w:rFonts w:eastAsia="方正仿宋简体"/>
          <w:sz w:val="32"/>
          <w:szCs w:val="32"/>
        </w:rPr>
        <w:t>（2）主要结论。</w:t>
      </w:r>
      <w:r>
        <w:rPr>
          <w:rFonts w:hint="eastAsia" w:eastAsia="方正仿宋简体"/>
          <w:sz w:val="32"/>
          <w:szCs w:val="32"/>
        </w:rPr>
        <w:t>2018年</w:t>
      </w:r>
      <w:r>
        <w:rPr>
          <w:rFonts w:hint="eastAsia" w:eastAsia="方正仿宋简体"/>
          <w:sz w:val="32"/>
          <w:szCs w:val="32"/>
          <w:lang w:eastAsia="zh-CN"/>
        </w:rPr>
        <w:t>的工作在市卫生计生委的领导下和市级专业机构的指导下，围绕201</w:t>
      </w:r>
      <w:r>
        <w:rPr>
          <w:rFonts w:hint="eastAsia" w:eastAsia="方正仿宋简体"/>
          <w:sz w:val="32"/>
          <w:szCs w:val="32"/>
          <w:lang w:val="en-US" w:eastAsia="zh-CN"/>
        </w:rPr>
        <w:t>8</w:t>
      </w:r>
      <w:r>
        <w:rPr>
          <w:rFonts w:hint="eastAsia" w:eastAsia="方正仿宋简体"/>
          <w:sz w:val="32"/>
          <w:szCs w:val="32"/>
          <w:lang w:eastAsia="zh-CN"/>
        </w:rPr>
        <w:t>年工作目标，我区进一步完善疾病预防控制体系，认真履行相关工作职能，落实重大疾病防控措施，我区做了大量的相关工作：沌阳街卫生院和军山街卫生院的阳光驿站与第三方公益组织签订购买服务协议，为辖区符合条件的严重精神障碍患者提供康复服务；汉南片区实行结核病“三位一体”管理，提高服务水平；开展预防接种专项整治行动，提高我区预防接种服务水平，开展预防接种、结核病防治、艾滋病防治等专项宣传活动，提高相关知识知晓率，降低相关疾病的发病率。我区基本完成各项工作任务。</w:t>
      </w:r>
    </w:p>
    <w:p>
      <w:pPr>
        <w:ind w:firstLine="640" w:firstLineChars="200"/>
        <w:outlineLvl w:val="0"/>
        <w:rPr>
          <w:rFonts w:eastAsia="方正楷体简体"/>
          <w:sz w:val="32"/>
          <w:szCs w:val="32"/>
        </w:rPr>
      </w:pPr>
      <w:r>
        <w:rPr>
          <w:rFonts w:eastAsia="方正楷体简体"/>
          <w:sz w:val="32"/>
          <w:szCs w:val="32"/>
        </w:rPr>
        <w:t>（四）主要经验及做法、存在的问题和建议</w:t>
      </w:r>
    </w:p>
    <w:p>
      <w:pPr>
        <w:ind w:firstLine="640" w:firstLineChars="200"/>
        <w:outlineLvl w:val="0"/>
        <w:rPr>
          <w:rFonts w:eastAsia="方正仿宋简体"/>
          <w:sz w:val="32"/>
          <w:szCs w:val="32"/>
        </w:rPr>
      </w:pPr>
      <w:r>
        <w:rPr>
          <w:rFonts w:eastAsia="方正仿宋简体"/>
          <w:sz w:val="32"/>
          <w:szCs w:val="32"/>
        </w:rPr>
        <w:t>1.主要经验及做法</w:t>
      </w:r>
    </w:p>
    <w:p>
      <w:pPr>
        <w:ind w:firstLine="640" w:firstLineChars="200"/>
        <w:outlineLvl w:val="0"/>
        <w:rPr>
          <w:rFonts w:hint="eastAsia" w:eastAsia="方正仿宋简体"/>
          <w:sz w:val="32"/>
          <w:szCs w:val="32"/>
        </w:rPr>
      </w:pPr>
      <w:r>
        <w:rPr>
          <w:rFonts w:hint="eastAsia" w:eastAsia="方正仿宋简体"/>
          <w:sz w:val="32"/>
          <w:szCs w:val="32"/>
        </w:rPr>
        <w:t>①开展预防接种专项整治行动，规范疫苗管理</w:t>
      </w:r>
    </w:p>
    <w:p>
      <w:pPr>
        <w:ind w:firstLine="640" w:firstLineChars="200"/>
        <w:outlineLvl w:val="0"/>
        <w:rPr>
          <w:rFonts w:hint="eastAsia" w:eastAsia="方正仿宋简体"/>
          <w:sz w:val="32"/>
          <w:szCs w:val="32"/>
        </w:rPr>
      </w:pPr>
      <w:r>
        <w:rPr>
          <w:rFonts w:hint="eastAsia" w:eastAsia="方正仿宋简体"/>
          <w:sz w:val="32"/>
          <w:szCs w:val="32"/>
        </w:rPr>
        <w:t>为进一步规范疫苗管理，投入44.91万元，对全区所有接种门诊及产科接种点的疫苗全程追溯系统进行了增补，实现了全覆盖，无死角的疫苗冷链及全程追溯监测。为18家预防接种门诊共采购26台医用冷藏箱及温度计，及时补充、更新了冷链设备。长春长生疫苗事件发生后，我区积极应对，制定了应急处置工作预案，对全区18家接种单位及产科接种点进行了多轮专项督导，并对督导发现的问题限期整改。</w:t>
      </w:r>
    </w:p>
    <w:p>
      <w:pPr>
        <w:ind w:firstLine="640" w:firstLineChars="200"/>
        <w:outlineLvl w:val="0"/>
        <w:rPr>
          <w:rFonts w:hint="eastAsia" w:eastAsia="方正仿宋简体"/>
          <w:sz w:val="32"/>
          <w:szCs w:val="32"/>
        </w:rPr>
      </w:pPr>
      <w:r>
        <w:rPr>
          <w:rFonts w:hint="eastAsia" w:eastAsia="方正仿宋简体"/>
          <w:sz w:val="32"/>
          <w:szCs w:val="32"/>
        </w:rPr>
        <w:t>②多部门协作，加强严重精神障碍患者管理</w:t>
      </w:r>
    </w:p>
    <w:p>
      <w:pPr>
        <w:ind w:firstLine="640" w:firstLineChars="200"/>
        <w:outlineLvl w:val="0"/>
        <w:rPr>
          <w:rFonts w:hint="eastAsia" w:eastAsia="方正仿宋简体"/>
          <w:sz w:val="32"/>
          <w:szCs w:val="32"/>
        </w:rPr>
      </w:pPr>
      <w:r>
        <w:rPr>
          <w:rFonts w:hint="eastAsia" w:eastAsia="方正仿宋简体"/>
          <w:sz w:val="32"/>
          <w:szCs w:val="32"/>
        </w:rPr>
        <w:t>针对我区严重精神障碍患者报告患病率低的问题，区卫计局与综治、民政、公安等部门协作，信息共享，开展患者信息专项比对工作，对发现的确认患者，指导和督促社区上门或电话核实情况，开展患者的社区管理。我区采取日常督导和重点指导相结合的方式，规范严重精神障碍患者的管理，并两次聘请武汉市精神卫生中心专家对开展专业培训。</w:t>
      </w:r>
    </w:p>
    <w:p>
      <w:pPr>
        <w:ind w:firstLine="640" w:firstLineChars="200"/>
        <w:outlineLvl w:val="0"/>
        <w:rPr>
          <w:rFonts w:hint="eastAsia" w:eastAsia="方正仿宋简体"/>
          <w:sz w:val="32"/>
          <w:szCs w:val="32"/>
          <w:lang w:eastAsia="zh-CN"/>
        </w:rPr>
      </w:pPr>
      <w:r>
        <w:rPr>
          <w:rFonts w:hint="eastAsia" w:eastAsia="方正仿宋简体"/>
          <w:sz w:val="32"/>
          <w:szCs w:val="32"/>
        </w:rPr>
        <w:t>③加强宣传，</w:t>
      </w:r>
      <w:r>
        <w:rPr>
          <w:rFonts w:hint="eastAsia" w:eastAsia="方正仿宋简体"/>
          <w:sz w:val="32"/>
          <w:szCs w:val="32"/>
          <w:lang w:eastAsia="zh-CN"/>
        </w:rPr>
        <w:t>提高老年人体检覆盖面</w:t>
      </w:r>
    </w:p>
    <w:p>
      <w:pPr>
        <w:ind w:firstLine="640" w:firstLineChars="200"/>
        <w:outlineLvl w:val="0"/>
        <w:rPr>
          <w:rFonts w:hint="eastAsia" w:eastAsia="方正仿宋简体"/>
          <w:sz w:val="32"/>
          <w:szCs w:val="32"/>
          <w:lang w:eastAsia="zh-CN"/>
        </w:rPr>
      </w:pPr>
      <w:r>
        <w:rPr>
          <w:rFonts w:hint="eastAsia" w:eastAsia="方正仿宋简体"/>
          <w:sz w:val="32"/>
          <w:szCs w:val="32"/>
          <w:lang w:eastAsia="zh-CN"/>
        </w:rPr>
        <w:t>区卫计局联合区民政局、区财政局印发了《武汉开发区（汉南区）65周岁以上老年人免费体检工作方案2018年版的通知》，并组织区卫计局、民政局、财政局相关领导、区疾控中心主任及专业人员、各街道分管主任、各体检定点机构主要负责人召开65周岁以上老年人免费体检工作启动会。区卫计局每月组织区疾控中心对各体检机构的工作进行督导和质控，并多次组织培训会、推进会，全区老年人体检工作真实度较高、档案质量日趋规范。</w:t>
      </w:r>
    </w:p>
    <w:p>
      <w:pPr>
        <w:numPr>
          <w:ilvl w:val="0"/>
          <w:numId w:val="5"/>
        </w:numPr>
        <w:ind w:firstLine="640" w:firstLineChars="200"/>
        <w:outlineLvl w:val="0"/>
        <w:rPr>
          <w:rFonts w:eastAsia="方正仿宋简体"/>
          <w:sz w:val="32"/>
          <w:szCs w:val="32"/>
        </w:rPr>
      </w:pPr>
      <w:r>
        <w:rPr>
          <w:rFonts w:eastAsia="方正仿宋简体"/>
          <w:sz w:val="32"/>
          <w:szCs w:val="32"/>
        </w:rPr>
        <w:t>存在的问题及原因分析</w:t>
      </w:r>
    </w:p>
    <w:p>
      <w:pPr>
        <w:numPr>
          <w:ilvl w:val="0"/>
          <w:numId w:val="0"/>
        </w:numPr>
        <w:outlineLvl w:val="0"/>
        <w:rPr>
          <w:rFonts w:hint="eastAsia" w:eastAsia="方正仿宋简体"/>
          <w:sz w:val="32"/>
          <w:szCs w:val="32"/>
          <w:lang w:val="en-US" w:eastAsia="zh-CN"/>
        </w:rPr>
      </w:pPr>
      <w:r>
        <w:rPr>
          <w:rFonts w:hint="eastAsia" w:eastAsia="方正仿宋简体"/>
          <w:sz w:val="32"/>
          <w:szCs w:val="32"/>
          <w:lang w:val="en-US" w:eastAsia="zh-CN"/>
        </w:rPr>
        <w:t xml:space="preserve">    ①我区无精神病、结核病等专业机构，区疾控中心存在工作人员不足、专业水平不高等问题，使我区部分工作进度滞后，工作质量不够高。</w:t>
      </w:r>
    </w:p>
    <w:p>
      <w:pPr>
        <w:numPr>
          <w:ilvl w:val="0"/>
          <w:numId w:val="0"/>
        </w:numPr>
        <w:outlineLvl w:val="0"/>
        <w:rPr>
          <w:rFonts w:hint="eastAsia" w:eastAsia="方正仿宋简体"/>
          <w:sz w:val="32"/>
          <w:szCs w:val="32"/>
          <w:lang w:val="en-US" w:eastAsia="zh-CN"/>
        </w:rPr>
      </w:pPr>
      <w:r>
        <w:rPr>
          <w:rFonts w:hint="eastAsia" w:eastAsia="方正仿宋简体"/>
          <w:sz w:val="32"/>
          <w:szCs w:val="32"/>
          <w:lang w:val="en-US" w:eastAsia="zh-CN"/>
        </w:rPr>
        <w:t xml:space="preserve">    ②部分基层机构工作人员存在能力不足、服务不规范、服务质量不高等问题。</w:t>
      </w:r>
    </w:p>
    <w:p>
      <w:pPr>
        <w:numPr>
          <w:ilvl w:val="0"/>
          <w:numId w:val="0"/>
        </w:numPr>
        <w:ind w:firstLine="640"/>
        <w:outlineLvl w:val="0"/>
        <w:rPr>
          <w:rFonts w:hint="eastAsia" w:eastAsia="方正仿宋简体"/>
          <w:sz w:val="32"/>
          <w:szCs w:val="32"/>
          <w:lang w:val="en-US" w:eastAsia="zh-CN"/>
        </w:rPr>
      </w:pPr>
      <w:r>
        <w:rPr>
          <w:rFonts w:hint="eastAsia" w:eastAsia="方正仿宋简体"/>
          <w:sz w:val="32"/>
          <w:szCs w:val="32"/>
          <w:lang w:val="en-US" w:eastAsia="zh-CN"/>
        </w:rPr>
        <w:t>③老年人体检率、严重精神障碍患者报病人数和规范管理率等指标未完成。</w:t>
      </w:r>
    </w:p>
    <w:p>
      <w:pPr>
        <w:numPr>
          <w:ilvl w:val="0"/>
          <w:numId w:val="5"/>
        </w:numPr>
        <w:ind w:firstLine="640" w:firstLineChars="200"/>
        <w:outlineLvl w:val="0"/>
        <w:rPr>
          <w:rFonts w:eastAsia="方正仿宋简体"/>
          <w:sz w:val="32"/>
          <w:szCs w:val="32"/>
        </w:rPr>
      </w:pPr>
      <w:r>
        <w:rPr>
          <w:rFonts w:eastAsia="方正仿宋简体"/>
          <w:sz w:val="32"/>
          <w:szCs w:val="32"/>
        </w:rPr>
        <w:t>建议</w:t>
      </w:r>
    </w:p>
    <w:p>
      <w:pPr>
        <w:numPr>
          <w:ilvl w:val="0"/>
          <w:numId w:val="0"/>
        </w:numPr>
        <w:outlineLvl w:val="0"/>
        <w:rPr>
          <w:rFonts w:hint="eastAsia" w:eastAsia="方正仿宋简体"/>
          <w:sz w:val="32"/>
          <w:szCs w:val="32"/>
          <w:lang w:val="en-US" w:eastAsia="zh-CN"/>
        </w:rPr>
      </w:pPr>
      <w:r>
        <w:rPr>
          <w:rFonts w:hint="eastAsia" w:eastAsia="方正仿宋简体"/>
          <w:sz w:val="32"/>
          <w:szCs w:val="32"/>
          <w:lang w:val="en-US" w:eastAsia="zh-CN"/>
        </w:rPr>
        <w:t xml:space="preserve">    ①推进疾控体系建设，切实发挥公共卫生专业机构的职能作用，加强对基层医疗机构考核督导的同时，增加各类业务的培训，调动各基层医疗机构的积极性，提升整体公共卫生服务能力。</w:t>
      </w:r>
    </w:p>
    <w:p>
      <w:pPr>
        <w:numPr>
          <w:ilvl w:val="0"/>
          <w:numId w:val="0"/>
        </w:numPr>
        <w:outlineLvl w:val="0"/>
        <w:rPr>
          <w:rFonts w:hint="eastAsia" w:eastAsia="方正仿宋简体"/>
          <w:sz w:val="32"/>
          <w:szCs w:val="32"/>
          <w:lang w:val="en-US" w:eastAsia="zh-CN"/>
        </w:rPr>
      </w:pPr>
      <w:r>
        <w:rPr>
          <w:rFonts w:hint="eastAsia" w:eastAsia="方正仿宋简体"/>
          <w:sz w:val="32"/>
          <w:szCs w:val="32"/>
          <w:lang w:val="en-US" w:eastAsia="zh-CN"/>
        </w:rPr>
        <w:t xml:space="preserve">    ②争取多部门配合，联防联控。加强与综治、公安、教育、民政、农业、街道等部门联系，明确职责分工，将各类卫生惠民政策和防病知识进行全覆盖宣传，有组织有计划的开展各类防病、检测等工作，满足群众健康需求，提升群众满意度。</w:t>
      </w:r>
    </w:p>
    <w:p>
      <w:pPr>
        <w:ind w:firstLine="640" w:firstLineChars="200"/>
        <w:outlineLvl w:val="0"/>
        <w:rPr>
          <w:rFonts w:eastAsia="方正楷体简体"/>
          <w:sz w:val="32"/>
          <w:szCs w:val="32"/>
        </w:rPr>
      </w:pPr>
      <w:r>
        <w:rPr>
          <w:rFonts w:eastAsia="方正楷体简体"/>
          <w:sz w:val="32"/>
          <w:szCs w:val="32"/>
        </w:rPr>
        <w:t>（五）其他需说明的问题</w:t>
      </w:r>
    </w:p>
    <w:p>
      <w:pPr>
        <w:ind w:firstLine="640" w:firstLineChars="200"/>
        <w:outlineLvl w:val="0"/>
        <w:rPr>
          <w:rFonts w:eastAsia="方正仿宋简体"/>
          <w:sz w:val="32"/>
          <w:szCs w:val="32"/>
        </w:rPr>
      </w:pPr>
      <w:r>
        <w:rPr>
          <w:rFonts w:eastAsia="方正仿宋简体"/>
          <w:sz w:val="32"/>
          <w:szCs w:val="32"/>
        </w:rPr>
        <w:t>本次绩效评价的局限性等。</w:t>
      </w:r>
    </w:p>
    <w:p>
      <w:pPr>
        <w:ind w:firstLine="640" w:firstLineChars="200"/>
        <w:outlineLvl w:val="0"/>
        <w:rPr>
          <w:rFonts w:eastAsia="方正楷体简体"/>
          <w:sz w:val="32"/>
          <w:szCs w:val="32"/>
        </w:rPr>
      </w:pPr>
      <w:r>
        <w:rPr>
          <w:rFonts w:eastAsia="方正楷体简体"/>
          <w:sz w:val="32"/>
          <w:szCs w:val="32"/>
        </w:rPr>
        <w:t>（六）附件</w:t>
      </w:r>
    </w:p>
    <w:p>
      <w:pPr>
        <w:ind w:firstLine="640" w:firstLineChars="200"/>
        <w:outlineLvl w:val="0"/>
        <w:rPr>
          <w:rFonts w:hint="eastAsia"/>
        </w:rPr>
      </w:pPr>
      <w:r>
        <w:rPr>
          <w:rFonts w:hint="eastAsia" w:eastAsia="方正仿宋简体"/>
          <w:sz w:val="32"/>
          <w:szCs w:val="32"/>
        </w:rPr>
        <w:t>（相关佐证材料）</w:t>
      </w: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 w:name="叶根友圆趣卡通体2015">
    <w:panose1 w:val="02010601030101010101"/>
    <w:charset w:val="86"/>
    <w:family w:val="auto"/>
    <w:pitch w:val="default"/>
    <w:sig w:usb0="00000001" w:usb1="080E0000" w:usb2="00000000" w:usb3="00000000" w:csb0="00040000" w:csb1="00000000"/>
  </w:font>
  <w:font w:name="叶根友微影体">
    <w:panose1 w:val="03000509000000000000"/>
    <w:charset w:val="86"/>
    <w:family w:val="auto"/>
    <w:pitch w:val="default"/>
    <w:sig w:usb0="00000001" w:usb1="080E0000" w:usb2="00000000" w:usb3="00000000" w:csb0="00040000" w:csb1="00000000"/>
  </w:font>
  <w:font w:name="叶根友毛笔行书简体-个人版">
    <w:panose1 w:val="02010601030101010101"/>
    <w:charset w:val="86"/>
    <w:family w:val="auto"/>
    <w:pitch w:val="default"/>
    <w:sig w:usb0="00000001" w:usb1="080E0000" w:usb2="00000000" w:usb3="00000000" w:csb0="00040000" w:csb1="00000000"/>
  </w:font>
  <w:font w:name="叶根友魅童">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启体简体">
    <w:panose1 w:val="03000509000000000000"/>
    <w:charset w:val="86"/>
    <w:family w:val="auto"/>
    <w:pitch w:val="default"/>
    <w:sig w:usb0="00000001" w:usb1="080E0000" w:usb2="00000000" w:usb3="00000000" w:csb0="00040000" w:csb1="00000000"/>
  </w:font>
  <w:font w:name="方正喵呜体">
    <w:panose1 w:val="0201060001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李旭科毛笔行书">
    <w:panose1 w:val="02010600030101010101"/>
    <w:charset w:val="86"/>
    <w:family w:val="auto"/>
    <w:pitch w:val="default"/>
    <w:sig w:usb0="00000003" w:usb1="080E0000" w:usb2="00000000" w:usb3="00000000" w:csb0="00040001" w:csb1="00000000"/>
  </w:font>
  <w:font w:name="楷体">
    <w:panose1 w:val="02010609060101010101"/>
    <w:charset w:val="86"/>
    <w:family w:val="auto"/>
    <w:pitch w:val="default"/>
    <w:sig w:usb0="800002BF" w:usb1="38CF7CFA" w:usb2="00000016" w:usb3="00000000" w:csb0="00040001" w:csb1="00000000"/>
  </w:font>
  <w:font w:name="汉仪圆叠体简">
    <w:panose1 w:val="02010600000101010101"/>
    <w:charset w:val="86"/>
    <w:family w:val="auto"/>
    <w:pitch w:val="default"/>
    <w:sig w:usb0="00000001" w:usb1="080E0800" w:usb2="00000002" w:usb3="00000000" w:csb0="00040000" w:csb1="00000000"/>
  </w:font>
  <w:font w:name="汉仪小麦体简">
    <w:panose1 w:val="00020600040101010101"/>
    <w:charset w:val="86"/>
    <w:family w:val="auto"/>
    <w:pitch w:val="default"/>
    <w:sig w:usb0="A00002BF" w:usb1="18EF7CFA" w:usb2="00000016" w:usb3="00000000" w:csb0="0004009F" w:csb1="DFD70000"/>
  </w:font>
  <w:font w:name="田相岳六朝小楷">
    <w:panose1 w:val="03000300000000000000"/>
    <w:charset w:val="86"/>
    <w:family w:val="auto"/>
    <w:pitch w:val="default"/>
    <w:sig w:usb0="00000001" w:usb1="08070000" w:usb2="0000001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经典行书简">
    <w:panose1 w:val="02010609010101010101"/>
    <w:charset w:val="86"/>
    <w:family w:val="auto"/>
    <w:pitch w:val="default"/>
    <w:sig w:usb0="A1007AEF" w:usb1="F9DF7CFB" w:usb2="0000001E" w:usb3="00000000" w:csb0="20040000" w:csb1="00000000"/>
  </w:font>
  <w:font w:name="造字工房典黑（非商用）常规体">
    <w:panose1 w:val="00000000000000000000"/>
    <w:charset w:val="86"/>
    <w:family w:val="auto"/>
    <w:pitch w:val="default"/>
    <w:sig w:usb0="00000001" w:usb1="0801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方正宋黑简体">
    <w:panose1 w:val="03000509000000000000"/>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汉仪悠然体简">
    <w:panose1 w:val="00020600040101010101"/>
    <w:charset w:val="86"/>
    <w:family w:val="auto"/>
    <w:pitch w:val="default"/>
    <w:sig w:usb0="A00002BF" w:usb1="18EF7CFA" w:usb2="00000016" w:usb3="00000000" w:csb0="00040000" w:csb1="00000000"/>
  </w:font>
  <w:font w:name="草檀斋毛泽东字体">
    <w:panose1 w:val="02010601030101010101"/>
    <w:charset w:val="86"/>
    <w:family w:val="auto"/>
    <w:pitch w:val="default"/>
    <w:sig w:usb0="00000001" w:usb1="080E0000" w:usb2="00000000" w:usb3="00000000" w:csb0="00040000" w:csb1="00000000"/>
  </w:font>
  <w:font w:name="造字工房博黑（非商用）常规体">
    <w:panose1 w:val="00000000000000000000"/>
    <w:charset w:val="86"/>
    <w:family w:val="auto"/>
    <w:pitch w:val="default"/>
    <w:sig w:usb0="00000001" w:usb1="08010000" w:usb2="00000000" w:usb3="00000000" w:csb0="00040001" w:csb1="00000000"/>
  </w:font>
  <w:font w:name="造字工房版黑（非商用）常规体">
    <w:panose1 w:val="00000000000000000000"/>
    <w:charset w:val="86"/>
    <w:family w:val="auto"/>
    <w:pitch w:val="default"/>
    <w:sig w:usb0="00000001" w:usb1="08010000" w:usb2="00000000" w:usb3="00000000" w:csb0="00040001" w:csb1="00000000"/>
  </w:font>
  <w:font w:name="隶书">
    <w:panose1 w:val="02010509060101010101"/>
    <w:charset w:val="86"/>
    <w:family w:val="auto"/>
    <w:pitch w:val="default"/>
    <w:sig w:usb0="00000001" w:usb1="080E0000" w:usb2="00000000" w:usb3="00000000" w:csb0="00040000" w:csb1="00000000"/>
  </w:font>
  <w:font w:name="AjiwaiPro">
    <w:panose1 w:val="02000600000000000000"/>
    <w:charset w:val="80"/>
    <w:family w:val="auto"/>
    <w:pitch w:val="default"/>
    <w:sig w:usb0="A00002BF" w:usb1="68C7FCFB" w:usb2="00000010" w:usb3="00000000" w:csb0="4002009F" w:csb1="DFD7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民间体">
    <w:panose1 w:val="02010600010101010101"/>
    <w:charset w:val="86"/>
    <w:family w:val="auto"/>
    <w:pitch w:val="default"/>
    <w:sig w:usb0="A00002BF" w:usb1="184F6CFA" w:usb2="00000012" w:usb3="00000000" w:csb0="00040001"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凌氏随手体">
    <w:panose1 w:val="02010600010101010101"/>
    <w:charset w:val="86"/>
    <w:family w:val="auto"/>
    <w:pitch w:val="default"/>
    <w:sig w:usb0="A00002BF" w:usb1="184F6CFA" w:usb2="00000012" w:usb3="00000000" w:csb0="00040001" w:csb1="00000000"/>
  </w:font>
  <w:font w:name="全新硬笔行书简">
    <w:panose1 w:val="02010600040101010101"/>
    <w:charset w:val="86"/>
    <w:family w:val="auto"/>
    <w:pitch w:val="default"/>
    <w:sig w:usb0="00000001" w:usb1="080E0000" w:usb2="00000000" w:usb3="00000000" w:csb0="00040000" w:csb1="00000000"/>
  </w:font>
  <w:font w:name="中山行书百年纪念版">
    <w:panose1 w:val="02010609000101010101"/>
    <w:charset w:val="86"/>
    <w:family w:val="auto"/>
    <w:pitch w:val="default"/>
    <w:sig w:usb0="800002BF" w:usb1="08476CFA" w:usb2="00000012" w:usb3="00000000" w:csb0="00040000" w:csb1="00000000"/>
  </w:font>
  <w:font w:name="书体坊兰亭体">
    <w:panose1 w:val="03000509000000000000"/>
    <w:charset w:val="86"/>
    <w:family w:val="auto"/>
    <w:pitch w:val="default"/>
    <w:sig w:usb0="00000001" w:usb1="080F0000" w:usb2="00000000" w:usb3="00000000" w:csb0="001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叶根友古刻体">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DFGanLongKS03-B5">
    <w:panose1 w:val="03000709000000000000"/>
    <w:charset w:val="88"/>
    <w:family w:val="auto"/>
    <w:pitch w:val="default"/>
    <w:sig w:usb0="800002E3" w:usb1="28CFFCFA" w:usb2="00000016"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0B3437"/>
    <w:multiLevelType w:val="singleLevel"/>
    <w:tmpl w:val="5D0B3437"/>
    <w:lvl w:ilvl="0" w:tentative="0">
      <w:start w:val="2"/>
      <w:numFmt w:val="decimal"/>
      <w:suff w:val="nothing"/>
      <w:lvlText w:val="%1."/>
      <w:lvlJc w:val="left"/>
    </w:lvl>
  </w:abstractNum>
  <w:abstractNum w:abstractNumId="1">
    <w:nsid w:val="5D0B44DD"/>
    <w:multiLevelType w:val="singleLevel"/>
    <w:tmpl w:val="5D0B44DD"/>
    <w:lvl w:ilvl="0" w:tentative="0">
      <w:start w:val="2"/>
      <w:numFmt w:val="decimal"/>
      <w:suff w:val="nothing"/>
      <w:lvlText w:val="%1."/>
      <w:lvlJc w:val="left"/>
    </w:lvl>
  </w:abstractNum>
  <w:abstractNum w:abstractNumId="2">
    <w:nsid w:val="5D0B492F"/>
    <w:multiLevelType w:val="singleLevel"/>
    <w:tmpl w:val="5D0B492F"/>
    <w:lvl w:ilvl="0" w:tentative="0">
      <w:start w:val="2"/>
      <w:numFmt w:val="decimal"/>
      <w:suff w:val="nothing"/>
      <w:lvlText w:val="%1."/>
      <w:lvlJc w:val="left"/>
    </w:lvl>
  </w:abstractNum>
  <w:abstractNum w:abstractNumId="3">
    <w:nsid w:val="5D0B56DF"/>
    <w:multiLevelType w:val="singleLevel"/>
    <w:tmpl w:val="5D0B56DF"/>
    <w:lvl w:ilvl="0" w:tentative="0">
      <w:start w:val="2"/>
      <w:numFmt w:val="decimal"/>
      <w:suff w:val="nothing"/>
      <w:lvlText w:val="%1."/>
      <w:lvlJc w:val="left"/>
    </w:lvl>
  </w:abstractNum>
  <w:abstractNum w:abstractNumId="4">
    <w:nsid w:val="5D1037F8"/>
    <w:multiLevelType w:val="singleLevel"/>
    <w:tmpl w:val="5D1037F8"/>
    <w:lvl w:ilvl="0" w:tentative="0">
      <w:start w:val="4"/>
      <w:numFmt w:val="chineseCounting"/>
      <w:suff w:val="nothing"/>
      <w:lvlText w:val="（%1）"/>
      <w:lvlJc w:val="left"/>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227C6"/>
    <w:rsid w:val="000C4ACB"/>
    <w:rsid w:val="00131E66"/>
    <w:rsid w:val="00153394"/>
    <w:rsid w:val="00282B0B"/>
    <w:rsid w:val="003227C6"/>
    <w:rsid w:val="00387333"/>
    <w:rsid w:val="00394D9F"/>
    <w:rsid w:val="003C7F3D"/>
    <w:rsid w:val="003E2D58"/>
    <w:rsid w:val="00434347"/>
    <w:rsid w:val="005A1BE9"/>
    <w:rsid w:val="006514C2"/>
    <w:rsid w:val="006857C7"/>
    <w:rsid w:val="006E2DAD"/>
    <w:rsid w:val="00805206"/>
    <w:rsid w:val="00820D8F"/>
    <w:rsid w:val="0085301F"/>
    <w:rsid w:val="008B4299"/>
    <w:rsid w:val="009369AD"/>
    <w:rsid w:val="009701A0"/>
    <w:rsid w:val="00970DCD"/>
    <w:rsid w:val="00A35BC8"/>
    <w:rsid w:val="00A42629"/>
    <w:rsid w:val="00AB4ED7"/>
    <w:rsid w:val="00AD645B"/>
    <w:rsid w:val="00B11274"/>
    <w:rsid w:val="00B4579B"/>
    <w:rsid w:val="00B71AFC"/>
    <w:rsid w:val="00BE7D54"/>
    <w:rsid w:val="00C676C8"/>
    <w:rsid w:val="00D57A51"/>
    <w:rsid w:val="00F17A1B"/>
    <w:rsid w:val="00F41E2D"/>
    <w:rsid w:val="00FB441B"/>
    <w:rsid w:val="00FB7622"/>
    <w:rsid w:val="03AF5BE8"/>
    <w:rsid w:val="097D2231"/>
    <w:rsid w:val="1ABC6403"/>
    <w:rsid w:val="232339E1"/>
    <w:rsid w:val="24647C5C"/>
    <w:rsid w:val="290E0FD7"/>
    <w:rsid w:val="379B4833"/>
    <w:rsid w:val="38F34C17"/>
    <w:rsid w:val="43B55D14"/>
    <w:rsid w:val="44DB565B"/>
    <w:rsid w:val="555D4AF4"/>
    <w:rsid w:val="6C22035B"/>
    <w:rsid w:val="72A9113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 w:type="paragraph" w:customStyle="1" w:styleId="8">
    <w:name w:val="Body text|2"/>
    <w:basedOn w:val="1"/>
    <w:qFormat/>
    <w:uiPriority w:val="0"/>
    <w:pPr>
      <w:widowControl w:val="0"/>
      <w:shd w:val="clear" w:color="auto" w:fill="FFFFFF"/>
      <w:spacing w:before="440" w:after="1500" w:line="280" w:lineRule="exact"/>
      <w:jc w:val="center"/>
    </w:pPr>
    <w:rPr>
      <w:rFonts w:ascii="PMingLiU" w:hAnsi="PMingLiU" w:eastAsia="PMingLiU" w:cs="PMingLiU"/>
      <w:spacing w:val="3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77</Words>
  <Characters>442</Characters>
  <Lines>3</Lines>
  <Paragraphs>1</Paragraphs>
  <ScaleCrop>false</ScaleCrop>
  <LinksUpToDate>false</LinksUpToDate>
  <CharactersWithSpaces>518</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2018-03-23T09:11:00Z</dcterms:created>
  <dc:creator>冯妍妍/预算绩效管理处（行资处）/湖北省财政厅</dc:creator>
  <cp:lastModifiedBy>admin</cp:lastModifiedBy>
  <cp:lastPrinted>2018-05-08T09:18:00Z</cp:lastPrinted>
  <dcterms:modified xsi:type="dcterms:W3CDTF">2019-06-26T10:01:30Z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