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right" w:leader="dot" w:pos="8505"/>
        </w:tabs>
        <w:snapToGrid w:val="0"/>
        <w:spacing w:before="165" w:beforeLines="50" w:after="165" w:afterLines="50" w:line="240" w:lineRule="auto"/>
        <w:jc w:val="center"/>
        <w:rPr>
          <w:rFonts w:hint="eastAsia" w:ascii="Arial Narrow" w:hAnsi="Arial Narrow" w:cs="Arial Narrow"/>
          <w:b/>
          <w:sz w:val="36"/>
          <w:szCs w:val="36"/>
          <w:lang w:eastAsia="zh-CN"/>
        </w:rPr>
      </w:pPr>
      <w:bookmarkStart w:id="0" w:name="_Toc6696"/>
      <w:bookmarkStart w:id="1" w:name="_Toc8104"/>
      <w:bookmarkStart w:id="2" w:name="_Toc5526"/>
      <w:r>
        <w:rPr>
          <w:rFonts w:hint="eastAsia" w:ascii="Arial Narrow" w:hAnsi="Arial Narrow" w:cs="Arial Narrow"/>
          <w:b/>
          <w:sz w:val="36"/>
          <w:szCs w:val="36"/>
          <w:lang w:eastAsia="zh-CN"/>
        </w:rPr>
        <w:t>武汉开发区（汉南区）</w:t>
      </w:r>
      <w:r>
        <w:rPr>
          <w:rFonts w:hint="eastAsia" w:ascii="Arial Narrow" w:hAnsi="Arial Narrow" w:cs="Arial Narrow"/>
          <w:b/>
          <w:sz w:val="36"/>
          <w:szCs w:val="36"/>
          <w:lang w:val="en-US" w:eastAsia="zh-CN"/>
        </w:rPr>
        <w:t>妇幼健康</w:t>
      </w:r>
      <w:r>
        <w:rPr>
          <w:rFonts w:hint="eastAsia" w:ascii="Arial Narrow" w:hAnsi="Arial Narrow" w:cs="Arial Narrow"/>
          <w:b/>
          <w:sz w:val="36"/>
          <w:szCs w:val="36"/>
          <w:lang w:eastAsia="zh-CN"/>
        </w:rPr>
        <w:t>项目支出</w:t>
      </w:r>
    </w:p>
    <w:p>
      <w:pPr>
        <w:pStyle w:val="4"/>
        <w:tabs>
          <w:tab w:val="right" w:leader="dot" w:pos="8505"/>
        </w:tabs>
        <w:snapToGrid w:val="0"/>
        <w:spacing w:before="165" w:beforeLines="50" w:after="165" w:afterLines="50" w:line="240" w:lineRule="auto"/>
        <w:jc w:val="center"/>
        <w:rPr>
          <w:rFonts w:hint="eastAsia" w:ascii="Arial Narrow" w:hAnsi="Arial Narrow" w:cs="Arial Narrow"/>
          <w:b/>
          <w:sz w:val="36"/>
          <w:szCs w:val="36"/>
          <w:lang w:val="en-US" w:eastAsia="zh-CN"/>
        </w:rPr>
      </w:pPr>
      <w:r>
        <w:rPr>
          <w:rFonts w:hint="eastAsia" w:ascii="Arial Narrow" w:hAnsi="Arial Narrow" w:cs="Arial Narrow"/>
          <w:b/>
          <w:sz w:val="36"/>
          <w:szCs w:val="36"/>
          <w:lang w:val="en-US" w:eastAsia="zh-CN"/>
        </w:rPr>
        <w:t>2018年度绩效评价自评报告</w:t>
      </w:r>
    </w:p>
    <w:p>
      <w:pPr>
        <w:rPr>
          <w:rFonts w:hint="eastAsia"/>
          <w:lang w:val="en-US" w:eastAsia="zh-CN"/>
        </w:rPr>
      </w:pPr>
    </w:p>
    <w:bookmarkEnd w:id="0"/>
    <w:bookmarkEnd w:id="1"/>
    <w:bookmarkEnd w:id="2"/>
    <w:p>
      <w:pPr>
        <w:pStyle w:val="2"/>
        <w:ind w:firstLine="640" w:firstLineChars="200"/>
        <w:rPr>
          <w:rFonts w:hint="eastAsia" w:ascii="方正仿宋简体" w:hAnsi="方正仿宋简体" w:eastAsia="方正仿宋简体" w:cs="方正仿宋简体"/>
          <w:sz w:val="32"/>
          <w:szCs w:val="32"/>
        </w:rPr>
      </w:pPr>
      <w:bookmarkStart w:id="3" w:name="_Toc430020777"/>
      <w:bookmarkStart w:id="4" w:name="_Toc430076886"/>
      <w:bookmarkStart w:id="5" w:name="_Toc430020501"/>
      <w:bookmarkStart w:id="6" w:name="_Toc525735209"/>
      <w:bookmarkStart w:id="7" w:name="_Toc430020653"/>
      <w:bookmarkStart w:id="8" w:name="_Toc18652"/>
      <w:r>
        <w:rPr>
          <w:rFonts w:hint="eastAsia" w:ascii="方正仿宋简体" w:hAnsi="方正仿宋简体" w:eastAsia="方正仿宋简体" w:cs="方正仿宋简体"/>
          <w:sz w:val="32"/>
          <w:szCs w:val="32"/>
        </w:rPr>
        <w:t>一、摘要</w:t>
      </w:r>
      <w:bookmarkEnd w:id="3"/>
      <w:bookmarkEnd w:id="4"/>
      <w:bookmarkEnd w:id="5"/>
      <w:bookmarkEnd w:id="6"/>
      <w:bookmarkEnd w:id="7"/>
      <w:bookmarkEnd w:id="8"/>
    </w:p>
    <w:p>
      <w:pPr>
        <w:pStyle w:val="3"/>
        <w:ind w:firstLine="482"/>
        <w:rPr>
          <w:rFonts w:hint="eastAsia" w:ascii="方正仿宋简体" w:hAnsi="方正仿宋简体" w:eastAsia="方正仿宋简体" w:cs="方正仿宋简体"/>
          <w:sz w:val="32"/>
          <w:szCs w:val="32"/>
        </w:rPr>
      </w:pPr>
      <w:bookmarkStart w:id="9" w:name="_Toc1267"/>
      <w:bookmarkStart w:id="10" w:name="_Toc525735210"/>
      <w:r>
        <w:rPr>
          <w:rFonts w:hint="eastAsia" w:ascii="方正仿宋简体" w:hAnsi="方正仿宋简体" w:eastAsia="方正仿宋简体" w:cs="方正仿宋简体"/>
          <w:sz w:val="32"/>
          <w:szCs w:val="32"/>
        </w:rPr>
        <w:t>（一）基本情况</w:t>
      </w:r>
      <w:bookmarkEnd w:id="9"/>
      <w:bookmarkEnd w:id="10"/>
    </w:p>
    <w:p>
      <w:pPr>
        <w:ind w:firstLine="48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项目基本情况</w:t>
      </w:r>
    </w:p>
    <w:p>
      <w:pPr>
        <w:spacing w:line="640" w:lineRule="exact"/>
        <w:ind w:firstLine="640" w:firstLineChars="200"/>
        <w:rPr>
          <w:rFonts w:eastAsia="方正仿宋简体"/>
          <w:color w:val="000000"/>
          <w:sz w:val="32"/>
          <w:szCs w:val="32"/>
        </w:rPr>
      </w:pPr>
      <w:r>
        <w:rPr>
          <w:rFonts w:hint="eastAsia" w:ascii="方正仿宋简体" w:hAnsi="方正仿宋简体" w:eastAsia="方正仿宋简体" w:cs="方正仿宋简体"/>
          <w:sz w:val="32"/>
          <w:szCs w:val="32"/>
          <w:lang w:val="en-US" w:eastAsia="zh-CN"/>
        </w:rPr>
        <w:t>孕产妇、婴儿</w:t>
      </w:r>
      <w:r>
        <w:rPr>
          <w:rFonts w:hint="eastAsia" w:ascii="方正仿宋简体" w:hAnsi="方正仿宋简体" w:eastAsia="方正仿宋简体" w:cs="方正仿宋简体"/>
          <w:sz w:val="32"/>
          <w:szCs w:val="32"/>
        </w:rPr>
        <w:t>死亡率是</w:t>
      </w:r>
      <w:r>
        <w:rPr>
          <w:rFonts w:hint="default" w:ascii="方正仿宋简体" w:hAnsi="方正仿宋简体" w:eastAsia="方正仿宋简体" w:cs="方正仿宋简体"/>
          <w:sz w:val="32"/>
          <w:szCs w:val="32"/>
        </w:rPr>
        <w:t>衡量一个国家或地区的经济文化、医疗保健水平的重要标志之一</w:t>
      </w:r>
      <w:r>
        <w:rPr>
          <w:rFonts w:hint="eastAsia" w:ascii="方正仿宋简体" w:hAnsi="方正仿宋简体" w:eastAsia="方正仿宋简体" w:cs="方正仿宋简体"/>
          <w:sz w:val="32"/>
          <w:szCs w:val="32"/>
          <w:lang w:eastAsia="zh-CN"/>
        </w:rPr>
        <w:t>。</w:t>
      </w:r>
      <w:r>
        <w:rPr>
          <w:rFonts w:hint="eastAsia" w:eastAsia="方正仿宋简体"/>
          <w:color w:val="000000"/>
          <w:sz w:val="32"/>
          <w:szCs w:val="32"/>
        </w:rPr>
        <w:t>妇幼健康服务机构按全生命周期和三级预防理念，以一级和二级预防为重点，为妇女儿童提供从出生到老年、内容涵盖生理和心理的主动、连续的服务与管理</w:t>
      </w:r>
      <w:r>
        <w:rPr>
          <w:rFonts w:hint="eastAsia" w:eastAsia="方正仿宋简体"/>
          <w:color w:val="000000"/>
          <w:sz w:val="32"/>
          <w:szCs w:val="32"/>
          <w:lang w:eastAsia="zh-CN"/>
        </w:rPr>
        <w:t>，</w:t>
      </w:r>
      <w:r>
        <w:rPr>
          <w:rFonts w:hint="eastAsia" w:eastAsia="方正仿宋简体"/>
          <w:color w:val="000000"/>
          <w:sz w:val="32"/>
          <w:szCs w:val="32"/>
          <w:lang w:val="en-US" w:eastAsia="zh-CN"/>
        </w:rPr>
        <w:t>妇幼健康项目工作</w:t>
      </w:r>
      <w:r>
        <w:rPr>
          <w:rFonts w:hint="eastAsia" w:eastAsia="方正仿宋简体"/>
          <w:color w:val="000000"/>
          <w:sz w:val="32"/>
          <w:szCs w:val="32"/>
        </w:rPr>
        <w:t>在减少孕产妇死亡和儿童死亡、</w:t>
      </w:r>
      <w:r>
        <w:rPr>
          <w:rFonts w:hint="eastAsia" w:eastAsia="方正仿宋简体"/>
          <w:color w:val="000000"/>
          <w:sz w:val="32"/>
          <w:szCs w:val="32"/>
          <w:lang w:val="en-US" w:eastAsia="zh-CN"/>
        </w:rPr>
        <w:t>预防出生缺陷</w:t>
      </w:r>
      <w:r>
        <w:rPr>
          <w:rFonts w:hint="eastAsia" w:eastAsia="方正仿宋简体"/>
          <w:color w:val="000000"/>
          <w:sz w:val="32"/>
          <w:szCs w:val="32"/>
        </w:rPr>
        <w:t>、促进妇女儿童健康方面发挥了重要作用。</w:t>
      </w:r>
    </w:p>
    <w:p>
      <w:pPr>
        <w:ind w:firstLine="48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201</w:t>
      </w:r>
      <w:r>
        <w:rPr>
          <w:rFonts w:hint="eastAsia" w:ascii="方正仿宋简体" w:hAnsi="方正仿宋简体" w:eastAsia="方正仿宋简体" w:cs="方正仿宋简体"/>
          <w:sz w:val="32"/>
          <w:szCs w:val="32"/>
          <w:lang w:val="en-US" w:eastAsia="zh-CN"/>
        </w:rPr>
        <w:t>8</w:t>
      </w:r>
      <w:r>
        <w:rPr>
          <w:rFonts w:hint="eastAsia" w:ascii="方正仿宋简体" w:hAnsi="方正仿宋简体" w:eastAsia="方正仿宋简体" w:cs="方正仿宋简体"/>
          <w:sz w:val="32"/>
          <w:szCs w:val="32"/>
        </w:rPr>
        <w:t>年</w:t>
      </w:r>
      <w:r>
        <w:rPr>
          <w:rFonts w:hint="eastAsia" w:ascii="方正仿宋简体" w:hAnsi="方正仿宋简体" w:eastAsia="方正仿宋简体" w:cs="方正仿宋简体"/>
          <w:sz w:val="32"/>
          <w:szCs w:val="32"/>
          <w:lang w:val="en-US" w:eastAsia="zh-CN"/>
        </w:rPr>
        <w:t>区</w:t>
      </w:r>
      <w:r>
        <w:rPr>
          <w:rFonts w:hint="eastAsia" w:ascii="方正仿宋简体" w:hAnsi="方正仿宋简体" w:eastAsia="方正仿宋简体" w:cs="方正仿宋简体"/>
          <w:sz w:val="32"/>
          <w:szCs w:val="32"/>
        </w:rPr>
        <w:t>财政局共下达</w:t>
      </w:r>
      <w:r>
        <w:rPr>
          <w:rFonts w:hint="eastAsia" w:ascii="方正仿宋简体" w:hAnsi="方正仿宋简体" w:eastAsia="方正仿宋简体" w:cs="方正仿宋简体"/>
          <w:sz w:val="32"/>
          <w:szCs w:val="32"/>
          <w:lang w:val="en-US" w:eastAsia="zh-CN"/>
        </w:rPr>
        <w:t>413</w:t>
      </w:r>
      <w:r>
        <w:rPr>
          <w:rFonts w:hint="eastAsia" w:ascii="方正仿宋简体" w:hAnsi="方正仿宋简体" w:eastAsia="方正仿宋简体" w:cs="方正仿宋简体"/>
          <w:sz w:val="32"/>
          <w:szCs w:val="32"/>
        </w:rPr>
        <w:t>万元用于该项目，截止至201</w:t>
      </w:r>
      <w:r>
        <w:rPr>
          <w:rFonts w:hint="eastAsia" w:ascii="方正仿宋简体" w:hAnsi="方正仿宋简体" w:eastAsia="方正仿宋简体" w:cs="方正仿宋简体"/>
          <w:sz w:val="32"/>
          <w:szCs w:val="32"/>
          <w:lang w:val="en-US" w:eastAsia="zh-CN"/>
        </w:rPr>
        <w:t>8</w:t>
      </w:r>
      <w:r>
        <w:rPr>
          <w:rFonts w:hint="eastAsia" w:ascii="方正仿宋简体" w:hAnsi="方正仿宋简体" w:eastAsia="方正仿宋简体" w:cs="方正仿宋简体"/>
          <w:sz w:val="32"/>
          <w:szCs w:val="32"/>
        </w:rPr>
        <w:t>年12月31日，项目总支出为</w:t>
      </w:r>
      <w:r>
        <w:rPr>
          <w:rFonts w:hint="eastAsia" w:ascii="方正仿宋简体" w:hAnsi="方正仿宋简体" w:eastAsia="方正仿宋简体" w:cs="方正仿宋简体"/>
          <w:sz w:val="32"/>
          <w:szCs w:val="32"/>
          <w:lang w:val="en-US" w:eastAsia="zh-CN"/>
        </w:rPr>
        <w:t>166.9</w:t>
      </w:r>
      <w:r>
        <w:rPr>
          <w:rFonts w:hint="eastAsia" w:ascii="方正仿宋简体" w:hAnsi="方正仿宋简体" w:eastAsia="方正仿宋简体" w:cs="方正仿宋简体"/>
          <w:sz w:val="32"/>
          <w:szCs w:val="32"/>
        </w:rPr>
        <w:t>万元，项目资金预算执行率为</w:t>
      </w:r>
      <w:r>
        <w:rPr>
          <w:rFonts w:hint="eastAsia" w:ascii="方正仿宋简体" w:hAnsi="方正仿宋简体" w:eastAsia="方正仿宋简体" w:cs="方正仿宋简体"/>
          <w:sz w:val="32"/>
          <w:szCs w:val="32"/>
          <w:lang w:val="en-US" w:eastAsia="zh-CN"/>
        </w:rPr>
        <w:t>40</w:t>
      </w:r>
      <w:r>
        <w:rPr>
          <w:rFonts w:hint="eastAsia" w:ascii="方正仿宋简体" w:hAnsi="方正仿宋简体" w:eastAsia="方正仿宋简体" w:cs="方正仿宋简体"/>
          <w:sz w:val="32"/>
          <w:szCs w:val="32"/>
        </w:rPr>
        <w:t>%，主要用于</w:t>
      </w:r>
      <w:r>
        <w:rPr>
          <w:rFonts w:hint="eastAsia" w:ascii="方正仿宋简体" w:hAnsi="方正仿宋简体" w:eastAsia="方正仿宋简体" w:cs="方正仿宋简体"/>
          <w:sz w:val="32"/>
          <w:szCs w:val="32"/>
          <w:lang w:val="en-US" w:eastAsia="zh-CN"/>
        </w:rPr>
        <w:t>开展市政府实事、市政府惠民工作和出生缺陷三级预防工作的开展检测</w:t>
      </w:r>
      <w:r>
        <w:rPr>
          <w:rFonts w:hint="eastAsia" w:ascii="方正仿宋简体" w:hAnsi="方正仿宋简体" w:eastAsia="方正仿宋简体" w:cs="方正仿宋简体"/>
          <w:sz w:val="32"/>
          <w:szCs w:val="32"/>
        </w:rPr>
        <w:t>服务费，以及</w:t>
      </w:r>
      <w:r>
        <w:rPr>
          <w:rFonts w:hint="eastAsia" w:ascii="方正仿宋简体" w:hAnsi="方正仿宋简体" w:eastAsia="方正仿宋简体" w:cs="方正仿宋简体"/>
          <w:sz w:val="32"/>
          <w:szCs w:val="32"/>
          <w:lang w:val="en-US" w:eastAsia="zh-CN"/>
        </w:rPr>
        <w:t>工作经费和</w:t>
      </w:r>
      <w:r>
        <w:rPr>
          <w:rFonts w:hint="eastAsia" w:ascii="方正仿宋简体" w:hAnsi="方正仿宋简体" w:eastAsia="方正仿宋简体" w:cs="方正仿宋简体"/>
          <w:sz w:val="32"/>
          <w:szCs w:val="32"/>
        </w:rPr>
        <w:t>宣传活动的费用。</w:t>
      </w:r>
    </w:p>
    <w:p>
      <w:pPr>
        <w:ind w:firstLine="48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绩效评价工作情况</w:t>
      </w:r>
    </w:p>
    <w:p>
      <w:pPr>
        <w:ind w:firstLine="48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根据工作完成情况开展自评。</w:t>
      </w:r>
    </w:p>
    <w:p>
      <w:pPr>
        <w:pStyle w:val="3"/>
        <w:ind w:firstLine="482"/>
        <w:rPr>
          <w:rFonts w:hint="eastAsia" w:ascii="方正仿宋简体" w:hAnsi="方正仿宋简体" w:eastAsia="方正仿宋简体" w:cs="方正仿宋简体"/>
          <w:b w:val="0"/>
          <w:bCs w:val="0"/>
          <w:kern w:val="2"/>
          <w:sz w:val="32"/>
          <w:szCs w:val="32"/>
        </w:rPr>
      </w:pPr>
      <w:bookmarkStart w:id="11" w:name="_Toc525735211"/>
      <w:r>
        <w:rPr>
          <w:rFonts w:hint="eastAsia" w:ascii="方正仿宋简体" w:hAnsi="方正仿宋简体" w:eastAsia="方正仿宋简体" w:cs="方正仿宋简体"/>
          <w:sz w:val="32"/>
          <w:szCs w:val="32"/>
        </w:rPr>
        <w:t>（二）绩效评价结论</w:t>
      </w:r>
      <w:bookmarkEnd w:id="11"/>
    </w:p>
    <w:p>
      <w:pPr>
        <w:ind w:firstLine="48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1</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评分结果</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lang w:val="en-US" w:eastAsia="zh-CN"/>
        </w:rPr>
        <w:t>90分。</w:t>
      </w:r>
      <w:bookmarkStart w:id="12" w:name="_Toc4142"/>
    </w:p>
    <w:p>
      <w:pPr>
        <w:ind w:firstLine="48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rPr>
        <w:t>主要结论</w:t>
      </w:r>
      <w:r>
        <w:rPr>
          <w:rFonts w:hint="eastAsia" w:ascii="方正仿宋简体" w:hAnsi="方正仿宋简体" w:eastAsia="方正仿宋简体" w:cs="方正仿宋简体"/>
          <w:sz w:val="32"/>
          <w:szCs w:val="32"/>
          <w:lang w:eastAsia="zh-CN"/>
        </w:rPr>
        <w:t>：能够严格按照财务管理规定制定预算及规范使用，开展各项项目工作，</w:t>
      </w:r>
      <w:r>
        <w:rPr>
          <w:rFonts w:hint="eastAsia" w:ascii="方正仿宋简体" w:hAnsi="方正仿宋简体" w:eastAsia="方正仿宋简体" w:cs="方正仿宋简体"/>
          <w:sz w:val="32"/>
          <w:szCs w:val="32"/>
          <w:lang w:val="en-US" w:eastAsia="zh-CN"/>
        </w:rPr>
        <w:t>所有项目均完成市级绩效考核工作目标</w:t>
      </w:r>
      <w:r>
        <w:rPr>
          <w:rFonts w:hint="eastAsia" w:ascii="方正仿宋简体" w:hAnsi="方正仿宋简体" w:eastAsia="方正仿宋简体" w:cs="方正仿宋简体"/>
          <w:sz w:val="32"/>
          <w:szCs w:val="32"/>
          <w:lang w:eastAsia="zh-CN"/>
        </w:rPr>
        <w:t>，完成情况较好，产生良好社会效益。</w:t>
      </w:r>
    </w:p>
    <w:p>
      <w:pPr>
        <w:pStyle w:val="3"/>
        <w:ind w:firstLine="482"/>
        <w:rPr>
          <w:rFonts w:hint="eastAsia" w:ascii="方正仿宋简体" w:hAnsi="方正仿宋简体" w:eastAsia="方正仿宋简体" w:cs="方正仿宋简体"/>
          <w:sz w:val="32"/>
          <w:szCs w:val="32"/>
        </w:rPr>
      </w:pPr>
      <w:bookmarkStart w:id="13" w:name="_Toc525735212"/>
      <w:r>
        <w:rPr>
          <w:rFonts w:hint="eastAsia" w:ascii="方正仿宋简体" w:hAnsi="方正仿宋简体" w:eastAsia="方正仿宋简体" w:cs="方正仿宋简体"/>
          <w:sz w:val="32"/>
          <w:szCs w:val="32"/>
        </w:rPr>
        <w:t>（三）项目的经验与问题</w:t>
      </w:r>
      <w:bookmarkEnd w:id="13"/>
    </w:p>
    <w:bookmarkEnd w:id="12"/>
    <w:p>
      <w:pPr>
        <w:numPr>
          <w:ilvl w:val="0"/>
          <w:numId w:val="0"/>
        </w:numPr>
        <w:ind w:firstLine="640" w:firstLineChars="200"/>
        <w:rPr>
          <w:rFonts w:hint="eastAsia" w:ascii="方正仿宋简体" w:hAnsi="方正仿宋简体" w:eastAsia="方正仿宋简体" w:cs="方正仿宋简体"/>
          <w:sz w:val="32"/>
          <w:szCs w:val="32"/>
        </w:rPr>
      </w:pPr>
      <w:bookmarkStart w:id="14" w:name="_Toc11066"/>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经验</w:t>
      </w:r>
    </w:p>
    <w:p>
      <w:pPr>
        <w:pStyle w:val="8"/>
        <w:keepNext w:val="0"/>
        <w:keepLines w:val="0"/>
        <w:widowControl w:val="0"/>
        <w:shd w:val="clear" w:color="auto" w:fill="auto"/>
        <w:tabs>
          <w:tab w:val="left" w:pos="1376"/>
        </w:tabs>
        <w:bidi w:val="0"/>
        <w:spacing w:before="0" w:after="0" w:line="586" w:lineRule="exact"/>
        <w:ind w:right="0" w:firstLine="640" w:firstLineChars="200"/>
        <w:jc w:val="left"/>
        <w:rPr>
          <w:rFonts w:hint="default" w:ascii="方正仿宋简体" w:hAnsi="方正仿宋简体" w:eastAsia="方正仿宋简体" w:cs="方正仿宋简体"/>
          <w:spacing w:val="0"/>
          <w:kern w:val="2"/>
          <w:sz w:val="32"/>
          <w:szCs w:val="32"/>
          <w:u w:val="none"/>
          <w:lang w:val="en-US" w:eastAsia="zh-CN" w:bidi="ar-SA"/>
        </w:rPr>
      </w:pPr>
      <w:r>
        <w:rPr>
          <w:rFonts w:hint="eastAsia" w:ascii="方正仿宋简体" w:hAnsi="方正仿宋简体" w:eastAsia="方正仿宋简体" w:cs="方正仿宋简体"/>
          <w:spacing w:val="0"/>
          <w:kern w:val="2"/>
          <w:sz w:val="32"/>
          <w:szCs w:val="32"/>
          <w:u w:val="none"/>
          <w:lang w:val="en-US" w:eastAsia="zh-CN" w:bidi="ar-SA"/>
        </w:rPr>
        <w:t>对各项目工作开展均能统筹计划安排，月月有跟进，季度有督导，能及时解决工作中存在的问题和困难，工作存在较大困难时召开工作推进会，分析查找原因，督促落实，确保各项目标工作的完成。</w:t>
      </w:r>
    </w:p>
    <w:p>
      <w:pPr>
        <w:numPr>
          <w:ilvl w:val="0"/>
          <w:numId w:val="0"/>
        </w:numPr>
        <w:ind w:firstLine="640" w:firstLineChars="200"/>
        <w:rPr>
          <w:rFonts w:hint="eastAsia" w:ascii="方正仿宋简体" w:hAnsi="方正仿宋简体" w:eastAsia="方正仿宋简体" w:cs="方正仿宋简体"/>
          <w:spacing w:val="0"/>
          <w:kern w:val="2"/>
          <w:sz w:val="32"/>
          <w:szCs w:val="32"/>
          <w:u w:val="none"/>
          <w:lang w:val="en-US" w:eastAsia="zh-CN" w:bidi="ar-SA"/>
        </w:rPr>
      </w:pPr>
      <w:r>
        <w:rPr>
          <w:rFonts w:hint="eastAsia" w:ascii="方正仿宋简体" w:hAnsi="方正仿宋简体" w:eastAsia="方正仿宋简体" w:cs="方正仿宋简体"/>
          <w:spacing w:val="0"/>
          <w:kern w:val="2"/>
          <w:sz w:val="32"/>
          <w:szCs w:val="32"/>
          <w:u w:val="none"/>
          <w:lang w:val="en-US" w:eastAsia="zh-CN" w:bidi="ar-SA"/>
        </w:rPr>
        <w:t>2.问题</w:t>
      </w:r>
    </w:p>
    <w:p>
      <w:pPr>
        <w:pStyle w:val="8"/>
        <w:keepNext w:val="0"/>
        <w:keepLines w:val="0"/>
        <w:widowControl w:val="0"/>
        <w:numPr>
          <w:ilvl w:val="0"/>
          <w:numId w:val="0"/>
        </w:numPr>
        <w:shd w:val="clear" w:color="auto" w:fill="auto"/>
        <w:tabs>
          <w:tab w:val="left" w:pos="1385"/>
        </w:tabs>
        <w:bidi w:val="0"/>
        <w:spacing w:before="0" w:after="0" w:line="586" w:lineRule="exact"/>
        <w:ind w:right="0" w:rightChars="0" w:firstLine="640" w:firstLineChars="200"/>
        <w:jc w:val="both"/>
        <w:rPr>
          <w:rFonts w:hint="default" w:ascii="方正仿宋简体" w:hAnsi="方正仿宋简体" w:eastAsia="方正仿宋简体" w:cs="方正仿宋简体"/>
          <w:spacing w:val="0"/>
          <w:kern w:val="2"/>
          <w:sz w:val="32"/>
          <w:szCs w:val="32"/>
          <w:u w:val="none"/>
          <w:lang w:val="en-US" w:eastAsia="zh-CN" w:bidi="ar-SA"/>
        </w:rPr>
      </w:pPr>
      <w:r>
        <w:rPr>
          <w:rFonts w:hint="eastAsia" w:ascii="方正仿宋简体" w:hAnsi="方正仿宋简体" w:eastAsia="方正仿宋简体" w:cs="方正仿宋简体"/>
          <w:spacing w:val="0"/>
          <w:kern w:val="2"/>
          <w:sz w:val="32"/>
          <w:szCs w:val="32"/>
          <w:u w:val="none"/>
          <w:lang w:val="en-US" w:eastAsia="zh-CN" w:bidi="ar-SA"/>
        </w:rPr>
        <w:t>①妇幼体系不完善，我区尚没有标准化区级妇幼保健机构。②妇幼专业人员缺乏，妇幼项目规范性、专业性管理水平有限，不能对全区妇幼健康工作进行有效的指导，不能适应群众日益增长的服务需求。③宣传力度不够，部分居民对项目开展意义不理解，配合度低，有些项目工作开展难度较大。</w:t>
      </w:r>
    </w:p>
    <w:bookmarkEnd w:id="14"/>
    <w:p>
      <w:pPr>
        <w:pStyle w:val="3"/>
        <w:ind w:firstLine="480"/>
        <w:rPr>
          <w:rFonts w:hint="eastAsia" w:ascii="方正仿宋简体" w:hAnsi="方正仿宋简体" w:eastAsia="方正仿宋简体" w:cs="方正仿宋简体"/>
          <w:b/>
          <w:bCs/>
          <w:sz w:val="32"/>
          <w:szCs w:val="32"/>
        </w:rPr>
      </w:pPr>
      <w:bookmarkStart w:id="15" w:name="_Toc525735213"/>
      <w:bookmarkStart w:id="16" w:name="_Toc430076890"/>
      <w:bookmarkStart w:id="17" w:name="_Toc12439"/>
      <w:bookmarkStart w:id="18" w:name="_Toc17283"/>
      <w:bookmarkStart w:id="19" w:name="_Toc5506"/>
      <w:bookmarkStart w:id="20" w:name="_Toc16423"/>
      <w:bookmarkStart w:id="21" w:name="_Toc28326"/>
      <w:bookmarkStart w:id="22" w:name="_Toc430020657"/>
      <w:bookmarkStart w:id="23" w:name="_Toc394869146"/>
      <w:bookmarkStart w:id="24" w:name="_Toc430020505"/>
      <w:bookmarkStart w:id="25" w:name="_Toc430020781"/>
      <w:bookmarkStart w:id="26" w:name="_Toc29467"/>
      <w:bookmarkStart w:id="27" w:name="_Toc430018223"/>
      <w:bookmarkStart w:id="28" w:name="_Toc17250"/>
      <w:bookmarkStart w:id="29" w:name="_Toc10032"/>
      <w:bookmarkStart w:id="30" w:name="_Toc372574194"/>
      <w:r>
        <w:rPr>
          <w:rFonts w:hint="eastAsia" w:ascii="方正仿宋简体" w:hAnsi="方正仿宋简体" w:eastAsia="方正仿宋简体" w:cs="方正仿宋简体"/>
          <w:b/>
          <w:bCs/>
          <w:sz w:val="32"/>
          <w:szCs w:val="32"/>
        </w:rPr>
        <w:t>（四）建议</w:t>
      </w:r>
      <w:bookmarkEnd w:id="15"/>
    </w:p>
    <w:p>
      <w:pPr>
        <w:pStyle w:val="8"/>
        <w:keepNext w:val="0"/>
        <w:keepLines w:val="0"/>
        <w:widowControl w:val="0"/>
        <w:numPr>
          <w:ilvl w:val="0"/>
          <w:numId w:val="0"/>
        </w:numPr>
        <w:shd w:val="clear" w:color="auto" w:fill="auto"/>
        <w:tabs>
          <w:tab w:val="left" w:pos="1385"/>
        </w:tabs>
        <w:bidi w:val="0"/>
        <w:spacing w:before="0" w:after="0" w:line="586" w:lineRule="exact"/>
        <w:ind w:right="0" w:rightChars="0" w:firstLine="640" w:firstLineChars="200"/>
        <w:jc w:val="both"/>
        <w:rPr>
          <w:rFonts w:hint="eastAsia" w:ascii="方正仿宋简体" w:hAnsi="方正仿宋简体" w:eastAsia="方正仿宋简体" w:cs="方正仿宋简体"/>
          <w:sz w:val="32"/>
          <w:szCs w:val="32"/>
        </w:rPr>
      </w:pPr>
      <w:bookmarkStart w:id="31" w:name="_Toc18580"/>
      <w:r>
        <w:rPr>
          <w:rFonts w:hint="eastAsia" w:ascii="方正仿宋简体" w:hAnsi="方正仿宋简体" w:eastAsia="方正仿宋简体" w:cs="方正仿宋简体"/>
          <w:spacing w:val="0"/>
          <w:kern w:val="2"/>
          <w:sz w:val="32"/>
          <w:szCs w:val="32"/>
          <w:u w:val="none"/>
          <w:lang w:val="en-US" w:eastAsia="zh-CN" w:bidi="ar-SA"/>
        </w:rPr>
        <w:t>加快区级妇幼标准化、规范化体系建设，加强与市妇幼保健院的深度合作，提前介入到区级妇幼提档升级改造，使妇幼业务工作和人员能力得到实质性的提升。加大培训力度提高全区妇幼健康服务能力，让妇女儿童得到可及的、优质的服务。加大项目工作宣传力度，让群众知道项目工作意义，变工作被动为主动，提高群众参与度。</w:t>
      </w:r>
    </w:p>
    <w:p>
      <w:pPr>
        <w:ind w:left="0" w:leftChars="0" w:firstLine="640" w:firstLineChars="20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kern w:val="44"/>
          <w:sz w:val="32"/>
          <w:szCs w:val="32"/>
        </w:rPr>
        <w:t>二、</w:t>
      </w:r>
      <w:r>
        <w:rPr>
          <w:rFonts w:hint="eastAsia" w:ascii="方正仿宋简体" w:hAnsi="方正仿宋简体" w:eastAsia="方正仿宋简体" w:cs="方正仿宋简体"/>
          <w:b/>
          <w:bCs/>
          <w:sz w:val="32"/>
          <w:szCs w:val="32"/>
        </w:rPr>
        <w:t>项目基本情况</w:t>
      </w:r>
    </w:p>
    <w:p>
      <w:pPr>
        <w:keepNext/>
        <w:keepLines/>
        <w:ind w:firstLine="480"/>
        <w:outlineLvl w:val="2"/>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1、项目立项背景和依据</w:t>
      </w:r>
    </w:p>
    <w:p>
      <w:pPr>
        <w:ind w:firstLine="48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（1）项目立项依据</w:t>
      </w:r>
    </w:p>
    <w:p>
      <w:pPr>
        <w:ind w:firstLine="48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根据省、市</w:t>
      </w:r>
      <w:r>
        <w:rPr>
          <w:rFonts w:hint="eastAsia" w:ascii="方正仿宋简体" w:hAnsi="方正仿宋简体" w:eastAsia="方正仿宋简体" w:cs="方正仿宋简体"/>
          <w:sz w:val="32"/>
          <w:szCs w:val="32"/>
          <w:lang w:eastAsia="zh-CN"/>
        </w:rPr>
        <w:t>卫</w:t>
      </w:r>
      <w:r>
        <w:rPr>
          <w:rFonts w:hint="eastAsia" w:ascii="方正仿宋简体" w:hAnsi="方正仿宋简体" w:eastAsia="方正仿宋简体" w:cs="方正仿宋简体"/>
          <w:sz w:val="32"/>
          <w:szCs w:val="32"/>
          <w:lang w:val="en-US" w:eastAsia="zh-CN"/>
        </w:rPr>
        <w:t>计行政部门发下工作和文件要求，推进健康武汉建设，逐步建立完善覆盖孕前、孕期、新生儿各阶段的出生缺陷防治免费服务制度，减少出生缺陷发生，提高出生人口素质。</w:t>
      </w:r>
    </w:p>
    <w:p>
      <w:pPr>
        <w:ind w:firstLine="48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（2）项目所属领域</w:t>
      </w:r>
    </w:p>
    <w:p>
      <w:pPr>
        <w:ind w:firstLine="48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妇幼健康服务主要为妇女、儿童开展</w:t>
      </w:r>
      <w:r>
        <w:rPr>
          <w:rFonts w:hint="eastAsia" w:eastAsia="方正仿宋简体"/>
          <w:color w:val="000000"/>
          <w:sz w:val="32"/>
          <w:szCs w:val="32"/>
        </w:rPr>
        <w:t>全生命周期和三级预防服务与管理</w:t>
      </w:r>
      <w:r>
        <w:rPr>
          <w:rFonts w:hint="eastAsia" w:ascii="方正仿宋简体" w:hAnsi="方正仿宋简体" w:eastAsia="方正仿宋简体" w:cs="方正仿宋简体"/>
          <w:sz w:val="32"/>
          <w:szCs w:val="32"/>
        </w:rPr>
        <w:t>，属于公共卫生</w:t>
      </w:r>
      <w:r>
        <w:rPr>
          <w:rFonts w:hint="eastAsia" w:ascii="方正仿宋简体" w:hAnsi="方正仿宋简体" w:eastAsia="方正仿宋简体" w:cs="方正仿宋简体"/>
          <w:sz w:val="32"/>
          <w:szCs w:val="32"/>
          <w:lang w:val="en-US" w:eastAsia="zh-CN"/>
        </w:rPr>
        <w:t>服务</w:t>
      </w:r>
      <w:r>
        <w:rPr>
          <w:rFonts w:hint="eastAsia" w:ascii="方正仿宋简体" w:hAnsi="方正仿宋简体" w:eastAsia="方正仿宋简体" w:cs="方正仿宋简体"/>
          <w:sz w:val="32"/>
          <w:szCs w:val="32"/>
        </w:rPr>
        <w:t>领域，是由</w:t>
      </w:r>
      <w:r>
        <w:rPr>
          <w:rFonts w:hint="eastAsia" w:ascii="方正仿宋简体" w:hAnsi="方正仿宋简体" w:eastAsia="方正仿宋简体" w:cs="方正仿宋简体"/>
          <w:sz w:val="32"/>
          <w:szCs w:val="32"/>
          <w:lang w:val="en-US" w:eastAsia="zh-CN"/>
        </w:rPr>
        <w:t>区卫生和计划生育局</w:t>
      </w:r>
      <w:r>
        <w:rPr>
          <w:rFonts w:hint="eastAsia" w:ascii="方正仿宋简体" w:hAnsi="方正仿宋简体" w:eastAsia="方正仿宋简体" w:cs="方正仿宋简体"/>
          <w:sz w:val="32"/>
          <w:szCs w:val="32"/>
        </w:rPr>
        <w:t>组织开展的，</w:t>
      </w:r>
      <w:r>
        <w:rPr>
          <w:rFonts w:hint="eastAsia" w:ascii="方正仿宋简体" w:hAnsi="方正仿宋简体" w:eastAsia="方正仿宋简体" w:cs="方正仿宋简体"/>
          <w:sz w:val="32"/>
          <w:szCs w:val="32"/>
          <w:lang w:val="en-US" w:eastAsia="zh-CN"/>
        </w:rPr>
        <w:t>委托辖区医疗机构完成，</w:t>
      </w:r>
      <w:r>
        <w:rPr>
          <w:rFonts w:hint="eastAsia" w:ascii="方正仿宋简体" w:hAnsi="方正仿宋简体" w:eastAsia="方正仿宋简体" w:cs="方正仿宋简体"/>
          <w:sz w:val="32"/>
          <w:szCs w:val="32"/>
        </w:rPr>
        <w:t>其主要工作为</w:t>
      </w:r>
      <w:r>
        <w:rPr>
          <w:rFonts w:hint="eastAsia" w:ascii="方正仿宋简体" w:hAnsi="方正仿宋简体" w:eastAsia="方正仿宋简体" w:cs="方正仿宋简体"/>
          <w:sz w:val="32"/>
          <w:szCs w:val="32"/>
          <w:lang w:val="en-US" w:eastAsia="zh-CN"/>
        </w:rPr>
        <w:t>辖区所有妇女、孕产妇、0-6岁儿童，开展围绕生命健康，降低死亡率和促进健康为主要目的服务工作。</w:t>
      </w:r>
    </w:p>
    <w:p>
      <w:pPr>
        <w:ind w:firstLine="48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（3）项目性质与特点</w:t>
      </w:r>
    </w:p>
    <w:p>
      <w:pPr>
        <w:ind w:firstLine="48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妇幼健康服务</w:t>
      </w:r>
      <w:r>
        <w:rPr>
          <w:rFonts w:hint="eastAsia" w:ascii="方正仿宋简体" w:hAnsi="方正仿宋简体" w:eastAsia="方正仿宋简体" w:cs="方正仿宋简体"/>
          <w:sz w:val="32"/>
          <w:szCs w:val="32"/>
        </w:rPr>
        <w:t>项目是属于持续性项目，项目的设立加强了对</w:t>
      </w:r>
      <w:r>
        <w:rPr>
          <w:rFonts w:hint="eastAsia" w:ascii="方正仿宋简体" w:hAnsi="方正仿宋简体" w:eastAsia="方正仿宋简体" w:cs="方正仿宋简体"/>
          <w:sz w:val="32"/>
          <w:szCs w:val="32"/>
          <w:lang w:val="en-US" w:eastAsia="zh-CN"/>
        </w:rPr>
        <w:t>孕产妇死亡、儿童死亡、出生缺陷发生率、高危妊娠风险的</w:t>
      </w:r>
      <w:r>
        <w:rPr>
          <w:rFonts w:hint="eastAsia" w:ascii="方正仿宋简体" w:hAnsi="方正仿宋简体" w:eastAsia="方正仿宋简体" w:cs="方正仿宋简体"/>
          <w:sz w:val="32"/>
          <w:szCs w:val="32"/>
        </w:rPr>
        <w:t>控制，</w:t>
      </w:r>
      <w:r>
        <w:rPr>
          <w:rFonts w:hint="eastAsia" w:ascii="方正仿宋简体" w:hAnsi="方正仿宋简体" w:eastAsia="方正仿宋简体" w:cs="方正仿宋简体"/>
          <w:sz w:val="32"/>
          <w:szCs w:val="32"/>
          <w:lang w:val="en-US" w:eastAsia="zh-CN"/>
        </w:rPr>
        <w:t>降低了疾病发病风险，</w:t>
      </w:r>
      <w:r>
        <w:rPr>
          <w:rFonts w:hint="eastAsia" w:ascii="方正仿宋简体" w:hAnsi="方正仿宋简体" w:eastAsia="方正仿宋简体" w:cs="方正仿宋简体"/>
          <w:sz w:val="32"/>
          <w:szCs w:val="32"/>
        </w:rPr>
        <w:t>保障了</w:t>
      </w:r>
      <w:r>
        <w:rPr>
          <w:rFonts w:hint="eastAsia" w:ascii="方正仿宋简体" w:hAnsi="方正仿宋简体" w:eastAsia="方正仿宋简体" w:cs="方正仿宋简体"/>
          <w:sz w:val="32"/>
          <w:szCs w:val="32"/>
          <w:lang w:val="en-US" w:eastAsia="zh-CN"/>
        </w:rPr>
        <w:t>妇女、儿童</w:t>
      </w:r>
      <w:r>
        <w:rPr>
          <w:rFonts w:hint="eastAsia" w:ascii="方正仿宋简体" w:hAnsi="方正仿宋简体" w:eastAsia="方正仿宋简体" w:cs="方正仿宋简体"/>
          <w:sz w:val="32"/>
          <w:szCs w:val="32"/>
        </w:rPr>
        <w:t>健康与安全。</w:t>
      </w:r>
    </w:p>
    <w:p>
      <w:pPr>
        <w:ind w:firstLine="48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（4）项目立项时所属领域状况</w:t>
      </w:r>
    </w:p>
    <w:p>
      <w:pPr>
        <w:ind w:firstLine="480"/>
        <w:jc w:val="left"/>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妇幼健康工作，很多工作项目是国家基本公共卫生和重大公共卫生项目之一，有些工作也被纳入武汉市政府十件实事和武汉市惠民项目工作。做好妇幼健康工作，为践行健康武汉，对提高城市整体健康水平，提高医疗机构妇幼保健管理水平有很大帮助。</w:t>
      </w:r>
    </w:p>
    <w:p>
      <w:pPr>
        <w:numPr>
          <w:ilvl w:val="0"/>
          <w:numId w:val="1"/>
        </w:numPr>
        <w:ind w:firstLine="480" w:firstLineChars="0"/>
        <w:jc w:val="left"/>
        <w:outlineLvl w:val="2"/>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项目绩效目标</w:t>
      </w:r>
    </w:p>
    <w:p>
      <w:pPr>
        <w:pStyle w:val="8"/>
        <w:keepNext w:val="0"/>
        <w:keepLines w:val="0"/>
        <w:widowControl w:val="0"/>
        <w:numPr>
          <w:ilvl w:val="0"/>
          <w:numId w:val="0"/>
        </w:numPr>
        <w:shd w:val="clear" w:color="auto" w:fill="auto"/>
        <w:tabs>
          <w:tab w:val="left" w:pos="1087"/>
        </w:tabs>
        <w:bidi w:val="0"/>
        <w:spacing w:before="0" w:after="0" w:line="576" w:lineRule="exact"/>
        <w:ind w:right="0" w:rightChars="0" w:firstLine="320" w:firstLineChars="100"/>
        <w:jc w:val="both"/>
        <w:rPr>
          <w:rFonts w:hint="default" w:ascii="方正仿宋简体" w:hAnsi="方正仿宋简体" w:eastAsia="方正仿宋简体" w:cs="方正仿宋简体"/>
          <w:spacing w:val="0"/>
          <w:kern w:val="2"/>
          <w:sz w:val="32"/>
          <w:szCs w:val="32"/>
          <w:u w:val="none"/>
          <w:lang w:val="en-US" w:eastAsia="zh-CN" w:bidi="ar-SA"/>
        </w:rPr>
      </w:pPr>
      <w:r>
        <w:rPr>
          <w:rFonts w:hint="eastAsia" w:ascii="方正仿宋简体" w:hAnsi="方正仿宋简体" w:eastAsia="方正仿宋简体" w:cs="方正仿宋简体"/>
          <w:spacing w:val="0"/>
          <w:kern w:val="2"/>
          <w:sz w:val="32"/>
          <w:szCs w:val="32"/>
          <w:u w:val="none"/>
          <w:lang w:val="zh-CN" w:eastAsia="zh-CN" w:bidi="ar-SA"/>
        </w:rPr>
        <w:t>（</w:t>
      </w:r>
      <w:r>
        <w:rPr>
          <w:rFonts w:hint="eastAsia" w:ascii="方正仿宋简体" w:hAnsi="方正仿宋简体" w:eastAsia="方正仿宋简体" w:cs="方正仿宋简体"/>
          <w:spacing w:val="0"/>
          <w:kern w:val="2"/>
          <w:sz w:val="32"/>
          <w:szCs w:val="32"/>
          <w:u w:val="none"/>
          <w:lang w:val="en-US" w:eastAsia="zh-CN" w:bidi="ar-SA"/>
        </w:rPr>
        <w:t>1</w:t>
      </w:r>
      <w:r>
        <w:rPr>
          <w:rFonts w:hint="eastAsia" w:ascii="方正仿宋简体" w:hAnsi="方正仿宋简体" w:eastAsia="方正仿宋简体" w:cs="方正仿宋简体"/>
          <w:spacing w:val="0"/>
          <w:kern w:val="2"/>
          <w:sz w:val="32"/>
          <w:szCs w:val="32"/>
          <w:u w:val="none"/>
          <w:lang w:val="zh-CN" w:eastAsia="zh-CN" w:bidi="ar-SA"/>
        </w:rPr>
        <w:t>）产出目标：</w:t>
      </w:r>
      <w:r>
        <w:rPr>
          <w:rFonts w:hint="eastAsia" w:ascii="方正仿宋简体" w:hAnsi="方正仿宋简体" w:eastAsia="方正仿宋简体" w:cs="方正仿宋简体"/>
          <w:spacing w:val="0"/>
          <w:kern w:val="2"/>
          <w:sz w:val="32"/>
          <w:szCs w:val="32"/>
          <w:u w:val="none"/>
          <w:lang w:val="en-US" w:eastAsia="zh-CN" w:bidi="ar-SA"/>
        </w:rPr>
        <w:t>①两免工作。免费婚前医学检查完成1451对，完成率80.61%。免费孕前优生健康检查目标人群1037对，覆盖率103.7%。②孕妇无创基因免费检测完成1450（含2017年98例）例，完成率221.64%。③新生儿五项疾病筛查完成1347例，完成率99.1%。④适龄妇女“两癌筛查”完成率:宫颈癌7690例，完成率197.12%；乳腺癌7578例，完成率194.31%。⑤目标人群叶酸补服4323例，服用率108.9%。</w:t>
      </w:r>
    </w:p>
    <w:p>
      <w:pPr>
        <w:pStyle w:val="8"/>
        <w:keepNext w:val="0"/>
        <w:keepLines w:val="0"/>
        <w:widowControl w:val="0"/>
        <w:numPr>
          <w:ilvl w:val="0"/>
          <w:numId w:val="0"/>
        </w:numPr>
        <w:shd w:val="clear" w:color="auto" w:fill="auto"/>
        <w:tabs>
          <w:tab w:val="left" w:pos="1026"/>
        </w:tabs>
        <w:bidi w:val="0"/>
        <w:spacing w:before="0" w:after="0" w:line="600" w:lineRule="exact"/>
        <w:ind w:right="0" w:rightChars="0" w:firstLine="380" w:firstLineChars="100"/>
        <w:jc w:val="left"/>
        <w:rPr>
          <w:rFonts w:hint="eastAsia" w:ascii="方正仿宋简体" w:hAnsi="方正仿宋简体" w:eastAsia="方正仿宋简体" w:cs="方正仿宋简体"/>
          <w:sz w:val="32"/>
          <w:szCs w:val="32"/>
        </w:rPr>
      </w:pPr>
      <w:r>
        <w:rPr>
          <w:rFonts w:hint="eastAsia" w:ascii="仿宋_GB2312" w:hAnsi="仿宋_GB2312" w:eastAsia="仿宋_GB2312" w:cs="仿宋_GB2312"/>
          <w:color w:val="000000"/>
          <w:w w:val="100"/>
          <w:position w:val="0"/>
          <w:sz w:val="32"/>
          <w:szCs w:val="32"/>
          <w:lang w:val="zh-CN" w:eastAsia="zh-CN" w:bidi="zh-CN"/>
        </w:rPr>
        <w:t>（</w:t>
      </w:r>
      <w:r>
        <w:rPr>
          <w:rFonts w:hint="eastAsia" w:ascii="仿宋_GB2312" w:hAnsi="仿宋_GB2312" w:eastAsia="仿宋_GB2312" w:cs="仿宋_GB2312"/>
          <w:color w:val="000000"/>
          <w:w w:val="100"/>
          <w:position w:val="0"/>
          <w:sz w:val="32"/>
          <w:szCs w:val="32"/>
          <w:lang w:val="en-US" w:eastAsia="zh-CN" w:bidi="zh-CN"/>
        </w:rPr>
        <w:t>2</w:t>
      </w:r>
      <w:r>
        <w:rPr>
          <w:rFonts w:hint="eastAsia" w:ascii="仿宋_GB2312" w:hAnsi="仿宋_GB2312" w:eastAsia="仿宋_GB2312" w:cs="仿宋_GB2312"/>
          <w:color w:val="000000"/>
          <w:w w:val="100"/>
          <w:position w:val="0"/>
          <w:sz w:val="32"/>
          <w:szCs w:val="32"/>
          <w:lang w:val="zh-CN" w:eastAsia="zh-CN" w:bidi="zh-CN"/>
        </w:rPr>
        <w:t>）效果目标：</w:t>
      </w:r>
      <w:r>
        <w:rPr>
          <w:rFonts w:hint="eastAsia" w:ascii="仿宋_GB2312" w:hAnsi="仿宋_GB2312" w:eastAsia="仿宋_GB2312" w:cs="仿宋_GB2312"/>
          <w:sz w:val="32"/>
          <w:szCs w:val="32"/>
          <w:lang w:val="en-US" w:eastAsia="zh-CN"/>
        </w:rPr>
        <w:t>2018年</w:t>
      </w:r>
      <w:r>
        <w:rPr>
          <w:rFonts w:hint="eastAsia" w:ascii="仿宋_GB2312" w:hAnsi="仿宋_GB2312" w:eastAsia="仿宋_GB2312" w:cs="仿宋_GB2312"/>
          <w:sz w:val="32"/>
          <w:szCs w:val="32"/>
        </w:rPr>
        <w:t>孕产妇死亡率</w:t>
      </w:r>
      <w:r>
        <w:rPr>
          <w:rFonts w:hint="eastAsia" w:ascii="仿宋_GB2312" w:hAnsi="仿宋_GB2312" w:eastAsia="仿宋_GB2312" w:cs="仿宋_GB2312"/>
          <w:sz w:val="32"/>
          <w:szCs w:val="32"/>
          <w:lang w:val="en-US" w:eastAsia="zh-CN"/>
        </w:rPr>
        <w:t>为0；婴儿死亡率1‰；出生缺陷发生率6.7‰。</w:t>
      </w:r>
    </w:p>
    <w:p>
      <w:pPr>
        <w:keepNext/>
        <w:keepLines/>
        <w:ind w:firstLine="480"/>
        <w:outlineLvl w:val="2"/>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3、项目经费来源和使用情况</w:t>
      </w:r>
    </w:p>
    <w:p>
      <w:pPr>
        <w:keepNext/>
        <w:keepLines/>
        <w:ind w:firstLine="48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（1）项目资金来源概况</w:t>
      </w:r>
    </w:p>
    <w:p>
      <w:pPr>
        <w:ind w:firstLine="480"/>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color w:val="auto"/>
          <w:sz w:val="32"/>
          <w:szCs w:val="32"/>
        </w:rPr>
        <w:t>武汉经济技术开发区（汉南区）财政局在《开发区（汉南区）</w:t>
      </w:r>
      <w:r>
        <w:rPr>
          <w:rFonts w:hint="eastAsia" w:ascii="方正仿宋简体" w:hAnsi="方正仿宋简体" w:eastAsia="方正仿宋简体" w:cs="方正仿宋简体"/>
          <w:color w:val="auto"/>
          <w:sz w:val="32"/>
          <w:szCs w:val="32"/>
          <w:lang w:eastAsia="zh-CN"/>
        </w:rPr>
        <w:t>财政局关于批复卫计局</w:t>
      </w:r>
      <w:r>
        <w:rPr>
          <w:rFonts w:hint="eastAsia" w:ascii="方正仿宋简体" w:hAnsi="方正仿宋简体" w:eastAsia="方正仿宋简体" w:cs="方正仿宋简体"/>
          <w:color w:val="auto"/>
          <w:sz w:val="32"/>
          <w:szCs w:val="32"/>
        </w:rPr>
        <w:t>201</w:t>
      </w:r>
      <w:r>
        <w:rPr>
          <w:rFonts w:hint="eastAsia" w:ascii="方正仿宋简体" w:hAnsi="方正仿宋简体" w:eastAsia="方正仿宋简体" w:cs="方正仿宋简体"/>
          <w:color w:val="auto"/>
          <w:sz w:val="32"/>
          <w:szCs w:val="32"/>
          <w:lang w:val="en-US" w:eastAsia="zh-CN"/>
        </w:rPr>
        <w:t>8</w:t>
      </w:r>
      <w:r>
        <w:rPr>
          <w:rFonts w:hint="eastAsia" w:ascii="方正仿宋简体" w:hAnsi="方正仿宋简体" w:eastAsia="方正仿宋简体" w:cs="方正仿宋简体"/>
          <w:color w:val="auto"/>
          <w:sz w:val="32"/>
          <w:szCs w:val="32"/>
        </w:rPr>
        <w:t>年预算的函》（武经开财</w:t>
      </w:r>
      <w:r>
        <w:rPr>
          <w:rFonts w:hint="eastAsia" w:ascii="方正仿宋简体" w:hAnsi="方正仿宋简体" w:eastAsia="方正仿宋简体" w:cs="方正仿宋简体"/>
          <w:color w:val="auto"/>
          <w:sz w:val="32"/>
          <w:szCs w:val="32"/>
          <w:lang w:eastAsia="zh-CN"/>
        </w:rPr>
        <w:t>预</w:t>
      </w:r>
      <w:r>
        <w:rPr>
          <w:rFonts w:hint="eastAsia" w:ascii="方正仿宋简体" w:hAnsi="方正仿宋简体" w:eastAsia="方正仿宋简体" w:cs="方正仿宋简体"/>
          <w:color w:val="auto"/>
          <w:sz w:val="32"/>
          <w:szCs w:val="32"/>
        </w:rPr>
        <w:t>[201</w:t>
      </w:r>
      <w:r>
        <w:rPr>
          <w:rFonts w:hint="eastAsia" w:ascii="方正仿宋简体" w:hAnsi="方正仿宋简体" w:eastAsia="方正仿宋简体" w:cs="方正仿宋简体"/>
          <w:color w:val="auto"/>
          <w:sz w:val="32"/>
          <w:szCs w:val="32"/>
          <w:lang w:val="en-US" w:eastAsia="zh-CN"/>
        </w:rPr>
        <w:t>8</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sz w:val="32"/>
          <w:szCs w:val="32"/>
          <w:lang w:val="en-US" w:eastAsia="zh-CN"/>
        </w:rPr>
        <w:t>45</w:t>
      </w:r>
      <w:r>
        <w:rPr>
          <w:rFonts w:hint="eastAsia" w:ascii="方正仿宋简体" w:hAnsi="方正仿宋简体" w:eastAsia="方正仿宋简体" w:cs="方正仿宋简体"/>
          <w:color w:val="auto"/>
          <w:sz w:val="32"/>
          <w:szCs w:val="32"/>
        </w:rPr>
        <w:t>号）中批复了卫计局“</w:t>
      </w:r>
      <w:r>
        <w:rPr>
          <w:rFonts w:hint="eastAsia" w:ascii="方正仿宋简体" w:hAnsi="方正仿宋简体" w:eastAsia="方正仿宋简体" w:cs="方正仿宋简体"/>
          <w:color w:val="auto"/>
          <w:sz w:val="32"/>
          <w:szCs w:val="32"/>
          <w:lang w:val="en-US" w:eastAsia="zh-CN"/>
        </w:rPr>
        <w:t>健康教育促进与妇幼保健</w:t>
      </w:r>
      <w:r>
        <w:rPr>
          <w:rFonts w:hint="eastAsia" w:ascii="方正仿宋简体" w:hAnsi="方正仿宋简体" w:eastAsia="方正仿宋简体" w:cs="方正仿宋简体"/>
          <w:color w:val="auto"/>
          <w:sz w:val="32"/>
          <w:szCs w:val="32"/>
        </w:rPr>
        <w:t>专项”项目预算资金</w:t>
      </w:r>
      <w:r>
        <w:rPr>
          <w:rFonts w:hint="eastAsia" w:ascii="方正仿宋简体" w:hAnsi="方正仿宋简体" w:eastAsia="方正仿宋简体" w:cs="方正仿宋简体"/>
          <w:color w:val="auto"/>
          <w:sz w:val="32"/>
          <w:szCs w:val="32"/>
          <w:lang w:val="en-US" w:eastAsia="zh-CN"/>
        </w:rPr>
        <w:t>413</w:t>
      </w:r>
      <w:r>
        <w:rPr>
          <w:rFonts w:hint="eastAsia" w:ascii="方正仿宋简体" w:hAnsi="方正仿宋简体" w:eastAsia="方正仿宋简体" w:cs="方正仿宋简体"/>
          <w:color w:val="auto"/>
          <w:sz w:val="32"/>
          <w:szCs w:val="32"/>
        </w:rPr>
        <w:t>万元，实际下达预算资金</w:t>
      </w:r>
      <w:r>
        <w:rPr>
          <w:rFonts w:hint="eastAsia" w:ascii="方正仿宋简体" w:hAnsi="方正仿宋简体" w:eastAsia="方正仿宋简体" w:cs="方正仿宋简体"/>
          <w:color w:val="auto"/>
          <w:sz w:val="32"/>
          <w:szCs w:val="32"/>
          <w:lang w:val="en-US" w:eastAsia="zh-CN"/>
        </w:rPr>
        <w:t>413</w:t>
      </w:r>
      <w:r>
        <w:rPr>
          <w:rFonts w:hint="eastAsia" w:ascii="方正仿宋简体" w:hAnsi="方正仿宋简体" w:eastAsia="方正仿宋简体" w:cs="方正仿宋简体"/>
          <w:color w:val="auto"/>
          <w:sz w:val="32"/>
          <w:szCs w:val="32"/>
        </w:rPr>
        <w:t>万元。</w:t>
      </w:r>
      <w:r>
        <w:rPr>
          <w:rFonts w:hint="eastAsia" w:ascii="方正仿宋简体" w:hAnsi="方正仿宋简体" w:eastAsia="方正仿宋简体" w:cs="方正仿宋简体"/>
          <w:sz w:val="32"/>
          <w:szCs w:val="32"/>
        </w:rPr>
        <w:t>项目实施情况</w:t>
      </w:r>
      <w:r>
        <w:rPr>
          <w:rFonts w:hint="eastAsia" w:ascii="方正仿宋简体" w:hAnsi="方正仿宋简体" w:eastAsia="方正仿宋简体" w:cs="方正仿宋简体"/>
          <w:sz w:val="32"/>
          <w:szCs w:val="32"/>
          <w:lang w:eastAsia="zh-CN"/>
        </w:rPr>
        <w:t>：</w:t>
      </w:r>
      <w:bookmarkStart w:id="32" w:name="_GoBack"/>
      <w:bookmarkEnd w:id="32"/>
    </w:p>
    <w:p>
      <w:pPr>
        <w:pStyle w:val="8"/>
        <w:keepNext w:val="0"/>
        <w:keepLines w:val="0"/>
        <w:widowControl w:val="0"/>
        <w:numPr>
          <w:ilvl w:val="0"/>
          <w:numId w:val="0"/>
        </w:numPr>
        <w:shd w:val="clear" w:color="auto" w:fill="auto"/>
        <w:tabs>
          <w:tab w:val="left" w:pos="1045"/>
        </w:tabs>
        <w:bidi w:val="0"/>
        <w:spacing w:before="0" w:after="0" w:line="586" w:lineRule="exact"/>
        <w:ind w:right="0" w:rightChars="0"/>
        <w:jc w:val="left"/>
        <w:rPr>
          <w:rFonts w:hint="default" w:ascii="方正仿宋简体" w:hAnsi="方正仿宋简体" w:eastAsia="方正仿宋简体" w:cs="方正仿宋简体"/>
          <w:color w:val="auto"/>
          <w:spacing w:val="0"/>
          <w:kern w:val="2"/>
          <w:sz w:val="32"/>
          <w:szCs w:val="32"/>
          <w:u w:val="none"/>
          <w:lang w:val="en-US" w:eastAsia="zh-CN" w:bidi="ar-SA"/>
        </w:rPr>
      </w:pPr>
      <w:r>
        <w:rPr>
          <w:rFonts w:hint="eastAsia" w:ascii="方正仿宋简体" w:hAnsi="方正仿宋简体" w:eastAsia="方正仿宋简体" w:cs="方正仿宋简体"/>
          <w:b w:val="0"/>
          <w:bCs w:val="0"/>
          <w:kern w:val="2"/>
          <w:sz w:val="32"/>
          <w:szCs w:val="32"/>
          <w:lang w:val="en-US" w:eastAsia="zh-CN"/>
        </w:rPr>
        <w:t xml:space="preserve">  </w:t>
      </w:r>
      <w:r>
        <w:rPr>
          <w:rFonts w:hint="eastAsia" w:ascii="方正仿宋简体" w:hAnsi="方正仿宋简体" w:eastAsia="方正仿宋简体" w:cs="方正仿宋简体"/>
          <w:color w:val="auto"/>
          <w:spacing w:val="0"/>
          <w:kern w:val="2"/>
          <w:sz w:val="32"/>
          <w:szCs w:val="32"/>
          <w:u w:val="none"/>
          <w:lang w:val="en-US" w:eastAsia="zh-CN" w:bidi="ar-SA"/>
        </w:rPr>
        <w:t>（1）</w:t>
      </w:r>
      <w:r>
        <w:rPr>
          <w:rFonts w:hint="eastAsia" w:ascii="方正仿宋简体" w:hAnsi="方正仿宋简体" w:eastAsia="方正仿宋简体" w:cs="方正仿宋简体"/>
          <w:color w:val="auto"/>
          <w:spacing w:val="0"/>
          <w:kern w:val="2"/>
          <w:sz w:val="32"/>
          <w:szCs w:val="32"/>
          <w:u w:val="none"/>
          <w:lang w:val="zh-CN" w:eastAsia="zh-CN" w:bidi="ar-SA"/>
        </w:rPr>
        <w:t>业务管理情况：</w:t>
      </w:r>
      <w:r>
        <w:rPr>
          <w:rFonts w:hint="eastAsia" w:ascii="方正仿宋简体" w:hAnsi="方正仿宋简体" w:eastAsia="方正仿宋简体" w:cs="方正仿宋简体"/>
          <w:color w:val="auto"/>
          <w:spacing w:val="0"/>
          <w:kern w:val="2"/>
          <w:sz w:val="32"/>
          <w:szCs w:val="32"/>
          <w:u w:val="none"/>
          <w:lang w:val="en-US" w:eastAsia="zh-CN" w:bidi="ar-SA"/>
        </w:rPr>
        <w:t xml:space="preserve"> </w:t>
      </w:r>
      <w:r>
        <w:rPr>
          <w:rFonts w:hint="eastAsia" w:ascii="方正仿宋简体" w:hAnsi="方正仿宋简体" w:eastAsia="方正仿宋简体" w:cs="方正仿宋简体"/>
          <w:color w:val="auto"/>
          <w:spacing w:val="0"/>
          <w:kern w:val="2"/>
          <w:sz w:val="32"/>
          <w:szCs w:val="32"/>
          <w:u w:val="none"/>
          <w:lang w:val="zh-CN" w:eastAsia="zh-CN" w:bidi="ar-SA"/>
        </w:rPr>
        <w:t>①项目基础资料。</w:t>
      </w:r>
      <w:r>
        <w:rPr>
          <w:rFonts w:hint="eastAsia" w:ascii="方正仿宋简体" w:hAnsi="方正仿宋简体" w:eastAsia="方正仿宋简体" w:cs="方正仿宋简体"/>
          <w:color w:val="auto"/>
          <w:spacing w:val="0"/>
          <w:kern w:val="2"/>
          <w:sz w:val="32"/>
          <w:szCs w:val="32"/>
          <w:u w:val="none"/>
          <w:lang w:val="en-US" w:eastAsia="zh-CN" w:bidi="ar-SA"/>
        </w:rPr>
        <w:t>根据省、市各项工作要求开展工作，各项工作在市级妇幼软件系统中（或纸质台账登记）核查工作完成情况。</w:t>
      </w:r>
      <w:r>
        <w:rPr>
          <w:rFonts w:hint="eastAsia" w:ascii="方正仿宋简体" w:hAnsi="方正仿宋简体" w:eastAsia="方正仿宋简体" w:cs="方正仿宋简体"/>
          <w:color w:val="auto"/>
          <w:spacing w:val="0"/>
          <w:kern w:val="2"/>
          <w:sz w:val="32"/>
          <w:szCs w:val="32"/>
          <w:u w:val="none"/>
          <w:lang w:val="zh-CN" w:eastAsia="zh-CN" w:bidi="ar-SA"/>
        </w:rPr>
        <w:t>②项目质量控制。</w:t>
      </w:r>
      <w:r>
        <w:rPr>
          <w:rFonts w:hint="eastAsia" w:ascii="方正仿宋简体" w:hAnsi="方正仿宋简体" w:eastAsia="方正仿宋简体" w:cs="方正仿宋简体"/>
          <w:color w:val="auto"/>
          <w:spacing w:val="0"/>
          <w:kern w:val="2"/>
          <w:sz w:val="32"/>
          <w:szCs w:val="32"/>
          <w:u w:val="none"/>
          <w:lang w:val="en-US" w:eastAsia="zh-CN" w:bidi="ar-SA"/>
        </w:rPr>
        <w:t>在区卫计局及区级妇幼业务指导部门的监督指导下，对各项工作进行监督核查，使各项工作有序开展。</w:t>
      </w:r>
      <w:r>
        <w:rPr>
          <w:rFonts w:hint="eastAsia" w:ascii="方正仿宋简体" w:hAnsi="方正仿宋简体" w:eastAsia="方正仿宋简体" w:cs="方正仿宋简体"/>
          <w:color w:val="auto"/>
          <w:spacing w:val="0"/>
          <w:kern w:val="2"/>
          <w:sz w:val="32"/>
          <w:szCs w:val="32"/>
          <w:u w:val="none"/>
          <w:lang w:val="zh-CN" w:eastAsia="zh-CN" w:bidi="ar-SA"/>
        </w:rPr>
        <w:t>③项目验收情况。</w:t>
      </w:r>
      <w:r>
        <w:rPr>
          <w:rFonts w:hint="eastAsia" w:ascii="方正仿宋简体" w:hAnsi="方正仿宋简体" w:eastAsia="方正仿宋简体" w:cs="方正仿宋简体"/>
          <w:color w:val="auto"/>
          <w:spacing w:val="0"/>
          <w:kern w:val="2"/>
          <w:sz w:val="32"/>
          <w:szCs w:val="32"/>
          <w:u w:val="none"/>
          <w:lang w:val="en-US" w:eastAsia="zh-CN" w:bidi="ar-SA"/>
        </w:rPr>
        <w:t>每季度区级卫计行政部门、每半年市级卫计行政部门进行一次妇幼项目工作督导检查，对项目工作完成质量和数量进行核查，按要求上报妇幼工作报表，统计工作完成情况，查缺补漏确保工作目标落实。</w:t>
      </w:r>
    </w:p>
    <w:p>
      <w:pPr>
        <w:pStyle w:val="8"/>
        <w:keepNext w:val="0"/>
        <w:keepLines w:val="0"/>
        <w:widowControl w:val="0"/>
        <w:numPr>
          <w:ilvl w:val="0"/>
          <w:numId w:val="0"/>
        </w:numPr>
        <w:shd w:val="clear" w:color="auto" w:fill="auto"/>
        <w:tabs>
          <w:tab w:val="left" w:pos="1030"/>
        </w:tabs>
        <w:bidi w:val="0"/>
        <w:spacing w:before="0" w:after="0" w:line="586" w:lineRule="exact"/>
        <w:ind w:right="0" w:rightChars="0" w:firstLine="640" w:firstLineChars="200"/>
        <w:jc w:val="left"/>
        <w:rPr>
          <w:rFonts w:hint="default" w:ascii="方正仿宋简体" w:hAnsi="方正仿宋简体" w:eastAsia="方正仿宋简体" w:cs="方正仿宋简体"/>
          <w:color w:val="auto"/>
          <w:spacing w:val="0"/>
          <w:kern w:val="2"/>
          <w:sz w:val="32"/>
          <w:szCs w:val="32"/>
          <w:u w:val="none"/>
          <w:lang w:val="en-US" w:eastAsia="zh-CN" w:bidi="ar-SA"/>
        </w:rPr>
      </w:pPr>
      <w:r>
        <w:rPr>
          <w:rFonts w:hint="eastAsia" w:ascii="方正仿宋简体" w:hAnsi="方正仿宋简体" w:eastAsia="方正仿宋简体" w:cs="方正仿宋简体"/>
          <w:color w:val="auto"/>
          <w:spacing w:val="0"/>
          <w:kern w:val="2"/>
          <w:sz w:val="32"/>
          <w:szCs w:val="32"/>
          <w:u w:val="none"/>
          <w:lang w:val="zh-CN" w:eastAsia="zh-CN" w:bidi="ar-SA"/>
        </w:rPr>
        <w:t>（</w:t>
      </w:r>
      <w:r>
        <w:rPr>
          <w:rFonts w:hint="eastAsia" w:ascii="方正仿宋简体" w:hAnsi="方正仿宋简体" w:eastAsia="方正仿宋简体" w:cs="方正仿宋简体"/>
          <w:color w:val="auto"/>
          <w:spacing w:val="0"/>
          <w:kern w:val="2"/>
          <w:sz w:val="32"/>
          <w:szCs w:val="32"/>
          <w:u w:val="none"/>
          <w:lang w:val="en-US" w:eastAsia="zh-CN" w:bidi="ar-SA"/>
        </w:rPr>
        <w:t>2</w:t>
      </w:r>
      <w:r>
        <w:rPr>
          <w:rFonts w:hint="eastAsia" w:ascii="方正仿宋简体" w:hAnsi="方正仿宋简体" w:eastAsia="方正仿宋简体" w:cs="方正仿宋简体"/>
          <w:color w:val="auto"/>
          <w:spacing w:val="0"/>
          <w:kern w:val="2"/>
          <w:sz w:val="32"/>
          <w:szCs w:val="32"/>
          <w:u w:val="none"/>
          <w:lang w:val="zh-CN" w:eastAsia="zh-CN" w:bidi="ar-SA"/>
        </w:rPr>
        <w:t>）财务管理情况：</w:t>
      </w:r>
      <w:r>
        <w:rPr>
          <w:rFonts w:hint="eastAsia" w:ascii="方正仿宋简体" w:hAnsi="方正仿宋简体" w:eastAsia="方正仿宋简体" w:cs="方正仿宋简体"/>
          <w:color w:val="auto"/>
          <w:spacing w:val="0"/>
          <w:kern w:val="2"/>
          <w:sz w:val="32"/>
          <w:szCs w:val="32"/>
          <w:u w:val="none"/>
          <w:lang w:val="en-US" w:eastAsia="zh-CN" w:bidi="ar-SA"/>
        </w:rPr>
        <w:t>为了保障各项工作落实到位，在前年最后一个季度根据当年工作完成情况和经费使用情况，并向上级行政部门详细咨询第二年可能开展工作任务，作为核算第二年经费预算依据。区财政根据经费预算保障各项经费落实到位，我们根据工作完成实际数额与项目开展单位进行数据核对无误后，进行经费下拨。</w:t>
      </w:r>
      <w:r>
        <w:rPr>
          <w:rFonts w:hint="eastAsia" w:ascii="方正仿宋简体" w:hAnsi="方正仿宋简体" w:eastAsia="方正仿宋简体" w:cs="方正仿宋简体"/>
          <w:color w:val="auto"/>
          <w:spacing w:val="0"/>
          <w:kern w:val="2"/>
          <w:sz w:val="32"/>
          <w:szCs w:val="32"/>
          <w:u w:val="none"/>
          <w:lang w:val="zh-CN" w:eastAsia="zh-CN" w:bidi="ar-SA"/>
        </w:rPr>
        <w:t>预算差异的原因：①</w:t>
      </w:r>
      <w:r>
        <w:rPr>
          <w:rFonts w:hint="eastAsia" w:ascii="方正仿宋简体" w:hAnsi="方正仿宋简体" w:eastAsia="方正仿宋简体" w:cs="方正仿宋简体"/>
          <w:color w:val="auto"/>
          <w:spacing w:val="0"/>
          <w:kern w:val="2"/>
          <w:sz w:val="32"/>
          <w:szCs w:val="32"/>
          <w:u w:val="none"/>
          <w:lang w:val="en-US" w:eastAsia="zh-CN" w:bidi="ar-SA"/>
        </w:rPr>
        <w:t>群众的生育欲望和生育数量很难估计准确导致各项工作的目标数不能准确把握。</w:t>
      </w:r>
      <w:r>
        <w:rPr>
          <w:rFonts w:hint="eastAsia" w:ascii="方正仿宋简体" w:hAnsi="方正仿宋简体" w:eastAsia="方正仿宋简体" w:cs="方正仿宋简体"/>
          <w:color w:val="auto"/>
          <w:spacing w:val="0"/>
          <w:kern w:val="2"/>
          <w:sz w:val="32"/>
          <w:szCs w:val="32"/>
          <w:u w:val="none"/>
          <w:lang w:val="zh-CN" w:eastAsia="zh-CN" w:bidi="ar-SA"/>
        </w:rPr>
        <w:t>②</w:t>
      </w:r>
      <w:r>
        <w:rPr>
          <w:rFonts w:hint="eastAsia" w:ascii="方正仿宋简体" w:hAnsi="方正仿宋简体" w:eastAsia="方正仿宋简体" w:cs="方正仿宋简体"/>
          <w:color w:val="auto"/>
          <w:spacing w:val="0"/>
          <w:kern w:val="2"/>
          <w:sz w:val="32"/>
          <w:szCs w:val="32"/>
          <w:u w:val="none"/>
          <w:lang w:val="en-US" w:eastAsia="zh-CN" w:bidi="ar-SA"/>
        </w:rPr>
        <w:t>有些政府招标项目，招标价格变化不能预估，导致经费预算困难。</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Pr>
        <w:ind w:left="0" w:leftChars="0" w:firstLine="0" w:firstLineChars="0"/>
        <w:rPr>
          <w:rFonts w:hint="eastAsia" w:ascii="方正仿宋简体" w:hAnsi="方正仿宋简体" w:eastAsia="方正仿宋简体" w:cs="方正仿宋简体"/>
          <w:color w:val="auto"/>
          <w:spacing w:val="0"/>
          <w:kern w:val="2"/>
          <w:sz w:val="32"/>
          <w:szCs w:val="32"/>
          <w:u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PMingLiU">
    <w:altName w:val="PMingLiU-ExtB"/>
    <w:panose1 w:val="02020300000000000000"/>
    <w:charset w:val="88"/>
    <w:family w:val="auto"/>
    <w:pitch w:val="default"/>
    <w:sig w:usb0="00000000" w:usb1="00000000" w:usb2="00000016" w:usb3="00000000" w:csb0="00100001" w:csb1="00000000"/>
  </w:font>
  <w:font w:name="Arial Narrow">
    <w:panose1 w:val="020B0606020202030204"/>
    <w:charset w:val="00"/>
    <w:family w:val="swiss"/>
    <w:pitch w:val="default"/>
    <w:sig w:usb0="00000287" w:usb1="00000800" w:usb2="00000000" w:usb3="00000000" w:csb0="2000009F" w:csb1="DFD70000"/>
  </w:font>
  <w:font w:name="方正仿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方正仿宋简体">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FB009"/>
    <w:multiLevelType w:val="singleLevel"/>
    <w:tmpl w:val="595FB00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89251A"/>
    <w:rsid w:val="031D0AB1"/>
    <w:rsid w:val="0513466E"/>
    <w:rsid w:val="0BC4545B"/>
    <w:rsid w:val="10197CB5"/>
    <w:rsid w:val="2089251A"/>
    <w:rsid w:val="268B2729"/>
    <w:rsid w:val="26AD0D02"/>
    <w:rsid w:val="29F70EF0"/>
    <w:rsid w:val="2AE831E3"/>
    <w:rsid w:val="30661561"/>
    <w:rsid w:val="4B5F797B"/>
    <w:rsid w:val="4C1C298A"/>
    <w:rsid w:val="4C834A91"/>
    <w:rsid w:val="4DCA34A3"/>
    <w:rsid w:val="57933917"/>
    <w:rsid w:val="5E437BCF"/>
    <w:rsid w:val="7B0C3DC5"/>
    <w:rsid w:val="7EE436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Calibri" w:hAnsi="Calibri" w:eastAsia="仿宋_GB2312" w:cs="Times New Roman"/>
      <w:kern w:val="2"/>
      <w:sz w:val="24"/>
      <w:szCs w:val="24"/>
      <w:lang w:val="en-US" w:eastAsia="zh-CN" w:bidi="ar-SA"/>
    </w:rPr>
  </w:style>
  <w:style w:type="paragraph" w:styleId="2">
    <w:name w:val="heading 1"/>
    <w:basedOn w:val="1"/>
    <w:next w:val="1"/>
    <w:qFormat/>
    <w:uiPriority w:val="0"/>
    <w:pPr>
      <w:keepNext/>
      <w:keepLines/>
      <w:spacing w:line="360" w:lineRule="auto"/>
      <w:ind w:firstLine="0" w:firstLineChars="0"/>
      <w:jc w:val="left"/>
      <w:outlineLvl w:val="0"/>
    </w:pPr>
    <w:rPr>
      <w:rFonts w:eastAsia="仿宋_GB2312"/>
      <w:b/>
      <w:bCs/>
      <w:kern w:val="44"/>
      <w:sz w:val="28"/>
      <w:szCs w:val="44"/>
    </w:rPr>
  </w:style>
  <w:style w:type="paragraph" w:styleId="3">
    <w:name w:val="heading 2"/>
    <w:basedOn w:val="1"/>
    <w:next w:val="1"/>
    <w:qFormat/>
    <w:uiPriority w:val="0"/>
    <w:pPr>
      <w:keepNext/>
      <w:keepLines/>
      <w:spacing w:line="360" w:lineRule="auto"/>
      <w:ind w:firstLine="560"/>
      <w:outlineLvl w:val="1"/>
    </w:pPr>
    <w:rPr>
      <w:rFonts w:ascii="Arial" w:hAnsi="Arial" w:eastAsia="仿宋_GB2312"/>
      <w:b/>
      <w:bCs/>
      <w:kern w:val="0"/>
      <w:szCs w:val="32"/>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4">
    <w:name w:val="toc 1"/>
    <w:basedOn w:val="1"/>
    <w:next w:val="1"/>
    <w:qFormat/>
    <w:uiPriority w:val="39"/>
    <w:pPr>
      <w:spacing w:line="360" w:lineRule="exact"/>
      <w:ind w:firstLine="0" w:firstLineChars="0"/>
      <w:jc w:val="left"/>
    </w:pPr>
  </w:style>
  <w:style w:type="character" w:styleId="7">
    <w:name w:val="Emphasis"/>
    <w:basedOn w:val="6"/>
    <w:qFormat/>
    <w:uiPriority w:val="0"/>
    <w:rPr>
      <w:i/>
    </w:rPr>
  </w:style>
  <w:style w:type="paragraph" w:customStyle="1" w:styleId="8">
    <w:name w:val="Body text|2"/>
    <w:basedOn w:val="1"/>
    <w:qFormat/>
    <w:uiPriority w:val="0"/>
    <w:pPr>
      <w:widowControl w:val="0"/>
      <w:shd w:val="clear" w:color="auto" w:fill="FFFFFF"/>
      <w:spacing w:before="440" w:after="1500" w:line="280" w:lineRule="exact"/>
      <w:jc w:val="center"/>
    </w:pPr>
    <w:rPr>
      <w:rFonts w:ascii="PMingLiU" w:hAnsi="PMingLiU" w:eastAsia="PMingLiU" w:cs="PMingLiU"/>
      <w:spacing w:val="3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2019-06-25T02:35:00Z</dcterms:created>
  <dc:creator>WJ</dc:creator>
  <cp:lastModifiedBy>bunny</cp:lastModifiedBy>
  <dcterms:modified xsi:type="dcterms:W3CDTF">2019-07-12T07:58:07Z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