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eastAsia="方正仿宋简体"/>
          <w:bCs/>
          <w:sz w:val="32"/>
          <w:szCs w:val="32"/>
        </w:rPr>
      </w:pPr>
      <w:r>
        <w:rPr>
          <w:rFonts w:eastAsia="方正仿宋简体"/>
          <w:bCs/>
          <w:sz w:val="32"/>
          <w:szCs w:val="32"/>
        </w:rPr>
        <w:t>附件2</w:t>
      </w:r>
    </w:p>
    <w:p>
      <w:pPr>
        <w:spacing w:line="560" w:lineRule="exact"/>
        <w:jc w:val="center"/>
        <w:rPr>
          <w:rFonts w:eastAsia="方正仿宋简体"/>
          <w:bCs/>
          <w:sz w:val="32"/>
          <w:szCs w:val="32"/>
        </w:rPr>
      </w:pPr>
      <w:r>
        <w:rPr>
          <w:rFonts w:hint="eastAsia" w:eastAsia="方正小标宋简体"/>
          <w:sz w:val="44"/>
          <w:szCs w:val="44"/>
          <w:lang w:val="en-US" w:eastAsia="zh-CN"/>
        </w:rPr>
        <w:t>卫计局医政口</w:t>
      </w:r>
      <w:r>
        <w:rPr>
          <w:rFonts w:eastAsia="方正小标宋简体"/>
          <w:sz w:val="44"/>
          <w:szCs w:val="44"/>
        </w:rPr>
        <w:t>项目支出</w:t>
      </w:r>
      <w:r>
        <w:rPr>
          <w:rFonts w:eastAsia="方正小标宋简体"/>
          <w:sz w:val="44"/>
          <w:szCs w:val="44"/>
        </w:rPr>
        <w:br w:type="textWrapping"/>
      </w:r>
      <w:r>
        <w:rPr>
          <w:rFonts w:eastAsia="方正小标宋简体"/>
          <w:sz w:val="44"/>
          <w:szCs w:val="44"/>
        </w:rPr>
        <w:t>201</w:t>
      </w:r>
      <w:r>
        <w:rPr>
          <w:rFonts w:hint="eastAsia" w:eastAsia="方正小标宋简体"/>
          <w:sz w:val="44"/>
          <w:szCs w:val="44"/>
        </w:rPr>
        <w:t>8</w:t>
      </w:r>
      <w:r>
        <w:rPr>
          <w:rFonts w:eastAsia="方正小标宋简体"/>
          <w:sz w:val="44"/>
          <w:szCs w:val="44"/>
        </w:rPr>
        <w:t>年度绩效自评报告</w:t>
      </w:r>
      <w:r>
        <w:rPr>
          <w:rFonts w:eastAsia="方正小标宋简体"/>
          <w:sz w:val="44"/>
          <w:szCs w:val="44"/>
        </w:rPr>
        <w:br w:type="textWrapping"/>
      </w:r>
    </w:p>
    <w:p>
      <w:pPr>
        <w:jc w:val="center"/>
        <w:rPr>
          <w:szCs w:val="32"/>
        </w:rPr>
      </w:pPr>
    </w:p>
    <w:p>
      <w:pPr>
        <w:ind w:firstLine="640" w:firstLineChars="200"/>
        <w:outlineLvl w:val="0"/>
        <w:rPr>
          <w:rFonts w:eastAsia="黑体"/>
          <w:sz w:val="32"/>
          <w:szCs w:val="32"/>
        </w:rPr>
      </w:pPr>
      <w:r>
        <w:rPr>
          <w:rFonts w:eastAsia="黑体"/>
          <w:sz w:val="32"/>
          <w:szCs w:val="32"/>
        </w:rPr>
        <w:t>目录</w:t>
      </w:r>
    </w:p>
    <w:p>
      <w:pPr>
        <w:ind w:firstLine="640" w:firstLineChars="200"/>
        <w:outlineLvl w:val="0"/>
        <w:rPr>
          <w:rFonts w:eastAsia="黑体"/>
          <w:sz w:val="32"/>
          <w:szCs w:val="32"/>
        </w:rPr>
      </w:pPr>
      <w:r>
        <w:rPr>
          <w:rFonts w:eastAsia="黑体"/>
          <w:sz w:val="32"/>
          <w:szCs w:val="32"/>
        </w:rPr>
        <w:t>一、摘要（1500字以内）</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楷体简体"/>
          <w:sz w:val="32"/>
          <w:szCs w:val="32"/>
        </w:rPr>
      </w:pPr>
      <w:r>
        <w:rPr>
          <w:rFonts w:eastAsia="方正楷体简体"/>
          <w:sz w:val="32"/>
          <w:szCs w:val="32"/>
        </w:rPr>
        <w:t>（一）基本情况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仿宋简体"/>
          <w:sz w:val="32"/>
          <w:szCs w:val="32"/>
        </w:rPr>
      </w:pPr>
      <w:r>
        <w:rPr>
          <w:rFonts w:hint="eastAsia" w:ascii="仿宋" w:hAnsi="仿宋" w:eastAsia="仿宋" w:cs="Times New Roman"/>
          <w:color w:val="000000"/>
          <w:sz w:val="32"/>
          <w:szCs w:val="32"/>
        </w:rPr>
        <w:t>2018年，医政医管口在市区两级卫生行政部门的正确领导下，紧紧围绕年度绩效考核目标及重点工作，通过积极推动公立医院综合改革、分级诊疗制度建设等，夯实基层医疗服务体系，进一步规范医疗行为，不断提升医疗卫生服务能力，全面推进我区医疗卫生各项工作。</w:t>
      </w:r>
      <w:r>
        <w:rPr>
          <w:rFonts w:hint="eastAsia" w:ascii="仿宋" w:hAnsi="仿宋" w:eastAsia="仿宋" w:cs="Times New Roman"/>
          <w:color w:val="000000"/>
          <w:sz w:val="32"/>
          <w:szCs w:val="32"/>
          <w:lang w:val="en-US" w:eastAsia="zh-CN"/>
        </w:rPr>
        <w:t>2018年申请区级资金746.82万元。其中包括：基层医疗卫生机构医疗责任保险费60.66万；村卫生室医疗保险0.45万；村卫生室运行费5.48万；村卫生室实施基药差价补偿65万；公民无偿献血经费20万；医疗质量管理5万；饮用水水质监测费59.5万；中医药发展经费50万；新民社区卫生服务中心医联体运行70万；协和医院西院和沌阳社区卫生服务中心医联体建设0万；信息化电信线路经费61万；信息化运行维护经费14.19万；信息化建设经费4.75万；新民社区运行经费297.19万。市医保接口年运行经费33.6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仿宋简体"/>
          <w:sz w:val="32"/>
          <w:szCs w:val="32"/>
        </w:rPr>
      </w:pPr>
      <w:r>
        <w:rPr>
          <w:rFonts w:eastAsia="方正仿宋简体"/>
          <w:sz w:val="32"/>
          <w:szCs w:val="32"/>
        </w:rPr>
        <w:t>2.</w:t>
      </w:r>
      <w:r>
        <w:rPr>
          <w:rFonts w:hint="eastAsia" w:eastAsia="方正仿宋简体"/>
          <w:sz w:val="32"/>
          <w:szCs w:val="32"/>
          <w:lang w:val="en-US" w:eastAsia="zh-CN"/>
        </w:rPr>
        <w:t>2018年执行预算数651.5921万元，执行率为87.25%。</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0"/>
        <w:rPr>
          <w:rFonts w:eastAsia="方正楷体简体"/>
          <w:sz w:val="32"/>
          <w:szCs w:val="32"/>
        </w:rPr>
      </w:pPr>
      <w:r>
        <w:rPr>
          <w:rFonts w:hint="eastAsia" w:eastAsia="方正楷体简体"/>
          <w:sz w:val="32"/>
          <w:szCs w:val="32"/>
          <w:lang w:val="en-US" w:eastAsia="zh-CN"/>
        </w:rPr>
        <w:t xml:space="preserve">   </w:t>
      </w:r>
      <w:r>
        <w:rPr>
          <w:rFonts w:eastAsia="方正楷体简体"/>
          <w:sz w:val="32"/>
          <w:szCs w:val="32"/>
        </w:rPr>
        <w:t>（二）绩效评价结论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hint="eastAsia" w:eastAsia="方正仿宋简体"/>
          <w:sz w:val="32"/>
          <w:szCs w:val="32"/>
          <w:lang w:val="en-US" w:eastAsia="zh-CN"/>
        </w:rPr>
      </w:pPr>
      <w:r>
        <w:rPr>
          <w:rFonts w:eastAsia="方正仿宋简体"/>
          <w:sz w:val="32"/>
          <w:szCs w:val="32"/>
        </w:rPr>
        <w:t>综合得分</w:t>
      </w:r>
      <w:r>
        <w:rPr>
          <w:rFonts w:hint="eastAsia" w:eastAsia="方正仿宋简体"/>
          <w:sz w:val="32"/>
          <w:szCs w:val="32"/>
          <w:lang w:val="en-US" w:eastAsia="zh-CN"/>
        </w:rPr>
        <w:t>87.25分</w:t>
      </w:r>
      <w:r>
        <w:rPr>
          <w:rFonts w:eastAsia="方正仿宋简体"/>
          <w:sz w:val="32"/>
          <w:szCs w:val="32"/>
        </w:rPr>
        <w:t>，</w:t>
      </w:r>
      <w:r>
        <w:rPr>
          <w:rFonts w:hint="eastAsia" w:eastAsia="方正仿宋简体"/>
          <w:sz w:val="32"/>
          <w:szCs w:val="32"/>
          <w:lang w:val="en-US" w:eastAsia="zh-CN"/>
        </w:rPr>
        <w:t>绩效完成情况较好！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0"/>
        <w:rPr>
          <w:rFonts w:eastAsia="方正楷体简体"/>
          <w:sz w:val="32"/>
          <w:szCs w:val="32"/>
        </w:rPr>
      </w:pPr>
      <w:r>
        <w:rPr>
          <w:rFonts w:hint="eastAsia" w:eastAsia="方正仿宋简体"/>
          <w:sz w:val="32"/>
          <w:szCs w:val="32"/>
          <w:lang w:val="en-US" w:eastAsia="zh-CN"/>
        </w:rPr>
        <w:t xml:space="preserve">   </w:t>
      </w:r>
      <w:r>
        <w:rPr>
          <w:rFonts w:eastAsia="方正楷体简体"/>
          <w:sz w:val="32"/>
          <w:szCs w:val="32"/>
        </w:rPr>
        <w:t>（三）项目的经验与问题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仿宋简体"/>
          <w:sz w:val="32"/>
          <w:szCs w:val="32"/>
        </w:rPr>
      </w:pPr>
      <w:r>
        <w:rPr>
          <w:rFonts w:eastAsia="方正仿宋简体"/>
          <w:sz w:val="32"/>
          <w:szCs w:val="32"/>
        </w:rPr>
        <w:t>1.</w:t>
      </w:r>
      <w:r>
        <w:rPr>
          <w:rFonts w:hint="eastAsia" w:eastAsia="方正仿宋简体"/>
          <w:sz w:val="32"/>
          <w:szCs w:val="32"/>
          <w:lang w:val="en-US" w:eastAsia="zh-CN"/>
        </w:rPr>
        <w:t>严格按照上级文件要求进行项目的预算和执行</w:t>
      </w:r>
      <w:r>
        <w:rPr>
          <w:rFonts w:eastAsia="方正仿宋简体"/>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ascii="仿宋" w:hAnsi="仿宋" w:eastAsia="仿宋" w:cs="仿宋_GB2312"/>
          <w:sz w:val="32"/>
          <w:szCs w:val="32"/>
        </w:rPr>
      </w:pPr>
      <w:r>
        <w:rPr>
          <w:rFonts w:eastAsia="方正仿宋简体"/>
          <w:sz w:val="32"/>
          <w:szCs w:val="32"/>
        </w:rPr>
        <w:t>2.</w:t>
      </w:r>
      <w:r>
        <w:rPr>
          <w:rFonts w:hint="eastAsia" w:ascii="仿宋" w:hAnsi="仿宋" w:eastAsia="仿宋" w:cs="Times New Roman"/>
          <w:color w:val="000000"/>
          <w:sz w:val="32"/>
          <w:szCs w:val="32"/>
          <w:lang w:val="en-US" w:eastAsia="zh-CN"/>
        </w:rPr>
        <w:t>问题。</w:t>
      </w:r>
      <w:r>
        <w:rPr>
          <w:rFonts w:hint="eastAsia" w:ascii="仿宋" w:hAnsi="仿宋" w:eastAsia="仿宋" w:cs="仿宋_GB2312"/>
          <w:sz w:val="32"/>
          <w:szCs w:val="32"/>
        </w:rPr>
        <w:t>一是医疗服务体系不健全，结构不合理，分级诊疗制度建设处于初期，基层医疗机构资源使用效率不高。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二是基层不强。主要表现在部分基层医疗单位规模、基础设施、医疗设备不能满足老百姓看病需求；专业技术人员引进难、留住更难，医院、医护人员两个积极性有待进一步提高。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三是医疗机构监管的长效机制尚未形成，历史遗留问题和现实监管无法平衡，医疗服务监管仍需进一步加强。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hint="eastAsia" w:ascii="仿宋" w:hAnsi="仿宋" w:eastAsia="仿宋" w:cs="Times New Roman"/>
          <w:color w:val="000000"/>
          <w:sz w:val="32"/>
          <w:szCs w:val="32"/>
          <w:lang w:val="en-US" w:eastAsia="zh-CN"/>
        </w:rPr>
      </w:pPr>
      <w:r>
        <w:rPr>
          <w:rFonts w:hint="eastAsia" w:ascii="仿宋" w:hAnsi="仿宋" w:eastAsia="仿宋" w:cs="仿宋_GB2312"/>
          <w:sz w:val="32"/>
          <w:szCs w:val="32"/>
        </w:rPr>
        <w:t>四是人员少与工作量大的矛盾突出，导致工作只能流于表面，不能够深入，达不到量质齐升。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楷体简体"/>
          <w:sz w:val="32"/>
          <w:szCs w:val="32"/>
        </w:rPr>
      </w:pPr>
      <w:r>
        <w:rPr>
          <w:rFonts w:eastAsia="方正楷体简体"/>
          <w:sz w:val="32"/>
          <w:szCs w:val="32"/>
        </w:rPr>
        <w:t>（四）建议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ascii="仿宋" w:hAnsi="仿宋" w:eastAsia="仿宋" w:cs="仿宋_GB2312"/>
          <w:sz w:val="32"/>
          <w:szCs w:val="32"/>
        </w:rPr>
      </w:pPr>
      <w:r>
        <w:rPr>
          <w:rFonts w:hint="eastAsia" w:ascii="仿宋" w:hAnsi="仿宋" w:eastAsia="仿宋" w:cs="仿宋_GB2312"/>
          <w:sz w:val="32"/>
          <w:szCs w:val="32"/>
          <w:lang w:val="en-US" w:eastAsia="zh-CN"/>
        </w:rPr>
        <w:t>一是</w:t>
      </w:r>
      <w:r>
        <w:rPr>
          <w:rFonts w:hint="eastAsia" w:ascii="仿宋" w:hAnsi="仿宋" w:eastAsia="仿宋" w:cs="仿宋_GB2312"/>
          <w:sz w:val="32"/>
          <w:szCs w:val="32"/>
        </w:rPr>
        <w:t>深入推进分级诊疗工作。进一步做好协和西院与沌阳、沌口社区卫生服务中心紧密型医联体建设和汉南区人民医院与湘口街卫生院、东荆街卫生院医共体建设，做实做细医联体（医共体）建设的配套政策落地见效，力争在2019年实现全区紧密型医联体（医共体）上下转人数有所突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ascii="仿宋" w:hAnsi="仿宋" w:eastAsia="仿宋" w:cs="仿宋_GB2312"/>
          <w:sz w:val="32"/>
          <w:szCs w:val="32"/>
        </w:rPr>
      </w:pPr>
      <w:r>
        <w:rPr>
          <w:rFonts w:hint="eastAsia" w:ascii="仿宋" w:hAnsi="仿宋" w:eastAsia="仿宋" w:cs="仿宋_GB2312"/>
          <w:sz w:val="32"/>
          <w:szCs w:val="32"/>
          <w:lang w:val="en-US" w:eastAsia="zh-CN"/>
        </w:rPr>
        <w:t>二是</w:t>
      </w:r>
      <w:r>
        <w:rPr>
          <w:rFonts w:hint="eastAsia" w:ascii="仿宋" w:hAnsi="仿宋" w:eastAsia="仿宋" w:cs="仿宋_GB2312"/>
          <w:sz w:val="32"/>
          <w:szCs w:val="32"/>
        </w:rPr>
        <w:t>完善家庭医生签约服务综合保障政策，打造家庭医生签约服务平台，拓展健康服务内容，促进家庭医生服务工作有效落实，引导基层首诊分级就医的新格局。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ascii="仿宋" w:hAnsi="仿宋" w:eastAsia="仿宋"/>
          <w:sz w:val="32"/>
          <w:szCs w:val="32"/>
        </w:rPr>
      </w:pPr>
      <w:r>
        <w:rPr>
          <w:rFonts w:hint="eastAsia" w:ascii="仿宋" w:hAnsi="仿宋" w:eastAsia="仿宋" w:cs="仿宋_GB2312"/>
          <w:sz w:val="32"/>
          <w:szCs w:val="32"/>
          <w:lang w:val="en-US" w:eastAsia="zh-CN"/>
        </w:rPr>
        <w:t>三是</w:t>
      </w:r>
      <w:r>
        <w:rPr>
          <w:rFonts w:hint="eastAsia" w:ascii="仿宋" w:hAnsi="仿宋" w:eastAsia="仿宋" w:cs="仿宋_GB2312"/>
          <w:sz w:val="32"/>
          <w:szCs w:val="32"/>
        </w:rPr>
        <w:t>全面启动基层医疗卫生机构综合改革。制定或完善财政补偿、人事和薪酬制度改革相关配套政策和细则，并组织实施，推进改革向纵深发展。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hint="eastAsia" w:ascii="仿宋" w:hAnsi="仿宋" w:eastAsia="仿宋" w:cs="仿宋_GB2312"/>
          <w:sz w:val="32"/>
          <w:szCs w:val="32"/>
        </w:rPr>
      </w:pPr>
      <w:r>
        <w:rPr>
          <w:rFonts w:hint="eastAsia" w:ascii="仿宋" w:hAnsi="仿宋" w:eastAsia="仿宋" w:cs="仿宋_GB2312"/>
          <w:sz w:val="32"/>
          <w:szCs w:val="32"/>
          <w:lang w:val="en-US" w:eastAsia="zh-CN"/>
        </w:rPr>
        <w:t>四是</w:t>
      </w:r>
      <w:r>
        <w:rPr>
          <w:rFonts w:hint="eastAsia" w:ascii="仿宋" w:hAnsi="仿宋" w:eastAsia="仿宋" w:cs="仿宋_GB2312"/>
          <w:sz w:val="32"/>
          <w:szCs w:val="32"/>
        </w:rPr>
        <w:t>以 “十三五”信息化发展规划为指导，以重点项目为抓手，大力推动人口健康信息化建设。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黑体"/>
          <w:sz w:val="32"/>
          <w:szCs w:val="32"/>
        </w:rPr>
      </w:pPr>
      <w:r>
        <w:rPr>
          <w:rFonts w:eastAsia="黑体"/>
          <w:sz w:val="32"/>
          <w:szCs w:val="32"/>
        </w:rPr>
        <w:t>二、正文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楷体简体"/>
          <w:sz w:val="32"/>
          <w:szCs w:val="32"/>
        </w:rPr>
      </w:pPr>
      <w:r>
        <w:rPr>
          <w:rFonts w:eastAsia="方正楷体简体"/>
          <w:sz w:val="32"/>
          <w:szCs w:val="32"/>
        </w:rPr>
        <w:t>（一）项目基本情况（2000字以内）</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仿宋简体"/>
          <w:sz w:val="32"/>
          <w:szCs w:val="32"/>
        </w:rPr>
      </w:pPr>
      <w:r>
        <w:rPr>
          <w:rFonts w:eastAsia="方正仿宋简体"/>
          <w:sz w:val="32"/>
          <w:szCs w:val="32"/>
        </w:rPr>
        <w:t>1.项目立项背景和依据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hint="eastAsia" w:eastAsia="方正仿宋简体"/>
          <w:sz w:val="32"/>
          <w:szCs w:val="32"/>
        </w:rPr>
      </w:pPr>
      <w:r>
        <w:rPr>
          <w:rFonts w:hint="eastAsia" w:eastAsia="方正仿宋简体"/>
          <w:sz w:val="32"/>
          <w:szCs w:val="32"/>
          <w:lang w:val="en-US" w:eastAsia="zh-CN"/>
        </w:rPr>
        <w:t>(1)</w:t>
      </w:r>
      <w:r>
        <w:rPr>
          <w:rFonts w:hint="eastAsia" w:eastAsia="方正仿宋简体"/>
          <w:sz w:val="32"/>
          <w:szCs w:val="32"/>
        </w:rPr>
        <w:t>基层医疗卫生机构医疗责任保险费60.66万</w:t>
      </w:r>
      <w:r>
        <w:rPr>
          <w:rFonts w:hint="eastAsia" w:eastAsia="方正仿宋简体"/>
          <w:sz w:val="32"/>
          <w:szCs w:val="32"/>
          <w:lang w:val="en-US" w:eastAsia="zh-CN"/>
        </w:rPr>
        <w:t>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立项背景和依据：《市卫生计生委、市财政局关于全市基层医疗机构参加医疗责任保险工作的通知》（武卫生计生〔2014〕37号）；全区14家医疗机构，床位数960张，医务人员900人；按照260元/床、350元/人、3000元/家标准进行投保，合计需要60.66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（2）村卫生室医疗责任险0.45万；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立项背景和依据：《市卫生计生委关于全市基层医疗机构参加医疗责任保险工作的补充通知》、《市卫生计生委 市财政局关于全市基层医疗卫生机构参加医疗责任险工作的通知》（武卫生计生〔2014〕37号）；全区已注册的村卫生室30个，每个村卫生室基础保费800元，其中市、区财政各补助150元，余下500元从村卫生室基本运行经费补助中支出。区财政应配套30*150=0.45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（3）村卫生室运行费5.48万；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立项背景和依据：《关于落实村卫生室基本运行财政补助政策的通知》（鄂财社发【2013】62号）：从2013年起，全省范围内登记注册并经县级卫生行政主管部门批准执业的村卫生室的基本运行费用，包括水费、电费、网络费、必要的耗材费、医疗责任保险纳入财政补助范围；财政对村卫生室基本运行经费按每年3650元/家的标准补助。全区现有注册村卫生室30家，共需10.95万元，省与区5:5比例分担，区财政配套5.48万元。</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村卫生室实施基药差价补偿65万；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立项背景和依据：《市人民政府办公厅关于印发武汉市进一步加强村卫生室和乡村医生队伍建设实施方案的通知》（武政办〔2016〕99号）、《关于落实村卫生室基本运行财政补助政策的通知》（鄂财社发〔2013〕62号）；按照服务人口18元/人/年（其中中央3元，省级5元，区级10元）给与补助，2017年全区村卫生室服务人口6.5万人，需区级配套65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（5）公民无偿献血经费20万；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立项背景和依据：《武汉市献血办关于做好2018年团体无偿献血工作的通知》（武献办〔2018〕2号）；市级指标1000单位，按照200元/单位补助，需费用20万元。</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医疗质量管理5万；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立项背景和依据：国家卫计委《医疗质量管理办法》、《区卫生计生局关于成立武汉开发区（汉南区）医疗质量等质控中心的通知》（武经开卫计〔2016〕44号）；医疗质量检查专家劳务费2.5万，业务培训2.5万。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（7）饮用水水质监测费59.5万；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立项背景和依据：《关于进一步加强城镇供水水质监测信息日发布工作的通知》（鄂卫生计生通〔2017〕5号）、《市卫生计生委关于进一步加强城镇供水水质监测信息日发布工作的通知》（武卫生计生通〔2017〕9号）；按照《省物价局 省财政厅关于重新核定疾病预防控制系统收费标准的通知》（鄂价费〔2015〕71号），按照2017年招标合同，2018年预算59.5万元。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（8）中医药发展经费50万；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立项背景和依据：国家中医药管理局《关于印发全国基层中医药工作先进单位管理办法建设标准2012年版的通知》（国中医药医政函〔2012〕107号）：中医药事业费实行财政预算单列，近3年均占全县政府卫生投入10%以上，或近3年均占全县政府卫生投入8%以上且年均增长比例高于卫生事业费的增长比例；迎接2018年国家对我区“全国农村中医药工作先进单位”复查工作经费。</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新民社区卫生服务中心医联体运行70万；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立项背景和依据：《国务院办公厅关于推进医疗联合体建设和发展的指导意见》（国办发五医文〔2017〕32号）、《省人民政府办公厅关于进一步深化基层医疗卫生机构综合改革的意见》（鄂政办发〔2017〕30号）、《关于印发武汉市2017年开展医疗联合体建设试点工作实施方案的通知》（武医改办〔2017〕5号）；医联体运行费主要包括检验送检差额、下派专家劳务费、下派专业技术人员劳务费三部分，2017年新民社区卫生服务中心费用合计65.18万元，考虑到诊疗量10%的年增长率，2018年预算70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（10）信息化建设经费79.94万；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Times New Roman" w:hAnsi="Times New Roman" w:eastAsia="方正仿宋简体" w:cs="Times New Roman"/>
          <w:sz w:val="32"/>
          <w:szCs w:val="32"/>
          <w:lang w:eastAsia="zh-CN"/>
        </w:rPr>
      </w:pPr>
      <w:bookmarkStart w:id="0" w:name="_GoBack"/>
      <w:bookmarkEnd w:id="0"/>
      <w:r>
        <w:rPr>
          <w:rFonts w:hint="eastAsia" w:eastAsia="方正仿宋简体"/>
          <w:sz w:val="32"/>
          <w:szCs w:val="32"/>
          <w:lang w:val="en-US" w:eastAsia="zh-CN"/>
        </w:rPr>
        <w:t>立项背景和依据：</w:t>
      </w:r>
      <w:r>
        <w:rPr>
          <w:rFonts w:hint="eastAsia" w:ascii="Times New Roman" w:hAnsi="Times New Roman" w:eastAsia="方正仿宋简体" w:cs="Times New Roman"/>
          <w:sz w:val="32"/>
          <w:szCs w:val="32"/>
          <w:lang w:eastAsia="zh-CN"/>
        </w:rPr>
        <w:t>参照《武汉市卫生和计划生育委员会与中国电信股份有限公司武汉分公司关于武汉市智慧医疗人口健康信息专用网络建设战略合作框架协议书》和</w:t>
      </w:r>
      <w:r>
        <w:rPr>
          <w:rFonts w:hint="eastAsia" w:ascii="Times New Roman" w:hAnsi="Times New Roman" w:eastAsia="方正仿宋简体" w:cs="Times New Roman"/>
          <w:sz w:val="32"/>
          <w:szCs w:val="32"/>
          <w:lang w:val="en-US" w:eastAsia="zh-CN"/>
        </w:rPr>
        <w:t>《武汉市卫生计生委 中国电信武汉分公司关于持续推进武汉市人口健康信息专网相关工作的通知》武卫计〔2016〕63号文件</w:t>
      </w:r>
      <w:r>
        <w:rPr>
          <w:rFonts w:hint="eastAsia" w:ascii="Times New Roman" w:hAnsi="Times New Roman" w:eastAsia="方正仿宋简体" w:cs="Times New Roman"/>
          <w:sz w:val="32"/>
          <w:szCs w:val="32"/>
          <w:lang w:eastAsia="zh-CN"/>
        </w:rPr>
        <w:t>中相关标准进行预算</w:t>
      </w:r>
      <w:r>
        <w:rPr>
          <w:rFonts w:hint="eastAsia" w:eastAsia="方正仿宋简体" w:cs="Times New Roman"/>
          <w:sz w:val="32"/>
          <w:szCs w:val="32"/>
          <w:lang w:eastAsia="zh-CN"/>
        </w:rPr>
        <w:t>；</w:t>
      </w:r>
      <w:r>
        <w:rPr>
          <w:rFonts w:hint="eastAsia" w:ascii="Times New Roman" w:hAnsi="Times New Roman" w:eastAsia="方正仿宋简体" w:cs="Times New Roman"/>
          <w:sz w:val="32"/>
          <w:szCs w:val="32"/>
        </w:rPr>
        <w:t>按照《武汉市卫计委 中国电信武汉分公司关于全面启动武汉市智慧医疗信息化专用网络建设及相关工作要求的通知》武卫计[2013]42号文件要求建设我区</w:t>
      </w:r>
      <w:r>
        <w:rPr>
          <w:rFonts w:hint="eastAsia" w:ascii="Times New Roman" w:hAnsi="Times New Roman" w:eastAsia="方正仿宋简体" w:cs="Times New Roman"/>
          <w:sz w:val="32"/>
          <w:szCs w:val="32"/>
          <w:lang w:eastAsia="zh-CN"/>
        </w:rPr>
        <w:t>智慧医疗信息化</w:t>
      </w:r>
      <w:r>
        <w:rPr>
          <w:rFonts w:hint="eastAsia" w:ascii="Times New Roman" w:hAnsi="Times New Roman" w:eastAsia="方正仿宋简体" w:cs="Times New Roman"/>
          <w:sz w:val="32"/>
          <w:szCs w:val="32"/>
        </w:rPr>
        <w:t>专网，这是医疗卫生信息系统互联互通和信息共享的基本条件，是保证卫生信息系统运行稳定和数据安全的客观需要</w:t>
      </w:r>
      <w:r>
        <w:rPr>
          <w:rFonts w:hint="eastAsia" w:ascii="Times New Roman" w:hAnsi="Times New Roman" w:eastAsia="方正仿宋简体"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Times New Roman" w:hAnsi="Times New Roman" w:eastAsia="方正仿宋简体" w:cs="Times New Roman"/>
          <w:sz w:val="32"/>
          <w:szCs w:val="32"/>
          <w:lang w:eastAsia="zh-CN"/>
        </w:rPr>
      </w:pPr>
      <w:r>
        <w:rPr>
          <w:rFonts w:hint="eastAsia" w:ascii="Times New Roman" w:hAnsi="Times New Roman" w:eastAsia="方正仿宋简体" w:cs="Times New Roman"/>
          <w:sz w:val="32"/>
          <w:szCs w:val="32"/>
          <w:lang w:eastAsia="zh-CN"/>
        </w:rPr>
        <w:t>依据《中华人民共和国网络安全法》和《网络安全等级保护》要求，全面提高卫生行业网络和信息安全意识，提高各级卫生健康部门和医疗卫生单位整体安全防护水平，形成与卫生健康信息化发展相适应的、完备的网络与信息安全保障制度体系，确保全区全民健康信息平台的安全、平稳运行，支撑卫生健康事业健康持续发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（11）新民社区运行经费297.19万；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立项背景和依据：原武汉开发区社会发展局与武汉市第五医院签订的新民社区卫生服务中心委托管理协议，规定每年支付297.19万元作为中心的运行费用。</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right="0" w:rightChars="0" w:firstLine="640" w:firstLine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市医保接口年运行经费33.6万；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立项背景和依据：基层卫生机构医保专线服务合同。</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仿宋简体"/>
          <w:sz w:val="32"/>
          <w:szCs w:val="32"/>
        </w:rPr>
      </w:pPr>
      <w:r>
        <w:rPr>
          <w:rFonts w:eastAsia="方正仿宋简体"/>
          <w:sz w:val="32"/>
          <w:szCs w:val="32"/>
        </w:rPr>
        <w:t>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基层医疗卫生机构医疗责任险投保率100%；村卫生室正常稳定运转，实施基本药物制度100%；城镇生活饮用水水质日监测和信息发布率100%；完成年度公民无偿献血1415单位；全区医疗机构医疗质量和服务水平明显提高；新民社区卫生服务中心运行稳定，医联体成效显著；全区中医药事业稳定发展；全区医疗机构信息系统正常稳定使用；基层医疗机构基层医疗保险接入率100%。</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仿宋简体"/>
          <w:sz w:val="32"/>
          <w:szCs w:val="32"/>
        </w:rPr>
      </w:pPr>
      <w:r>
        <w:rPr>
          <w:rFonts w:eastAsia="方正仿宋简体"/>
          <w:sz w:val="32"/>
          <w:szCs w:val="32"/>
        </w:rPr>
        <w:t>经费来源和使用情况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经费来源为：区级财政拨款。</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仿宋简体"/>
          <w:sz w:val="32"/>
          <w:szCs w:val="32"/>
        </w:rPr>
      </w:pPr>
      <w:r>
        <w:rPr>
          <w:rFonts w:eastAsia="方正仿宋简体"/>
          <w:sz w:val="32"/>
          <w:szCs w:val="32"/>
        </w:rPr>
        <w:t>项目实施情况</w:t>
      </w:r>
      <w:r>
        <w:rPr>
          <w:rFonts w:hint="eastAsia" w:eastAsia="方正仿宋简体"/>
          <w:sz w:val="32"/>
          <w:szCs w:val="32"/>
          <w:lang w:eastAsia="zh-CN"/>
        </w:rPr>
        <w:t>：</w:t>
      </w:r>
      <w:r>
        <w:rPr>
          <w:rFonts w:hint="eastAsia" w:eastAsia="方正仿宋简体"/>
          <w:sz w:val="32"/>
          <w:szCs w:val="32"/>
          <w:lang w:val="en-US" w:eastAsia="zh-CN"/>
        </w:rPr>
        <w:t>2018年执行预算数651.5921万元，执行率为87.25%。</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楷体简体"/>
          <w:sz w:val="32"/>
          <w:szCs w:val="32"/>
        </w:rPr>
      </w:pPr>
      <w:r>
        <w:rPr>
          <w:rFonts w:eastAsia="方正楷体简体"/>
          <w:sz w:val="32"/>
          <w:szCs w:val="32"/>
        </w:rPr>
        <w:t>（二）绩效评价工作情况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0"/>
        <w:rPr>
          <w:rFonts w:eastAsia="方正仿宋简体"/>
          <w:sz w:val="32"/>
          <w:szCs w:val="32"/>
        </w:rPr>
      </w:pPr>
      <w:r>
        <w:rPr>
          <w:rFonts w:eastAsia="方正仿宋简体"/>
          <w:sz w:val="32"/>
          <w:szCs w:val="32"/>
        </w:rPr>
        <w:t>1.绩效评价目的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持续推进区属公立医院综合改革试点工作；严格贯彻执行国家基本药物制度，建立健全药品供应保障；推进医联（共）体建设和家庭医生签约服务，构建分级诊疗新格局；全面启动基层医疗机构综合改革；提升基层基本医疗服务能力；强化医疗质量管理；传承发展中医药事业，全面提升中医药服务能力；提升信息化建设。</w:t>
      </w:r>
    </w:p>
    <w:p>
      <w:pPr>
        <w:outlineLvl w:val="0"/>
        <w:rPr>
          <w:rFonts w:eastAsia="方正楷体简体"/>
          <w:sz w:val="32"/>
          <w:szCs w:val="32"/>
        </w:rPr>
      </w:pPr>
      <w:r>
        <w:rPr>
          <w:rFonts w:hint="eastAsia" w:eastAsia="方正楷体简体"/>
          <w:sz w:val="32"/>
          <w:szCs w:val="32"/>
          <w:lang w:val="en-US" w:eastAsia="zh-CN"/>
        </w:rPr>
        <w:t xml:space="preserve">    </w:t>
      </w:r>
      <w:r>
        <w:rPr>
          <w:rFonts w:eastAsia="方正楷体简体"/>
          <w:sz w:val="32"/>
          <w:szCs w:val="32"/>
        </w:rPr>
        <w:t>（三）绩效分析及评价结论</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left="0" w:leftChars="0" w:right="0" w:rightChars="0" w:firstLine="643" w:firstLineChars="200"/>
        <w:jc w:val="both"/>
        <w:textAlignment w:val="auto"/>
        <w:rPr>
          <w:rFonts w:hint="eastAsia" w:ascii="Times New Roman" w:hAnsi="Times New Roman" w:eastAsia="方正仿宋简体" w:cs="Times New Roman"/>
          <w:b w:val="0"/>
          <w:bCs w:val="0"/>
          <w:kern w:val="2"/>
          <w:sz w:val="32"/>
          <w:szCs w:val="32"/>
          <w:lang w:val="en-US" w:eastAsia="zh-CN" w:bidi="ar-SA"/>
        </w:rPr>
      </w:pPr>
      <w:r>
        <w:rPr>
          <w:rFonts w:hint="eastAsia" w:ascii="Times New Roman" w:hAnsi="Times New Roman" w:eastAsia="方正仿宋简体" w:cs="Times New Roman"/>
          <w:b w:val="0"/>
          <w:bCs w:val="0"/>
          <w:kern w:val="2"/>
          <w:sz w:val="32"/>
          <w:szCs w:val="32"/>
          <w:lang w:val="en-US" w:eastAsia="zh-CN" w:bidi="ar-SA"/>
        </w:rPr>
        <w:t>1.2018年，全区基层医疗卫生机构使用销售基本药物的比例高于80%，基本药物网上采购率100%，配送率达到90%以上。区属二级以上医疗机构药品网上采购率达98.1%，配送率和入库率82.6%，使用销售基本药物的比例53.1%。今年9月5日，按鄂卫生计生通【2018】37号和鄂卫生计生函【2018】189号文件精神和要求，统一全省二级以上医疗机构与基层医疗卫生机构药品采购目录，将《湖北省2017年公立医院药品集中采购挂网目录》中所有药品全部纳入省基本药物集中采购平台挂网，同时向基层医疗卫生机构下发了省平台药品分类采购系统账号（原二级以上医疗机构药品采购平台），进一步保障基层用药。</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jc w:val="both"/>
        <w:textAlignment w:val="auto"/>
        <w:rPr>
          <w:rFonts w:hint="eastAsia" w:ascii="Times New Roman" w:hAnsi="Times New Roman" w:eastAsia="方正仿宋简体" w:cs="Times New Roman"/>
          <w:b w:val="0"/>
          <w:bCs w:val="0"/>
          <w:kern w:val="2"/>
          <w:sz w:val="32"/>
          <w:szCs w:val="32"/>
          <w:lang w:val="en-US" w:eastAsia="zh-CN" w:bidi="ar-SA"/>
        </w:rPr>
      </w:pPr>
      <w:r>
        <w:rPr>
          <w:rFonts w:hint="eastAsia" w:eastAsia="方正仿宋简体" w:cs="Times New Roman"/>
          <w:b w:val="0"/>
          <w:bCs w:val="0"/>
          <w:kern w:val="2"/>
          <w:sz w:val="32"/>
          <w:szCs w:val="32"/>
          <w:lang w:val="en-US" w:eastAsia="zh-CN" w:bidi="ar-SA"/>
        </w:rPr>
        <w:t>2.</w:t>
      </w:r>
      <w:r>
        <w:rPr>
          <w:rFonts w:hint="eastAsia" w:ascii="Times New Roman" w:hAnsi="Times New Roman" w:eastAsia="方正仿宋简体" w:cs="Times New Roman"/>
          <w:b w:val="0"/>
          <w:bCs w:val="0"/>
          <w:kern w:val="2"/>
          <w:sz w:val="32"/>
          <w:szCs w:val="32"/>
          <w:lang w:val="en-US" w:eastAsia="zh-CN" w:bidi="ar-SA"/>
        </w:rPr>
        <w:t>通过取消药品加成（中药饮片除外），破除以药养医；实施药品带量采购，为药品采购环节挤‘水分’、腾空间，让取消药品加成之后的药价实现再次降价；以减少的药品加成收入及下调的大型医疗设备检查收入为基数，合理提升体现医务人员技术劳务价值的医疗服务价格等综合措施，推进医改向纵深发展，有效缓解了百姓看病难、看病贵问题。</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jc w:val="both"/>
        <w:textAlignment w:val="auto"/>
        <w:rPr>
          <w:rFonts w:hint="eastAsia" w:ascii="Times New Roman" w:hAnsi="Times New Roman" w:eastAsia="方正仿宋简体" w:cs="Times New Roman"/>
          <w:b w:val="0"/>
          <w:bCs w:val="0"/>
          <w:kern w:val="2"/>
          <w:sz w:val="32"/>
          <w:szCs w:val="32"/>
          <w:lang w:val="en-US" w:eastAsia="zh-CN" w:bidi="ar-SA"/>
        </w:rPr>
      </w:pPr>
      <w:r>
        <w:rPr>
          <w:rFonts w:hint="eastAsia" w:ascii="Times New Roman" w:hAnsi="Times New Roman" w:eastAsia="方正仿宋简体" w:cs="Times New Roman"/>
          <w:b w:val="0"/>
          <w:bCs w:val="0"/>
          <w:kern w:val="2"/>
          <w:sz w:val="32"/>
          <w:szCs w:val="32"/>
          <w:lang w:val="en-US" w:eastAsia="zh-CN" w:bidi="ar-SA"/>
        </w:rPr>
        <w:t>3.全面推进家庭医生签约服务，率先组建了以家庭医生为核心、上级医院专科医生加入“全专结合”模式的签约服务团队，向居民提供稳定连续的基本医疗、公共卫生和健康管理服务。同时根据国家省市对签约服务的新要求，2018年我区建立了签约服务收付费机制，开发了家庭医生签约系统，与居民健康档案相衔接，全面推进实施了电子化签约和收付费签约。截至2018年10月底，全区13家基层医疗机构共组建家庭医生签约服务团队</w:t>
      </w:r>
      <w:r>
        <w:rPr>
          <w:rFonts w:hint="eastAsia" w:eastAsia="方正仿宋简体" w:cs="Times New Roman"/>
          <w:b w:val="0"/>
          <w:bCs w:val="0"/>
          <w:kern w:val="2"/>
          <w:sz w:val="32"/>
          <w:szCs w:val="32"/>
          <w:lang w:val="en-US" w:eastAsia="zh-CN" w:bidi="ar-SA"/>
        </w:rPr>
        <w:t>98</w:t>
      </w:r>
      <w:r>
        <w:rPr>
          <w:rFonts w:hint="eastAsia" w:ascii="Times New Roman" w:hAnsi="Times New Roman" w:eastAsia="方正仿宋简体" w:cs="Times New Roman"/>
          <w:b w:val="0"/>
          <w:bCs w:val="0"/>
          <w:kern w:val="2"/>
          <w:sz w:val="32"/>
          <w:szCs w:val="32"/>
          <w:lang w:val="en-US" w:eastAsia="zh-CN" w:bidi="ar-SA"/>
        </w:rPr>
        <w:t>个，累计签约常住居民</w:t>
      </w:r>
      <w:r>
        <w:rPr>
          <w:rFonts w:hint="eastAsia" w:eastAsia="方正仿宋简体" w:cs="Times New Roman"/>
          <w:b w:val="0"/>
          <w:bCs w:val="0"/>
          <w:kern w:val="2"/>
          <w:sz w:val="32"/>
          <w:szCs w:val="32"/>
          <w:lang w:val="en-US" w:eastAsia="zh-CN" w:bidi="ar-SA"/>
        </w:rPr>
        <w:t>2.12</w:t>
      </w:r>
      <w:r>
        <w:rPr>
          <w:rFonts w:hint="eastAsia" w:ascii="Times New Roman" w:hAnsi="Times New Roman" w:eastAsia="方正仿宋简体" w:cs="Times New Roman"/>
          <w:b w:val="0"/>
          <w:bCs w:val="0"/>
          <w:kern w:val="2"/>
          <w:sz w:val="32"/>
          <w:szCs w:val="32"/>
          <w:lang w:val="en-US" w:eastAsia="zh-CN" w:bidi="ar-SA"/>
        </w:rPr>
        <w:t>万人。</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3" w:firstLineChars="200"/>
        <w:jc w:val="both"/>
        <w:textAlignment w:val="auto"/>
        <w:rPr>
          <w:rFonts w:hint="eastAsia" w:ascii="Times New Roman" w:hAnsi="Times New Roman" w:eastAsia="方正仿宋简体" w:cs="Times New Roman"/>
          <w:b w:val="0"/>
          <w:bCs w:val="0"/>
          <w:kern w:val="2"/>
          <w:sz w:val="32"/>
          <w:szCs w:val="32"/>
          <w:lang w:val="en-US" w:eastAsia="zh-CN" w:bidi="ar-SA"/>
        </w:rPr>
      </w:pPr>
      <w:r>
        <w:rPr>
          <w:rFonts w:hint="eastAsia" w:ascii="Times New Roman" w:hAnsi="Times New Roman" w:eastAsia="方正仿宋简体" w:cs="Times New Roman"/>
          <w:b w:val="0"/>
          <w:bCs w:val="0"/>
          <w:kern w:val="2"/>
          <w:sz w:val="32"/>
          <w:szCs w:val="32"/>
          <w:lang w:val="en-US" w:eastAsia="zh-CN" w:bidi="ar-SA"/>
        </w:rPr>
        <w:t>4.今年以来，为贯彻落实国家、省、市关于深化基层医疗卫生机构综合改革的工作要求，医政医管口在局主要领导和分管领导的指导下，统筹部署全区深化基层医疗卫生机构综合改革工作，共召集相关部门和机构参加市级综合改革会议2次，召开局内专题研究会议10余次，召集区内相关部门联席会3次。目前改革实施方案已经区第3次深改组会议研究通过，正式文件于2018年10月31日以区政府名义出台。以财政补偿政策、人事制度改革和薪酬制度改革3项改革任务为重点， 建立“区招街用”的人才聘用模式，加大基层医疗机构人才聘用、培养力度，拓宽基层医务人员职业发展空间，实现人才柔性流动；建立以公益性为导向的绩效考核机制，完善基层医疗机构工作人员薪酬制度，提高对基层医务人员的长期激励，实现“保基本、强基层、建机制”的医改目标。</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3" w:firstLineChars="200"/>
        <w:jc w:val="both"/>
        <w:textAlignment w:val="auto"/>
        <w:rPr>
          <w:rFonts w:hint="eastAsia" w:ascii="Times New Roman" w:hAnsi="Times New Roman" w:eastAsia="方正仿宋简体" w:cs="Times New Roman"/>
          <w:b w:val="0"/>
          <w:bCs w:val="0"/>
          <w:kern w:val="2"/>
          <w:sz w:val="32"/>
          <w:szCs w:val="32"/>
          <w:lang w:val="en-US" w:eastAsia="zh-CN" w:bidi="ar-SA"/>
        </w:rPr>
      </w:pPr>
      <w:r>
        <w:rPr>
          <w:rFonts w:hint="eastAsia" w:ascii="Times New Roman" w:hAnsi="Times New Roman" w:eastAsia="方正仿宋简体" w:cs="Times New Roman"/>
          <w:b w:val="0"/>
          <w:bCs w:val="0"/>
          <w:kern w:val="2"/>
          <w:sz w:val="32"/>
          <w:szCs w:val="32"/>
          <w:lang w:val="en-US" w:eastAsia="zh-CN" w:bidi="ar-SA"/>
        </w:rPr>
        <w:t>5.组织武汉开发区（汉南区）护理（院感）质量控制中心专家，结合省市专项整治活动组织开展了全区半年医疗质量综合检查，对全区16家医疗机构的医疗质量进行了全面检查和督导，确保了合理检查、合理用药、合理治疗，促进全区医疗质量持续改进，医疗服务逐步提升。</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3" w:firstLineChars="200"/>
        <w:jc w:val="both"/>
        <w:textAlignment w:val="auto"/>
        <w:rPr>
          <w:rFonts w:hint="eastAsia" w:ascii="Times New Roman" w:hAnsi="Times New Roman" w:eastAsia="方正仿宋简体" w:cs="Times New Roman"/>
          <w:b w:val="0"/>
          <w:bCs w:val="0"/>
          <w:kern w:val="2"/>
          <w:sz w:val="32"/>
          <w:szCs w:val="32"/>
          <w:lang w:val="en-US" w:eastAsia="zh-CN" w:bidi="ar-SA"/>
        </w:rPr>
      </w:pPr>
      <w:r>
        <w:rPr>
          <w:rFonts w:hint="eastAsia" w:ascii="Times New Roman" w:hAnsi="Times New Roman" w:eastAsia="方正仿宋简体" w:cs="Times New Roman"/>
          <w:b w:val="0"/>
          <w:bCs w:val="0"/>
          <w:kern w:val="2"/>
          <w:sz w:val="32"/>
          <w:szCs w:val="32"/>
          <w:lang w:val="en-US" w:eastAsia="zh-CN" w:bidi="ar-SA"/>
        </w:rPr>
        <w:t>6.为确保我区顺利通过全国基层中医药工作先进单位复评，在局领导的指挥下，由医政医管口牵头，成立区“全国基层中医药工作先进单位”复评工作专班，统筹全区复审工作，召开全区卫计系统复评工作动员部署大会，出台《武汉经济技术开发区（汉南区）全国基层中医药工作先进单位复审工作实施方案》，多次邀请省、市专家加强对我区复评工作进行分级分类的指导和督导，查找问题，总结整改，于今年9月顺利通过国家基层中医药工作先进单位复审专家组的检查。以这次复审工作为契机，我区深入贯彻实施《中华人民共和国中医药法》</w:t>
      </w:r>
      <w:r>
        <w:rPr>
          <w:rFonts w:hint="eastAsia" w:eastAsia="方正仿宋简体" w:cs="Times New Roman"/>
          <w:b w:val="0"/>
          <w:bCs w:val="0"/>
          <w:kern w:val="2"/>
          <w:sz w:val="32"/>
          <w:szCs w:val="32"/>
          <w:lang w:val="en-US" w:eastAsia="zh-CN" w:bidi="ar-SA"/>
        </w:rPr>
        <w:t>，</w:t>
      </w:r>
      <w:r>
        <w:rPr>
          <w:rFonts w:hint="eastAsia" w:ascii="Times New Roman" w:hAnsi="Times New Roman" w:eastAsia="方正仿宋简体" w:cs="Times New Roman"/>
          <w:b w:val="0"/>
          <w:bCs w:val="0"/>
          <w:kern w:val="2"/>
          <w:sz w:val="32"/>
          <w:szCs w:val="32"/>
          <w:lang w:val="en-US" w:eastAsia="zh-CN" w:bidi="ar-SA"/>
        </w:rPr>
        <w:t>大力发展中医药健康服务，为老百姓带来简、便、验、廉的中医药服务。</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left="0" w:leftChars="0" w:right="0" w:rightChars="0" w:firstLine="643" w:firstLineChars="200"/>
        <w:jc w:val="both"/>
        <w:textAlignment w:val="auto"/>
        <w:rPr>
          <w:rFonts w:hint="eastAsia" w:ascii="Times New Roman" w:hAnsi="Times New Roman" w:eastAsia="方正仿宋简体" w:cs="Times New Roman"/>
          <w:b w:val="0"/>
          <w:bCs w:val="0"/>
          <w:kern w:val="2"/>
          <w:sz w:val="32"/>
          <w:szCs w:val="32"/>
          <w:lang w:val="en-US" w:eastAsia="zh-CN" w:bidi="ar-SA"/>
        </w:rPr>
      </w:pPr>
      <w:r>
        <w:rPr>
          <w:rFonts w:hint="eastAsia" w:ascii="Times New Roman" w:hAnsi="Times New Roman" w:eastAsia="方正仿宋简体" w:cs="Times New Roman"/>
          <w:b w:val="0"/>
          <w:bCs w:val="0"/>
          <w:kern w:val="2"/>
          <w:sz w:val="32"/>
          <w:szCs w:val="32"/>
          <w:lang w:val="en-US" w:eastAsia="zh-CN" w:bidi="ar-SA"/>
        </w:rPr>
        <w:t>7.医政医管口结合《武汉经济技术开发区（汉南区）卫生和计划生育事业“十三五”发展规划》和《武汉经济技术开发区（汉南区）医疗机构设置规划（2016-2020年）》，科学布局区域基层医疗卫生机构。近三年，新建了蒲潭、凤凰苑、碧湖、全力南和全力北等5个社区卫生服务站；2018至2020年，将利用3年时间完成20个社区卫生服务站建设，进一步缓解居民对基层医疗卫生的需求。公立医院卫生专网覆盖率100%，民营机构卫生信息专网接通3家，分别是武汉市汉纸医院、武汉市安康医院和亚总医院，专网覆盖率42.85%。区卫生计生局接入带宽兆数50M,疾病控制中心接入宽带兆数20M,卫生计生监督所接入宽带兆数20M,协和医院西院接入宽带兆数100M,区人民医院接入宽带兆数50M,社区卫生服务中心/乡镇卫生院接入宽带兆数20M,社区卫生服务站/村卫生室接入宽带兆数8M，7个街道、160个计生村居点位全部使用无线4G专网，均满足专网接入要求。</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jc w:val="both"/>
        <w:textAlignment w:val="auto"/>
        <w:rPr>
          <w:rFonts w:eastAsia="方正仿宋简体"/>
          <w:sz w:val="32"/>
          <w:szCs w:val="32"/>
        </w:rPr>
      </w:pPr>
      <w:r>
        <w:rPr>
          <w:rFonts w:hint="eastAsia" w:ascii="Times New Roman" w:hAnsi="Times New Roman" w:eastAsia="方正仿宋简体" w:cs="Times New Roman"/>
          <w:b w:val="0"/>
          <w:bCs w:val="0"/>
          <w:kern w:val="2"/>
          <w:sz w:val="32"/>
          <w:szCs w:val="32"/>
          <w:lang w:val="en-US" w:eastAsia="zh-CN" w:bidi="ar-SA"/>
        </w:rPr>
        <w:t>8.利用在行业内有优势和影响力的第三方公司通过购买服务的方式作为助力，进行网络及部分硬件的运行维护，解决基层医疗机构的硬件设备、网络环境无规划无维护，发现故障不能及时解决的问题。</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0"/>
        <w:rPr>
          <w:rFonts w:eastAsia="方正仿宋简体"/>
          <w:sz w:val="32"/>
          <w:szCs w:val="32"/>
        </w:rPr>
      </w:pPr>
      <w:r>
        <w:rPr>
          <w:rFonts w:eastAsia="方正仿宋简体"/>
          <w:sz w:val="32"/>
          <w:szCs w:val="32"/>
        </w:rPr>
        <w:t>2.评价结论</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综合评分结果为87.25分，投入91分，过程90分，产出85分，效果83分。 </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0"/>
        <w:rPr>
          <w:rFonts w:eastAsia="方正楷体简体"/>
          <w:sz w:val="32"/>
          <w:szCs w:val="32"/>
        </w:rPr>
      </w:pPr>
      <w:r>
        <w:rPr>
          <w:rFonts w:eastAsia="方正楷体简体"/>
          <w:sz w:val="32"/>
          <w:szCs w:val="32"/>
        </w:rPr>
        <w:t>（四）主要经验及做法、存在的问题和建议</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0"/>
        <w:rPr>
          <w:rFonts w:eastAsia="方正仿宋简体"/>
          <w:sz w:val="32"/>
          <w:szCs w:val="32"/>
        </w:rPr>
      </w:pPr>
      <w:r>
        <w:rPr>
          <w:rFonts w:eastAsia="方正仿宋简体"/>
          <w:sz w:val="32"/>
          <w:szCs w:val="32"/>
        </w:rPr>
        <w:t>1.主要经验及做法</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0"/>
        <w:rPr>
          <w:rFonts w:hint="eastAsia" w:eastAsia="方正仿宋简体"/>
          <w:sz w:val="32"/>
          <w:szCs w:val="32"/>
        </w:rPr>
      </w:pPr>
      <w:r>
        <w:rPr>
          <w:rFonts w:hint="eastAsia" w:eastAsia="方正仿宋简体"/>
          <w:sz w:val="32"/>
          <w:szCs w:val="32"/>
          <w:lang w:eastAsia="zh-CN"/>
        </w:rPr>
        <w:t>（</w:t>
      </w:r>
      <w:r>
        <w:rPr>
          <w:rFonts w:hint="eastAsia" w:eastAsia="方正仿宋简体"/>
          <w:sz w:val="32"/>
          <w:szCs w:val="32"/>
          <w:lang w:val="en-US" w:eastAsia="zh-CN"/>
        </w:rPr>
        <w:t>1</w:t>
      </w:r>
      <w:r>
        <w:rPr>
          <w:rFonts w:hint="eastAsia" w:eastAsia="方正仿宋简体"/>
          <w:sz w:val="32"/>
          <w:szCs w:val="32"/>
          <w:lang w:eastAsia="zh-CN"/>
        </w:rPr>
        <w:t>）</w:t>
      </w:r>
      <w:r>
        <w:rPr>
          <w:rFonts w:hint="eastAsia" w:eastAsia="方正仿宋简体"/>
          <w:sz w:val="32"/>
          <w:szCs w:val="32"/>
        </w:rPr>
        <w:t>落实政府办医主体责任。按照省市关于医联体工作的要求，2017年7月和2018年5月，区卫计局积极出台《全区开展医疗联合体建设试点工作实施方案》和《全区推进医疗共同体建设工作方案》，对区域内医联体和医共体的建设工作进行了顶层设计和全面部署安排，并积极成立医联体管理办公室和医共体管理中心，负责统筹管理医联体（医共体）重大事项的决策研究。</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0"/>
        <w:rPr>
          <w:rFonts w:hint="eastAsia" w:eastAsia="方正仿宋简体"/>
          <w:sz w:val="32"/>
          <w:szCs w:val="32"/>
        </w:rPr>
      </w:pPr>
      <w:r>
        <w:rPr>
          <w:rFonts w:hint="eastAsia" w:eastAsia="方正仿宋简体"/>
          <w:sz w:val="32"/>
          <w:szCs w:val="32"/>
          <w:lang w:eastAsia="zh-CN"/>
        </w:rPr>
        <w:t>（</w:t>
      </w:r>
      <w:r>
        <w:rPr>
          <w:rFonts w:hint="eastAsia" w:eastAsia="方正仿宋简体"/>
          <w:sz w:val="32"/>
          <w:szCs w:val="32"/>
          <w:lang w:val="en-US" w:eastAsia="zh-CN"/>
        </w:rPr>
        <w:t>2</w:t>
      </w:r>
      <w:r>
        <w:rPr>
          <w:rFonts w:hint="eastAsia" w:eastAsia="方正仿宋简体"/>
          <w:sz w:val="32"/>
          <w:szCs w:val="32"/>
          <w:lang w:eastAsia="zh-CN"/>
        </w:rPr>
        <w:t>）</w:t>
      </w:r>
      <w:r>
        <w:rPr>
          <w:rFonts w:hint="eastAsia" w:eastAsia="方正仿宋简体"/>
          <w:sz w:val="32"/>
          <w:szCs w:val="32"/>
        </w:rPr>
        <w:t>强化财政支撑保障作用。将医联体建设所需经费纳入年度财政预算，安排专门经费用于医联体建设，重点做好基层医疗机构服务能力建设经费的保障，加大在人才队伍和信息化建设上下联动等方面的投入。</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0"/>
        <w:rPr>
          <w:rFonts w:eastAsia="方正仿宋简体"/>
          <w:sz w:val="32"/>
          <w:szCs w:val="32"/>
        </w:rPr>
      </w:pPr>
      <w:r>
        <w:rPr>
          <w:rFonts w:hint="eastAsia" w:eastAsia="方正仿宋简体"/>
          <w:sz w:val="32"/>
          <w:szCs w:val="32"/>
          <w:lang w:eastAsia="zh-CN"/>
        </w:rPr>
        <w:t>（</w:t>
      </w:r>
      <w:r>
        <w:rPr>
          <w:rFonts w:hint="eastAsia" w:eastAsia="方正仿宋简体"/>
          <w:sz w:val="32"/>
          <w:szCs w:val="32"/>
          <w:lang w:val="en-US" w:eastAsia="zh-CN"/>
        </w:rPr>
        <w:t>3</w:t>
      </w:r>
      <w:r>
        <w:rPr>
          <w:rFonts w:hint="eastAsia" w:eastAsia="方正仿宋简体"/>
          <w:sz w:val="32"/>
          <w:szCs w:val="32"/>
          <w:lang w:eastAsia="zh-CN"/>
        </w:rPr>
        <w:t>）</w:t>
      </w:r>
      <w:r>
        <w:rPr>
          <w:rFonts w:hint="eastAsia" w:eastAsia="方正仿宋简体"/>
          <w:sz w:val="32"/>
          <w:szCs w:val="32"/>
        </w:rPr>
        <w:t xml:space="preserve">加强监督考核机制力度。2018年，区政府将医联体建设纳入区卫计局深化改革专项目标和全面建成小康社会专项目标。 </w:t>
      </w:r>
    </w:p>
    <w:p>
      <w:pPr>
        <w:keepNext w:val="0"/>
        <w:keepLines w:val="0"/>
        <w:pageBreakBefore w:val="0"/>
        <w:kinsoku/>
        <w:wordWrap/>
        <w:overflowPunct/>
        <w:topLinePunct w:val="0"/>
        <w:autoSpaceDE/>
        <w:autoSpaceDN/>
        <w:bidi w:val="0"/>
        <w:adjustRightInd/>
        <w:snapToGrid/>
        <w:spacing w:line="640" w:lineRule="exact"/>
        <w:ind w:right="0" w:rightChars="0"/>
        <w:jc w:val="both"/>
        <w:textAlignment w:val="auto"/>
        <w:outlineLvl w:val="0"/>
        <w:rPr>
          <w:rFonts w:hint="eastAsia" w:eastAsia="方正仿宋简体"/>
          <w:sz w:val="32"/>
          <w:szCs w:val="32"/>
          <w:lang w:val="en-US" w:eastAsia="zh-CN"/>
        </w:rPr>
      </w:pPr>
      <w:r>
        <w:rPr>
          <w:rFonts w:hint="eastAsia" w:eastAsia="方正仿宋简体"/>
          <w:sz w:val="32"/>
          <w:szCs w:val="32"/>
          <w:lang w:val="en-US" w:eastAsia="zh-CN"/>
        </w:rPr>
        <w:t xml:space="preserve">    （4）加强信息化建设，信息化项目建设立足全区卫生信息化的高度，以面向服务的集成思想为指导，建立以服务为导向的应用架构体系，初步建成一个系统安全、运行通畅、标准统一、应用全面、管理规范、资源共享，覆盖全区医疗卫生的信息化网络体系，基本实现基层卫生电子化、医疗服务数字化、公共卫生管理网络化、信息服务智能化、安全保障一体化的战略目标，实现市、区两级平台模式的区域卫生信息化思路建设，实现基层医疗卫生机构的业务协作以及基本医疗与公卫的信息联动，逐步完善基层卫生信息资源的统一、规范，提高医疗卫生服务的社会效益和经济效益。</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jc w:val="both"/>
        <w:textAlignment w:val="auto"/>
        <w:rPr>
          <w:rFonts w:hint="eastAsia" w:ascii="Times New Roman" w:hAnsi="Times New Roman" w:eastAsia="方正仿宋简体" w:cs="Times New Roman"/>
          <w:b w:val="0"/>
          <w:bCs w:val="0"/>
          <w:kern w:val="2"/>
          <w:sz w:val="32"/>
          <w:szCs w:val="32"/>
          <w:lang w:val="en-US" w:eastAsia="zh-CN" w:bidi="ar-SA"/>
        </w:rPr>
      </w:pPr>
    </w:p>
    <w:sectPr>
      <w:pgSz w:w="11906" w:h="16838"/>
      <w:pgMar w:top="2098" w:right="1531" w:bottom="1984" w:left="1531" w:header="851" w:footer="992"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0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0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0002EFF" w:usb1="C0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黑体">
    <w:panose1 w:val="02010609060101010101"/>
    <w:charset w:val="86"/>
    <w:family w:val="modern"/>
    <w:pitch w:val="default"/>
    <w:sig w:usb0="800002BF" w:usb1="38CF7CFA" w:usb2="00000016" w:usb3="00000000" w:csb0="00040001" w:csb1="00000000"/>
  </w:font>
  <w:font w:name="方正楷体简体">
    <w:panose1 w:val="02010601030101010101"/>
    <w:charset w:val="86"/>
    <w:family w:val="script"/>
    <w:pitch w:val="default"/>
    <w:sig w:usb0="00000001" w:usb1="080E0000" w:usb2="00000000" w:usb3="00000000" w:csb0="00040000" w:csb1="00000000"/>
  </w:font>
  <w:font w:name="黑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简体">
    <w:panose1 w:val="02010601030101010101"/>
    <w:charset w:val="86"/>
    <w:family w:val="script"/>
    <w:pitch w:val="default"/>
    <w:sig w:usb0="00000001" w:usb1="080E0000" w:usb2="00000000" w:usb3="00000000" w:csb0="00040000" w:csb1="00000000"/>
  </w:font>
  <w:font w:name="微软雅黑">
    <w:panose1 w:val="020B0503020204020204"/>
    <w:charset w:val="86"/>
    <w:family w:val="decorative"/>
    <w:pitch w:val="default"/>
    <w:sig w:usb0="80000287" w:usb1="2ACF3C50" w:usb2="00000016" w:usb3="00000000" w:csb0="0004001F" w:csb1="0000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微软雅黑">
    <w:panose1 w:val="020B0503020204020204"/>
    <w:charset w:val="86"/>
    <w:family w:val="roman"/>
    <w:pitch w:val="default"/>
    <w:sig w:usb0="80000287" w:usb1="2ACF3C50" w:usb2="00000016" w:usb3="00000000" w:csb0="0004001F"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微软雅黑">
    <w:panose1 w:val="020B0503020204020204"/>
    <w:charset w:val="86"/>
    <w:family w:val="modern"/>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宋黑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Courier New">
    <w:panose1 w:val="02070309020205020404"/>
    <w:charset w:val="00"/>
    <w:family w:val="swiss"/>
    <w:pitch w:val="default"/>
    <w:sig w:usb0="E0002EFF" w:usb1="C0007843" w:usb2="00000009" w:usb3="00000000" w:csb0="400001FF" w:csb1="FFFF0000"/>
  </w:font>
  <w:font w:name="Adobe 黑体 Std R">
    <w:altName w:val="黑体"/>
    <w:panose1 w:val="020B0400000000000000"/>
    <w:charset w:val="86"/>
    <w:family w:val="roman"/>
    <w:pitch w:val="default"/>
    <w:sig w:usb0="00000000" w:usb1="00000000" w:usb2="00000016" w:usb3="00000000" w:csb0="00060007" w:csb1="00000000"/>
  </w:font>
  <w:font w:name="楷体_GB2312">
    <w:panose1 w:val="02010609030101010101"/>
    <w:charset w:val="86"/>
    <w:family w:val="swiss"/>
    <w:pitch w:val="default"/>
    <w:sig w:usb0="00000001" w:usb1="080E0000" w:usb2="00000000" w:usb3="00000000" w:csb0="00040000" w:csb1="00000000"/>
  </w:font>
  <w:font w:name="Arial">
    <w:panose1 w:val="020B0604020202020204"/>
    <w:charset w:val="00"/>
    <w:family w:val="decorative"/>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decorative"/>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Courier New">
    <w:panose1 w:val="02070309020205020404"/>
    <w:charset w:val="00"/>
    <w:family w:val="decorative"/>
    <w:pitch w:val="default"/>
    <w:sig w:usb0="E0002EFF" w:usb1="C0007843" w:usb2="00000009" w:usb3="00000000" w:csb0="400001FF" w:csb1="FFFF0000"/>
  </w:font>
  <w:font w:name="Adobe 黑体 Std R">
    <w:altName w:val="黑体"/>
    <w:panose1 w:val="020B0400000000000000"/>
    <w:charset w:val="86"/>
    <w:family w:val="modern"/>
    <w:pitch w:val="default"/>
    <w:sig w:usb0="00000000" w:usb1="00000000" w:usb2="00000016" w:usb3="00000000" w:csb0="00060007" w:csb1="00000000"/>
  </w:font>
  <w:font w:name="楷体_GB2312">
    <w:panose1 w:val="02010609030101010101"/>
    <w:charset w:val="86"/>
    <w:family w:val="decorative"/>
    <w:pitch w:val="default"/>
    <w:sig w:usb0="00000001" w:usb1="080E0000" w:usb2="00000000" w:usb3="00000000" w:csb0="00040000" w:csb1="00000000"/>
  </w:font>
  <w:font w:name="Arial">
    <w:panose1 w:val="020B0604020202020204"/>
    <w:charset w:val="00"/>
    <w:family w:val="roman"/>
    <w:pitch w:val="default"/>
    <w:sig w:usb0="E0002EFF" w:usb1="C000785B" w:usb2="00000009" w:usb3="00000000" w:csb0="400001FF" w:csb1="FFFF0000"/>
  </w:font>
  <w:font w:name="Tahoma">
    <w:panose1 w:val="020B0604030504040204"/>
    <w:charset w:val="00"/>
    <w:family w:val="roman"/>
    <w:pitch w:val="default"/>
    <w:sig w:usb0="E1002EFF" w:usb1="C000605B" w:usb2="00000029" w:usb3="00000000" w:csb0="200101FF" w:csb1="20280000"/>
  </w:font>
  <w:font w:name="Courier New">
    <w:panose1 w:val="02070309020205020404"/>
    <w:charset w:val="00"/>
    <w:family w:val="roman"/>
    <w:pitch w:val="default"/>
    <w:sig w:usb0="E0002EFF" w:usb1="C0007843" w:usb2="00000009" w:usb3="00000000" w:csb0="400001FF" w:csb1="FFFF0000"/>
  </w:font>
  <w:font w:name="Adobe 黑体 Std R">
    <w:altName w:val="黑体"/>
    <w:panose1 w:val="020B0400000000000000"/>
    <w:charset w:val="86"/>
    <w:family w:val="swiss"/>
    <w:pitch w:val="default"/>
    <w:sig w:usb0="00000000" w:usb1="00000000" w:usb2="00000016" w:usb3="00000000" w:csb0="00060007" w:csb1="00000000"/>
  </w:font>
  <w:font w:name="楷体_GB2312">
    <w:panose1 w:val="02010609030101010101"/>
    <w:charset w:val="86"/>
    <w:family w:val="roman"/>
    <w:pitch w:val="default"/>
    <w:sig w:usb0="00000001" w:usb1="080E0000" w:usb2="00000000" w:usb3="00000000" w:csb0="00040000" w:csb1="00000000"/>
  </w:font>
  <w:font w:name="Arial">
    <w:panose1 w:val="020B0604020202020204"/>
    <w:charset w:val="00"/>
    <w:family w:val="modern"/>
    <w:pitch w:val="default"/>
    <w:sig w:usb0="E0002EFF" w:usb1="C000785B" w:usb2="00000009" w:usb3="00000000" w:csb0="400001FF" w:csb1="FFFF0000"/>
  </w:font>
  <w:font w:name="Tahoma">
    <w:panose1 w:val="020B0604030504040204"/>
    <w:charset w:val="00"/>
    <w:family w:val="modern"/>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Adobe 黑体 Std R">
    <w:altName w:val="黑体"/>
    <w:panose1 w:val="020B0400000000000000"/>
    <w:charset w:val="86"/>
    <w:family w:val="decorative"/>
    <w:pitch w:val="default"/>
    <w:sig w:usb0="00000000" w:usb1="00000000" w:usb2="00000016" w:usb3="00000000" w:csb0="00060007"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entury">
    <w:panose1 w:val="02040604050505020304"/>
    <w:charset w:val="00"/>
    <w:family w:val="moder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Book Antiqua">
    <w:panose1 w:val="02040602050305030304"/>
    <w:charset w:val="00"/>
    <w:family w:val="modern"/>
    <w:pitch w:val="default"/>
    <w:sig w:usb0="00000287" w:usb1="00000000" w:usb2="00000000" w:usb3="00000000" w:csb0="2000009F" w:csb1="DFD70000"/>
  </w:font>
  <w:font w:name="方正书宋_GBK">
    <w:altName w:val="黑体"/>
    <w:panose1 w:val="00000000000000000000"/>
    <w:charset w:val="86"/>
    <w:family w:val="script"/>
    <w:pitch w:val="default"/>
    <w:sig w:usb0="00000000" w:usb1="00000000" w:usb2="00000010" w:usb3="00000000" w:csb0="00040000" w:csb1="00000000"/>
  </w:font>
  <w:font w:name="Verdana">
    <w:panose1 w:val="020B0604030504040204"/>
    <w:charset w:val="00"/>
    <w:family w:val="decorative"/>
    <w:pitch w:val="default"/>
    <w:sig w:usb0="A00006FF" w:usb1="4000205B" w:usb2="00000010" w:usb3="00000000" w:csb0="2000019F" w:csb1="00000000"/>
  </w:font>
  <w:font w:name="Palatino Linotype">
    <w:panose1 w:val="02040502050505030304"/>
    <w:charset w:val="00"/>
    <w:family w:val="auto"/>
    <w:pitch w:val="default"/>
    <w:sig w:usb0="E0000287" w:usb1="40000013" w:usb2="00000000" w:usb3="00000000" w:csb0="2000019F" w:csb1="00000000"/>
  </w:font>
  <w:font w:name="Century">
    <w:panose1 w:val="02040604050505020304"/>
    <w:charset w:val="00"/>
    <w:family w:val="swiss"/>
    <w:pitch w:val="default"/>
    <w:sig w:usb0="00000287" w:usb1="00000000" w:usb2="00000000" w:usb3="00000000" w:csb0="2000009F" w:csb1="DFD70000"/>
  </w:font>
  <w:font w:name="Book Antiqua">
    <w:panose1 w:val="02040602050305030304"/>
    <w:charset w:val="00"/>
    <w:family w:val="swiss"/>
    <w:pitch w:val="default"/>
    <w:sig w:usb0="00000287" w:usb1="00000000" w:usb2="00000000" w:usb3="00000000" w:csb0="2000009F" w:csb1="DFD70000"/>
  </w:font>
  <w:font w:name="Verdana">
    <w:panose1 w:val="020B0604030504040204"/>
    <w:charset w:val="00"/>
    <w:family w:val="roman"/>
    <w:pitch w:val="default"/>
    <w:sig w:usb0="A00006FF" w:usb1="4000205B" w:usb2="00000010" w:usb3="00000000" w:csb0="2000019F" w:csb1="00000000"/>
  </w:font>
  <w:font w:name="Century">
    <w:panose1 w:val="02040604050505020304"/>
    <w:charset w:val="00"/>
    <w:family w:val="decorative"/>
    <w:pitch w:val="default"/>
    <w:sig w:usb0="00000287" w:usb1="00000000" w:usb2="00000000" w:usb3="00000000" w:csb0="2000009F" w:csb1="DFD70000"/>
  </w:font>
  <w:font w:name="Book Antiqua">
    <w:panose1 w:val="02040602050305030304"/>
    <w:charset w:val="00"/>
    <w:family w:val="decorative"/>
    <w:pitch w:val="default"/>
    <w:sig w:usb0="00000287" w:usb1="00000000" w:usb2="00000000" w:usb3="00000000" w:csb0="2000009F" w:csb1="DFD70000"/>
  </w:font>
  <w:font w:name="Verdana">
    <w:panose1 w:val="020B0604030504040204"/>
    <w:charset w:val="00"/>
    <w:family w:val="modern"/>
    <w:pitch w:val="default"/>
    <w:sig w:usb0="A00006FF" w:usb1="4000205B" w:usb2="00000010" w:usb3="00000000" w:csb0="2000019F" w:csb1="00000000"/>
  </w:font>
  <w:font w:name="Century">
    <w:panose1 w:val="02040604050505020304"/>
    <w:charset w:val="00"/>
    <w:family w:val="roman"/>
    <w:pitch w:val="default"/>
    <w:sig w:usb0="00000287" w:usb1="00000000" w:usb2="00000000" w:usb3="00000000" w:csb0="2000009F" w:csb1="DFD70000"/>
  </w:font>
  <w:font w:name="Book Antiqua">
    <w:panose1 w:val="020406020503050303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Kaiti SC">
    <w:altName w:val="宋体"/>
    <w:panose1 w:val="02010600040101010101"/>
    <w:charset w:val="86"/>
    <w:family w:val="auto"/>
    <w:pitch w:val="default"/>
    <w:sig w:usb0="00000000" w:usb1="00000000"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Wingdings">
    <w:panose1 w:val="05000000000000000000"/>
    <w:charset w:val="02"/>
    <w:family w:val="roman"/>
    <w:pitch w:val="default"/>
    <w:sig w:usb0="00000000" w:usb1="00000000" w:usb2="00000000" w:usb3="00000000" w:csb0="80000000" w:csb1="00000000"/>
  </w:font>
  <w:font w:name="Wingdings">
    <w:panose1 w:val="05000000000000000000"/>
    <w:charset w:val="02"/>
    <w:family w:val="modern"/>
    <w:pitch w:val="default"/>
    <w:sig w:usb0="00000000" w:usb1="00000000" w:usb2="00000000" w:usb3="00000000" w:csb0="80000000" w:csb1="00000000"/>
  </w:font>
  <w:font w:name="Wingdings">
    <w:panose1 w:val="05000000000000000000"/>
    <w:charset w:val="02"/>
    <w:family w:val="swiss"/>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62653484">
    <w:nsid w:val="5D24332C"/>
    <w:multiLevelType w:val="singleLevel"/>
    <w:tmpl w:val="5D24332C"/>
    <w:lvl w:ilvl="0" w:tentative="1">
      <w:start w:val="6"/>
      <w:numFmt w:val="decimal"/>
      <w:suff w:val="nothing"/>
      <w:lvlText w:val="（%1）"/>
      <w:lvlJc w:val="left"/>
    </w:lvl>
  </w:abstractNum>
  <w:abstractNum w:abstractNumId="1562653738">
    <w:nsid w:val="5D24342A"/>
    <w:multiLevelType w:val="singleLevel"/>
    <w:tmpl w:val="5D24342A"/>
    <w:lvl w:ilvl="0" w:tentative="1">
      <w:start w:val="9"/>
      <w:numFmt w:val="decimal"/>
      <w:suff w:val="nothing"/>
      <w:lvlText w:val="（%1）"/>
      <w:lvlJc w:val="left"/>
    </w:lvl>
  </w:abstractNum>
  <w:abstractNum w:abstractNumId="1562654215">
    <w:nsid w:val="5D243607"/>
    <w:multiLevelType w:val="singleLevel"/>
    <w:tmpl w:val="5D243607"/>
    <w:lvl w:ilvl="0" w:tentative="1">
      <w:start w:val="11"/>
      <w:numFmt w:val="decimal"/>
      <w:suff w:val="nothing"/>
      <w:lvlText w:val="（%1）"/>
      <w:lvlJc w:val="left"/>
    </w:lvl>
  </w:abstractNum>
  <w:abstractNum w:abstractNumId="1562653288">
    <w:nsid w:val="5D243268"/>
    <w:multiLevelType w:val="singleLevel"/>
    <w:tmpl w:val="5D243268"/>
    <w:lvl w:ilvl="0" w:tentative="1">
      <w:start w:val="4"/>
      <w:numFmt w:val="decimal"/>
      <w:suff w:val="nothing"/>
      <w:lvlText w:val="（%1）"/>
      <w:lvlJc w:val="left"/>
    </w:lvl>
  </w:abstractNum>
  <w:abstractNum w:abstractNumId="1562655402">
    <w:nsid w:val="5D243AAA"/>
    <w:multiLevelType w:val="singleLevel"/>
    <w:tmpl w:val="5D243AAA"/>
    <w:lvl w:ilvl="0" w:tentative="1">
      <w:start w:val="2"/>
      <w:numFmt w:val="decimal"/>
      <w:suff w:val="nothing"/>
      <w:lvlText w:val="%1."/>
      <w:lvlJc w:val="left"/>
    </w:lvl>
  </w:abstractNum>
  <w:num w:numId="1">
    <w:abstractNumId w:val="1562653288"/>
  </w:num>
  <w:num w:numId="2">
    <w:abstractNumId w:val="1562653484"/>
  </w:num>
  <w:num w:numId="3">
    <w:abstractNumId w:val="1562653738"/>
  </w:num>
  <w:num w:numId="4">
    <w:abstractNumId w:val="1562654215"/>
  </w:num>
  <w:num w:numId="5">
    <w:abstractNumId w:val="156265540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210"/>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7C6"/>
    <w:rsid w:val="000C4ACB"/>
    <w:rsid w:val="00131E66"/>
    <w:rsid w:val="00153394"/>
    <w:rsid w:val="00282B0B"/>
    <w:rsid w:val="003227C6"/>
    <w:rsid w:val="00387333"/>
    <w:rsid w:val="00394D9F"/>
    <w:rsid w:val="003C7F3D"/>
    <w:rsid w:val="003E2D58"/>
    <w:rsid w:val="00434347"/>
    <w:rsid w:val="005A1BE9"/>
    <w:rsid w:val="006514C2"/>
    <w:rsid w:val="006857C7"/>
    <w:rsid w:val="006E2DAD"/>
    <w:rsid w:val="00805206"/>
    <w:rsid w:val="00820D8F"/>
    <w:rsid w:val="0085301F"/>
    <w:rsid w:val="008B4299"/>
    <w:rsid w:val="009369AD"/>
    <w:rsid w:val="009701A0"/>
    <w:rsid w:val="00970DCD"/>
    <w:rsid w:val="00A35BC8"/>
    <w:rsid w:val="00A42629"/>
    <w:rsid w:val="00AB4ED7"/>
    <w:rsid w:val="00AD645B"/>
    <w:rsid w:val="00B11274"/>
    <w:rsid w:val="00B4579B"/>
    <w:rsid w:val="00B71AFC"/>
    <w:rsid w:val="00BE7D54"/>
    <w:rsid w:val="00C676C8"/>
    <w:rsid w:val="00D57A51"/>
    <w:rsid w:val="00F17A1B"/>
    <w:rsid w:val="00F41E2D"/>
    <w:rsid w:val="00FB441B"/>
    <w:rsid w:val="00FB7622"/>
    <w:rsid w:val="014364A0"/>
    <w:rsid w:val="01615A50"/>
    <w:rsid w:val="03851ED2"/>
    <w:rsid w:val="041A2480"/>
    <w:rsid w:val="04CC7C6B"/>
    <w:rsid w:val="072B6851"/>
    <w:rsid w:val="0C493935"/>
    <w:rsid w:val="0E750A47"/>
    <w:rsid w:val="1069217B"/>
    <w:rsid w:val="10B14AEE"/>
    <w:rsid w:val="128848D1"/>
    <w:rsid w:val="13355B11"/>
    <w:rsid w:val="14075E6A"/>
    <w:rsid w:val="14D41D3A"/>
    <w:rsid w:val="16641061"/>
    <w:rsid w:val="183E0A52"/>
    <w:rsid w:val="18550677"/>
    <w:rsid w:val="1ADD7FFC"/>
    <w:rsid w:val="1BFA7574"/>
    <w:rsid w:val="24967E12"/>
    <w:rsid w:val="25163BE4"/>
    <w:rsid w:val="2529637A"/>
    <w:rsid w:val="255933D3"/>
    <w:rsid w:val="26105100"/>
    <w:rsid w:val="287B1CF7"/>
    <w:rsid w:val="29FA346D"/>
    <w:rsid w:val="2B1A412D"/>
    <w:rsid w:val="2BF77A2F"/>
    <w:rsid w:val="2DFC5888"/>
    <w:rsid w:val="312C253A"/>
    <w:rsid w:val="313B72D2"/>
    <w:rsid w:val="32EF7C1D"/>
    <w:rsid w:val="339E453D"/>
    <w:rsid w:val="3ABC01EE"/>
    <w:rsid w:val="3B060262"/>
    <w:rsid w:val="3B227B92"/>
    <w:rsid w:val="3BBE473F"/>
    <w:rsid w:val="3C273BBC"/>
    <w:rsid w:val="3C9B60FA"/>
    <w:rsid w:val="40C121AA"/>
    <w:rsid w:val="4461139B"/>
    <w:rsid w:val="45AD56DD"/>
    <w:rsid w:val="465C7DFF"/>
    <w:rsid w:val="48ED6E34"/>
    <w:rsid w:val="4A10240E"/>
    <w:rsid w:val="4A842C6F"/>
    <w:rsid w:val="4DBA6E7C"/>
    <w:rsid w:val="4DE6535D"/>
    <w:rsid w:val="4E137126"/>
    <w:rsid w:val="5137314B"/>
    <w:rsid w:val="51555F7E"/>
    <w:rsid w:val="56743063"/>
    <w:rsid w:val="58EC6F6F"/>
    <w:rsid w:val="5A897C95"/>
    <w:rsid w:val="5C2C6147"/>
    <w:rsid w:val="5C366A56"/>
    <w:rsid w:val="5D293552"/>
    <w:rsid w:val="5EE83A41"/>
    <w:rsid w:val="627F7DA5"/>
    <w:rsid w:val="633A04D8"/>
    <w:rsid w:val="64AB2CB8"/>
    <w:rsid w:val="68FB09C9"/>
    <w:rsid w:val="6B62251A"/>
    <w:rsid w:val="6FCA5163"/>
    <w:rsid w:val="710A3C02"/>
    <w:rsid w:val="71A4057D"/>
    <w:rsid w:val="71EF5179"/>
    <w:rsid w:val="73210D6E"/>
    <w:rsid w:val="73D36613"/>
    <w:rsid w:val="76CF057A"/>
    <w:rsid w:val="776814E2"/>
    <w:rsid w:val="7A397292"/>
    <w:rsid w:val="7B230514"/>
    <w:rsid w:val="7EFC353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paragraph" w:customStyle="1" w:styleId="11">
    <w:name w:val="0段落文字"/>
    <w:basedOn w:val="1"/>
    <w:qFormat/>
    <w:uiPriority w:val="0"/>
    <w:pPr>
      <w:spacing w:line="360" w:lineRule="auto"/>
      <w:ind w:firstLine="200" w:firstLineChars="200"/>
    </w:pPr>
    <w:rPr>
      <w:rFonts w:ascii="Times New Roman" w:hAnsi="Times New Roman" w:eastAsia="宋体"/>
      <w:sz w:val="24"/>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77</Words>
  <Characters>442</Characters>
  <Lines>3</Lines>
  <Paragraphs>1</Paragraphs>
  <ScaleCrop>false</ScaleCrop>
  <LinksUpToDate>false</LinksUpToDate>
  <CharactersWithSpaces>518</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2018-03-23T09:11:00Z</dcterms:created>
  <dc:creator>冯妍妍/预算绩效管理处（行资处）/湖北省财政厅</dc:creator>
  <cp:lastModifiedBy>张玲</cp:lastModifiedBy>
  <cp:lastPrinted>2018-05-08T09:18:00Z</cp:lastPrinted>
  <dcterms:modified xsi:type="dcterms:W3CDTF">2019-07-16T07:22:05Z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