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right" w:leader="dot" w:pos="8505"/>
        </w:tabs>
        <w:snapToGrid w:val="0"/>
        <w:spacing w:beforeLines="50" w:afterLines="50" w:line="240" w:lineRule="auto"/>
        <w:jc w:val="center"/>
        <w:rPr>
          <w:rFonts w:ascii="方正小标宋简体" w:hAnsi="Arial Narrow" w:eastAsia="方正小标宋简体" w:cs="Arial Narrow"/>
          <w:sz w:val="36"/>
          <w:szCs w:val="36"/>
        </w:rPr>
      </w:pPr>
      <w:bookmarkStart w:id="0" w:name="_Toc8104"/>
      <w:bookmarkStart w:id="1" w:name="_Toc5526"/>
      <w:bookmarkStart w:id="2" w:name="_Toc6696"/>
      <w:r>
        <w:rPr>
          <w:rFonts w:hint="eastAsia" w:ascii="方正小标宋简体" w:hAnsi="Arial Narrow" w:eastAsia="方正小标宋简体" w:cs="Arial Narrow"/>
          <w:sz w:val="36"/>
          <w:szCs w:val="36"/>
        </w:rPr>
        <w:t>武汉开发区（汉南区）血防工作项目支出</w:t>
      </w:r>
      <w:r>
        <w:rPr>
          <w:rFonts w:ascii="方正小标宋简体" w:hAnsi="Arial Narrow" w:eastAsia="方正小标宋简体" w:cs="Arial Narrow"/>
          <w:sz w:val="36"/>
          <w:szCs w:val="36"/>
        </w:rPr>
        <w:t>2018</w:t>
      </w:r>
      <w:r>
        <w:rPr>
          <w:rFonts w:hint="eastAsia" w:ascii="方正小标宋简体" w:hAnsi="Arial Narrow" w:eastAsia="方正小标宋简体" w:cs="Arial Narrow"/>
          <w:sz w:val="36"/>
          <w:szCs w:val="36"/>
        </w:rPr>
        <w:t>年度</w:t>
      </w:r>
    </w:p>
    <w:p>
      <w:pPr>
        <w:pStyle w:val="4"/>
        <w:tabs>
          <w:tab w:val="right" w:leader="dot" w:pos="8505"/>
        </w:tabs>
        <w:snapToGrid w:val="0"/>
        <w:spacing w:beforeLines="50" w:afterLines="50" w:line="240" w:lineRule="auto"/>
        <w:jc w:val="center"/>
        <w:rPr>
          <w:rFonts w:ascii="方正小标宋简体" w:hAnsi="Arial Narrow" w:eastAsia="方正小标宋简体" w:cs="Arial Narrow"/>
          <w:sz w:val="36"/>
          <w:szCs w:val="36"/>
        </w:rPr>
      </w:pPr>
      <w:r>
        <w:rPr>
          <w:rFonts w:hint="eastAsia" w:ascii="方正小标宋简体" w:hAnsi="Arial Narrow" w:eastAsia="方正小标宋简体" w:cs="Arial Narrow"/>
          <w:sz w:val="36"/>
          <w:szCs w:val="36"/>
        </w:rPr>
        <w:t>绩效评价自评报告</w:t>
      </w:r>
    </w:p>
    <w:bookmarkEnd w:id="0"/>
    <w:bookmarkEnd w:id="1"/>
    <w:bookmarkEnd w:id="2"/>
    <w:p>
      <w:pPr>
        <w:jc w:val="center"/>
        <w:rPr>
          <w:szCs w:val="32"/>
        </w:rPr>
      </w:pPr>
    </w:p>
    <w:p>
      <w:pPr>
        <w:ind w:firstLine="640" w:firstLineChars="200"/>
        <w:outlineLvl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一、摘要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（一）基本情况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>1.</w:t>
      </w:r>
      <w:r>
        <w:rPr>
          <w:rFonts w:hint="eastAsia" w:ascii="方正仿宋简体" w:eastAsia="方正仿宋简体"/>
          <w:sz w:val="32"/>
          <w:szCs w:val="32"/>
        </w:rPr>
        <w:t>项目基本情况。</w:t>
      </w:r>
    </w:p>
    <w:p>
      <w:pPr>
        <w:pStyle w:val="9"/>
        <w:shd w:val="clear" w:color="auto" w:fill="auto"/>
        <w:tabs>
          <w:tab w:val="left" w:pos="1380"/>
        </w:tabs>
        <w:spacing w:before="0" w:after="0" w:line="576" w:lineRule="exact"/>
        <w:ind w:firstLine="760" w:firstLineChars="200"/>
        <w:jc w:val="both"/>
        <w:rPr>
          <w:rFonts w:ascii="方正仿宋简体" w:hAnsi="仿宋_GB2312" w:eastAsia="方正仿宋简体" w:cs="仿宋_GB2312"/>
          <w:sz w:val="32"/>
          <w:szCs w:val="32"/>
        </w:rPr>
      </w:pPr>
      <w:r>
        <w:rPr>
          <w:rFonts w:hint="eastAsia" w:ascii="方正仿宋简体" w:hAnsi="宋体" w:eastAsia="方正仿宋简体"/>
          <w:sz w:val="32"/>
          <w:szCs w:val="32"/>
        </w:rPr>
        <w:t>根据《</w:t>
      </w:r>
      <w:r>
        <w:rPr>
          <w:rFonts w:ascii="方正仿宋简体" w:hAnsi="宋体" w:eastAsia="方正仿宋简体"/>
          <w:sz w:val="32"/>
          <w:szCs w:val="32"/>
        </w:rPr>
        <w:t>2018</w:t>
      </w:r>
      <w:r>
        <w:rPr>
          <w:rFonts w:hint="eastAsia" w:ascii="方正仿宋简体" w:hAnsi="宋体" w:eastAsia="方正仿宋简体"/>
          <w:sz w:val="32"/>
          <w:szCs w:val="32"/>
        </w:rPr>
        <w:t>武汉市年血防工作要点》（武血地办</w:t>
      </w:r>
      <w:r>
        <w:rPr>
          <w:rFonts w:ascii="方正仿宋简体" w:hAnsi="宋体" w:eastAsia="方正仿宋简体"/>
          <w:sz w:val="32"/>
          <w:szCs w:val="32"/>
        </w:rPr>
        <w:t>[2018]3</w:t>
      </w:r>
      <w:r>
        <w:rPr>
          <w:rFonts w:hint="eastAsia" w:ascii="方正仿宋简体" w:hAnsi="宋体" w:eastAsia="方正仿宋简体"/>
          <w:sz w:val="32"/>
          <w:szCs w:val="32"/>
        </w:rPr>
        <w:t>号）要求，通过开展血吸虫疾病控制、钉螺控制、晚血病人救治、健康教育、风险监测等各项工作，</w:t>
      </w:r>
      <w:r>
        <w:rPr>
          <w:rFonts w:hint="eastAsia" w:ascii="方正仿宋简体" w:hAnsi="仿宋_GB2312" w:eastAsia="方正仿宋简体" w:cs="仿宋_GB2312"/>
          <w:sz w:val="32"/>
          <w:szCs w:val="32"/>
        </w:rPr>
        <w:t>开发区片维持血吸虫病消除标准，汉南片区维持血吸虫病传播阻断标准。通过湖北省血防达标“回头看”复核。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>2.</w:t>
      </w:r>
      <w:r>
        <w:rPr>
          <w:rFonts w:hint="eastAsia" w:ascii="方正仿宋简体" w:eastAsia="方正仿宋简体"/>
          <w:sz w:val="32"/>
          <w:szCs w:val="32"/>
        </w:rPr>
        <w:t>绩效评价工作情况。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完成市血防办下达的血防工作目标任务；</w:t>
      </w:r>
      <w:r>
        <w:rPr>
          <w:rFonts w:hint="eastAsia" w:ascii="方正仿宋简体" w:hAnsi="仿宋_GB2312" w:eastAsia="方正仿宋简体" w:cs="仿宋_GB2312"/>
          <w:sz w:val="32"/>
          <w:szCs w:val="32"/>
        </w:rPr>
        <w:t>开发区片维持血吸虫病消除标准，汉南片区维持血吸虫病传播阻断标准。通过湖北省血防达标“回头看”复核。各项工作在血防软件系统中（或纸质台账登记）核查完成情况。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（二）绩效评价结论</w:t>
      </w:r>
    </w:p>
    <w:p>
      <w:pPr>
        <w:ind w:firstLine="64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ascii="方正仿宋简体" w:hAnsi="方正仿宋简体" w:eastAsia="方正仿宋简体" w:cs="方正仿宋简体"/>
          <w:sz w:val="32"/>
          <w:szCs w:val="32"/>
        </w:rPr>
        <w:t>1.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评分结果：</w:t>
      </w:r>
      <w:r>
        <w:rPr>
          <w:rFonts w:ascii="方正仿宋简体" w:hAnsi="方正仿宋简体" w:eastAsia="方正仿宋简体" w:cs="方正仿宋简体"/>
          <w:sz w:val="32"/>
          <w:szCs w:val="32"/>
        </w:rPr>
        <w:t>99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分。</w:t>
      </w:r>
    </w:p>
    <w:p>
      <w:pPr>
        <w:ind w:firstLine="64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ascii="方正仿宋简体" w:hAnsi="方正仿宋简体" w:eastAsia="方正仿宋简体" w:cs="方正仿宋简体"/>
          <w:sz w:val="32"/>
          <w:szCs w:val="32"/>
        </w:rPr>
        <w:t>2.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主要结论：能够严格按照财务管理规定制定预算并规范使用，开展各项项目工作，完成情况较好，产生良好社会效益。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（三）项目的经验与问题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>1.</w:t>
      </w:r>
      <w:r>
        <w:rPr>
          <w:rFonts w:hint="eastAsia" w:ascii="方正仿宋简体" w:eastAsia="方正仿宋简体"/>
          <w:sz w:val="32"/>
          <w:szCs w:val="32"/>
        </w:rPr>
        <w:t>经验。</w:t>
      </w:r>
    </w:p>
    <w:p>
      <w:pPr>
        <w:pStyle w:val="9"/>
        <w:shd w:val="clear" w:color="auto" w:fill="auto"/>
        <w:tabs>
          <w:tab w:val="left" w:pos="1045"/>
        </w:tabs>
        <w:spacing w:before="0" w:after="0" w:line="586" w:lineRule="exact"/>
        <w:ind w:firstLine="760" w:firstLineChars="200"/>
        <w:jc w:val="left"/>
        <w:rPr>
          <w:rFonts w:ascii="方正仿宋简体" w:hAnsi="仿宋_GB2312" w:eastAsia="方正仿宋简体" w:cs="仿宋_GB2312"/>
          <w:sz w:val="32"/>
          <w:szCs w:val="32"/>
          <w:lang w:val="en-US"/>
        </w:rPr>
      </w:pPr>
      <w:r>
        <w:rPr>
          <w:rFonts w:hint="eastAsia" w:ascii="方正仿宋简体" w:hAnsi="仿宋_GB2312" w:eastAsia="方正仿宋简体" w:cs="仿宋_GB2312"/>
          <w:sz w:val="32"/>
          <w:szCs w:val="32"/>
          <w:lang w:val="en-US"/>
        </w:rPr>
        <w:t>对项目工作能统筹计划安排，在区卫计局及区级血防专业机构的监督指导下，对各项工作进行监督核查，使各项工作有序开展，及时解决工作中存在的问题和困难，工作存在较大困难时召开工作推进会，分析查找原因，督促落实，确保各项目标工作的完成。</w:t>
      </w:r>
    </w:p>
    <w:p>
      <w:pPr>
        <w:pStyle w:val="9"/>
        <w:shd w:val="clear" w:color="auto" w:fill="auto"/>
        <w:tabs>
          <w:tab w:val="left" w:pos="1376"/>
        </w:tabs>
        <w:spacing w:before="0" w:after="0" w:line="586" w:lineRule="exact"/>
        <w:ind w:firstLine="760" w:firstLineChars="200"/>
        <w:jc w:val="left"/>
        <w:rPr>
          <w:rFonts w:ascii="方正仿宋简体" w:hAnsi="仿宋_GB2312" w:eastAsia="方正仿宋简体" w:cs="仿宋_GB2312"/>
          <w:sz w:val="32"/>
          <w:szCs w:val="32"/>
          <w:lang w:val="en-US"/>
        </w:rPr>
      </w:pPr>
      <w:r>
        <w:rPr>
          <w:rFonts w:hint="eastAsia" w:ascii="方正仿宋简体" w:hAnsi="仿宋_GB2312" w:eastAsia="方正仿宋简体" w:cs="仿宋_GB2312"/>
          <w:sz w:val="32"/>
          <w:szCs w:val="32"/>
          <w:lang w:val="en-US"/>
        </w:rPr>
        <w:t>每项工作完成后进行督导检查，核查工作完成质量和数量，上报血防工作报表统计工作完成情况，查缺补漏确保工作目标落实。</w:t>
      </w:r>
    </w:p>
    <w:p>
      <w:pPr>
        <w:ind w:firstLine="640" w:firstLineChars="200"/>
        <w:rPr>
          <w:rFonts w:ascii="方正仿宋简体" w:hAnsi="仿宋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>2.</w:t>
      </w:r>
      <w:r>
        <w:rPr>
          <w:rFonts w:hint="eastAsia" w:ascii="方正仿宋简体" w:eastAsia="方正仿宋简体"/>
          <w:sz w:val="32"/>
          <w:szCs w:val="32"/>
        </w:rPr>
        <w:t>问题。汉南片区螺情控制困难，</w:t>
      </w:r>
      <w:r>
        <w:rPr>
          <w:rFonts w:hint="eastAsia" w:ascii="方正仿宋简体" w:eastAsia="方正仿宋简体" w:cs="楷体_GB2312"/>
          <w:sz w:val="32"/>
          <w:szCs w:val="32"/>
        </w:rPr>
        <w:t>传染源管控有待加强，</w:t>
      </w:r>
      <w:r>
        <w:rPr>
          <w:rFonts w:hint="eastAsia" w:ascii="方正仿宋简体" w:hAnsi="宋体" w:eastAsia="方正仿宋简体"/>
          <w:sz w:val="32"/>
          <w:szCs w:val="32"/>
        </w:rPr>
        <w:t>急感防控工作任务艰巨。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（四）建议</w:t>
      </w:r>
    </w:p>
    <w:p>
      <w:pPr>
        <w:ind w:firstLine="640" w:firstLineChars="200"/>
        <w:outlineLvl w:val="0"/>
        <w:rPr>
          <w:rFonts w:ascii="方正仿宋简体" w:hAnsi="仿宋_GB2312" w:eastAsia="方正仿宋简体" w:cs="仿宋_GB2312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各街道</w:t>
      </w:r>
      <w:r>
        <w:rPr>
          <w:rFonts w:hint="eastAsia" w:ascii="方正仿宋简体" w:hAnsi="仿宋_GB2312" w:eastAsia="方正仿宋简体" w:cs="仿宋_GB2312"/>
          <w:sz w:val="32"/>
          <w:szCs w:val="32"/>
        </w:rPr>
        <w:t>加大血防各项基础工作力度，防止疫情反弹，巩固达标成果。</w:t>
      </w:r>
    </w:p>
    <w:p>
      <w:pPr>
        <w:ind w:firstLine="640" w:firstLineChars="200"/>
        <w:outlineLvl w:val="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二、项目基本情况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>1.</w:t>
      </w:r>
      <w:r>
        <w:rPr>
          <w:rFonts w:hint="eastAsia" w:ascii="方正仿宋简体" w:eastAsia="方正仿宋简体"/>
          <w:sz w:val="32"/>
          <w:szCs w:val="32"/>
        </w:rPr>
        <w:t>项目立项背景和依据</w:t>
      </w:r>
    </w:p>
    <w:p>
      <w:pPr>
        <w:ind w:firstLine="640" w:firstLineChars="200"/>
        <w:outlineLvl w:val="0"/>
        <w:rPr>
          <w:rFonts w:ascii="方正仿宋简体" w:hAnsi="仿宋_GB2312" w:eastAsia="方正仿宋简体" w:cs="仿宋_GB2312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根据《</w:t>
      </w:r>
      <w:r>
        <w:rPr>
          <w:rFonts w:ascii="方正仿宋简体" w:eastAsia="方正仿宋简体"/>
          <w:sz w:val="32"/>
          <w:szCs w:val="32"/>
        </w:rPr>
        <w:t>2018</w:t>
      </w:r>
      <w:r>
        <w:rPr>
          <w:rFonts w:hint="eastAsia" w:ascii="方正仿宋简体" w:eastAsia="方正仿宋简体"/>
          <w:sz w:val="32"/>
          <w:szCs w:val="32"/>
        </w:rPr>
        <w:t>武汉市年血防工作要点》（武血地办</w:t>
      </w:r>
      <w:r>
        <w:rPr>
          <w:rFonts w:ascii="方正仿宋简体" w:eastAsia="方正仿宋简体"/>
          <w:sz w:val="32"/>
          <w:szCs w:val="32"/>
        </w:rPr>
        <w:t>[2018]3</w:t>
      </w:r>
      <w:r>
        <w:rPr>
          <w:rFonts w:hint="eastAsia" w:ascii="方正仿宋简体" w:eastAsia="方正仿宋简体"/>
          <w:sz w:val="32"/>
          <w:szCs w:val="32"/>
        </w:rPr>
        <w:t>号）要求，开展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全区血吸虫病防治工作，严防疫情反弹，巩固我区达标成果。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>2.</w:t>
      </w:r>
      <w:r>
        <w:rPr>
          <w:rFonts w:hint="eastAsia" w:ascii="方正仿宋简体" w:eastAsia="方正仿宋简体"/>
          <w:sz w:val="32"/>
          <w:szCs w:val="32"/>
        </w:rPr>
        <w:t>项目绩效目标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开发区片维持血吸虫病消除标准，汉南片区维持血吸虫病传播阻断标准。通过湖北省血防达标“回头看”复核。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>3.</w:t>
      </w:r>
      <w:r>
        <w:rPr>
          <w:rFonts w:hint="eastAsia" w:ascii="方正仿宋简体" w:eastAsia="方正仿宋简体"/>
          <w:sz w:val="32"/>
          <w:szCs w:val="32"/>
        </w:rPr>
        <w:t>经费来源和使用情况</w:t>
      </w:r>
    </w:p>
    <w:p>
      <w:pPr>
        <w:ind w:firstLine="640" w:firstLineChars="200"/>
        <w:outlineLvl w:val="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ascii="方正仿宋简体" w:hAnsi="方正仿宋简体" w:eastAsia="方正仿宋简体" w:cs="方正仿宋简体"/>
          <w:sz w:val="32"/>
          <w:szCs w:val="32"/>
        </w:rPr>
        <w:t>2018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年武汉经济技术开发区（汉南区）财政局共下达</w:t>
      </w:r>
      <w:r>
        <w:rPr>
          <w:rFonts w:ascii="方正仿宋简体" w:hAnsi="方正仿宋简体" w:eastAsia="方正仿宋简体" w:cs="方正仿宋简体"/>
          <w:sz w:val="32"/>
          <w:szCs w:val="32"/>
        </w:rPr>
        <w:t>166.83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万元用于该项目，截止至</w:t>
      </w:r>
      <w:r>
        <w:rPr>
          <w:rFonts w:ascii="方正仿宋简体" w:hAnsi="方正仿宋简体" w:eastAsia="方正仿宋简体" w:cs="方正仿宋简体"/>
          <w:sz w:val="32"/>
          <w:szCs w:val="32"/>
        </w:rPr>
        <w:t>2018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</w:t>
      </w:r>
      <w:r>
        <w:rPr>
          <w:rFonts w:ascii="方正仿宋简体" w:hAnsi="方正仿宋简体" w:eastAsia="方正仿宋简体" w:cs="方正仿宋简体"/>
          <w:sz w:val="32"/>
          <w:szCs w:val="32"/>
        </w:rPr>
        <w:t>12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月</w:t>
      </w:r>
      <w:r>
        <w:rPr>
          <w:rFonts w:ascii="方正仿宋简体" w:hAnsi="方正仿宋简体" w:eastAsia="方正仿宋简体" w:cs="方正仿宋简体"/>
          <w:sz w:val="32"/>
          <w:szCs w:val="32"/>
        </w:rPr>
        <w:t>31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日，项目总支出为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128.13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万元，项目资金预算执行率为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77</w:t>
      </w:r>
      <w:bookmarkStart w:id="3" w:name="_GoBack"/>
      <w:bookmarkEnd w:id="3"/>
      <w:r>
        <w:rPr>
          <w:rFonts w:ascii="方正仿宋简体" w:hAnsi="方正仿宋简体" w:eastAsia="方正仿宋简体" w:cs="方正仿宋简体"/>
          <w:sz w:val="32"/>
          <w:szCs w:val="32"/>
        </w:rPr>
        <w:t>%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，主要用于全区血吸虫病防治工作，开展</w:t>
      </w:r>
      <w:r>
        <w:rPr>
          <w:rFonts w:hint="eastAsia" w:ascii="方正仿宋简体" w:hAnsi="宋体" w:eastAsia="方正仿宋简体"/>
          <w:sz w:val="32"/>
          <w:szCs w:val="32"/>
        </w:rPr>
        <w:t>血吸虫疾病控制、钉螺控制、晚血病人救治、健康教育、风险监测等各项工作。</w:t>
      </w:r>
    </w:p>
    <w:p>
      <w:pPr>
        <w:ind w:firstLine="640" w:firstLineChars="200"/>
        <w:outlineLvl w:val="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>4.</w:t>
      </w:r>
      <w:r>
        <w:rPr>
          <w:rFonts w:hint="eastAsia" w:ascii="方正仿宋简体" w:eastAsia="方正仿宋简体"/>
          <w:sz w:val="32"/>
          <w:szCs w:val="32"/>
        </w:rPr>
        <w:t>项目实施情况</w:t>
      </w:r>
    </w:p>
    <w:p>
      <w:pPr>
        <w:pStyle w:val="9"/>
        <w:shd w:val="clear" w:color="auto" w:fill="auto"/>
        <w:tabs>
          <w:tab w:val="left" w:pos="1087"/>
        </w:tabs>
        <w:spacing w:before="0" w:after="0" w:line="576" w:lineRule="exact"/>
        <w:ind w:firstLine="760" w:firstLineChars="200"/>
        <w:jc w:val="both"/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①</w:t>
      </w:r>
      <w:r>
        <w:rPr>
          <w:rFonts w:hint="eastAsia" w:ascii="方正仿宋简体" w:hAnsi="宋体" w:eastAsia="方正仿宋简体" w:cs="宋体"/>
          <w:bCs/>
          <w:color w:val="auto"/>
          <w:sz w:val="32"/>
          <w:szCs w:val="32"/>
          <w:lang w:val="en-US"/>
        </w:rPr>
        <w:t>血吸虫疾病控制：开展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血吸虫人群查病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43417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人次，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IHA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高滴度流调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192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人次，治疗及扩大化疗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3700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人次，预防急感监督岗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17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个。</w:t>
      </w:r>
    </w:p>
    <w:p>
      <w:pPr>
        <w:pStyle w:val="9"/>
        <w:shd w:val="clear" w:color="auto" w:fill="auto"/>
        <w:tabs>
          <w:tab w:val="left" w:pos="1087"/>
        </w:tabs>
        <w:spacing w:before="0" w:after="0" w:line="576" w:lineRule="exact"/>
        <w:ind w:firstLine="760" w:firstLineChars="200"/>
        <w:jc w:val="both"/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</w:pP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实际完成：血吸虫人群查病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44112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人次，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IHA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高滴度流调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192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人次，治疗及扩大化疗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3917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人次，预防急感监督岗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17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个。</w:t>
      </w:r>
    </w:p>
    <w:p>
      <w:pPr>
        <w:pStyle w:val="9"/>
        <w:shd w:val="clear" w:color="auto" w:fill="auto"/>
        <w:tabs>
          <w:tab w:val="left" w:pos="1087"/>
        </w:tabs>
        <w:spacing w:before="0" w:after="0" w:line="576" w:lineRule="exact"/>
        <w:ind w:firstLine="760" w:firstLineChars="200"/>
        <w:jc w:val="both"/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②</w:t>
      </w:r>
      <w:r>
        <w:rPr>
          <w:rFonts w:hint="eastAsia" w:ascii="方正仿宋简体" w:hAnsi="宋体" w:eastAsia="方正仿宋简体" w:cs="宋体"/>
          <w:bCs/>
          <w:color w:val="auto"/>
          <w:sz w:val="32"/>
          <w:szCs w:val="32"/>
          <w:lang w:val="en-US"/>
        </w:rPr>
        <w:t>钉螺控制：开展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钉螺调查面积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2360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万平方米，药物灭螺面积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193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万平方米。</w:t>
      </w:r>
    </w:p>
    <w:p>
      <w:pPr>
        <w:pStyle w:val="9"/>
        <w:shd w:val="clear" w:color="auto" w:fill="auto"/>
        <w:tabs>
          <w:tab w:val="left" w:pos="1087"/>
        </w:tabs>
        <w:spacing w:before="0" w:after="0" w:line="576" w:lineRule="exact"/>
        <w:ind w:firstLine="760" w:firstLineChars="200"/>
        <w:jc w:val="both"/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</w:pP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实际完成：钉螺调查面积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2369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万平方米，药物灭螺面积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201.27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万平方米。</w:t>
      </w:r>
    </w:p>
    <w:p>
      <w:pPr>
        <w:pStyle w:val="9"/>
        <w:shd w:val="clear" w:color="auto" w:fill="auto"/>
        <w:tabs>
          <w:tab w:val="left" w:pos="1087"/>
        </w:tabs>
        <w:spacing w:before="0" w:after="0" w:line="576" w:lineRule="exact"/>
        <w:ind w:firstLine="760" w:firstLineChars="200"/>
        <w:jc w:val="both"/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③</w:t>
      </w:r>
      <w:r>
        <w:rPr>
          <w:rFonts w:hint="eastAsia" w:ascii="方正仿宋简体" w:hAnsi="宋体" w:eastAsia="方正仿宋简体" w:cs="宋体"/>
          <w:bCs/>
          <w:color w:val="auto"/>
          <w:sz w:val="32"/>
          <w:szCs w:val="32"/>
          <w:lang w:val="en-US"/>
        </w:rPr>
        <w:t>晚血病人控制：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省市确诊的</w:t>
      </w:r>
      <w:r>
        <w:rPr>
          <w:rFonts w:ascii="方正仿宋简体" w:hAnsi="宋体" w:eastAsia="方正仿宋简体" w:cs="宋体"/>
          <w:color w:val="auto"/>
          <w:sz w:val="32"/>
          <w:szCs w:val="32"/>
          <w:lang w:val="en-US"/>
        </w:rPr>
        <w:t>25</w:t>
      </w:r>
      <w:r>
        <w:rPr>
          <w:rFonts w:hint="eastAsia" w:ascii="方正仿宋简体" w:hAnsi="宋体" w:eastAsia="方正仿宋简体" w:cs="宋体"/>
          <w:color w:val="auto"/>
          <w:sz w:val="32"/>
          <w:szCs w:val="32"/>
          <w:lang w:val="en-US"/>
        </w:rPr>
        <w:t>名晚血病人全部进入专科医院进行了免费救治。</w:t>
      </w:r>
    </w:p>
    <w:sectPr>
      <w:pgSz w:w="11906" w:h="16838"/>
      <w:pgMar w:top="2098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PMingLiU">
    <w:altName w:val="PMingLiU-ExtB"/>
    <w:panose1 w:val="02020300000000000000"/>
    <w:charset w:val="88"/>
    <w:family w:val="roman"/>
    <w:pitch w:val="default"/>
    <w:sig w:usb0="00000000" w:usb1="00000000" w:usb2="00000016" w:usb3="00000000" w:csb0="0010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27C6"/>
    <w:rsid w:val="00027C17"/>
    <w:rsid w:val="000C4ACB"/>
    <w:rsid w:val="00131E66"/>
    <w:rsid w:val="00153394"/>
    <w:rsid w:val="001923B4"/>
    <w:rsid w:val="0019643F"/>
    <w:rsid w:val="001B218D"/>
    <w:rsid w:val="00282B0B"/>
    <w:rsid w:val="002B5E1E"/>
    <w:rsid w:val="002C5546"/>
    <w:rsid w:val="002D769E"/>
    <w:rsid w:val="003227C6"/>
    <w:rsid w:val="00387333"/>
    <w:rsid w:val="00394D9F"/>
    <w:rsid w:val="003A749D"/>
    <w:rsid w:val="003C7F3D"/>
    <w:rsid w:val="003E2D58"/>
    <w:rsid w:val="003F771C"/>
    <w:rsid w:val="004318F9"/>
    <w:rsid w:val="00434347"/>
    <w:rsid w:val="0043485D"/>
    <w:rsid w:val="004751C0"/>
    <w:rsid w:val="004A0527"/>
    <w:rsid w:val="005A1BE9"/>
    <w:rsid w:val="005F4CFB"/>
    <w:rsid w:val="006514C2"/>
    <w:rsid w:val="006857C7"/>
    <w:rsid w:val="006E2DAD"/>
    <w:rsid w:val="00742444"/>
    <w:rsid w:val="00746E48"/>
    <w:rsid w:val="0075241E"/>
    <w:rsid w:val="00782DAA"/>
    <w:rsid w:val="00787786"/>
    <w:rsid w:val="00805206"/>
    <w:rsid w:val="00820D8F"/>
    <w:rsid w:val="0085301F"/>
    <w:rsid w:val="008B4299"/>
    <w:rsid w:val="008C2B67"/>
    <w:rsid w:val="008C71B4"/>
    <w:rsid w:val="009369AD"/>
    <w:rsid w:val="009701A0"/>
    <w:rsid w:val="00970DCD"/>
    <w:rsid w:val="009852D4"/>
    <w:rsid w:val="00A35BC8"/>
    <w:rsid w:val="00A42629"/>
    <w:rsid w:val="00AA519B"/>
    <w:rsid w:val="00AB4ED7"/>
    <w:rsid w:val="00AD645B"/>
    <w:rsid w:val="00B11274"/>
    <w:rsid w:val="00B4579B"/>
    <w:rsid w:val="00B71AFC"/>
    <w:rsid w:val="00BE794F"/>
    <w:rsid w:val="00BE7D54"/>
    <w:rsid w:val="00C42AC2"/>
    <w:rsid w:val="00C51E04"/>
    <w:rsid w:val="00C676C8"/>
    <w:rsid w:val="00C83B22"/>
    <w:rsid w:val="00C90590"/>
    <w:rsid w:val="00D57A51"/>
    <w:rsid w:val="00D63F31"/>
    <w:rsid w:val="00E24D00"/>
    <w:rsid w:val="00E4037A"/>
    <w:rsid w:val="00F17A1B"/>
    <w:rsid w:val="00F41E2D"/>
    <w:rsid w:val="00F41F45"/>
    <w:rsid w:val="00F458B6"/>
    <w:rsid w:val="00F50208"/>
    <w:rsid w:val="00F65C1E"/>
    <w:rsid w:val="00F76D19"/>
    <w:rsid w:val="00F82DF6"/>
    <w:rsid w:val="00FB441B"/>
    <w:rsid w:val="00FB7622"/>
    <w:rsid w:val="43D8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paragraph" w:styleId="4">
    <w:name w:val="toc 1"/>
    <w:basedOn w:val="1"/>
    <w:next w:val="1"/>
    <w:locked/>
    <w:uiPriority w:val="99"/>
    <w:pPr>
      <w:spacing w:line="360" w:lineRule="exact"/>
      <w:jc w:val="left"/>
    </w:pPr>
    <w:rPr>
      <w:rFonts w:ascii="Calibri" w:hAnsi="Calibri"/>
      <w:sz w:val="24"/>
    </w:rPr>
  </w:style>
  <w:style w:type="character" w:customStyle="1" w:styleId="7">
    <w:name w:val="Header Char"/>
    <w:basedOn w:val="6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locked/>
    <w:uiPriority w:val="99"/>
    <w:rPr>
      <w:rFonts w:cs="Times New Roman"/>
      <w:sz w:val="18"/>
      <w:szCs w:val="18"/>
    </w:rPr>
  </w:style>
  <w:style w:type="paragraph" w:customStyle="1" w:styleId="9">
    <w:name w:val="Body text|2"/>
    <w:basedOn w:val="1"/>
    <w:qFormat/>
    <w:uiPriority w:val="99"/>
    <w:pPr>
      <w:shd w:val="clear" w:color="auto" w:fill="FFFFFF"/>
      <w:spacing w:before="440" w:after="1500" w:line="280" w:lineRule="exact"/>
      <w:jc w:val="center"/>
    </w:pPr>
    <w:rPr>
      <w:rFonts w:ascii="PMingLiU" w:hAnsi="PMingLiU" w:eastAsia="PMingLiU" w:cs="PMingLiU"/>
      <w:color w:val="000000"/>
      <w:spacing w:val="30"/>
      <w:kern w:val="0"/>
      <w:sz w:val="28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4</Pages>
  <Words>175</Words>
  <Characters>998</Characters>
  <Lines>0</Lines>
  <Paragraphs>0</Paragraphs>
  <TotalTime>131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2018-03-23T09:11:00Z</dcterms:created>
  <dc:creator>冯妍妍/预算绩效管理处（行资处）/湖北省财政厅</dc:creator>
  <cp:lastModifiedBy>bunny</cp:lastModifiedBy>
  <cp:lastPrinted>2018-05-08T09:18:00Z</cp:lastPrinted>
  <dcterms:modified xsi:type="dcterms:W3CDTF">2019-07-12T08:00:40Z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