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57125A">
      <w:pPr>
        <w:spacing w:line="600" w:lineRule="exact"/>
        <w:ind w:firstLine="560"/>
        <w:rPr>
          <w:rFonts w:hint="eastAsia" w:ascii="Arial Narrow" w:hAnsi="Arial Narrow" w:eastAsia="仿宋_GB2312" w:cs="Arial Narrow"/>
          <w:sz w:val="28"/>
          <w:szCs w:val="28"/>
        </w:rPr>
      </w:pPr>
      <w:bookmarkStart w:id="0" w:name="_Toc32003"/>
      <w:bookmarkStart w:id="1" w:name="_Toc430020657"/>
      <w:bookmarkStart w:id="2" w:name="_Toc17283"/>
      <w:bookmarkStart w:id="3" w:name="_Toc430020505"/>
      <w:bookmarkStart w:id="4" w:name="_Toc16423"/>
      <w:bookmarkStart w:id="5" w:name="_Toc430020781"/>
      <w:bookmarkStart w:id="6" w:name="_Toc26937"/>
      <w:bookmarkStart w:id="7" w:name="_Toc28326"/>
      <w:bookmarkStart w:id="8" w:name="_Toc5506"/>
      <w:bookmarkStart w:id="9" w:name="_Toc372574194"/>
      <w:bookmarkStart w:id="10" w:name="_Toc430018223"/>
      <w:bookmarkStart w:id="11" w:name="_Toc29467"/>
      <w:bookmarkStart w:id="12" w:name="_Toc394869146"/>
      <w:bookmarkStart w:id="13" w:name="_Toc17250"/>
      <w:bookmarkStart w:id="14" w:name="_Toc430076890"/>
      <w:bookmarkStart w:id="15" w:name="_Toc10032"/>
      <w:bookmarkStart w:id="16" w:name="_Toc9397"/>
    </w:p>
    <w:p w14:paraId="6DAE3979">
      <w:pPr>
        <w:spacing w:line="600" w:lineRule="exact"/>
        <w:ind w:firstLine="560"/>
        <w:rPr>
          <w:rFonts w:hint="eastAsia" w:ascii="Arial Narrow" w:hAnsi="Arial Narrow" w:eastAsia="仿宋_GB2312" w:cs="Arial Narrow"/>
          <w:sz w:val="28"/>
          <w:szCs w:val="28"/>
        </w:rPr>
      </w:pPr>
    </w:p>
    <w:p w14:paraId="4125D0AF">
      <w:pPr>
        <w:spacing w:line="720" w:lineRule="exact"/>
        <w:jc w:val="center"/>
        <w:rPr>
          <w:rFonts w:hint="eastAsia" w:ascii="Arial Narrow" w:hAnsi="Arial Narrow" w:eastAsia="仿宋_GB2312" w:cs="Arial Narrow"/>
          <w:b/>
          <w:sz w:val="48"/>
          <w:szCs w:val="48"/>
        </w:rPr>
      </w:pPr>
      <w:r>
        <w:rPr>
          <w:rFonts w:ascii="Arial Narrow" w:hAnsi="Arial Narrow" w:eastAsia="仿宋_GB2312" w:cs="Arial Narrow"/>
          <w:b/>
          <w:sz w:val="48"/>
          <w:szCs w:val="48"/>
        </w:rPr>
        <w:t>武汉经济技术开发区（汉南区）</w:t>
      </w:r>
      <w:r>
        <w:rPr>
          <w:rFonts w:hint="eastAsia" w:ascii="Arial Narrow" w:hAnsi="Arial Narrow" w:eastAsia="仿宋_GB2312" w:cs="Arial Narrow"/>
          <w:b/>
          <w:sz w:val="48"/>
          <w:szCs w:val="48"/>
        </w:rPr>
        <w:t>招商局、</w:t>
      </w:r>
    </w:p>
    <w:p w14:paraId="79FAFC1D">
      <w:pPr>
        <w:spacing w:line="720" w:lineRule="exact"/>
        <w:jc w:val="center"/>
        <w:rPr>
          <w:rFonts w:hint="eastAsia" w:ascii="Arial Narrow" w:hAnsi="Arial Narrow" w:eastAsia="仿宋_GB2312" w:cs="Arial Narrow"/>
          <w:b/>
          <w:sz w:val="48"/>
          <w:szCs w:val="48"/>
        </w:rPr>
      </w:pPr>
      <w:r>
        <w:rPr>
          <w:rFonts w:ascii="Arial Narrow" w:hAnsi="Arial Narrow" w:eastAsia="仿宋_GB2312" w:cs="Arial Narrow"/>
          <w:b/>
          <w:sz w:val="48"/>
          <w:szCs w:val="48"/>
        </w:rPr>
        <w:t>武汉经济技术开发区</w:t>
      </w:r>
      <w:r>
        <w:rPr>
          <w:rFonts w:hint="eastAsia" w:ascii="Arial Narrow" w:hAnsi="Arial Narrow" w:eastAsia="仿宋_GB2312" w:cs="Arial Narrow"/>
          <w:b/>
          <w:sz w:val="48"/>
          <w:szCs w:val="48"/>
        </w:rPr>
        <w:t>投资服务中心</w:t>
      </w:r>
    </w:p>
    <w:p w14:paraId="60F49E6F">
      <w:pPr>
        <w:spacing w:line="720" w:lineRule="exact"/>
        <w:jc w:val="center"/>
        <w:rPr>
          <w:rFonts w:hint="eastAsia" w:ascii="Arial Narrow" w:hAnsi="Arial Narrow" w:eastAsia="仿宋_GB2312" w:cs="Arial Narrow"/>
          <w:b/>
          <w:sz w:val="48"/>
          <w:szCs w:val="48"/>
        </w:rPr>
      </w:pPr>
      <w:r>
        <w:rPr>
          <w:rFonts w:ascii="Arial Narrow" w:hAnsi="Arial Narrow" w:eastAsia="仿宋_GB2312" w:cs="Arial Narrow"/>
          <w:b/>
          <w:sz w:val="48"/>
          <w:szCs w:val="48"/>
        </w:rPr>
        <w:t>招商工作经费项目</w:t>
      </w:r>
    </w:p>
    <w:p w14:paraId="7BE667CE">
      <w:pPr>
        <w:spacing w:line="720" w:lineRule="exact"/>
        <w:jc w:val="center"/>
        <w:rPr>
          <w:rFonts w:hint="eastAsia" w:ascii="Arial Narrow" w:hAnsi="Arial Narrow" w:eastAsia="仿宋_GB2312" w:cs="Arial Narrow"/>
          <w:b/>
          <w:sz w:val="48"/>
          <w:szCs w:val="48"/>
        </w:rPr>
      </w:pPr>
      <w:r>
        <w:rPr>
          <w:rFonts w:ascii="Arial Narrow" w:hAnsi="Arial Narrow" w:eastAsia="仿宋_GB2312" w:cs="Arial Narrow"/>
          <w:b/>
          <w:sz w:val="48"/>
          <w:szCs w:val="48"/>
        </w:rPr>
        <w:t>绩效评价报告</w:t>
      </w:r>
    </w:p>
    <w:p w14:paraId="6BD25672">
      <w:pPr>
        <w:spacing w:line="720" w:lineRule="exact"/>
        <w:jc w:val="center"/>
        <w:rPr>
          <w:rFonts w:hint="eastAsia" w:ascii="Arial Narrow" w:hAnsi="Arial Narrow" w:eastAsia="仿宋_GB2312" w:cs="Arial Narrow"/>
          <w:b/>
          <w:bCs/>
          <w:sz w:val="48"/>
          <w:szCs w:val="48"/>
        </w:rPr>
      </w:pPr>
      <w:r>
        <w:rPr>
          <w:rFonts w:ascii="Arial Narrow" w:hAnsi="Arial Narrow" w:eastAsia="仿宋_GB2312" w:cs="Arial Narrow"/>
          <w:b/>
          <w:bCs/>
          <w:sz w:val="48"/>
          <w:szCs w:val="48"/>
        </w:rPr>
        <w:t>（2018年度）</w:t>
      </w:r>
    </w:p>
    <w:p w14:paraId="29599ED5">
      <w:pPr>
        <w:ind w:firstLine="480"/>
        <w:rPr>
          <w:rFonts w:hint="eastAsia" w:ascii="Arial Narrow" w:hAnsi="Arial Narrow" w:eastAsia="仿宋_GB2312" w:cs="Arial Narrow"/>
        </w:rPr>
      </w:pPr>
    </w:p>
    <w:p w14:paraId="57941D90">
      <w:pPr>
        <w:ind w:firstLine="480"/>
        <w:rPr>
          <w:rFonts w:hint="eastAsia" w:ascii="Arial Narrow" w:hAnsi="Arial Narrow" w:eastAsia="仿宋_GB2312" w:cs="Arial Narrow"/>
        </w:rPr>
      </w:pPr>
    </w:p>
    <w:p w14:paraId="58A0DFFB">
      <w:pPr>
        <w:spacing w:line="800" w:lineRule="exact"/>
        <w:rPr>
          <w:rFonts w:hint="eastAsia" w:ascii="Arial Narrow" w:hAnsi="Arial Narrow" w:eastAsia="仿宋_GB2312" w:cs="Arial Narrow"/>
          <w:b/>
          <w:bCs/>
          <w:kern w:val="32"/>
          <w:sz w:val="32"/>
        </w:rPr>
      </w:pPr>
    </w:p>
    <w:p w14:paraId="2BC1AB5C">
      <w:pPr>
        <w:spacing w:line="800" w:lineRule="exact"/>
        <w:ind w:left="1687" w:right="-192" w:rightChars="-80" w:hanging="1687" w:hangingChars="525"/>
        <w:rPr>
          <w:rFonts w:hint="eastAsia" w:ascii="Arial Narrow" w:hAnsi="Arial Narrow" w:eastAsia="仿宋_GB2312" w:cs="Arial Narrow"/>
          <w:b/>
          <w:bCs/>
          <w:kern w:val="32"/>
          <w:sz w:val="30"/>
          <w:szCs w:val="30"/>
        </w:rPr>
      </w:pPr>
      <w:r>
        <w:rPr>
          <w:rFonts w:ascii="Arial Narrow" w:hAnsi="Arial Narrow" w:eastAsia="仿宋_GB2312" w:cs="Arial Narrow"/>
          <w:b/>
          <w:bCs/>
          <w:kern w:val="32"/>
          <w:sz w:val="32"/>
        </w:rPr>
        <w:t>项目名称：</w:t>
      </w:r>
      <w:r>
        <w:rPr>
          <w:rFonts w:ascii="Arial Narrow" w:hAnsi="Arial Narrow" w:eastAsia="仿宋_GB2312" w:cs="Arial Narrow"/>
          <w:b/>
          <w:bCs/>
          <w:kern w:val="32"/>
          <w:sz w:val="30"/>
          <w:szCs w:val="30"/>
        </w:rPr>
        <w:t>招商工作经费</w:t>
      </w:r>
    </w:p>
    <w:p w14:paraId="5433E005">
      <w:pPr>
        <w:spacing w:line="800" w:lineRule="exact"/>
        <w:ind w:right="-192" w:rightChars="-80"/>
        <w:rPr>
          <w:rFonts w:hint="eastAsia" w:ascii="Arial Narrow" w:hAnsi="Arial Narrow" w:eastAsia="仿宋_GB2312" w:cs="Arial Narrow"/>
          <w:b/>
          <w:bCs/>
          <w:sz w:val="28"/>
          <w:szCs w:val="28"/>
        </w:rPr>
      </w:pPr>
      <w:r>
        <w:rPr>
          <w:rFonts w:ascii="Arial Narrow" w:hAnsi="Arial Narrow" w:eastAsia="仿宋_GB2312" w:cs="Arial Narrow"/>
          <w:b/>
          <w:bCs/>
          <w:kern w:val="32"/>
          <w:sz w:val="32"/>
        </w:rPr>
        <w:t>项目单位：</w:t>
      </w:r>
      <w:r>
        <w:rPr>
          <w:rFonts w:ascii="Arial Narrow" w:hAnsi="Arial Narrow" w:eastAsia="仿宋_GB2312" w:cs="Arial Narrow"/>
          <w:b/>
          <w:bCs/>
          <w:sz w:val="28"/>
          <w:szCs w:val="28"/>
        </w:rPr>
        <w:t>武汉经济技术开发区（汉南区）招商局</w:t>
      </w:r>
    </w:p>
    <w:p w14:paraId="2926E796">
      <w:pPr>
        <w:spacing w:line="800" w:lineRule="exact"/>
        <w:ind w:right="-192" w:rightChars="-80" w:firstLine="1687" w:firstLineChars="600"/>
        <w:rPr>
          <w:rFonts w:hint="eastAsia" w:ascii="Arial Narrow" w:hAnsi="Arial Narrow" w:eastAsia="仿宋_GB2312" w:cs="Arial Narrow"/>
          <w:b/>
          <w:bCs/>
          <w:kern w:val="32"/>
          <w:sz w:val="30"/>
          <w:szCs w:val="30"/>
        </w:rPr>
      </w:pPr>
      <w:r>
        <w:rPr>
          <w:rFonts w:ascii="Arial Narrow" w:hAnsi="Arial Narrow" w:eastAsia="仿宋_GB2312" w:cs="Arial Narrow"/>
          <w:b/>
          <w:bCs/>
          <w:sz w:val="28"/>
          <w:szCs w:val="28"/>
        </w:rPr>
        <w:t>武汉经济技术开发区投资服务中心</w:t>
      </w:r>
    </w:p>
    <w:p w14:paraId="04F11F7E">
      <w:pPr>
        <w:spacing w:line="800" w:lineRule="exact"/>
        <w:ind w:right="-192" w:rightChars="-80"/>
        <w:rPr>
          <w:rFonts w:hint="eastAsia" w:ascii="Arial Narrow" w:hAnsi="Arial Narrow" w:eastAsia="仿宋_GB2312" w:cs="Arial Narrow"/>
          <w:b/>
          <w:bCs/>
          <w:sz w:val="28"/>
          <w:szCs w:val="28"/>
        </w:rPr>
      </w:pPr>
      <w:r>
        <w:rPr>
          <w:rFonts w:ascii="Arial Narrow" w:hAnsi="Arial Narrow" w:eastAsia="仿宋_GB2312" w:cs="Arial Narrow"/>
          <w:b/>
          <w:bCs/>
          <w:kern w:val="32"/>
          <w:sz w:val="32"/>
        </w:rPr>
        <w:t>主管部门：</w:t>
      </w:r>
      <w:r>
        <w:rPr>
          <w:rFonts w:ascii="Arial Narrow" w:hAnsi="Arial Narrow" w:eastAsia="仿宋_GB2312" w:cs="Arial Narrow"/>
          <w:b/>
          <w:bCs/>
          <w:sz w:val="28"/>
          <w:szCs w:val="28"/>
        </w:rPr>
        <w:t>武汉经济技术开发区（汉南区）招商局</w:t>
      </w:r>
    </w:p>
    <w:p w14:paraId="7A2F43ED">
      <w:pPr>
        <w:spacing w:line="800" w:lineRule="exact"/>
        <w:ind w:right="-192" w:rightChars="-80" w:firstLine="1687" w:firstLineChars="600"/>
        <w:rPr>
          <w:rFonts w:hint="eastAsia" w:ascii="Arial Narrow" w:hAnsi="Arial Narrow" w:eastAsia="仿宋_GB2312" w:cs="Arial Narrow"/>
          <w:b/>
          <w:bCs/>
          <w:kern w:val="32"/>
          <w:sz w:val="30"/>
          <w:szCs w:val="30"/>
        </w:rPr>
      </w:pPr>
      <w:r>
        <w:rPr>
          <w:rFonts w:ascii="Arial Narrow" w:hAnsi="Arial Narrow" w:eastAsia="仿宋_GB2312" w:cs="Arial Narrow"/>
          <w:b/>
          <w:bCs/>
          <w:sz w:val="28"/>
          <w:szCs w:val="28"/>
        </w:rPr>
        <w:t>武汉经济技术开发区投资服务中心</w:t>
      </w:r>
    </w:p>
    <w:p w14:paraId="5912F115">
      <w:pPr>
        <w:spacing w:line="800" w:lineRule="exact"/>
        <w:ind w:right="-192" w:rightChars="-80"/>
        <w:rPr>
          <w:rFonts w:hint="eastAsia" w:ascii="Arial Narrow" w:hAnsi="Arial Narrow" w:eastAsia="仿宋_GB2312" w:cs="Arial Narrow"/>
          <w:b/>
          <w:bCs/>
          <w:kern w:val="32"/>
          <w:sz w:val="32"/>
        </w:rPr>
      </w:pPr>
      <w:r>
        <w:rPr>
          <w:rFonts w:ascii="Arial Narrow" w:hAnsi="Arial Narrow" w:eastAsia="仿宋_GB2312" w:cs="Arial Narrow"/>
          <w:b/>
          <w:bCs/>
          <w:kern w:val="32"/>
          <w:sz w:val="32"/>
        </w:rPr>
        <w:t>评价机构：</w:t>
      </w:r>
      <w:r>
        <w:rPr>
          <w:rFonts w:ascii="Arial Narrow" w:hAnsi="Arial Narrow" w:eastAsia="仿宋_GB2312" w:cs="Arial Narrow"/>
          <w:b/>
          <w:bCs/>
          <w:kern w:val="32"/>
          <w:sz w:val="30"/>
          <w:szCs w:val="30"/>
        </w:rPr>
        <w:t>致同会计师事务所（特殊普通合伙）武汉分所</w:t>
      </w:r>
    </w:p>
    <w:p w14:paraId="7177568D">
      <w:pPr>
        <w:ind w:firstLine="482"/>
        <w:jc w:val="center"/>
        <w:rPr>
          <w:rFonts w:hint="eastAsia" w:ascii="Arial Narrow" w:hAnsi="Arial Narrow" w:eastAsia="仿宋_GB2312" w:cs="Arial Narrow"/>
          <w:b/>
        </w:rPr>
      </w:pPr>
    </w:p>
    <w:p w14:paraId="5D156A6B">
      <w:pPr>
        <w:ind w:firstLine="482"/>
        <w:jc w:val="center"/>
        <w:rPr>
          <w:rFonts w:hint="eastAsia" w:ascii="Arial Narrow" w:hAnsi="Arial Narrow" w:eastAsia="仿宋_GB2312" w:cs="Arial Narrow"/>
          <w:b/>
        </w:rPr>
      </w:pPr>
    </w:p>
    <w:p w14:paraId="1811C836">
      <w:pPr>
        <w:rPr>
          <w:rFonts w:hint="eastAsia" w:ascii="Arial Narrow" w:hAnsi="Arial Narrow" w:eastAsia="仿宋_GB2312" w:cs="Arial Narrow"/>
          <w:b/>
        </w:rPr>
      </w:pPr>
    </w:p>
    <w:p w14:paraId="086626E8">
      <w:pPr>
        <w:rPr>
          <w:rFonts w:hint="eastAsia" w:ascii="Arial Narrow" w:hAnsi="Arial Narrow" w:eastAsia="仿宋_GB2312" w:cs="Arial Narrow"/>
          <w:b/>
        </w:rPr>
      </w:pPr>
    </w:p>
    <w:p w14:paraId="2B84A0E2">
      <w:pPr>
        <w:rPr>
          <w:rFonts w:hint="eastAsia" w:ascii="Arial Narrow" w:hAnsi="Arial Narrow" w:eastAsia="仿宋_GB2312" w:cs="Arial Narrow"/>
          <w:b/>
        </w:rPr>
      </w:pPr>
    </w:p>
    <w:p w14:paraId="5E000747">
      <w:pPr>
        <w:rPr>
          <w:rFonts w:hint="eastAsia" w:ascii="Arial Narrow" w:hAnsi="Arial Narrow" w:eastAsia="仿宋_GB2312" w:cs="Arial Narrow"/>
          <w:b/>
        </w:rPr>
      </w:pPr>
    </w:p>
    <w:p w14:paraId="39979737">
      <w:pPr>
        <w:spacing w:line="800" w:lineRule="exact"/>
        <w:jc w:val="center"/>
        <w:rPr>
          <w:rFonts w:hint="eastAsia" w:ascii="Arial Narrow" w:hAnsi="Arial Narrow" w:eastAsia="仿宋_GB2312" w:cs="Arial Narrow"/>
          <w:b/>
          <w:bCs/>
          <w:sz w:val="32"/>
          <w:szCs w:val="32"/>
        </w:rPr>
      </w:pPr>
      <w:r>
        <w:rPr>
          <w:rFonts w:ascii="Arial Narrow" w:hAnsi="Arial Narrow" w:eastAsia="仿宋_GB2312" w:cs="Arial Narrow"/>
          <w:b/>
          <w:bCs/>
          <w:sz w:val="32"/>
          <w:szCs w:val="32"/>
        </w:rPr>
        <w:t>二〇一九年七月</w:t>
      </w:r>
    </w:p>
    <w:p w14:paraId="76B1C946">
      <w:pPr>
        <w:rPr>
          <w:rFonts w:hint="eastAsia" w:ascii="Arial Narrow" w:hAnsi="Arial Narrow" w:eastAsia="仿宋_GB2312" w:cs="Arial Narrow"/>
          <w:b/>
        </w:rPr>
        <w:sectPr>
          <w:footerReference r:id="rId3" w:type="default"/>
          <w:pgSz w:w="11906" w:h="16838"/>
          <w:pgMar w:top="1440" w:right="1797" w:bottom="1440" w:left="1797" w:header="851" w:footer="992" w:gutter="0"/>
          <w:pgNumType w:start="1"/>
          <w:cols w:space="720" w:num="1"/>
          <w:docGrid w:type="lines" w:linePitch="326" w:charSpace="0"/>
        </w:sectPr>
      </w:pPr>
    </w:p>
    <w:p w14:paraId="5AE966C2">
      <w:pPr>
        <w:rPr>
          <w:rFonts w:hint="eastAsia" w:ascii="Arial Narrow" w:hAnsi="Arial Narrow" w:eastAsia="仿宋_GB2312" w:cs="Arial Narrow"/>
          <w:b/>
        </w:rPr>
      </w:pPr>
    </w:p>
    <w:p w14:paraId="4E217123">
      <w:pPr>
        <w:ind w:firstLine="482"/>
        <w:jc w:val="center"/>
        <w:rPr>
          <w:rFonts w:hint="eastAsia" w:ascii="Arial Narrow" w:hAnsi="Arial Narrow" w:eastAsia="仿宋_GB2312" w:cs="Arial Narrow"/>
          <w:b/>
        </w:rPr>
      </w:pPr>
    </w:p>
    <w:p w14:paraId="04A6D0D4">
      <w:pPr>
        <w:ind w:firstLine="482"/>
        <w:jc w:val="center"/>
        <w:rPr>
          <w:rFonts w:hint="eastAsia" w:ascii="Arial Narrow" w:hAnsi="Arial Narrow" w:eastAsia="仿宋_GB2312" w:cs="Arial Narrow"/>
          <w:b/>
        </w:rPr>
      </w:pPr>
    </w:p>
    <w:p w14:paraId="2D96A6CB">
      <w:pPr>
        <w:ind w:firstLine="482"/>
        <w:jc w:val="center"/>
        <w:rPr>
          <w:rFonts w:hint="eastAsia" w:ascii="Arial Narrow" w:hAnsi="Arial Narrow" w:eastAsia="仿宋_GB2312" w:cs="Arial Narrow"/>
          <w:b/>
        </w:rPr>
      </w:pPr>
      <w:r>
        <w:rPr>
          <w:rFonts w:ascii="Arial Narrow" w:hAnsi="Arial Narrow" w:eastAsia="仿宋_GB2312" w:cs="Arial Narrow"/>
          <w:b/>
        </w:rPr>
        <w:t>本次绩效评价结果</w:t>
      </w:r>
    </w:p>
    <w:p w14:paraId="1F874DE8">
      <w:pPr>
        <w:ind w:firstLine="482"/>
        <w:jc w:val="center"/>
        <w:rPr>
          <w:rFonts w:hint="eastAsia" w:ascii="Arial Narrow" w:hAnsi="Arial Narrow" w:eastAsia="仿宋_GB2312" w:cs="Arial Narrow"/>
          <w:b/>
        </w:rPr>
      </w:pPr>
    </w:p>
    <w:p w14:paraId="728E99F4">
      <w:pPr>
        <w:ind w:firstLine="482"/>
        <w:jc w:val="center"/>
        <w:rPr>
          <w:rFonts w:hint="eastAsia" w:ascii="Arial Narrow" w:hAnsi="Arial Narrow" w:eastAsia="仿宋_GB2312" w:cs="Arial Narrow"/>
          <w:b/>
        </w:rPr>
      </w:pPr>
    </w:p>
    <w:tbl>
      <w:tblPr>
        <w:tblStyle w:val="14"/>
        <w:tblW w:w="861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985"/>
        <w:gridCol w:w="2126"/>
        <w:gridCol w:w="2126"/>
      </w:tblGrid>
      <w:tr w14:paraId="48E9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2376" w:type="dxa"/>
            <w:tcBorders>
              <w:bottom w:val="single" w:color="008000" w:sz="6" w:space="0"/>
            </w:tcBorders>
            <w:vAlign w:val="center"/>
          </w:tcPr>
          <w:p w14:paraId="3BC9990A">
            <w:pPr>
              <w:ind w:firstLine="840" w:firstLineChars="350"/>
              <w:jc w:val="both"/>
              <w:rPr>
                <w:rFonts w:hint="eastAsia" w:ascii="Arial Narrow" w:hAnsi="Arial Narrow" w:eastAsia="仿宋_GB2312" w:cs="Arial Narrow"/>
              </w:rPr>
            </w:pPr>
            <w:r>
              <w:rPr>
                <w:rFonts w:ascii="Arial Narrow" w:hAnsi="Arial Narrow" w:eastAsia="仿宋_GB2312" w:cs="Arial Narrow"/>
              </w:rPr>
              <w:t>评价准则</w:t>
            </w:r>
          </w:p>
        </w:tc>
        <w:tc>
          <w:tcPr>
            <w:tcW w:w="1985" w:type="dxa"/>
            <w:tcBorders>
              <w:bottom w:val="single" w:color="008000" w:sz="6" w:space="0"/>
            </w:tcBorders>
            <w:vAlign w:val="center"/>
          </w:tcPr>
          <w:p w14:paraId="3982F703">
            <w:pPr>
              <w:ind w:firstLine="436" w:firstLineChars="182"/>
              <w:jc w:val="both"/>
              <w:rPr>
                <w:rFonts w:hint="eastAsia" w:ascii="Arial Narrow" w:hAnsi="Arial Narrow" w:eastAsia="仿宋_GB2312" w:cs="Arial Narrow"/>
              </w:rPr>
            </w:pPr>
            <w:r>
              <w:rPr>
                <w:rFonts w:ascii="Arial Narrow" w:hAnsi="Arial Narrow" w:eastAsia="仿宋_GB2312" w:cs="Arial Narrow"/>
              </w:rPr>
              <w:t>评价权重</w:t>
            </w:r>
          </w:p>
        </w:tc>
        <w:tc>
          <w:tcPr>
            <w:tcW w:w="2126" w:type="dxa"/>
            <w:tcBorders>
              <w:bottom w:val="single" w:color="008000" w:sz="6" w:space="0"/>
            </w:tcBorders>
            <w:vAlign w:val="center"/>
          </w:tcPr>
          <w:p w14:paraId="07837DAA">
            <w:pPr>
              <w:ind w:firstLine="436" w:firstLineChars="182"/>
              <w:jc w:val="both"/>
              <w:rPr>
                <w:rFonts w:hint="eastAsia" w:ascii="Arial Narrow" w:hAnsi="Arial Narrow" w:eastAsia="仿宋_GB2312" w:cs="Arial Narrow"/>
              </w:rPr>
            </w:pPr>
            <w:r>
              <w:rPr>
                <w:rFonts w:ascii="Arial Narrow" w:hAnsi="Arial Narrow" w:eastAsia="仿宋_GB2312" w:cs="Arial Narrow"/>
              </w:rPr>
              <w:t>评价得分</w:t>
            </w:r>
          </w:p>
        </w:tc>
        <w:tc>
          <w:tcPr>
            <w:tcW w:w="2126" w:type="dxa"/>
            <w:tcBorders>
              <w:bottom w:val="single" w:color="008000" w:sz="6" w:space="0"/>
            </w:tcBorders>
            <w:vAlign w:val="center"/>
          </w:tcPr>
          <w:p w14:paraId="363DD25F">
            <w:pPr>
              <w:ind w:firstLine="556" w:firstLineChars="232"/>
              <w:jc w:val="both"/>
              <w:rPr>
                <w:rFonts w:hint="eastAsia" w:ascii="Arial Narrow" w:hAnsi="Arial Narrow" w:eastAsia="仿宋_GB2312" w:cs="Arial Narrow"/>
              </w:rPr>
            </w:pPr>
            <w:r>
              <w:rPr>
                <w:rFonts w:ascii="Arial Narrow" w:hAnsi="Arial Narrow" w:eastAsia="仿宋_GB2312" w:cs="Arial Narrow"/>
              </w:rPr>
              <w:t>评价等级</w:t>
            </w:r>
          </w:p>
        </w:tc>
      </w:tr>
      <w:tr w14:paraId="2E34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2376" w:type="dxa"/>
            <w:vAlign w:val="center"/>
          </w:tcPr>
          <w:p w14:paraId="68240B6D">
            <w:pPr>
              <w:ind w:firstLine="960" w:firstLineChars="400"/>
              <w:jc w:val="both"/>
              <w:rPr>
                <w:rFonts w:hint="eastAsia" w:ascii="Arial Narrow" w:hAnsi="Arial Narrow" w:eastAsia="仿宋_GB2312" w:cs="Arial Narrow"/>
              </w:rPr>
            </w:pPr>
            <w:r>
              <w:rPr>
                <w:rFonts w:ascii="Arial Narrow" w:hAnsi="Arial Narrow" w:eastAsia="仿宋_GB2312" w:cs="Arial Narrow"/>
              </w:rPr>
              <w:t>投入</w:t>
            </w:r>
          </w:p>
        </w:tc>
        <w:tc>
          <w:tcPr>
            <w:tcW w:w="1985" w:type="dxa"/>
            <w:vAlign w:val="center"/>
          </w:tcPr>
          <w:p w14:paraId="27E32C3F">
            <w:pPr>
              <w:ind w:firstLine="676" w:firstLineChars="282"/>
              <w:jc w:val="both"/>
              <w:rPr>
                <w:rFonts w:hint="eastAsia" w:ascii="Arial Narrow" w:hAnsi="Arial Narrow" w:eastAsia="仿宋_GB2312" w:cs="Arial Narrow"/>
              </w:rPr>
            </w:pPr>
            <w:r>
              <w:rPr>
                <w:rFonts w:ascii="Arial Narrow" w:hAnsi="Arial Narrow" w:eastAsia="仿宋_GB2312" w:cs="Arial Narrow"/>
              </w:rPr>
              <w:t>16分</w:t>
            </w:r>
          </w:p>
        </w:tc>
        <w:tc>
          <w:tcPr>
            <w:tcW w:w="2126" w:type="dxa"/>
            <w:vAlign w:val="center"/>
          </w:tcPr>
          <w:p w14:paraId="1FB0A5D5">
            <w:pPr>
              <w:ind w:firstLine="676" w:firstLineChars="282"/>
              <w:jc w:val="both"/>
              <w:rPr>
                <w:rFonts w:hint="eastAsia" w:ascii="Arial Narrow" w:hAnsi="Arial Narrow" w:eastAsia="仿宋_GB2312" w:cs="Arial Narrow"/>
              </w:rPr>
            </w:pPr>
            <w:r>
              <w:rPr>
                <w:rFonts w:ascii="Arial Narrow" w:hAnsi="Arial Narrow" w:eastAsia="仿宋_GB2312" w:cs="Arial Narrow"/>
              </w:rPr>
              <w:t>13分</w:t>
            </w:r>
          </w:p>
        </w:tc>
        <w:tc>
          <w:tcPr>
            <w:tcW w:w="2126" w:type="dxa"/>
            <w:vAlign w:val="center"/>
          </w:tcPr>
          <w:p w14:paraId="5DA34DF5">
            <w:pPr>
              <w:ind w:firstLine="796" w:firstLineChars="332"/>
              <w:jc w:val="both"/>
              <w:rPr>
                <w:rFonts w:hint="eastAsia" w:ascii="Arial Narrow" w:hAnsi="Arial Narrow" w:eastAsia="仿宋_GB2312" w:cs="Arial Narrow"/>
              </w:rPr>
            </w:pPr>
            <w:r>
              <w:rPr>
                <w:rFonts w:ascii="Arial Narrow" w:hAnsi="Arial Narrow" w:eastAsia="仿宋_GB2312" w:cs="Arial Narrow"/>
              </w:rPr>
              <w:t>良（B）</w:t>
            </w:r>
          </w:p>
        </w:tc>
      </w:tr>
      <w:tr w14:paraId="4496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2376" w:type="dxa"/>
            <w:vAlign w:val="center"/>
          </w:tcPr>
          <w:p w14:paraId="58E57978">
            <w:pPr>
              <w:ind w:firstLine="960" w:firstLineChars="400"/>
              <w:jc w:val="both"/>
              <w:rPr>
                <w:rFonts w:hint="eastAsia" w:ascii="Arial Narrow" w:hAnsi="Arial Narrow" w:eastAsia="仿宋_GB2312" w:cs="Arial Narrow"/>
              </w:rPr>
            </w:pPr>
            <w:r>
              <w:rPr>
                <w:rFonts w:ascii="Arial Narrow" w:hAnsi="Arial Narrow" w:eastAsia="仿宋_GB2312" w:cs="Arial Narrow"/>
              </w:rPr>
              <w:t>过程</w:t>
            </w:r>
          </w:p>
        </w:tc>
        <w:tc>
          <w:tcPr>
            <w:tcW w:w="1985" w:type="dxa"/>
            <w:vAlign w:val="center"/>
          </w:tcPr>
          <w:p w14:paraId="4D94FDD5">
            <w:pPr>
              <w:ind w:firstLine="676" w:firstLineChars="282"/>
              <w:jc w:val="both"/>
              <w:rPr>
                <w:rFonts w:hint="eastAsia" w:ascii="Arial Narrow" w:hAnsi="Arial Narrow" w:eastAsia="仿宋_GB2312" w:cs="Arial Narrow"/>
              </w:rPr>
            </w:pPr>
            <w:r>
              <w:rPr>
                <w:rFonts w:ascii="Arial Narrow" w:hAnsi="Arial Narrow" w:eastAsia="仿宋_GB2312" w:cs="Arial Narrow"/>
              </w:rPr>
              <w:t>24分</w:t>
            </w:r>
          </w:p>
        </w:tc>
        <w:tc>
          <w:tcPr>
            <w:tcW w:w="2126" w:type="dxa"/>
            <w:vAlign w:val="center"/>
          </w:tcPr>
          <w:p w14:paraId="4F62D5DB">
            <w:pPr>
              <w:ind w:firstLine="676" w:firstLineChars="282"/>
              <w:jc w:val="both"/>
              <w:rPr>
                <w:rFonts w:hint="eastAsia" w:ascii="Arial Narrow" w:hAnsi="Arial Narrow" w:eastAsia="仿宋_GB2312" w:cs="Arial Narrow"/>
              </w:rPr>
            </w:pPr>
            <w:r>
              <w:rPr>
                <w:rFonts w:ascii="Arial Narrow" w:hAnsi="Arial Narrow" w:eastAsia="仿宋_GB2312" w:cs="Arial Narrow"/>
              </w:rPr>
              <w:t>2</w:t>
            </w:r>
            <w:r>
              <w:rPr>
                <w:rFonts w:hint="eastAsia" w:ascii="Arial Narrow" w:hAnsi="Arial Narrow" w:eastAsia="仿宋_GB2312" w:cs="Arial Narrow"/>
              </w:rPr>
              <w:t>4分</w:t>
            </w:r>
          </w:p>
        </w:tc>
        <w:tc>
          <w:tcPr>
            <w:tcW w:w="2126" w:type="dxa"/>
            <w:vAlign w:val="center"/>
          </w:tcPr>
          <w:p w14:paraId="137E0059">
            <w:pPr>
              <w:ind w:firstLine="796" w:firstLineChars="332"/>
              <w:jc w:val="both"/>
              <w:rPr>
                <w:rFonts w:hint="eastAsia" w:ascii="Arial Narrow" w:hAnsi="Arial Narrow" w:eastAsia="仿宋_GB2312" w:cs="Arial Narrow"/>
              </w:rPr>
            </w:pPr>
            <w:r>
              <w:rPr>
                <w:rFonts w:ascii="Arial Narrow" w:hAnsi="Arial Narrow" w:eastAsia="仿宋_GB2312" w:cs="Arial Narrow"/>
              </w:rPr>
              <w:t>优（A）</w:t>
            </w:r>
          </w:p>
        </w:tc>
      </w:tr>
      <w:tr w14:paraId="232C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2376" w:type="dxa"/>
            <w:vAlign w:val="center"/>
          </w:tcPr>
          <w:p w14:paraId="2EBF8E7C">
            <w:pPr>
              <w:ind w:firstLine="960" w:firstLineChars="400"/>
              <w:jc w:val="both"/>
              <w:rPr>
                <w:rFonts w:hint="eastAsia" w:ascii="Arial Narrow" w:hAnsi="Arial Narrow" w:eastAsia="仿宋_GB2312" w:cs="Arial Narrow"/>
              </w:rPr>
            </w:pPr>
            <w:r>
              <w:rPr>
                <w:rFonts w:ascii="Arial Narrow" w:hAnsi="Arial Narrow" w:eastAsia="仿宋_GB2312" w:cs="Arial Narrow"/>
              </w:rPr>
              <w:t>产出</w:t>
            </w:r>
          </w:p>
        </w:tc>
        <w:tc>
          <w:tcPr>
            <w:tcW w:w="1985" w:type="dxa"/>
            <w:vAlign w:val="center"/>
          </w:tcPr>
          <w:p w14:paraId="509208DD">
            <w:pPr>
              <w:ind w:firstLine="676" w:firstLineChars="282"/>
              <w:jc w:val="both"/>
              <w:rPr>
                <w:rFonts w:hint="eastAsia" w:ascii="Arial Narrow" w:hAnsi="Arial Narrow" w:eastAsia="仿宋_GB2312" w:cs="Arial Narrow"/>
              </w:rPr>
            </w:pPr>
            <w:r>
              <w:rPr>
                <w:rFonts w:ascii="Arial Narrow" w:hAnsi="Arial Narrow" w:eastAsia="仿宋_GB2312" w:cs="Arial Narrow"/>
              </w:rPr>
              <w:t>33分</w:t>
            </w:r>
          </w:p>
        </w:tc>
        <w:tc>
          <w:tcPr>
            <w:tcW w:w="2126" w:type="dxa"/>
            <w:vAlign w:val="center"/>
          </w:tcPr>
          <w:p w14:paraId="0D157EE3">
            <w:pPr>
              <w:ind w:firstLine="676" w:firstLineChars="282"/>
              <w:jc w:val="both"/>
              <w:rPr>
                <w:rFonts w:hint="eastAsia" w:ascii="Arial Narrow" w:hAnsi="Arial Narrow" w:eastAsia="仿宋_GB2312" w:cs="Arial Narrow"/>
              </w:rPr>
            </w:pPr>
            <w:r>
              <w:rPr>
                <w:rFonts w:ascii="Arial Narrow" w:hAnsi="Arial Narrow" w:eastAsia="仿宋_GB2312" w:cs="Arial Narrow"/>
              </w:rPr>
              <w:t>27.8分</w:t>
            </w:r>
          </w:p>
        </w:tc>
        <w:tc>
          <w:tcPr>
            <w:tcW w:w="2126" w:type="dxa"/>
            <w:vAlign w:val="center"/>
          </w:tcPr>
          <w:p w14:paraId="3C8EE90F">
            <w:pPr>
              <w:ind w:firstLine="796" w:firstLineChars="332"/>
              <w:jc w:val="both"/>
              <w:textAlignment w:val="top"/>
              <w:rPr>
                <w:rFonts w:hint="eastAsia" w:ascii="Arial Narrow" w:hAnsi="Arial Narrow" w:eastAsia="仿宋_GB2312" w:cs="Arial Narrow"/>
              </w:rPr>
            </w:pPr>
            <w:r>
              <w:rPr>
                <w:rFonts w:ascii="Arial Narrow" w:hAnsi="Arial Narrow" w:eastAsia="仿宋_GB2312" w:cs="Arial Narrow"/>
              </w:rPr>
              <w:t>良（B）</w:t>
            </w:r>
          </w:p>
        </w:tc>
      </w:tr>
      <w:tr w14:paraId="323C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2376" w:type="dxa"/>
            <w:vAlign w:val="center"/>
          </w:tcPr>
          <w:p w14:paraId="3E7732B9">
            <w:pPr>
              <w:ind w:firstLine="960" w:firstLineChars="400"/>
              <w:jc w:val="both"/>
              <w:rPr>
                <w:rFonts w:hint="eastAsia" w:ascii="Arial Narrow" w:hAnsi="Arial Narrow" w:eastAsia="仿宋_GB2312" w:cs="Arial Narrow"/>
              </w:rPr>
            </w:pPr>
            <w:r>
              <w:rPr>
                <w:rFonts w:ascii="Arial Narrow" w:hAnsi="Arial Narrow" w:eastAsia="仿宋_GB2312" w:cs="Arial Narrow"/>
              </w:rPr>
              <w:t>效果</w:t>
            </w:r>
          </w:p>
        </w:tc>
        <w:tc>
          <w:tcPr>
            <w:tcW w:w="1985" w:type="dxa"/>
            <w:vAlign w:val="center"/>
          </w:tcPr>
          <w:p w14:paraId="12EBD0CF">
            <w:pPr>
              <w:ind w:firstLine="676" w:firstLineChars="282"/>
              <w:jc w:val="both"/>
              <w:rPr>
                <w:rFonts w:hint="eastAsia" w:ascii="Arial Narrow" w:hAnsi="Arial Narrow" w:eastAsia="仿宋_GB2312" w:cs="Arial Narrow"/>
              </w:rPr>
            </w:pPr>
            <w:r>
              <w:rPr>
                <w:rFonts w:ascii="Arial Narrow" w:hAnsi="Arial Narrow" w:eastAsia="仿宋_GB2312" w:cs="Arial Narrow"/>
              </w:rPr>
              <w:t>27分</w:t>
            </w:r>
          </w:p>
        </w:tc>
        <w:tc>
          <w:tcPr>
            <w:tcW w:w="2126" w:type="dxa"/>
            <w:vAlign w:val="center"/>
          </w:tcPr>
          <w:p w14:paraId="73A96DCE">
            <w:pPr>
              <w:ind w:firstLine="676" w:firstLineChars="282"/>
              <w:jc w:val="both"/>
              <w:rPr>
                <w:rFonts w:hint="eastAsia" w:ascii="Arial Narrow" w:hAnsi="Arial Narrow" w:eastAsia="仿宋_GB2312" w:cs="Arial Narrow"/>
              </w:rPr>
            </w:pPr>
            <w:r>
              <w:rPr>
                <w:rFonts w:ascii="Arial Narrow" w:hAnsi="Arial Narrow" w:eastAsia="仿宋_GB2312" w:cs="Arial Narrow"/>
              </w:rPr>
              <w:t>25分</w:t>
            </w:r>
          </w:p>
        </w:tc>
        <w:tc>
          <w:tcPr>
            <w:tcW w:w="2126" w:type="dxa"/>
            <w:vAlign w:val="center"/>
          </w:tcPr>
          <w:p w14:paraId="59E10BAF">
            <w:pPr>
              <w:ind w:firstLine="796" w:firstLineChars="332"/>
              <w:jc w:val="both"/>
              <w:textAlignment w:val="top"/>
              <w:rPr>
                <w:rFonts w:hint="eastAsia" w:ascii="Arial Narrow" w:hAnsi="Arial Narrow" w:eastAsia="仿宋_GB2312" w:cs="Arial Narrow"/>
              </w:rPr>
            </w:pPr>
            <w:r>
              <w:rPr>
                <w:rFonts w:ascii="Arial Narrow" w:hAnsi="Arial Narrow" w:eastAsia="仿宋_GB2312" w:cs="Arial Narrow"/>
              </w:rPr>
              <w:t>优（A）</w:t>
            </w:r>
          </w:p>
        </w:tc>
      </w:tr>
      <w:tr w14:paraId="5090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2376" w:type="dxa"/>
            <w:vAlign w:val="center"/>
          </w:tcPr>
          <w:p w14:paraId="59C6D5B4">
            <w:pPr>
              <w:ind w:firstLine="676" w:firstLineChars="282"/>
              <w:jc w:val="both"/>
              <w:rPr>
                <w:rFonts w:hint="eastAsia" w:ascii="Arial Narrow" w:hAnsi="Arial Narrow" w:eastAsia="仿宋_GB2312" w:cs="Arial Narrow"/>
              </w:rPr>
            </w:pPr>
            <w:r>
              <w:rPr>
                <w:rFonts w:ascii="Arial Narrow" w:hAnsi="Arial Narrow" w:eastAsia="仿宋_GB2312" w:cs="Arial Narrow"/>
              </w:rPr>
              <w:t>综合绩效</w:t>
            </w:r>
          </w:p>
        </w:tc>
        <w:tc>
          <w:tcPr>
            <w:tcW w:w="1985" w:type="dxa"/>
            <w:vAlign w:val="center"/>
          </w:tcPr>
          <w:p w14:paraId="36FCA37D">
            <w:pPr>
              <w:ind w:firstLine="676" w:firstLineChars="282"/>
              <w:jc w:val="both"/>
              <w:rPr>
                <w:rFonts w:hint="eastAsia" w:ascii="Arial Narrow" w:hAnsi="Arial Narrow" w:eastAsia="仿宋_GB2312" w:cs="Arial Narrow"/>
              </w:rPr>
            </w:pPr>
            <w:r>
              <w:rPr>
                <w:rFonts w:ascii="Arial Narrow" w:hAnsi="Arial Narrow" w:eastAsia="仿宋_GB2312" w:cs="Arial Narrow"/>
              </w:rPr>
              <w:t>100分</w:t>
            </w:r>
          </w:p>
        </w:tc>
        <w:tc>
          <w:tcPr>
            <w:tcW w:w="2126" w:type="dxa"/>
            <w:vAlign w:val="center"/>
          </w:tcPr>
          <w:p w14:paraId="054190B6">
            <w:pPr>
              <w:ind w:firstLine="676" w:firstLineChars="282"/>
              <w:jc w:val="both"/>
              <w:rPr>
                <w:rFonts w:hint="eastAsia" w:ascii="Arial Narrow" w:hAnsi="Arial Narrow" w:eastAsia="仿宋_GB2312" w:cs="Arial Narrow"/>
              </w:rPr>
            </w:pPr>
            <w:r>
              <w:rPr>
                <w:rFonts w:hint="eastAsia" w:ascii="Arial Narrow" w:hAnsi="Arial Narrow" w:eastAsia="仿宋_GB2312" w:cs="Arial Narrow"/>
              </w:rPr>
              <w:t>89.8分</w:t>
            </w:r>
          </w:p>
        </w:tc>
        <w:tc>
          <w:tcPr>
            <w:tcW w:w="2126" w:type="dxa"/>
            <w:vAlign w:val="center"/>
          </w:tcPr>
          <w:p w14:paraId="0A093A45">
            <w:pPr>
              <w:ind w:firstLine="796" w:firstLineChars="332"/>
              <w:jc w:val="both"/>
              <w:textAlignment w:val="top"/>
              <w:rPr>
                <w:rFonts w:hint="eastAsia" w:ascii="Arial Narrow" w:hAnsi="Arial Narrow" w:eastAsia="仿宋_GB2312" w:cs="Arial Narrow"/>
              </w:rPr>
            </w:pPr>
            <w:r>
              <w:rPr>
                <w:rFonts w:ascii="Arial Narrow" w:hAnsi="Arial Narrow" w:eastAsia="仿宋_GB2312" w:cs="Arial Narrow"/>
              </w:rPr>
              <w:t>良（B）</w:t>
            </w:r>
          </w:p>
        </w:tc>
      </w:tr>
    </w:tbl>
    <w:p w14:paraId="34ED328B">
      <w:pPr>
        <w:ind w:firstLine="480"/>
        <w:rPr>
          <w:rFonts w:hint="eastAsia" w:ascii="Arial Narrow" w:hAnsi="Arial Narrow" w:eastAsia="仿宋_GB2312" w:cs="Arial Narrow"/>
        </w:rPr>
      </w:pPr>
    </w:p>
    <w:tbl>
      <w:tblPr>
        <w:tblStyle w:val="14"/>
        <w:tblW w:w="833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9"/>
      </w:tblGrid>
      <w:tr w14:paraId="2B52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339" w:type="dxa"/>
          </w:tcPr>
          <w:p w14:paraId="55C4940D">
            <w:pPr>
              <w:ind w:firstLine="480"/>
              <w:jc w:val="center"/>
              <w:rPr>
                <w:rFonts w:hint="eastAsia" w:ascii="Arial Narrow" w:hAnsi="Arial Narrow" w:eastAsia="仿宋_GB2312" w:cs="Arial Narrow"/>
              </w:rPr>
            </w:pPr>
          </w:p>
          <w:p w14:paraId="60F14E08">
            <w:pPr>
              <w:ind w:firstLine="480"/>
              <w:jc w:val="center"/>
              <w:rPr>
                <w:rFonts w:hint="eastAsia" w:ascii="Arial Narrow" w:hAnsi="Arial Narrow" w:eastAsia="仿宋_GB2312" w:cs="Arial Narrow"/>
              </w:rPr>
            </w:pPr>
            <w:r>
              <w:rPr>
                <w:rFonts w:ascii="Arial Narrow" w:hAnsi="Arial Narrow" w:eastAsia="仿宋_GB2312" w:cs="Arial Narrow"/>
              </w:rPr>
              <w:t>绩效评价工作组与项目实施无直接利益冲突</w:t>
            </w:r>
          </w:p>
        </w:tc>
      </w:tr>
    </w:tbl>
    <w:p w14:paraId="5F3EBB09">
      <w:pPr>
        <w:ind w:firstLine="482"/>
        <w:jc w:val="center"/>
        <w:rPr>
          <w:rFonts w:hint="eastAsia" w:ascii="Arial Narrow" w:hAnsi="Arial Narrow" w:eastAsia="仿宋_GB2312" w:cs="Arial Narrow"/>
          <w:b/>
        </w:rPr>
      </w:pPr>
    </w:p>
    <w:p w14:paraId="75B9E11A">
      <w:pPr>
        <w:ind w:firstLine="482"/>
        <w:jc w:val="center"/>
        <w:rPr>
          <w:rFonts w:hint="eastAsia" w:ascii="Arial Narrow" w:hAnsi="Arial Narrow" w:eastAsia="仿宋_GB2312" w:cs="Arial Narrow"/>
          <w:b/>
        </w:rPr>
      </w:pPr>
    </w:p>
    <w:p w14:paraId="0383CAD4">
      <w:pPr>
        <w:ind w:firstLine="482"/>
        <w:jc w:val="center"/>
        <w:rPr>
          <w:rFonts w:hint="eastAsia" w:ascii="Arial Narrow" w:hAnsi="Arial Narrow" w:eastAsia="仿宋_GB2312" w:cs="Arial Narrow"/>
          <w:b/>
        </w:rPr>
      </w:pPr>
    </w:p>
    <w:p w14:paraId="70296158">
      <w:pPr>
        <w:ind w:firstLine="482"/>
        <w:jc w:val="center"/>
        <w:rPr>
          <w:rFonts w:hint="eastAsia" w:ascii="Arial Narrow" w:hAnsi="Arial Narrow" w:eastAsia="仿宋_GB2312" w:cs="Arial Narrow"/>
          <w:b/>
        </w:rPr>
      </w:pPr>
    </w:p>
    <w:p w14:paraId="790F1208">
      <w:pPr>
        <w:ind w:firstLine="482"/>
        <w:jc w:val="center"/>
        <w:rPr>
          <w:rFonts w:hint="eastAsia" w:ascii="Arial Narrow" w:hAnsi="Arial Narrow" w:eastAsia="仿宋_GB2312" w:cs="Arial Narrow"/>
          <w:b/>
        </w:rPr>
      </w:pPr>
    </w:p>
    <w:p w14:paraId="0524BFD9">
      <w:pPr>
        <w:ind w:firstLine="482"/>
        <w:jc w:val="center"/>
        <w:rPr>
          <w:rFonts w:hint="eastAsia" w:ascii="Arial Narrow" w:hAnsi="Arial Narrow" w:eastAsia="仿宋_GB2312" w:cs="Arial Narrow"/>
          <w:b/>
        </w:rPr>
      </w:pPr>
    </w:p>
    <w:p w14:paraId="43366922">
      <w:pPr>
        <w:ind w:firstLine="482"/>
        <w:jc w:val="center"/>
        <w:rPr>
          <w:rFonts w:hint="eastAsia" w:ascii="Arial Narrow" w:hAnsi="Arial Narrow" w:eastAsia="仿宋_GB2312" w:cs="Arial Narrow"/>
          <w:b/>
        </w:rPr>
      </w:pPr>
    </w:p>
    <w:p w14:paraId="3A053EC7">
      <w:pPr>
        <w:ind w:firstLine="482"/>
        <w:jc w:val="center"/>
        <w:rPr>
          <w:rFonts w:hint="eastAsia" w:ascii="Arial Narrow" w:hAnsi="Arial Narrow" w:eastAsia="仿宋_GB2312" w:cs="Arial Narrow"/>
          <w:b/>
        </w:rPr>
      </w:pPr>
      <w:r>
        <w:rPr>
          <w:rFonts w:ascii="Arial Narrow" w:hAnsi="Arial Narrow" w:eastAsia="仿宋_GB2312" w:cs="Arial Narrow"/>
          <w:b/>
        </w:rPr>
        <w:t>评价工作组</w:t>
      </w:r>
    </w:p>
    <w:p w14:paraId="720C82E4">
      <w:pPr>
        <w:spacing w:line="360" w:lineRule="auto"/>
        <w:ind w:firstLine="482"/>
        <w:rPr>
          <w:rFonts w:hint="eastAsia" w:ascii="Arial Narrow" w:hAnsi="Arial Narrow" w:eastAsia="仿宋_GB2312" w:cs="Arial Narrow"/>
        </w:rPr>
      </w:pPr>
      <w:r>
        <w:rPr>
          <w:rFonts w:ascii="Arial Narrow" w:hAnsi="Arial Narrow" w:eastAsia="仿宋_GB2312" w:cs="Arial Narrow"/>
        </w:rPr>
        <w:t>组长：蒋中友、</w:t>
      </w:r>
      <w:r>
        <w:rPr>
          <w:rFonts w:hint="eastAsia" w:ascii="Arial Narrow" w:hAnsi="Arial Narrow" w:eastAsia="仿宋_GB2312" w:cs="Arial Narrow"/>
        </w:rPr>
        <w:t>杨溢</w:t>
      </w:r>
    </w:p>
    <w:p w14:paraId="13141133">
      <w:pPr>
        <w:spacing w:line="360" w:lineRule="auto"/>
        <w:ind w:firstLine="482"/>
        <w:rPr>
          <w:rFonts w:hint="eastAsia" w:ascii="Arial Narrow" w:hAnsi="Arial Narrow" w:eastAsia="仿宋_GB2312" w:cs="Arial Narrow"/>
        </w:rPr>
      </w:pPr>
      <w:r>
        <w:rPr>
          <w:rFonts w:ascii="Arial Narrow" w:hAnsi="Arial Narrow" w:eastAsia="仿宋_GB2312" w:cs="Arial Narrow"/>
        </w:rPr>
        <w:t>绩效评价专家：李海京</w:t>
      </w:r>
    </w:p>
    <w:p w14:paraId="79ABBF4F">
      <w:pPr>
        <w:spacing w:line="360" w:lineRule="auto"/>
        <w:ind w:firstLine="482"/>
        <w:rPr>
          <w:rFonts w:hint="eastAsia" w:ascii="Arial Narrow" w:hAnsi="Arial Narrow" w:eastAsia="仿宋_GB2312" w:cs="Arial Narrow"/>
        </w:rPr>
      </w:pPr>
      <w:r>
        <w:rPr>
          <w:rFonts w:ascii="Arial Narrow" w:hAnsi="Arial Narrow" w:eastAsia="仿宋_GB2312" w:cs="Arial Narrow"/>
        </w:rPr>
        <w:t>现场负责人：王星雨</w:t>
      </w:r>
    </w:p>
    <w:p w14:paraId="6399FA53">
      <w:pPr>
        <w:spacing w:line="360" w:lineRule="auto"/>
        <w:ind w:firstLine="482"/>
        <w:rPr>
          <w:rFonts w:hint="eastAsia" w:ascii="Arial Narrow" w:hAnsi="Arial Narrow" w:eastAsia="仿宋_GB2312" w:cs="Arial Narrow"/>
        </w:rPr>
      </w:pPr>
      <w:r>
        <w:rPr>
          <w:rFonts w:ascii="Arial Narrow" w:hAnsi="Arial Narrow" w:eastAsia="仿宋_GB2312" w:cs="Arial Narrow"/>
        </w:rPr>
        <w:t>绩效评价小组成员：陈爽、谭海艳、彭雪容</w:t>
      </w:r>
    </w:p>
    <w:p w14:paraId="6F8BA069">
      <w:pPr>
        <w:ind w:firstLine="482"/>
        <w:jc w:val="center"/>
        <w:rPr>
          <w:rFonts w:hint="eastAsia" w:ascii="Arial Narrow" w:hAnsi="Arial Narrow" w:eastAsia="仿宋_GB2312" w:cs="Arial Narrow"/>
          <w:b/>
        </w:rPr>
      </w:pPr>
    </w:p>
    <w:p w14:paraId="64CA5344">
      <w:pPr>
        <w:ind w:firstLine="482"/>
        <w:jc w:val="center"/>
        <w:rPr>
          <w:rFonts w:hint="eastAsia" w:ascii="Arial Narrow" w:hAnsi="Arial Narrow" w:eastAsia="仿宋_GB2312" w:cs="Arial Narrow"/>
          <w:b/>
        </w:rPr>
      </w:pPr>
    </w:p>
    <w:p w14:paraId="27E1ED02">
      <w:pPr>
        <w:ind w:firstLine="482"/>
        <w:jc w:val="center"/>
        <w:rPr>
          <w:rFonts w:hint="eastAsia" w:ascii="Arial Narrow" w:hAnsi="Arial Narrow" w:eastAsia="仿宋_GB2312" w:cs="Arial Narrow"/>
          <w:b/>
        </w:rPr>
      </w:pPr>
    </w:p>
    <w:p w14:paraId="0CC8D773">
      <w:pPr>
        <w:ind w:firstLine="482"/>
        <w:jc w:val="center"/>
        <w:rPr>
          <w:rFonts w:hint="eastAsia" w:ascii="Arial Narrow" w:hAnsi="Arial Narrow" w:eastAsia="仿宋_GB2312" w:cs="Arial Narrow"/>
          <w:b/>
        </w:rPr>
      </w:pPr>
    </w:p>
    <w:p w14:paraId="2109327A">
      <w:pPr>
        <w:ind w:firstLine="482"/>
        <w:jc w:val="center"/>
        <w:rPr>
          <w:rFonts w:hint="eastAsia" w:ascii="Arial Narrow" w:hAnsi="Arial Narrow" w:eastAsia="仿宋_GB2312" w:cs="Arial Narrow"/>
          <w:b/>
        </w:rPr>
      </w:pPr>
    </w:p>
    <w:p w14:paraId="0184F57C">
      <w:pPr>
        <w:ind w:firstLine="482"/>
        <w:jc w:val="center"/>
        <w:rPr>
          <w:rFonts w:hint="eastAsia" w:ascii="Arial Narrow" w:hAnsi="Arial Narrow" w:eastAsia="仿宋_GB2312" w:cs="Arial Narrow"/>
          <w:b/>
        </w:rPr>
      </w:pPr>
    </w:p>
    <w:p w14:paraId="6FE6B72C">
      <w:pPr>
        <w:rPr>
          <w:rFonts w:hint="eastAsia" w:ascii="Arial Narrow" w:hAnsi="Arial Narrow" w:eastAsia="仿宋_GB2312" w:cs="Arial Narrow"/>
          <w:b/>
        </w:rPr>
      </w:pPr>
    </w:p>
    <w:p w14:paraId="4E6B9831">
      <w:pPr>
        <w:rPr>
          <w:rFonts w:hint="eastAsia" w:ascii="Arial Narrow" w:hAnsi="Arial Narrow" w:eastAsia="仿宋_GB2312" w:cs="Arial Narrow"/>
          <w:b/>
        </w:rPr>
      </w:pPr>
    </w:p>
    <w:p w14:paraId="0F9E11F9">
      <w:pPr>
        <w:pStyle w:val="27"/>
        <w:rPr>
          <w:rFonts w:hint="eastAsia" w:ascii="Arial Narrow" w:hAnsi="Arial Narrow" w:cs="Arial Narrow"/>
        </w:rPr>
      </w:pPr>
      <w:r>
        <w:rPr>
          <w:rFonts w:ascii="Arial Narrow" w:hAnsi="Arial Narrow" w:cs="Arial Narrow"/>
        </w:rPr>
        <w:t>目  录</w:t>
      </w:r>
    </w:p>
    <w:p w14:paraId="4CE6D186">
      <w:pPr>
        <w:pStyle w:val="11"/>
        <w:tabs>
          <w:tab w:val="right" w:leader="dot" w:pos="8302"/>
        </w:tabs>
        <w:rPr>
          <w:rFonts w:asciiTheme="minorHAnsi" w:hAnsiTheme="minorHAnsi" w:eastAsiaTheme="minorEastAsia" w:cstheme="minorBidi"/>
          <w:kern w:val="2"/>
          <w:sz w:val="21"/>
          <w:szCs w:val="22"/>
        </w:rPr>
      </w:pPr>
      <w:r>
        <w:rPr>
          <w:rFonts w:ascii="Arial Narrow" w:hAnsi="Arial Narrow" w:eastAsia="仿宋_GB2312" w:cs="Arial Narrow"/>
          <w:b/>
        </w:rPr>
        <w:fldChar w:fldCharType="begin"/>
      </w:r>
      <w:r>
        <w:rPr>
          <w:rFonts w:ascii="Arial Narrow" w:hAnsi="Arial Narrow" w:eastAsia="仿宋_GB2312" w:cs="Arial Narrow"/>
          <w:b/>
        </w:rPr>
        <w:instrText xml:space="preserve"> TOC \o "1-3" \h \z \u </w:instrText>
      </w:r>
      <w:r>
        <w:rPr>
          <w:rFonts w:ascii="Arial Narrow" w:hAnsi="Arial Narrow" w:eastAsia="仿宋_GB2312" w:cs="Arial Narrow"/>
          <w:b/>
        </w:rPr>
        <w:fldChar w:fldCharType="separate"/>
      </w:r>
      <w:r>
        <w:fldChar w:fldCharType="begin"/>
      </w:r>
      <w:r>
        <w:instrText xml:space="preserve"> HYPERLINK \l "_Toc16149908" </w:instrText>
      </w:r>
      <w:r>
        <w:fldChar w:fldCharType="separate"/>
      </w:r>
      <w:r>
        <w:rPr>
          <w:rStyle w:val="16"/>
          <w:rFonts w:hint="eastAsia" w:ascii="Arial Narrow" w:hAnsi="Arial Narrow" w:eastAsia="仿宋_GB2312" w:cs="Arial Narrow"/>
          <w:bCs/>
        </w:rPr>
        <w:t>一、</w:t>
      </w:r>
      <w:r>
        <w:rPr>
          <w:rStyle w:val="16"/>
          <w:rFonts w:hint="eastAsia" w:ascii="Arial Narrow" w:hAnsi="Arial Narrow" w:eastAsia="仿宋_GB2312" w:cs="Arial Narrow"/>
        </w:rPr>
        <w:t>摘要</w:t>
      </w:r>
      <w:r>
        <w:tab/>
      </w:r>
      <w:r>
        <w:fldChar w:fldCharType="begin"/>
      </w:r>
      <w:r>
        <w:instrText xml:space="preserve"> PAGEREF _Toc16149908 \h </w:instrText>
      </w:r>
      <w:r>
        <w:fldChar w:fldCharType="separate"/>
      </w:r>
      <w:r>
        <w:t>2</w:t>
      </w:r>
      <w:r>
        <w:fldChar w:fldCharType="end"/>
      </w:r>
      <w:r>
        <w:fldChar w:fldCharType="end"/>
      </w:r>
    </w:p>
    <w:p w14:paraId="1E0313E5">
      <w:pPr>
        <w:pStyle w:val="12"/>
        <w:tabs>
          <w:tab w:val="right" w:leader="dot" w:pos="8302"/>
        </w:tabs>
        <w:ind w:left="480"/>
        <w:rPr>
          <w:rFonts w:asciiTheme="minorHAnsi" w:hAnsiTheme="minorHAnsi" w:eastAsiaTheme="minorEastAsia" w:cstheme="minorBidi"/>
          <w:kern w:val="2"/>
          <w:sz w:val="21"/>
          <w:szCs w:val="22"/>
        </w:rPr>
      </w:pPr>
      <w:r>
        <w:fldChar w:fldCharType="begin"/>
      </w:r>
      <w:r>
        <w:instrText xml:space="preserve"> HYPERLINK \l "_Toc16149909" </w:instrText>
      </w:r>
      <w:r>
        <w:fldChar w:fldCharType="separate"/>
      </w:r>
      <w:r>
        <w:rPr>
          <w:rStyle w:val="16"/>
          <w:rFonts w:hint="eastAsia" w:ascii="Arial Narrow" w:hAnsi="Arial Narrow" w:eastAsia="仿宋_GB2312" w:cs="Arial Narrow"/>
        </w:rPr>
        <w:t>（一）基本情况</w:t>
      </w:r>
      <w:r>
        <w:tab/>
      </w:r>
      <w:r>
        <w:fldChar w:fldCharType="begin"/>
      </w:r>
      <w:r>
        <w:instrText xml:space="preserve"> PAGEREF _Toc16149909 \h </w:instrText>
      </w:r>
      <w:r>
        <w:fldChar w:fldCharType="separate"/>
      </w:r>
      <w:r>
        <w:t>2</w:t>
      </w:r>
      <w:r>
        <w:fldChar w:fldCharType="end"/>
      </w:r>
      <w:r>
        <w:fldChar w:fldCharType="end"/>
      </w:r>
    </w:p>
    <w:p w14:paraId="2C117393">
      <w:pPr>
        <w:pStyle w:val="12"/>
        <w:tabs>
          <w:tab w:val="right" w:leader="dot" w:pos="8302"/>
        </w:tabs>
        <w:ind w:left="480"/>
        <w:rPr>
          <w:rFonts w:asciiTheme="minorHAnsi" w:hAnsiTheme="minorHAnsi" w:eastAsiaTheme="minorEastAsia" w:cstheme="minorBidi"/>
          <w:kern w:val="2"/>
          <w:sz w:val="21"/>
          <w:szCs w:val="22"/>
        </w:rPr>
      </w:pPr>
      <w:r>
        <w:fldChar w:fldCharType="begin"/>
      </w:r>
      <w:r>
        <w:instrText xml:space="preserve"> HYPERLINK \l "_Toc16149910" </w:instrText>
      </w:r>
      <w:r>
        <w:fldChar w:fldCharType="separate"/>
      </w:r>
      <w:r>
        <w:rPr>
          <w:rStyle w:val="16"/>
          <w:rFonts w:hint="eastAsia" w:ascii="Arial Narrow" w:hAnsi="Arial Narrow" w:eastAsia="仿宋_GB2312" w:cs="Arial Narrow"/>
        </w:rPr>
        <w:t>（二）绩效评价结论</w:t>
      </w:r>
      <w:r>
        <w:tab/>
      </w:r>
      <w:r>
        <w:fldChar w:fldCharType="begin"/>
      </w:r>
      <w:r>
        <w:instrText xml:space="preserve"> PAGEREF _Toc16149910 \h </w:instrText>
      </w:r>
      <w:r>
        <w:fldChar w:fldCharType="separate"/>
      </w:r>
      <w:r>
        <w:t>2</w:t>
      </w:r>
      <w:r>
        <w:fldChar w:fldCharType="end"/>
      </w:r>
      <w:r>
        <w:fldChar w:fldCharType="end"/>
      </w:r>
    </w:p>
    <w:p w14:paraId="4CA599F2">
      <w:pPr>
        <w:pStyle w:val="12"/>
        <w:tabs>
          <w:tab w:val="right" w:leader="dot" w:pos="8302"/>
        </w:tabs>
        <w:ind w:left="480"/>
        <w:rPr>
          <w:rFonts w:asciiTheme="minorHAnsi" w:hAnsiTheme="minorHAnsi" w:eastAsiaTheme="minorEastAsia" w:cstheme="minorBidi"/>
          <w:kern w:val="2"/>
          <w:sz w:val="21"/>
          <w:szCs w:val="22"/>
        </w:rPr>
      </w:pPr>
      <w:r>
        <w:fldChar w:fldCharType="begin"/>
      </w:r>
      <w:r>
        <w:instrText xml:space="preserve"> HYPERLINK \l "_Toc16149911" </w:instrText>
      </w:r>
      <w:r>
        <w:fldChar w:fldCharType="separate"/>
      </w:r>
      <w:r>
        <w:rPr>
          <w:rStyle w:val="16"/>
          <w:rFonts w:hint="eastAsia" w:ascii="Arial Narrow" w:hAnsi="Arial Narrow" w:eastAsia="仿宋_GB2312" w:cs="Arial Narrow"/>
        </w:rPr>
        <w:t>（三）主要经验与问题</w:t>
      </w:r>
      <w:r>
        <w:tab/>
      </w:r>
      <w:r>
        <w:fldChar w:fldCharType="begin"/>
      </w:r>
      <w:r>
        <w:instrText xml:space="preserve"> PAGEREF _Toc16149911 \h </w:instrText>
      </w:r>
      <w:r>
        <w:fldChar w:fldCharType="separate"/>
      </w:r>
      <w:r>
        <w:t>4</w:t>
      </w:r>
      <w:r>
        <w:fldChar w:fldCharType="end"/>
      </w:r>
      <w:r>
        <w:fldChar w:fldCharType="end"/>
      </w:r>
    </w:p>
    <w:p w14:paraId="5C3FDA06">
      <w:pPr>
        <w:pStyle w:val="12"/>
        <w:tabs>
          <w:tab w:val="right" w:leader="dot" w:pos="8302"/>
        </w:tabs>
        <w:ind w:left="480"/>
        <w:rPr>
          <w:rFonts w:asciiTheme="minorHAnsi" w:hAnsiTheme="minorHAnsi" w:eastAsiaTheme="minorEastAsia" w:cstheme="minorBidi"/>
          <w:kern w:val="2"/>
          <w:sz w:val="21"/>
          <w:szCs w:val="22"/>
        </w:rPr>
      </w:pPr>
      <w:r>
        <w:fldChar w:fldCharType="begin"/>
      </w:r>
      <w:r>
        <w:instrText xml:space="preserve"> HYPERLINK \l "_Toc16149912" </w:instrText>
      </w:r>
      <w:r>
        <w:fldChar w:fldCharType="separate"/>
      </w:r>
      <w:r>
        <w:rPr>
          <w:rStyle w:val="16"/>
          <w:rFonts w:hint="eastAsia" w:ascii="Arial Narrow" w:hAnsi="Arial Narrow" w:eastAsia="仿宋_GB2312" w:cs="Arial Narrow"/>
        </w:rPr>
        <w:t>（四）建议</w:t>
      </w:r>
      <w:r>
        <w:tab/>
      </w:r>
      <w:r>
        <w:fldChar w:fldCharType="begin"/>
      </w:r>
      <w:r>
        <w:instrText xml:space="preserve"> PAGEREF _Toc16149912 \h </w:instrText>
      </w:r>
      <w:r>
        <w:fldChar w:fldCharType="separate"/>
      </w:r>
      <w:r>
        <w:t>5</w:t>
      </w:r>
      <w:r>
        <w:fldChar w:fldCharType="end"/>
      </w:r>
      <w:r>
        <w:fldChar w:fldCharType="end"/>
      </w:r>
    </w:p>
    <w:p w14:paraId="72A49276">
      <w:pPr>
        <w:pStyle w:val="11"/>
        <w:tabs>
          <w:tab w:val="right" w:leader="dot" w:pos="8302"/>
        </w:tabs>
        <w:rPr>
          <w:rFonts w:asciiTheme="minorHAnsi" w:hAnsiTheme="minorHAnsi" w:eastAsiaTheme="minorEastAsia" w:cstheme="minorBidi"/>
          <w:kern w:val="2"/>
          <w:sz w:val="21"/>
          <w:szCs w:val="22"/>
        </w:rPr>
      </w:pPr>
      <w:r>
        <w:fldChar w:fldCharType="begin"/>
      </w:r>
      <w:r>
        <w:instrText xml:space="preserve"> HYPERLINK \l "_Toc16149913" </w:instrText>
      </w:r>
      <w:r>
        <w:fldChar w:fldCharType="separate"/>
      </w:r>
      <w:r>
        <w:rPr>
          <w:rStyle w:val="16"/>
          <w:rFonts w:hint="eastAsia" w:ascii="Arial Narrow" w:hAnsi="Arial Narrow" w:eastAsia="仿宋_GB2312" w:cs="Arial Narrow"/>
        </w:rPr>
        <w:t>二、正文</w:t>
      </w:r>
      <w:r>
        <w:tab/>
      </w:r>
      <w:r>
        <w:fldChar w:fldCharType="begin"/>
      </w:r>
      <w:r>
        <w:instrText xml:space="preserve"> PAGEREF _Toc16149913 \h </w:instrText>
      </w:r>
      <w:r>
        <w:fldChar w:fldCharType="separate"/>
      </w:r>
      <w:r>
        <w:t>5</w:t>
      </w:r>
      <w:r>
        <w:fldChar w:fldCharType="end"/>
      </w:r>
      <w:r>
        <w:fldChar w:fldCharType="end"/>
      </w:r>
    </w:p>
    <w:p w14:paraId="77403B4C">
      <w:pPr>
        <w:pStyle w:val="12"/>
        <w:tabs>
          <w:tab w:val="right" w:leader="dot" w:pos="8302"/>
        </w:tabs>
        <w:ind w:left="480"/>
        <w:rPr>
          <w:rFonts w:asciiTheme="minorHAnsi" w:hAnsiTheme="minorHAnsi" w:eastAsiaTheme="minorEastAsia" w:cstheme="minorBidi"/>
          <w:kern w:val="2"/>
          <w:sz w:val="21"/>
          <w:szCs w:val="22"/>
        </w:rPr>
      </w:pPr>
      <w:r>
        <w:fldChar w:fldCharType="begin"/>
      </w:r>
      <w:r>
        <w:instrText xml:space="preserve"> HYPERLINK \l "_Toc16149914" </w:instrText>
      </w:r>
      <w:r>
        <w:fldChar w:fldCharType="separate"/>
      </w:r>
      <w:r>
        <w:rPr>
          <w:rStyle w:val="16"/>
          <w:rFonts w:hint="eastAsia" w:ascii="Arial Narrow" w:hAnsi="Arial Narrow" w:eastAsia="仿宋_GB2312" w:cs="Arial Narrow"/>
        </w:rPr>
        <w:t>（一）项目基本情况</w:t>
      </w:r>
      <w:r>
        <w:tab/>
      </w:r>
      <w:r>
        <w:fldChar w:fldCharType="begin"/>
      </w:r>
      <w:r>
        <w:instrText xml:space="preserve"> PAGEREF _Toc16149914 \h </w:instrText>
      </w:r>
      <w:r>
        <w:fldChar w:fldCharType="separate"/>
      </w:r>
      <w:r>
        <w:t>5</w:t>
      </w:r>
      <w:r>
        <w:fldChar w:fldCharType="end"/>
      </w:r>
      <w:r>
        <w:fldChar w:fldCharType="end"/>
      </w:r>
    </w:p>
    <w:p w14:paraId="7FBE7350">
      <w:pPr>
        <w:pStyle w:val="7"/>
        <w:tabs>
          <w:tab w:val="right" w:leader="dot" w:pos="8302"/>
        </w:tabs>
        <w:ind w:left="960"/>
        <w:rPr>
          <w:rFonts w:asciiTheme="minorHAnsi" w:hAnsiTheme="minorHAnsi" w:eastAsiaTheme="minorEastAsia" w:cstheme="minorBidi"/>
          <w:kern w:val="2"/>
          <w:sz w:val="21"/>
          <w:szCs w:val="22"/>
        </w:rPr>
      </w:pPr>
      <w:r>
        <w:fldChar w:fldCharType="begin"/>
      </w:r>
      <w:r>
        <w:instrText xml:space="preserve"> HYPERLINK \l "_Toc16149915" </w:instrText>
      </w:r>
      <w:r>
        <w:fldChar w:fldCharType="separate"/>
      </w:r>
      <w:r>
        <w:rPr>
          <w:rStyle w:val="16"/>
          <w:rFonts w:ascii="Arial Narrow" w:hAnsi="Arial Narrow" w:eastAsia="仿宋_GB2312" w:cs="Arial Narrow"/>
        </w:rPr>
        <w:t>1</w:t>
      </w:r>
      <w:r>
        <w:rPr>
          <w:rStyle w:val="16"/>
          <w:rFonts w:hint="eastAsia" w:ascii="Arial Narrow" w:hAnsi="Arial Narrow" w:eastAsia="仿宋_GB2312" w:cs="Arial Narrow"/>
        </w:rPr>
        <w:t>、项目立项背景及依据</w:t>
      </w:r>
      <w:r>
        <w:tab/>
      </w:r>
      <w:r>
        <w:fldChar w:fldCharType="begin"/>
      </w:r>
      <w:r>
        <w:instrText xml:space="preserve"> PAGEREF _Toc16149915 \h </w:instrText>
      </w:r>
      <w:r>
        <w:fldChar w:fldCharType="separate"/>
      </w:r>
      <w:r>
        <w:t>5</w:t>
      </w:r>
      <w:r>
        <w:fldChar w:fldCharType="end"/>
      </w:r>
      <w:r>
        <w:fldChar w:fldCharType="end"/>
      </w:r>
    </w:p>
    <w:p w14:paraId="2B8DA5CF">
      <w:pPr>
        <w:pStyle w:val="7"/>
        <w:tabs>
          <w:tab w:val="right" w:leader="dot" w:pos="8302"/>
        </w:tabs>
        <w:ind w:left="960"/>
        <w:rPr>
          <w:rFonts w:asciiTheme="minorHAnsi" w:hAnsiTheme="minorHAnsi" w:eastAsiaTheme="minorEastAsia" w:cstheme="minorBidi"/>
          <w:kern w:val="2"/>
          <w:sz w:val="21"/>
          <w:szCs w:val="22"/>
        </w:rPr>
      </w:pPr>
      <w:r>
        <w:fldChar w:fldCharType="begin"/>
      </w:r>
      <w:r>
        <w:instrText xml:space="preserve"> HYPERLINK \l "_Toc16149916" </w:instrText>
      </w:r>
      <w:r>
        <w:fldChar w:fldCharType="separate"/>
      </w:r>
      <w:r>
        <w:rPr>
          <w:rStyle w:val="16"/>
          <w:rFonts w:ascii="Arial Narrow" w:hAnsi="Arial Narrow" w:eastAsia="仿宋_GB2312" w:cs="Arial Narrow"/>
        </w:rPr>
        <w:t>2</w:t>
      </w:r>
      <w:r>
        <w:rPr>
          <w:rStyle w:val="16"/>
          <w:rFonts w:hint="eastAsia" w:ascii="Arial Narrow" w:hAnsi="Arial Narrow" w:eastAsia="仿宋_GB2312" w:cs="Arial Narrow"/>
        </w:rPr>
        <w:t>、项目绩效目标</w:t>
      </w:r>
      <w:r>
        <w:tab/>
      </w:r>
      <w:r>
        <w:fldChar w:fldCharType="begin"/>
      </w:r>
      <w:r>
        <w:instrText xml:space="preserve"> PAGEREF _Toc16149916 \h </w:instrText>
      </w:r>
      <w:r>
        <w:fldChar w:fldCharType="separate"/>
      </w:r>
      <w:r>
        <w:t>6</w:t>
      </w:r>
      <w:r>
        <w:fldChar w:fldCharType="end"/>
      </w:r>
      <w:r>
        <w:fldChar w:fldCharType="end"/>
      </w:r>
    </w:p>
    <w:p w14:paraId="2B0AB3AE">
      <w:pPr>
        <w:pStyle w:val="7"/>
        <w:tabs>
          <w:tab w:val="right" w:leader="dot" w:pos="8302"/>
        </w:tabs>
        <w:ind w:left="960"/>
        <w:rPr>
          <w:rFonts w:asciiTheme="minorHAnsi" w:hAnsiTheme="minorHAnsi" w:eastAsiaTheme="minorEastAsia" w:cstheme="minorBidi"/>
          <w:kern w:val="2"/>
          <w:sz w:val="21"/>
          <w:szCs w:val="22"/>
        </w:rPr>
      </w:pPr>
      <w:r>
        <w:fldChar w:fldCharType="begin"/>
      </w:r>
      <w:r>
        <w:instrText xml:space="preserve"> HYPERLINK \l "_Toc16149917" </w:instrText>
      </w:r>
      <w:r>
        <w:fldChar w:fldCharType="separate"/>
      </w:r>
      <w:r>
        <w:rPr>
          <w:rStyle w:val="16"/>
          <w:rFonts w:ascii="Arial Narrow" w:hAnsi="Arial Narrow" w:eastAsia="仿宋_GB2312" w:cs="Arial Narrow"/>
        </w:rPr>
        <w:t>3</w:t>
      </w:r>
      <w:r>
        <w:rPr>
          <w:rStyle w:val="16"/>
          <w:rFonts w:hint="eastAsia" w:ascii="Arial Narrow" w:hAnsi="Arial Narrow" w:eastAsia="仿宋_GB2312" w:cs="Arial Narrow"/>
        </w:rPr>
        <w:t>、项目预算资金情况和实际使用情况</w:t>
      </w:r>
      <w:r>
        <w:tab/>
      </w:r>
      <w:r>
        <w:fldChar w:fldCharType="begin"/>
      </w:r>
      <w:r>
        <w:instrText xml:space="preserve"> PAGEREF _Toc16149917 \h </w:instrText>
      </w:r>
      <w:r>
        <w:fldChar w:fldCharType="separate"/>
      </w:r>
      <w:r>
        <w:t>7</w:t>
      </w:r>
      <w:r>
        <w:fldChar w:fldCharType="end"/>
      </w:r>
      <w:r>
        <w:fldChar w:fldCharType="end"/>
      </w:r>
    </w:p>
    <w:p w14:paraId="243AE932">
      <w:pPr>
        <w:pStyle w:val="7"/>
        <w:tabs>
          <w:tab w:val="right" w:leader="dot" w:pos="8302"/>
        </w:tabs>
        <w:ind w:left="960"/>
        <w:rPr>
          <w:rFonts w:asciiTheme="minorHAnsi" w:hAnsiTheme="minorHAnsi" w:eastAsiaTheme="minorEastAsia" w:cstheme="minorBidi"/>
          <w:kern w:val="2"/>
          <w:sz w:val="21"/>
          <w:szCs w:val="22"/>
        </w:rPr>
      </w:pPr>
      <w:r>
        <w:fldChar w:fldCharType="begin"/>
      </w:r>
      <w:r>
        <w:instrText xml:space="preserve"> HYPERLINK \l "_Toc16149918" </w:instrText>
      </w:r>
      <w:r>
        <w:fldChar w:fldCharType="separate"/>
      </w:r>
      <w:r>
        <w:rPr>
          <w:rStyle w:val="16"/>
          <w:rFonts w:ascii="Arial Narrow" w:hAnsi="Arial Narrow" w:eastAsia="仿宋_GB2312" w:cs="Arial Narrow"/>
        </w:rPr>
        <w:t>4</w:t>
      </w:r>
      <w:r>
        <w:rPr>
          <w:rStyle w:val="16"/>
          <w:rFonts w:hint="eastAsia" w:ascii="Arial Narrow" w:hAnsi="Arial Narrow" w:eastAsia="仿宋_GB2312" w:cs="Arial Narrow"/>
        </w:rPr>
        <w:t>、项目实施情况</w:t>
      </w:r>
      <w:r>
        <w:tab/>
      </w:r>
      <w:r>
        <w:fldChar w:fldCharType="begin"/>
      </w:r>
      <w:r>
        <w:instrText xml:space="preserve"> PAGEREF _Toc16149918 \h </w:instrText>
      </w:r>
      <w:r>
        <w:fldChar w:fldCharType="separate"/>
      </w:r>
      <w:r>
        <w:t>7</w:t>
      </w:r>
      <w:r>
        <w:fldChar w:fldCharType="end"/>
      </w:r>
      <w:r>
        <w:fldChar w:fldCharType="end"/>
      </w:r>
    </w:p>
    <w:p w14:paraId="6E275F7E">
      <w:pPr>
        <w:pStyle w:val="12"/>
        <w:tabs>
          <w:tab w:val="right" w:leader="dot" w:pos="8302"/>
        </w:tabs>
        <w:ind w:left="480"/>
        <w:rPr>
          <w:rFonts w:asciiTheme="minorHAnsi" w:hAnsiTheme="minorHAnsi" w:eastAsiaTheme="minorEastAsia" w:cstheme="minorBidi"/>
          <w:kern w:val="2"/>
          <w:sz w:val="21"/>
          <w:szCs w:val="22"/>
        </w:rPr>
      </w:pPr>
      <w:r>
        <w:fldChar w:fldCharType="begin"/>
      </w:r>
      <w:r>
        <w:instrText xml:space="preserve"> HYPERLINK \l "_Toc16149919" </w:instrText>
      </w:r>
      <w:r>
        <w:fldChar w:fldCharType="separate"/>
      </w:r>
      <w:r>
        <w:rPr>
          <w:rStyle w:val="16"/>
          <w:rFonts w:hint="eastAsia" w:ascii="Arial Narrow" w:hAnsi="Arial Narrow" w:eastAsia="仿宋_GB2312" w:cs="Arial Narrow"/>
        </w:rPr>
        <w:t>（二）绩效评价工作情况</w:t>
      </w:r>
      <w:r>
        <w:tab/>
      </w:r>
      <w:r>
        <w:fldChar w:fldCharType="begin"/>
      </w:r>
      <w:r>
        <w:instrText xml:space="preserve"> PAGEREF _Toc16149919 \h </w:instrText>
      </w:r>
      <w:r>
        <w:fldChar w:fldCharType="separate"/>
      </w:r>
      <w:r>
        <w:t>7</w:t>
      </w:r>
      <w:r>
        <w:fldChar w:fldCharType="end"/>
      </w:r>
      <w:r>
        <w:fldChar w:fldCharType="end"/>
      </w:r>
    </w:p>
    <w:p w14:paraId="0DDAB168">
      <w:pPr>
        <w:pStyle w:val="7"/>
        <w:tabs>
          <w:tab w:val="right" w:leader="dot" w:pos="8302"/>
        </w:tabs>
        <w:ind w:left="960"/>
        <w:rPr>
          <w:rFonts w:asciiTheme="minorHAnsi" w:hAnsiTheme="minorHAnsi" w:eastAsiaTheme="minorEastAsia" w:cstheme="minorBidi"/>
          <w:kern w:val="2"/>
          <w:sz w:val="21"/>
          <w:szCs w:val="22"/>
        </w:rPr>
      </w:pPr>
      <w:r>
        <w:fldChar w:fldCharType="begin"/>
      </w:r>
      <w:r>
        <w:instrText xml:space="preserve"> HYPERLINK \l "_Toc16149920" </w:instrText>
      </w:r>
      <w:r>
        <w:fldChar w:fldCharType="separate"/>
      </w:r>
      <w:r>
        <w:rPr>
          <w:rStyle w:val="16"/>
          <w:rFonts w:ascii="Arial Narrow" w:hAnsi="Arial Narrow" w:eastAsia="仿宋_GB2312" w:cs="Arial Narrow"/>
        </w:rPr>
        <w:t>1</w:t>
      </w:r>
      <w:r>
        <w:rPr>
          <w:rStyle w:val="16"/>
          <w:rFonts w:hint="eastAsia" w:ascii="Arial Narrow" w:hAnsi="Arial Narrow" w:eastAsia="仿宋_GB2312" w:cs="Arial Narrow"/>
        </w:rPr>
        <w:t>、绩效评价目的</w:t>
      </w:r>
      <w:r>
        <w:tab/>
      </w:r>
      <w:r>
        <w:fldChar w:fldCharType="begin"/>
      </w:r>
      <w:r>
        <w:instrText xml:space="preserve"> PAGEREF _Toc16149920 \h </w:instrText>
      </w:r>
      <w:r>
        <w:fldChar w:fldCharType="separate"/>
      </w:r>
      <w:r>
        <w:t>7</w:t>
      </w:r>
      <w:r>
        <w:fldChar w:fldCharType="end"/>
      </w:r>
      <w:r>
        <w:fldChar w:fldCharType="end"/>
      </w:r>
    </w:p>
    <w:p w14:paraId="3B1E6EB1">
      <w:pPr>
        <w:pStyle w:val="7"/>
        <w:tabs>
          <w:tab w:val="right" w:leader="dot" w:pos="8302"/>
        </w:tabs>
        <w:ind w:left="960"/>
        <w:rPr>
          <w:rFonts w:asciiTheme="minorHAnsi" w:hAnsiTheme="minorHAnsi" w:eastAsiaTheme="minorEastAsia" w:cstheme="minorBidi"/>
          <w:kern w:val="2"/>
          <w:sz w:val="21"/>
          <w:szCs w:val="22"/>
        </w:rPr>
      </w:pPr>
      <w:r>
        <w:fldChar w:fldCharType="begin"/>
      </w:r>
      <w:r>
        <w:instrText xml:space="preserve"> HYPERLINK \l "_Toc16149921" </w:instrText>
      </w:r>
      <w:r>
        <w:fldChar w:fldCharType="separate"/>
      </w:r>
      <w:r>
        <w:rPr>
          <w:rStyle w:val="16"/>
          <w:rFonts w:ascii="Arial Narrow" w:hAnsi="Arial Narrow" w:eastAsia="仿宋_GB2312" w:cs="Arial Narrow"/>
        </w:rPr>
        <w:t>2</w:t>
      </w:r>
      <w:r>
        <w:rPr>
          <w:rStyle w:val="16"/>
          <w:rFonts w:hint="eastAsia" w:ascii="Arial Narrow" w:hAnsi="Arial Narrow" w:eastAsia="仿宋_GB2312" w:cs="Arial Narrow"/>
        </w:rPr>
        <w:t>、绩效评价框架及方法</w:t>
      </w:r>
      <w:r>
        <w:tab/>
      </w:r>
      <w:r>
        <w:fldChar w:fldCharType="begin"/>
      </w:r>
      <w:r>
        <w:instrText xml:space="preserve"> PAGEREF _Toc16149921 \h </w:instrText>
      </w:r>
      <w:r>
        <w:fldChar w:fldCharType="separate"/>
      </w:r>
      <w:r>
        <w:t>8</w:t>
      </w:r>
      <w:r>
        <w:fldChar w:fldCharType="end"/>
      </w:r>
      <w:r>
        <w:fldChar w:fldCharType="end"/>
      </w:r>
    </w:p>
    <w:p w14:paraId="2E3C312D">
      <w:pPr>
        <w:pStyle w:val="12"/>
        <w:tabs>
          <w:tab w:val="right" w:leader="dot" w:pos="8302"/>
        </w:tabs>
        <w:ind w:left="480"/>
        <w:rPr>
          <w:rFonts w:asciiTheme="minorHAnsi" w:hAnsiTheme="minorHAnsi" w:eastAsiaTheme="minorEastAsia" w:cstheme="minorBidi"/>
          <w:kern w:val="2"/>
          <w:sz w:val="21"/>
          <w:szCs w:val="22"/>
        </w:rPr>
      </w:pPr>
      <w:r>
        <w:fldChar w:fldCharType="begin"/>
      </w:r>
      <w:r>
        <w:instrText xml:space="preserve"> HYPERLINK \l "_Toc16149922" </w:instrText>
      </w:r>
      <w:r>
        <w:fldChar w:fldCharType="separate"/>
      </w:r>
      <w:r>
        <w:rPr>
          <w:rStyle w:val="16"/>
          <w:rFonts w:hint="eastAsia" w:ascii="Arial Narrow" w:hAnsi="Arial Narrow" w:eastAsia="仿宋_GB2312" w:cs="Arial Narrow"/>
        </w:rPr>
        <w:t>（三）绩效分析及评价结论</w:t>
      </w:r>
      <w:r>
        <w:tab/>
      </w:r>
      <w:r>
        <w:fldChar w:fldCharType="begin"/>
      </w:r>
      <w:r>
        <w:instrText xml:space="preserve"> PAGEREF _Toc16149922 \h </w:instrText>
      </w:r>
      <w:r>
        <w:fldChar w:fldCharType="separate"/>
      </w:r>
      <w:r>
        <w:t>17</w:t>
      </w:r>
      <w:r>
        <w:fldChar w:fldCharType="end"/>
      </w:r>
      <w:r>
        <w:fldChar w:fldCharType="end"/>
      </w:r>
    </w:p>
    <w:p w14:paraId="52CCE13C">
      <w:pPr>
        <w:pStyle w:val="7"/>
        <w:tabs>
          <w:tab w:val="right" w:leader="dot" w:pos="8302"/>
        </w:tabs>
        <w:ind w:left="960"/>
        <w:rPr>
          <w:rFonts w:asciiTheme="minorHAnsi" w:hAnsiTheme="minorHAnsi" w:eastAsiaTheme="minorEastAsia" w:cstheme="minorBidi"/>
          <w:kern w:val="2"/>
          <w:sz w:val="21"/>
          <w:szCs w:val="22"/>
        </w:rPr>
      </w:pPr>
      <w:r>
        <w:fldChar w:fldCharType="begin"/>
      </w:r>
      <w:r>
        <w:instrText xml:space="preserve"> HYPERLINK \l "_Toc16149923" </w:instrText>
      </w:r>
      <w:r>
        <w:fldChar w:fldCharType="separate"/>
      </w:r>
      <w:r>
        <w:rPr>
          <w:rStyle w:val="16"/>
          <w:rFonts w:ascii="Arial Narrow" w:hAnsi="Arial Narrow" w:eastAsia="仿宋_GB2312" w:cs="Arial Narrow"/>
        </w:rPr>
        <w:t>1</w:t>
      </w:r>
      <w:r>
        <w:rPr>
          <w:rStyle w:val="16"/>
          <w:rFonts w:hint="eastAsia" w:ascii="Arial Narrow" w:hAnsi="Arial Narrow" w:eastAsia="仿宋_GB2312" w:cs="Arial Narrow"/>
        </w:rPr>
        <w:t>、绩效分析</w:t>
      </w:r>
      <w:r>
        <w:tab/>
      </w:r>
      <w:r>
        <w:fldChar w:fldCharType="begin"/>
      </w:r>
      <w:r>
        <w:instrText xml:space="preserve"> PAGEREF _Toc16149923 \h </w:instrText>
      </w:r>
      <w:r>
        <w:fldChar w:fldCharType="separate"/>
      </w:r>
      <w:r>
        <w:t>17</w:t>
      </w:r>
      <w:r>
        <w:fldChar w:fldCharType="end"/>
      </w:r>
      <w:r>
        <w:fldChar w:fldCharType="end"/>
      </w:r>
    </w:p>
    <w:p w14:paraId="3314A5F5">
      <w:pPr>
        <w:pStyle w:val="7"/>
        <w:tabs>
          <w:tab w:val="right" w:leader="dot" w:pos="8302"/>
        </w:tabs>
        <w:ind w:left="960"/>
        <w:rPr>
          <w:rFonts w:asciiTheme="minorHAnsi" w:hAnsiTheme="minorHAnsi" w:eastAsiaTheme="minorEastAsia" w:cstheme="minorBidi"/>
          <w:kern w:val="2"/>
          <w:sz w:val="21"/>
          <w:szCs w:val="22"/>
        </w:rPr>
      </w:pPr>
      <w:r>
        <w:fldChar w:fldCharType="begin"/>
      </w:r>
      <w:r>
        <w:instrText xml:space="preserve"> HYPERLINK \l "_Toc16149924" </w:instrText>
      </w:r>
      <w:r>
        <w:fldChar w:fldCharType="separate"/>
      </w:r>
      <w:r>
        <w:rPr>
          <w:rStyle w:val="16"/>
          <w:rFonts w:ascii="Arial Narrow" w:hAnsi="Arial Narrow" w:eastAsia="仿宋_GB2312" w:cs="Arial Narrow"/>
        </w:rPr>
        <w:t>2</w:t>
      </w:r>
      <w:r>
        <w:rPr>
          <w:rStyle w:val="16"/>
          <w:rFonts w:hint="eastAsia" w:ascii="Arial Narrow" w:hAnsi="Arial Narrow" w:eastAsia="仿宋_GB2312" w:cs="Arial Narrow"/>
        </w:rPr>
        <w:t>、评价结论</w:t>
      </w:r>
      <w:r>
        <w:tab/>
      </w:r>
      <w:r>
        <w:fldChar w:fldCharType="begin"/>
      </w:r>
      <w:r>
        <w:instrText xml:space="preserve"> PAGEREF _Toc16149924 \h </w:instrText>
      </w:r>
      <w:r>
        <w:fldChar w:fldCharType="separate"/>
      </w:r>
      <w:r>
        <w:t>26</w:t>
      </w:r>
      <w:r>
        <w:fldChar w:fldCharType="end"/>
      </w:r>
      <w:r>
        <w:fldChar w:fldCharType="end"/>
      </w:r>
    </w:p>
    <w:p w14:paraId="54CB0F73">
      <w:pPr>
        <w:pStyle w:val="12"/>
        <w:tabs>
          <w:tab w:val="right" w:leader="dot" w:pos="8302"/>
        </w:tabs>
        <w:ind w:left="480"/>
        <w:rPr>
          <w:rFonts w:asciiTheme="minorHAnsi" w:hAnsiTheme="minorHAnsi" w:eastAsiaTheme="minorEastAsia" w:cstheme="minorBidi"/>
          <w:kern w:val="2"/>
          <w:sz w:val="21"/>
          <w:szCs w:val="22"/>
        </w:rPr>
      </w:pPr>
      <w:r>
        <w:fldChar w:fldCharType="begin"/>
      </w:r>
      <w:r>
        <w:instrText xml:space="preserve"> HYPERLINK \l "_Toc16149925" </w:instrText>
      </w:r>
      <w:r>
        <w:fldChar w:fldCharType="separate"/>
      </w:r>
      <w:r>
        <w:rPr>
          <w:rStyle w:val="16"/>
          <w:rFonts w:hint="eastAsia" w:ascii="Arial Narrow" w:hAnsi="Arial Narrow" w:eastAsia="仿宋_GB2312" w:cs="Arial Narrow"/>
          <w:bCs/>
        </w:rPr>
        <w:t>（四）主要经验及做法、存在的问题和建议</w:t>
      </w:r>
      <w:r>
        <w:tab/>
      </w:r>
      <w:r>
        <w:fldChar w:fldCharType="begin"/>
      </w:r>
      <w:r>
        <w:instrText xml:space="preserve"> PAGEREF _Toc16149925 \h </w:instrText>
      </w:r>
      <w:r>
        <w:fldChar w:fldCharType="separate"/>
      </w:r>
      <w:r>
        <w:t>28</w:t>
      </w:r>
      <w:r>
        <w:fldChar w:fldCharType="end"/>
      </w:r>
      <w:r>
        <w:fldChar w:fldCharType="end"/>
      </w:r>
    </w:p>
    <w:p w14:paraId="7861F667">
      <w:pPr>
        <w:pStyle w:val="7"/>
        <w:tabs>
          <w:tab w:val="right" w:leader="dot" w:pos="8302"/>
        </w:tabs>
        <w:ind w:left="960"/>
        <w:rPr>
          <w:rFonts w:asciiTheme="minorHAnsi" w:hAnsiTheme="minorHAnsi" w:eastAsiaTheme="minorEastAsia" w:cstheme="minorBidi"/>
          <w:kern w:val="2"/>
          <w:sz w:val="21"/>
          <w:szCs w:val="22"/>
        </w:rPr>
      </w:pPr>
      <w:r>
        <w:fldChar w:fldCharType="begin"/>
      </w:r>
      <w:r>
        <w:instrText xml:space="preserve"> HYPERLINK \l "_Toc16149926" </w:instrText>
      </w:r>
      <w:r>
        <w:fldChar w:fldCharType="separate"/>
      </w:r>
      <w:r>
        <w:rPr>
          <w:rStyle w:val="16"/>
          <w:rFonts w:ascii="Arial Narrow" w:hAnsi="Arial Narrow" w:eastAsia="仿宋_GB2312" w:cs="Arial Narrow"/>
        </w:rPr>
        <w:t>1</w:t>
      </w:r>
      <w:r>
        <w:rPr>
          <w:rStyle w:val="16"/>
          <w:rFonts w:hint="eastAsia" w:ascii="Arial Narrow" w:hAnsi="Arial Narrow" w:eastAsia="仿宋_GB2312" w:cs="Arial Narrow"/>
        </w:rPr>
        <w:t>、主要经验及做法</w:t>
      </w:r>
      <w:r>
        <w:tab/>
      </w:r>
      <w:r>
        <w:fldChar w:fldCharType="begin"/>
      </w:r>
      <w:r>
        <w:instrText xml:space="preserve"> PAGEREF _Toc16149926 \h </w:instrText>
      </w:r>
      <w:r>
        <w:fldChar w:fldCharType="separate"/>
      </w:r>
      <w:r>
        <w:t>28</w:t>
      </w:r>
      <w:r>
        <w:fldChar w:fldCharType="end"/>
      </w:r>
      <w:r>
        <w:fldChar w:fldCharType="end"/>
      </w:r>
    </w:p>
    <w:p w14:paraId="34E1E6CC">
      <w:pPr>
        <w:pStyle w:val="7"/>
        <w:tabs>
          <w:tab w:val="right" w:leader="dot" w:pos="8302"/>
        </w:tabs>
        <w:ind w:left="960"/>
        <w:rPr>
          <w:rFonts w:asciiTheme="minorHAnsi" w:hAnsiTheme="minorHAnsi" w:eastAsiaTheme="minorEastAsia" w:cstheme="minorBidi"/>
          <w:kern w:val="2"/>
          <w:sz w:val="21"/>
          <w:szCs w:val="22"/>
        </w:rPr>
      </w:pPr>
      <w:r>
        <w:fldChar w:fldCharType="begin"/>
      </w:r>
      <w:r>
        <w:instrText xml:space="preserve"> HYPERLINK \l "_Toc16149927" </w:instrText>
      </w:r>
      <w:r>
        <w:fldChar w:fldCharType="separate"/>
      </w:r>
      <w:r>
        <w:rPr>
          <w:rStyle w:val="16"/>
          <w:rFonts w:ascii="Arial Narrow" w:hAnsi="Arial Narrow" w:eastAsia="仿宋_GB2312" w:cs="Arial Narrow"/>
        </w:rPr>
        <w:t>2</w:t>
      </w:r>
      <w:r>
        <w:rPr>
          <w:rStyle w:val="16"/>
          <w:rFonts w:hint="eastAsia" w:ascii="Arial Narrow" w:hAnsi="Arial Narrow" w:eastAsia="仿宋_GB2312" w:cs="Arial Narrow"/>
        </w:rPr>
        <w:t>、存在的问题及原因分析</w:t>
      </w:r>
      <w:r>
        <w:tab/>
      </w:r>
      <w:r>
        <w:fldChar w:fldCharType="begin"/>
      </w:r>
      <w:r>
        <w:instrText xml:space="preserve"> PAGEREF _Toc16149927 \h </w:instrText>
      </w:r>
      <w:r>
        <w:fldChar w:fldCharType="separate"/>
      </w:r>
      <w:r>
        <w:t>28</w:t>
      </w:r>
      <w:r>
        <w:fldChar w:fldCharType="end"/>
      </w:r>
      <w:r>
        <w:fldChar w:fldCharType="end"/>
      </w:r>
    </w:p>
    <w:p w14:paraId="5E369921">
      <w:pPr>
        <w:pStyle w:val="7"/>
        <w:tabs>
          <w:tab w:val="right" w:leader="dot" w:pos="8302"/>
        </w:tabs>
        <w:ind w:left="960"/>
        <w:rPr>
          <w:rFonts w:asciiTheme="minorHAnsi" w:hAnsiTheme="minorHAnsi" w:eastAsiaTheme="minorEastAsia" w:cstheme="minorBidi"/>
          <w:kern w:val="2"/>
          <w:sz w:val="21"/>
          <w:szCs w:val="22"/>
        </w:rPr>
      </w:pPr>
      <w:r>
        <w:fldChar w:fldCharType="begin"/>
      </w:r>
      <w:r>
        <w:instrText xml:space="preserve"> HYPERLINK \l "_Toc16149928" </w:instrText>
      </w:r>
      <w:r>
        <w:fldChar w:fldCharType="separate"/>
      </w:r>
      <w:r>
        <w:rPr>
          <w:rStyle w:val="16"/>
          <w:rFonts w:ascii="Arial Narrow" w:hAnsi="Arial Narrow" w:eastAsia="仿宋_GB2312" w:cs="Arial Narrow"/>
        </w:rPr>
        <w:t>3</w:t>
      </w:r>
      <w:r>
        <w:rPr>
          <w:rStyle w:val="16"/>
          <w:rFonts w:hint="eastAsia" w:ascii="Arial Narrow" w:hAnsi="Arial Narrow" w:eastAsia="仿宋_GB2312" w:cs="Arial Narrow"/>
        </w:rPr>
        <w:t>、建议和改进举措</w:t>
      </w:r>
      <w:r>
        <w:tab/>
      </w:r>
      <w:r>
        <w:fldChar w:fldCharType="begin"/>
      </w:r>
      <w:r>
        <w:instrText xml:space="preserve"> PAGEREF _Toc16149928 \h </w:instrText>
      </w:r>
      <w:r>
        <w:fldChar w:fldCharType="separate"/>
      </w:r>
      <w:r>
        <w:t>29</w:t>
      </w:r>
      <w:r>
        <w:fldChar w:fldCharType="end"/>
      </w:r>
      <w:r>
        <w:fldChar w:fldCharType="end"/>
      </w:r>
    </w:p>
    <w:p w14:paraId="44FA2D14">
      <w:pPr>
        <w:pStyle w:val="12"/>
        <w:tabs>
          <w:tab w:val="right" w:leader="dot" w:pos="8302"/>
        </w:tabs>
        <w:ind w:left="480"/>
        <w:rPr>
          <w:rFonts w:asciiTheme="minorHAnsi" w:hAnsiTheme="minorHAnsi" w:eastAsiaTheme="minorEastAsia" w:cstheme="minorBidi"/>
          <w:kern w:val="2"/>
          <w:sz w:val="21"/>
          <w:szCs w:val="22"/>
        </w:rPr>
      </w:pPr>
      <w:r>
        <w:fldChar w:fldCharType="begin"/>
      </w:r>
      <w:r>
        <w:instrText xml:space="preserve"> HYPERLINK \l "_Toc16149929" </w:instrText>
      </w:r>
      <w:r>
        <w:fldChar w:fldCharType="separate"/>
      </w:r>
      <w:r>
        <w:rPr>
          <w:rStyle w:val="16"/>
          <w:rFonts w:hint="eastAsia" w:ascii="Arial Narrow" w:hAnsi="Arial Narrow" w:eastAsia="仿宋_GB2312" w:cs="Arial Narrow"/>
          <w:bCs/>
        </w:rPr>
        <w:t>（五）其他需说明的问题</w:t>
      </w:r>
      <w:r>
        <w:tab/>
      </w:r>
      <w:r>
        <w:fldChar w:fldCharType="begin"/>
      </w:r>
      <w:r>
        <w:instrText xml:space="preserve"> PAGEREF _Toc16149929 \h </w:instrText>
      </w:r>
      <w:r>
        <w:fldChar w:fldCharType="separate"/>
      </w:r>
      <w:r>
        <w:t>29</w:t>
      </w:r>
      <w:r>
        <w:fldChar w:fldCharType="end"/>
      </w:r>
      <w:r>
        <w:fldChar w:fldCharType="end"/>
      </w:r>
    </w:p>
    <w:p w14:paraId="42FF2F76">
      <w:pPr>
        <w:pStyle w:val="7"/>
        <w:tabs>
          <w:tab w:val="right" w:leader="dot" w:pos="8302"/>
        </w:tabs>
        <w:ind w:left="960"/>
        <w:rPr>
          <w:rFonts w:asciiTheme="minorHAnsi" w:hAnsiTheme="minorHAnsi" w:eastAsiaTheme="minorEastAsia" w:cstheme="minorBidi"/>
          <w:kern w:val="2"/>
          <w:sz w:val="21"/>
          <w:szCs w:val="22"/>
        </w:rPr>
      </w:pPr>
      <w:r>
        <w:fldChar w:fldCharType="begin"/>
      </w:r>
      <w:r>
        <w:instrText xml:space="preserve"> HYPERLINK \l "_Toc16149930" </w:instrText>
      </w:r>
      <w:r>
        <w:fldChar w:fldCharType="separate"/>
      </w:r>
      <w:r>
        <w:rPr>
          <w:rStyle w:val="16"/>
          <w:rFonts w:ascii="Arial Narrow" w:hAnsi="Arial Narrow" w:eastAsia="仿宋_GB2312" w:cs="Arial Narrow"/>
        </w:rPr>
        <w:t>1</w:t>
      </w:r>
      <w:r>
        <w:rPr>
          <w:rStyle w:val="16"/>
          <w:rFonts w:hint="eastAsia" w:ascii="Arial Narrow" w:hAnsi="Arial Narrow" w:eastAsia="仿宋_GB2312" w:cs="Arial Narrow"/>
        </w:rPr>
        <w:t>、关于评价责任的说明</w:t>
      </w:r>
      <w:r>
        <w:tab/>
      </w:r>
      <w:r>
        <w:fldChar w:fldCharType="begin"/>
      </w:r>
      <w:r>
        <w:instrText xml:space="preserve"> PAGEREF _Toc16149930 \h </w:instrText>
      </w:r>
      <w:r>
        <w:fldChar w:fldCharType="separate"/>
      </w:r>
      <w:r>
        <w:t>29</w:t>
      </w:r>
      <w:r>
        <w:fldChar w:fldCharType="end"/>
      </w:r>
      <w:r>
        <w:fldChar w:fldCharType="end"/>
      </w:r>
    </w:p>
    <w:p w14:paraId="45F6FA1B">
      <w:pPr>
        <w:pStyle w:val="7"/>
        <w:tabs>
          <w:tab w:val="right" w:leader="dot" w:pos="8302"/>
        </w:tabs>
        <w:ind w:left="960"/>
        <w:rPr>
          <w:rFonts w:asciiTheme="minorHAnsi" w:hAnsiTheme="minorHAnsi" w:eastAsiaTheme="minorEastAsia" w:cstheme="minorBidi"/>
          <w:kern w:val="2"/>
          <w:sz w:val="21"/>
          <w:szCs w:val="22"/>
        </w:rPr>
      </w:pPr>
      <w:r>
        <w:fldChar w:fldCharType="begin"/>
      </w:r>
      <w:r>
        <w:instrText xml:space="preserve"> HYPERLINK \l "_Toc16149931" </w:instrText>
      </w:r>
      <w:r>
        <w:fldChar w:fldCharType="separate"/>
      </w:r>
      <w:r>
        <w:rPr>
          <w:rStyle w:val="16"/>
          <w:rFonts w:ascii="Arial Narrow" w:hAnsi="Arial Narrow" w:eastAsia="仿宋_GB2312" w:cs="Arial Narrow"/>
        </w:rPr>
        <w:t>2</w:t>
      </w:r>
      <w:r>
        <w:rPr>
          <w:rStyle w:val="16"/>
          <w:rFonts w:hint="eastAsia" w:ascii="Arial Narrow" w:hAnsi="Arial Narrow" w:eastAsia="仿宋_GB2312" w:cs="Arial Narrow"/>
        </w:rPr>
        <w:t>、关于本项目评价中局限性的说明</w:t>
      </w:r>
      <w:r>
        <w:tab/>
      </w:r>
      <w:r>
        <w:fldChar w:fldCharType="begin"/>
      </w:r>
      <w:r>
        <w:instrText xml:space="preserve"> PAGEREF _Toc16149931 \h </w:instrText>
      </w:r>
      <w:r>
        <w:fldChar w:fldCharType="separate"/>
      </w:r>
      <w:r>
        <w:t>29</w:t>
      </w:r>
      <w:r>
        <w:fldChar w:fldCharType="end"/>
      </w:r>
      <w:r>
        <w:fldChar w:fldCharType="end"/>
      </w:r>
    </w:p>
    <w:p w14:paraId="1CD2AE45">
      <w:pPr>
        <w:pStyle w:val="11"/>
        <w:tabs>
          <w:tab w:val="right" w:leader="dot" w:pos="8302"/>
        </w:tabs>
        <w:rPr>
          <w:rFonts w:asciiTheme="minorHAnsi" w:hAnsiTheme="minorHAnsi" w:eastAsiaTheme="minorEastAsia" w:cstheme="minorBidi"/>
          <w:kern w:val="2"/>
          <w:sz w:val="21"/>
          <w:szCs w:val="22"/>
        </w:rPr>
      </w:pPr>
      <w:r>
        <w:fldChar w:fldCharType="begin"/>
      </w:r>
      <w:r>
        <w:instrText xml:space="preserve"> HYPERLINK \l "_Toc16149932" </w:instrText>
      </w:r>
      <w:r>
        <w:fldChar w:fldCharType="separate"/>
      </w:r>
      <w:r>
        <w:rPr>
          <w:rStyle w:val="16"/>
          <w:rFonts w:hint="eastAsia" w:ascii="Arial Narrow" w:hAnsi="Arial Narrow" w:eastAsia="仿宋_GB2312" w:cs="Arial Narrow"/>
        </w:rPr>
        <w:t>附件：</w:t>
      </w:r>
      <w:r>
        <w:tab/>
      </w:r>
      <w:r>
        <w:fldChar w:fldCharType="begin"/>
      </w:r>
      <w:r>
        <w:instrText xml:space="preserve"> PAGEREF _Toc16149932 \h </w:instrText>
      </w:r>
      <w:r>
        <w:fldChar w:fldCharType="separate"/>
      </w:r>
      <w:r>
        <w:t>31</w:t>
      </w:r>
      <w:r>
        <w:fldChar w:fldCharType="end"/>
      </w:r>
      <w:r>
        <w:fldChar w:fldCharType="end"/>
      </w:r>
    </w:p>
    <w:p w14:paraId="2E14445E">
      <w:pPr>
        <w:snapToGrid w:val="0"/>
        <w:spacing w:line="360" w:lineRule="auto"/>
        <w:rPr>
          <w:rFonts w:hint="eastAsia" w:ascii="Arial Narrow" w:hAnsi="Arial Narrow" w:eastAsia="仿宋_GB2312" w:cs="Arial Narrow"/>
        </w:rPr>
      </w:pPr>
      <w:r>
        <w:rPr>
          <w:rFonts w:ascii="Arial Narrow" w:hAnsi="Arial Narrow" w:eastAsia="仿宋_GB2312" w:cs="Arial Narrow"/>
        </w:rPr>
        <w:fldChar w:fldCharType="end"/>
      </w:r>
    </w:p>
    <w:p w14:paraId="0619B720">
      <w:pPr>
        <w:rPr>
          <w:rFonts w:hint="eastAsia" w:ascii="Arial Narrow" w:hAnsi="Arial Narrow" w:eastAsia="仿宋_GB2312" w:cs="Arial Narrow"/>
          <w:b/>
        </w:rPr>
      </w:pPr>
    </w:p>
    <w:p w14:paraId="69DFA35D">
      <w:pPr>
        <w:rPr>
          <w:rFonts w:hint="eastAsia" w:ascii="Arial Narrow" w:hAnsi="Arial Narrow" w:eastAsia="仿宋_GB2312" w:cs="Arial Narrow"/>
          <w:b/>
        </w:rPr>
      </w:pPr>
    </w:p>
    <w:p w14:paraId="001BE2DB">
      <w:pPr>
        <w:rPr>
          <w:rFonts w:hint="eastAsia" w:ascii="Arial Narrow" w:hAnsi="Arial Narrow" w:eastAsia="仿宋_GB2312" w:cs="Arial Narrow"/>
          <w:b/>
        </w:rPr>
      </w:pPr>
    </w:p>
    <w:p w14:paraId="18023549">
      <w:pPr>
        <w:pStyle w:val="2"/>
        <w:spacing w:before="0" w:after="0" w:line="360" w:lineRule="auto"/>
        <w:rPr>
          <w:rFonts w:hint="eastAsia" w:ascii="Arial Narrow" w:hAnsi="Arial Narrow" w:eastAsia="仿宋_GB2312" w:cs="Arial Narrow"/>
          <w:bCs/>
          <w:sz w:val="24"/>
        </w:rPr>
        <w:sectPr>
          <w:headerReference r:id="rId4" w:type="default"/>
          <w:footerReference r:id="rId5" w:type="default"/>
          <w:pgSz w:w="11906" w:h="16838"/>
          <w:pgMar w:top="1440" w:right="1797" w:bottom="1440" w:left="1797" w:header="851" w:footer="992" w:gutter="0"/>
          <w:pgNumType w:start="0"/>
          <w:cols w:space="720" w:num="1"/>
          <w:docGrid w:type="lines" w:linePitch="326" w:charSpace="0"/>
        </w:sectPr>
      </w:pPr>
    </w:p>
    <w:p w14:paraId="56572AA0">
      <w:pPr>
        <w:pStyle w:val="2"/>
        <w:spacing w:before="0" w:after="0" w:line="360" w:lineRule="auto"/>
        <w:rPr>
          <w:rFonts w:hint="eastAsia" w:ascii="Arial Narrow" w:hAnsi="Arial Narrow" w:eastAsia="仿宋_GB2312" w:cs="Arial Narrow"/>
          <w:sz w:val="24"/>
        </w:rPr>
      </w:pPr>
      <w:bookmarkStart w:id="17" w:name="_Toc16149908"/>
      <w:r>
        <w:rPr>
          <w:rFonts w:ascii="Arial Narrow" w:hAnsi="Arial Narrow" w:eastAsia="仿宋_GB2312" w:cs="Arial Narrow"/>
          <w:bCs/>
          <w:sz w:val="24"/>
        </w:rPr>
        <w:t>一、</w:t>
      </w:r>
      <w:r>
        <w:rPr>
          <w:rFonts w:ascii="Arial Narrow" w:hAnsi="Arial Narrow" w:eastAsia="仿宋_GB2312" w:cs="Arial Narrow"/>
          <w:sz w:val="24"/>
        </w:rPr>
        <w:t>摘要</w:t>
      </w:r>
      <w:bookmarkEnd w:id="0"/>
      <w:bookmarkEnd w:id="17"/>
      <w:bookmarkStart w:id="60" w:name="_GoBack"/>
      <w:bookmarkEnd w:id="60"/>
    </w:p>
    <w:p w14:paraId="501A06FB">
      <w:pPr>
        <w:pStyle w:val="3"/>
        <w:spacing w:before="0" w:after="0" w:line="360" w:lineRule="auto"/>
        <w:ind w:firstLine="482"/>
        <w:rPr>
          <w:rFonts w:hint="eastAsia" w:ascii="Arial Narrow" w:hAnsi="Arial Narrow" w:eastAsia="仿宋_GB2312" w:cs="Arial Narrow"/>
        </w:rPr>
      </w:pPr>
      <w:bookmarkStart w:id="18" w:name="_Toc3144"/>
      <w:bookmarkStart w:id="19" w:name="_Toc16149909"/>
      <w:r>
        <w:rPr>
          <w:rFonts w:ascii="Arial Narrow" w:hAnsi="Arial Narrow" w:eastAsia="仿宋_GB2312" w:cs="Arial Narrow"/>
        </w:rPr>
        <w:t>（一）基本情况</w:t>
      </w:r>
      <w:bookmarkEnd w:id="18"/>
      <w:bookmarkEnd w:id="19"/>
    </w:p>
    <w:p w14:paraId="1E4B573B">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1、项目基本情况</w:t>
      </w:r>
    </w:p>
    <w:p w14:paraId="17E4C2C9">
      <w:pPr>
        <w:spacing w:line="360" w:lineRule="auto"/>
        <w:ind w:firstLine="480" w:firstLineChars="200"/>
        <w:rPr>
          <w:rFonts w:hint="eastAsia" w:ascii="Arial Narrow" w:hAnsi="Arial Narrow" w:eastAsia="仿宋_GB2312" w:cs="Arial Narrow"/>
          <w:bCs/>
        </w:rPr>
      </w:pPr>
      <w:r>
        <w:rPr>
          <w:rFonts w:ascii="Arial Narrow" w:hAnsi="Arial Narrow" w:eastAsia="仿宋_GB2312" w:cs="Arial Narrow"/>
          <w:bCs/>
        </w:rPr>
        <w:t>武汉经济技术开发区（汉南区）招商局（以下简称</w:t>
      </w:r>
      <w:r>
        <w:rPr>
          <w:rFonts w:hint="eastAsia" w:ascii="仿宋_GB2312" w:hAnsi="仿宋_GB2312" w:eastAsia="仿宋_GB2312" w:cs="仿宋_GB2312"/>
          <w:bCs/>
        </w:rPr>
        <w:t>“招商局”</w:t>
      </w:r>
      <w:r>
        <w:rPr>
          <w:rFonts w:ascii="Arial Narrow" w:hAnsi="Arial Narrow" w:eastAsia="仿宋_GB2312" w:cs="Arial Narrow"/>
          <w:bCs/>
        </w:rPr>
        <w:t>）主要职能是统筹协调和指导全区招商引资和投资促进工作，组织、策划、协调以开发区名义在境内外举办和参加的各种招商引资活动等，部门现有行政编制25人；武汉经济技术开发区投资服务中心（以下简称</w:t>
      </w:r>
      <w:r>
        <w:rPr>
          <w:rFonts w:hint="eastAsia" w:ascii="仿宋_GB2312" w:hAnsi="仿宋_GB2312" w:eastAsia="仿宋_GB2312" w:cs="仿宋_GB2312"/>
          <w:bCs/>
        </w:rPr>
        <w:t>“投资服务中心”</w:t>
      </w:r>
      <w:r>
        <w:rPr>
          <w:rFonts w:ascii="Arial Narrow" w:hAnsi="Arial Narrow" w:eastAsia="仿宋_GB2312" w:cs="Arial Narrow"/>
          <w:bCs/>
        </w:rPr>
        <w:t>）为全额拨款事业单位，部门现有事业</w:t>
      </w:r>
      <w:r>
        <w:rPr>
          <w:rFonts w:hint="eastAsia" w:ascii="Arial Narrow" w:hAnsi="Arial Narrow" w:eastAsia="仿宋_GB2312" w:cs="Arial Narrow"/>
          <w:bCs/>
        </w:rPr>
        <w:t>人员</w:t>
      </w:r>
      <w:r>
        <w:rPr>
          <w:rFonts w:ascii="Arial Narrow" w:hAnsi="Arial Narrow" w:eastAsia="仿宋_GB2312" w:cs="Arial Narrow"/>
          <w:bCs/>
        </w:rPr>
        <w:t>21人；区招商局与区投资中心工作人员打通使用、合并办公。</w:t>
      </w:r>
    </w:p>
    <w:p w14:paraId="40A6D482">
      <w:pPr>
        <w:spacing w:line="360" w:lineRule="auto"/>
        <w:ind w:firstLine="480" w:firstLineChars="200"/>
        <w:rPr>
          <w:rFonts w:hint="eastAsia" w:ascii="Arial Narrow" w:hAnsi="Arial Narrow" w:eastAsia="仿宋_GB2312" w:cs="Arial Narrow"/>
        </w:rPr>
      </w:pPr>
      <w:r>
        <w:rPr>
          <w:rFonts w:hint="eastAsia" w:ascii="Arial Narrow" w:hAnsi="Arial Narrow" w:eastAsia="仿宋_GB2312" w:cs="Arial Narrow"/>
          <w:bCs/>
        </w:rPr>
        <w:t>区</w:t>
      </w:r>
      <w:r>
        <w:rPr>
          <w:rFonts w:ascii="Arial Narrow" w:hAnsi="Arial Narrow" w:eastAsia="仿宋_GB2312" w:cs="Arial Narrow"/>
          <w:bCs/>
        </w:rPr>
        <w:t>招商局与</w:t>
      </w:r>
      <w:r>
        <w:rPr>
          <w:rFonts w:hint="eastAsia" w:ascii="Arial Narrow" w:hAnsi="Arial Narrow" w:eastAsia="仿宋_GB2312" w:cs="Arial Narrow"/>
          <w:bCs/>
        </w:rPr>
        <w:t>区</w:t>
      </w:r>
      <w:r>
        <w:rPr>
          <w:rFonts w:ascii="Arial Narrow" w:hAnsi="Arial Narrow" w:eastAsia="仿宋_GB2312" w:cs="Arial Narrow"/>
          <w:bCs/>
        </w:rPr>
        <w:t>投资服务中心一起承担招商引资额、实际利用外资等多项绩效指标，按照省、市、区的要求，紧紧围绕转型升级、创新发展主题，主动作为，拼搏赶超，开拓创新，力争为</w:t>
      </w:r>
      <w:r>
        <w:rPr>
          <w:rFonts w:hint="eastAsia" w:ascii="Arial Narrow" w:hAnsi="Arial Narrow" w:eastAsia="仿宋_GB2312" w:cs="Arial Narrow"/>
          <w:bCs/>
        </w:rPr>
        <w:t>开发区高质量发展</w:t>
      </w:r>
      <w:r>
        <w:rPr>
          <w:rFonts w:ascii="Arial Narrow" w:hAnsi="Arial Narrow" w:eastAsia="仿宋_GB2312" w:cs="Arial Narrow"/>
          <w:bCs/>
        </w:rPr>
        <w:t>贡献力量。</w:t>
      </w:r>
      <w:r>
        <w:rPr>
          <w:rFonts w:hint="eastAsia" w:ascii="Arial Narrow" w:hAnsi="Arial Narrow" w:eastAsia="仿宋_GB2312" w:cs="Arial Narrow"/>
          <w:bCs/>
        </w:rPr>
        <w:t>“</w:t>
      </w:r>
      <w:r>
        <w:rPr>
          <w:rFonts w:ascii="Arial Narrow" w:hAnsi="Arial Narrow" w:eastAsia="仿宋_GB2312" w:cs="Arial Narrow"/>
          <w:bCs/>
        </w:rPr>
        <w:t>招商工作经费</w:t>
      </w:r>
      <w:r>
        <w:rPr>
          <w:rFonts w:hint="eastAsia" w:ascii="Arial Narrow" w:hAnsi="Arial Narrow" w:eastAsia="仿宋_GB2312" w:cs="Arial Narrow"/>
          <w:bCs/>
        </w:rPr>
        <w:t>”</w:t>
      </w:r>
      <w:r>
        <w:rPr>
          <w:rFonts w:ascii="Arial Narrow" w:hAnsi="Arial Narrow" w:eastAsia="仿宋_GB2312" w:cs="Arial Narrow"/>
          <w:bCs/>
        </w:rPr>
        <w:t>是</w:t>
      </w:r>
      <w:r>
        <w:rPr>
          <w:rFonts w:hint="eastAsia" w:ascii="Arial Narrow" w:hAnsi="Arial Narrow" w:eastAsia="仿宋_GB2312" w:cs="Arial Narrow"/>
          <w:bCs/>
        </w:rPr>
        <w:t>招商局、</w:t>
      </w:r>
      <w:r>
        <w:rPr>
          <w:rFonts w:ascii="Arial Narrow" w:hAnsi="Arial Narrow" w:eastAsia="仿宋_GB2312" w:cs="Arial Narrow"/>
          <w:bCs/>
        </w:rPr>
        <w:t>投资服务中心每年固定的工作经费，也是</w:t>
      </w:r>
      <w:r>
        <w:rPr>
          <w:rFonts w:hint="eastAsia" w:ascii="Arial Narrow" w:hAnsi="Arial Narrow" w:eastAsia="仿宋_GB2312" w:cs="Arial Narrow"/>
          <w:bCs/>
        </w:rPr>
        <w:t>开展</w:t>
      </w:r>
      <w:r>
        <w:rPr>
          <w:rFonts w:ascii="Arial Narrow" w:hAnsi="Arial Narrow" w:eastAsia="仿宋_GB2312" w:cs="Arial Narrow"/>
          <w:bCs/>
        </w:rPr>
        <w:t>招商引资</w:t>
      </w:r>
      <w:r>
        <w:rPr>
          <w:rFonts w:hint="eastAsia" w:ascii="Arial Narrow" w:hAnsi="Arial Narrow" w:eastAsia="仿宋_GB2312" w:cs="Arial Narrow"/>
          <w:bCs/>
        </w:rPr>
        <w:t>活动</w:t>
      </w:r>
      <w:r>
        <w:rPr>
          <w:rFonts w:ascii="Arial Narrow" w:hAnsi="Arial Narrow" w:eastAsia="仿宋_GB2312" w:cs="Arial Narrow"/>
          <w:bCs/>
        </w:rPr>
        <w:t>的重要财力保障。为维持招商引资日常工作需要，推动相关项目在开发区落户，促进开发区与相关国家（地区）企业的交流与合作，</w:t>
      </w:r>
      <w:r>
        <w:rPr>
          <w:rFonts w:ascii="Arial Narrow" w:hAnsi="Arial Narrow" w:eastAsia="仿宋_GB2312" w:cs="Arial Narrow"/>
        </w:rPr>
        <w:t>招商局</w:t>
      </w:r>
      <w:r>
        <w:rPr>
          <w:rFonts w:hint="eastAsia" w:ascii="Arial Narrow" w:hAnsi="Arial Narrow" w:eastAsia="仿宋_GB2312" w:cs="Arial Narrow"/>
        </w:rPr>
        <w:t>、</w:t>
      </w:r>
      <w:r>
        <w:rPr>
          <w:rFonts w:ascii="Arial Narrow" w:hAnsi="Arial Narrow" w:eastAsia="仿宋_GB2312" w:cs="Arial Narrow"/>
        </w:rPr>
        <w:t>投资服务中心2018年度</w:t>
      </w:r>
      <w:r>
        <w:rPr>
          <w:rFonts w:hint="eastAsia" w:ascii="仿宋_GB2312" w:hAnsi="仿宋_GB2312" w:eastAsia="仿宋_GB2312" w:cs="仿宋_GB2312"/>
        </w:rPr>
        <w:t>“</w:t>
      </w:r>
      <w:r>
        <w:rPr>
          <w:rFonts w:hint="eastAsia" w:ascii="仿宋_GB2312" w:hAnsi="仿宋_GB2312" w:eastAsia="仿宋_GB2312" w:cs="仿宋_GB2312"/>
          <w:kern w:val="32"/>
        </w:rPr>
        <w:t>招商工作经费</w:t>
      </w:r>
      <w:r>
        <w:rPr>
          <w:rFonts w:hint="eastAsia" w:ascii="仿宋_GB2312" w:hAnsi="仿宋_GB2312" w:eastAsia="仿宋_GB2312" w:cs="仿宋_GB2312"/>
        </w:rPr>
        <w:t>”</w:t>
      </w:r>
      <w:r>
        <w:rPr>
          <w:rFonts w:hint="eastAsia" w:ascii="仿宋_GB2312" w:hAnsi="仿宋_GB2312" w:eastAsia="仿宋_GB2312" w:cs="仿宋_GB2312"/>
          <w:kern w:val="32"/>
        </w:rPr>
        <w:t>项目</w:t>
      </w:r>
      <w:r>
        <w:rPr>
          <w:rFonts w:ascii="Arial Narrow" w:hAnsi="Arial Narrow" w:eastAsia="仿宋_GB2312" w:cs="Arial Narrow"/>
        </w:rPr>
        <w:t>预算资金分别为275.00万元、200.00万元，实际支出分别为128.00万元、67.07万元，主要为</w:t>
      </w:r>
      <w:r>
        <w:rPr>
          <w:rFonts w:hint="eastAsia" w:ascii="Arial Narrow" w:hAnsi="Arial Narrow" w:eastAsia="仿宋_GB2312" w:cs="Arial Narrow"/>
        </w:rPr>
        <w:t>商务</w:t>
      </w:r>
      <w:r>
        <w:rPr>
          <w:rFonts w:ascii="Arial Narrow" w:hAnsi="Arial Narrow" w:eastAsia="仿宋_GB2312" w:cs="Arial Narrow"/>
        </w:rPr>
        <w:t>接待费、因公出国（境）费用、差旅费、劳务费等支出。</w:t>
      </w:r>
    </w:p>
    <w:p w14:paraId="13DE278B">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2、绩效评价工作情况</w:t>
      </w:r>
    </w:p>
    <w:p w14:paraId="72A75E0A">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致同会计师事务所（特殊普通合伙）武汉分所接受</w:t>
      </w:r>
      <w:r>
        <w:rPr>
          <w:rFonts w:hint="eastAsia" w:ascii="Arial Narrow" w:hAnsi="Arial Narrow" w:eastAsia="仿宋_GB2312" w:cs="Arial Narrow"/>
        </w:rPr>
        <w:t>武汉经济技术开发区（汉南区）招商局、武汉经济技术开发区投资服务中心</w:t>
      </w:r>
      <w:r>
        <w:rPr>
          <w:rFonts w:ascii="Arial Narrow" w:hAnsi="Arial Narrow" w:eastAsia="仿宋_GB2312" w:cs="Arial Narrow"/>
        </w:rPr>
        <w:t>委托，于2019年7月24日—7月31日，历时8天，投入7人，开展现场评价工作，项目由省财政厅专家库成员李海京提供指导。</w:t>
      </w:r>
    </w:p>
    <w:p w14:paraId="3623C6A0">
      <w:pPr>
        <w:pStyle w:val="3"/>
        <w:spacing w:before="0" w:after="0" w:line="360" w:lineRule="auto"/>
        <w:ind w:firstLine="482"/>
        <w:rPr>
          <w:rFonts w:hint="eastAsia" w:ascii="Arial Narrow" w:hAnsi="Arial Narrow" w:eastAsia="仿宋_GB2312" w:cs="Arial Narrow"/>
        </w:rPr>
      </w:pPr>
      <w:bookmarkStart w:id="20" w:name="_Toc16149910"/>
      <w:bookmarkStart w:id="21" w:name="_Toc20327"/>
      <w:bookmarkStart w:id="22" w:name="_Toc394869141"/>
      <w:r>
        <w:rPr>
          <w:rFonts w:ascii="Arial Narrow" w:hAnsi="Arial Narrow" w:eastAsia="仿宋_GB2312" w:cs="Arial Narrow"/>
        </w:rPr>
        <w:t>（二）绩效评价结论</w:t>
      </w:r>
      <w:bookmarkEnd w:id="20"/>
      <w:bookmarkEnd w:id="21"/>
    </w:p>
    <w:p w14:paraId="4047D6A8">
      <w:pPr>
        <w:spacing w:line="360" w:lineRule="auto"/>
        <w:ind w:firstLine="480" w:firstLineChars="200"/>
        <w:rPr>
          <w:rFonts w:hint="eastAsia" w:ascii="Arial Narrow" w:hAnsi="Arial Narrow" w:eastAsia="仿宋_GB2312" w:cs="Arial Narrow"/>
        </w:rPr>
      </w:pPr>
      <w:bookmarkStart w:id="23" w:name="_Toc18679"/>
      <w:bookmarkStart w:id="24" w:name="_Toc28728"/>
      <w:bookmarkStart w:id="25" w:name="_Toc21334"/>
      <w:bookmarkStart w:id="26" w:name="_Toc23186"/>
      <w:bookmarkStart w:id="27" w:name="_Toc5211"/>
      <w:bookmarkStart w:id="28" w:name="_Toc430018218"/>
      <w:bookmarkStart w:id="29" w:name="_Toc24"/>
      <w:bookmarkStart w:id="30" w:name="_Toc27866"/>
      <w:r>
        <w:rPr>
          <w:rFonts w:ascii="Arial Narrow" w:hAnsi="Arial Narrow" w:eastAsia="仿宋_GB2312" w:cs="Arial Narrow"/>
        </w:rPr>
        <w:t>1、评分结果</w:t>
      </w:r>
      <w:bookmarkEnd w:id="22"/>
      <w:bookmarkEnd w:id="23"/>
      <w:bookmarkEnd w:id="24"/>
      <w:bookmarkEnd w:id="25"/>
      <w:bookmarkEnd w:id="26"/>
      <w:bookmarkEnd w:id="27"/>
      <w:bookmarkEnd w:id="28"/>
      <w:bookmarkEnd w:id="29"/>
      <w:bookmarkEnd w:id="30"/>
    </w:p>
    <w:p w14:paraId="1C3B648E">
      <w:pPr>
        <w:spacing w:line="360" w:lineRule="auto"/>
        <w:ind w:firstLine="480"/>
        <w:rPr>
          <w:rFonts w:hint="eastAsia" w:ascii="Arial Narrow" w:hAnsi="Arial Narrow" w:eastAsia="仿宋_GB2312" w:cs="Arial Narrow"/>
        </w:rPr>
      </w:pPr>
      <w:r>
        <w:rPr>
          <w:rFonts w:ascii="Arial Narrow" w:hAnsi="Arial Narrow" w:eastAsia="仿宋_GB2312" w:cs="Arial Narrow"/>
        </w:rPr>
        <w:t>项目绩效评价综合得分为8</w:t>
      </w:r>
      <w:r>
        <w:rPr>
          <w:rFonts w:hint="eastAsia" w:ascii="Arial Narrow" w:hAnsi="Arial Narrow" w:eastAsia="仿宋_GB2312" w:cs="Arial Narrow"/>
        </w:rPr>
        <w:t>9</w:t>
      </w:r>
      <w:r>
        <w:rPr>
          <w:rFonts w:ascii="Arial Narrow" w:hAnsi="Arial Narrow" w:eastAsia="仿宋_GB2312" w:cs="Arial Narrow"/>
        </w:rPr>
        <w:t>.8分，评价等级为良（B）。其中投入得分13分，过程得分2</w:t>
      </w:r>
      <w:r>
        <w:rPr>
          <w:rFonts w:hint="eastAsia" w:ascii="Arial Narrow" w:hAnsi="Arial Narrow" w:eastAsia="仿宋_GB2312" w:cs="Arial Narrow"/>
        </w:rPr>
        <w:t>4</w:t>
      </w:r>
      <w:r>
        <w:rPr>
          <w:rFonts w:ascii="Arial Narrow" w:hAnsi="Arial Narrow" w:eastAsia="仿宋_GB2312" w:cs="Arial Narrow"/>
        </w:rPr>
        <w:t>分，产出得分27.8分，效果得分25分。下图为各指标得分情况：</w:t>
      </w:r>
    </w:p>
    <w:p w14:paraId="7C377FB0">
      <w:pPr>
        <w:spacing w:line="360" w:lineRule="auto"/>
        <w:ind w:firstLine="480"/>
        <w:rPr>
          <w:rFonts w:hint="eastAsia" w:ascii="Arial Narrow" w:hAnsi="Arial Narrow" w:eastAsia="仿宋_GB2312" w:cs="Arial Narrow"/>
        </w:rPr>
      </w:pPr>
      <w:r>
        <w:drawing>
          <wp:inline distT="0" distB="0" distL="0" distR="0">
            <wp:extent cx="4572000" cy="2743200"/>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A7E3A1">
      <w:pPr>
        <w:spacing w:line="360" w:lineRule="auto"/>
        <w:ind w:firstLine="480" w:firstLineChars="200"/>
        <w:rPr>
          <w:rFonts w:hint="eastAsia" w:ascii="Arial Narrow" w:hAnsi="Arial Narrow" w:eastAsia="仿宋_GB2312" w:cs="Arial Narrow"/>
        </w:rPr>
      </w:pPr>
      <w:bookmarkStart w:id="31" w:name="_Toc430018219"/>
      <w:bookmarkStart w:id="32" w:name="_Toc430016475"/>
      <w:r>
        <w:rPr>
          <w:rFonts w:ascii="Arial Narrow" w:hAnsi="Arial Narrow" w:eastAsia="仿宋_GB2312" w:cs="Arial Narrow"/>
        </w:rPr>
        <w:t>2、主要结论</w:t>
      </w:r>
      <w:bookmarkEnd w:id="31"/>
      <w:bookmarkEnd w:id="32"/>
    </w:p>
    <w:p w14:paraId="73F212E4">
      <w:pPr>
        <w:spacing w:line="360" w:lineRule="auto"/>
        <w:ind w:firstLine="480"/>
        <w:rPr>
          <w:rFonts w:hint="eastAsia" w:ascii="Arial Narrow" w:hAnsi="Arial Narrow" w:eastAsia="仿宋_GB2312" w:cs="Arial Narrow"/>
        </w:rPr>
      </w:pPr>
      <w:r>
        <w:rPr>
          <w:rFonts w:ascii="Arial Narrow" w:hAnsi="Arial Narrow" w:eastAsia="仿宋_GB2312" w:cs="Arial Narrow"/>
        </w:rPr>
        <w:t>（1）投入评价得分13分，评价等级为良（B）；项目为部门预算项目、延续性项目，执行时未发生重大调整，但无立项相关资料；区招商局与投资服务中心职能界限模糊，两部门未根据项目工作任务对预算资金进行测算，项目立项规范性有待加强；同时，项目设定了年度目标和绩效指标，但未设定长期目标；项目2018年计划到位资金475万元，实际到位475万元，资金到位率</w:t>
      </w:r>
      <w:r>
        <w:rPr>
          <w:rFonts w:hint="eastAsia" w:ascii="Arial Narrow" w:hAnsi="Arial Narrow" w:eastAsia="仿宋_GB2312" w:cs="Arial Narrow"/>
        </w:rPr>
        <w:t>与及时率均</w:t>
      </w:r>
      <w:r>
        <w:rPr>
          <w:rFonts w:ascii="Arial Narrow" w:hAnsi="Arial Narrow" w:eastAsia="仿宋_GB2312" w:cs="Arial Narrow"/>
        </w:rPr>
        <w:t>为100%。</w:t>
      </w:r>
    </w:p>
    <w:p w14:paraId="4D6C9AE8">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（2）过程评价得分2</w:t>
      </w:r>
      <w:r>
        <w:rPr>
          <w:rFonts w:hint="eastAsia" w:ascii="Arial Narrow" w:hAnsi="Arial Narrow" w:eastAsia="仿宋_GB2312" w:cs="Arial Narrow"/>
        </w:rPr>
        <w:t>4</w:t>
      </w:r>
      <w:r>
        <w:rPr>
          <w:rFonts w:ascii="Arial Narrow" w:hAnsi="Arial Narrow" w:eastAsia="仿宋_GB2312" w:cs="Arial Narrow"/>
        </w:rPr>
        <w:t>分，评价等级为优（A）；项目单位</w:t>
      </w:r>
      <w:r>
        <w:rPr>
          <w:rFonts w:hint="eastAsia" w:ascii="Arial Narrow" w:hAnsi="Arial Narrow" w:eastAsia="仿宋_GB2312" w:cs="Arial Narrow"/>
        </w:rPr>
        <w:t>整理、印制</w:t>
      </w:r>
      <w:r>
        <w:rPr>
          <w:rFonts w:ascii="Arial Narrow" w:hAnsi="Arial Narrow" w:eastAsia="仿宋_GB2312" w:cs="Arial Narrow"/>
        </w:rPr>
        <w:t>《党政机关公务开支相关制度汇编》，符合相关财务会计制度的规定，财务制度健全；为保障资金的安全、规范</w:t>
      </w:r>
      <w:r>
        <w:rPr>
          <w:rFonts w:hint="eastAsia" w:ascii="Arial Narrow" w:hAnsi="Arial Narrow" w:eastAsia="仿宋_GB2312" w:cs="Arial Narrow"/>
        </w:rPr>
        <w:t>使用，工委（</w:t>
      </w:r>
      <w:r>
        <w:rPr>
          <w:rFonts w:ascii="Arial Narrow" w:hAnsi="Arial Narrow" w:eastAsia="仿宋_GB2312" w:cs="Arial Narrow"/>
        </w:rPr>
        <w:t>区委</w:t>
      </w:r>
      <w:r>
        <w:rPr>
          <w:rFonts w:hint="eastAsia" w:ascii="Arial Narrow" w:hAnsi="Arial Narrow" w:eastAsia="仿宋_GB2312" w:cs="Arial Narrow"/>
        </w:rPr>
        <w:t>）</w:t>
      </w:r>
      <w:r>
        <w:rPr>
          <w:rFonts w:ascii="Arial Narrow" w:hAnsi="Arial Narrow" w:eastAsia="仿宋_GB2312" w:cs="Arial Narrow"/>
        </w:rPr>
        <w:t>第二巡察组对区招商局</w:t>
      </w:r>
      <w:r>
        <w:rPr>
          <w:rFonts w:hint="eastAsia" w:ascii="Arial Narrow" w:hAnsi="Arial Narrow" w:eastAsia="仿宋_GB2312" w:cs="Arial Narrow"/>
        </w:rPr>
        <w:t>、投资服务中心</w:t>
      </w:r>
      <w:r>
        <w:rPr>
          <w:rFonts w:ascii="Arial Narrow" w:hAnsi="Arial Narrow" w:eastAsia="仿宋_GB2312" w:cs="Arial Narrow"/>
        </w:rPr>
        <w:t>进行了常规巡察，</w:t>
      </w:r>
      <w:r>
        <w:rPr>
          <w:rFonts w:hint="eastAsia" w:ascii="Arial Narrow" w:hAnsi="Arial Narrow" w:eastAsia="仿宋_GB2312" w:cs="Arial Narrow"/>
        </w:rPr>
        <w:t>并出具了反馈意见，项目单位第一时间进行了整改反馈</w:t>
      </w:r>
      <w:r>
        <w:rPr>
          <w:rFonts w:ascii="Arial Narrow" w:hAnsi="Arial Narrow" w:eastAsia="仿宋_GB2312" w:cs="Arial Narrow"/>
        </w:rPr>
        <w:t>。项目单位在项目实施过程中成立招商引资工作领导小组，严格执行项目管理程序，制定了相应的绩效管理综合考评办法及监控机制。</w:t>
      </w:r>
    </w:p>
    <w:p w14:paraId="25BB26DC">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3）产出评价得分27.8分，评价等级为良（B）；项目产出完成情况较好，2018年全区引进100亿以上项目3个、引进50亿以上项目2个、引进10-50亿项目9个、引进1-10亿项目18个、引进国内外500强及知名跨国企业研发机构15个，引进大型央企投资、中国民营500强投资项目共19个；实际招商引资总额为724.80亿元，实际利用外资总额为190,703万美元，实际签约金额2</w:t>
      </w:r>
      <w:r>
        <w:rPr>
          <w:rFonts w:hint="eastAsia" w:ascii="Arial Narrow" w:hAnsi="Arial Narrow" w:eastAsia="仿宋_GB2312" w:cs="Arial Narrow"/>
        </w:rPr>
        <w:t>,</w:t>
      </w:r>
      <w:r>
        <w:rPr>
          <w:rFonts w:ascii="Arial Narrow" w:hAnsi="Arial Narrow" w:eastAsia="仿宋_GB2312" w:cs="Arial Narrow"/>
        </w:rPr>
        <w:t>002.2亿元，均达到预期目标；但项目预算资金共计475万元，实际支出共计195.07万元，其中区招商局实际支出128万元，投资服务中心实际支出67.07万元，资金使用率仅为41.07%。</w:t>
      </w:r>
    </w:p>
    <w:p w14:paraId="5D0EA416">
      <w:pPr>
        <w:spacing w:line="360" w:lineRule="auto"/>
        <w:ind w:firstLine="480" w:firstLineChars="200"/>
        <w:rPr>
          <w:rFonts w:ascii="仿宋_GB2312" w:hAnsi="仿宋_GB2312" w:eastAsia="仿宋_GB2312" w:cs="仿宋_GB2312"/>
        </w:rPr>
      </w:pPr>
      <w:r>
        <w:rPr>
          <w:rFonts w:ascii="Arial Narrow" w:hAnsi="Arial Narrow" w:eastAsia="仿宋_GB2312" w:cs="Arial Narrow"/>
        </w:rPr>
        <w:t>（4）效果评价得分25分，评价等级为优（A）；招商引资增长率为15.75%，实际利用外资增长率为30.28%，社零额同比增长率为10.80%，均达到了预期目标；招商引资项目覆盖率达到了100%；项目单位2018年参加了在武汉举行的新民营经济发展大会</w:t>
      </w:r>
      <w:r>
        <w:rPr>
          <w:rFonts w:hint="eastAsia" w:ascii="Arial Narrow" w:hAnsi="Arial Narrow" w:eastAsia="仿宋_GB2312" w:cs="Arial Narrow"/>
        </w:rPr>
        <w:t>、江汉大学校友专场</w:t>
      </w:r>
      <w:r>
        <w:rPr>
          <w:rFonts w:ascii="Arial Narrow" w:hAnsi="Arial Narrow" w:eastAsia="仿宋_GB2312" w:cs="Arial Narrow"/>
        </w:rPr>
        <w:t>等活动，赴博鳌亚洲论坛、大湾区专场等，招商宣</w:t>
      </w:r>
      <w:r>
        <w:rPr>
          <w:rFonts w:hint="eastAsia" w:ascii="仿宋_GB2312" w:hAnsi="仿宋_GB2312" w:eastAsia="仿宋_GB2312" w:cs="仿宋_GB2312"/>
        </w:rPr>
        <w:t>传多样;优化并丰富了招商引资的产业结构；招商局与投资服务中心人员打通使用、合并办公，部门职责界限模糊，不利于项目的后续运行。</w:t>
      </w:r>
    </w:p>
    <w:p w14:paraId="7401E507">
      <w:pPr>
        <w:pStyle w:val="3"/>
        <w:spacing w:before="0" w:after="0" w:line="360" w:lineRule="auto"/>
        <w:rPr>
          <w:rFonts w:hint="eastAsia" w:ascii="Arial Narrow" w:hAnsi="Arial Narrow" w:eastAsia="仿宋_GB2312" w:cs="Arial Narrow"/>
        </w:rPr>
      </w:pPr>
      <w:bookmarkStart w:id="33" w:name="_Toc24758"/>
      <w:bookmarkStart w:id="34" w:name="_Toc16149911"/>
      <w:r>
        <w:rPr>
          <w:rFonts w:ascii="Arial Narrow" w:hAnsi="Arial Narrow" w:eastAsia="仿宋_GB2312" w:cs="Arial Narrow"/>
        </w:rPr>
        <w:t>（三）主要经验与问题</w:t>
      </w:r>
      <w:bookmarkEnd w:id="33"/>
      <w:bookmarkEnd w:id="34"/>
    </w:p>
    <w:p w14:paraId="1107A5BB">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1、主要经验及做法</w:t>
      </w:r>
    </w:p>
    <w:p w14:paraId="5E9D2629">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1）成立了开发区招商工作领导小组，并出台《招商领导小组工作规则》，明确了招商工作领导小组主要职责；领导小组带队上门招商、洽谈重大项目，对拟落户的重大项目进行综合评估和决策；领导统筹全区招商引资工作，将招商引资工作任务分解落实到各分局、园区，责任到人，层层抓落实。</w:t>
      </w:r>
    </w:p>
    <w:p w14:paraId="0426FFFD">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2）区招商局与投资服务中心企业及项目引进工作基本落实到位，2018年全区引100亿以上项目3个、引进50亿以上项目2个、引进10-50亿项目9个，引进1-10亿项目18个，项目实施后引进国内外500强及知名跨国企业研发机构15个，引进世界500强、大型央企投资、中国民营500强投资项目共19个，保障了后期建设工作高效有序进行。</w:t>
      </w:r>
    </w:p>
    <w:p w14:paraId="20CF8211">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2、问题</w:t>
      </w:r>
    </w:p>
    <w:p w14:paraId="4D51440D">
      <w:pPr>
        <w:spacing w:line="360" w:lineRule="auto"/>
        <w:ind w:firstLine="480"/>
        <w:rPr>
          <w:rFonts w:hint="eastAsia" w:ascii="Arial Narrow" w:hAnsi="Arial Narrow" w:eastAsia="仿宋_GB2312" w:cs="Arial Narrow"/>
          <w:bCs/>
        </w:rPr>
      </w:pPr>
      <w:bookmarkStart w:id="35" w:name="_Toc481460262"/>
      <w:bookmarkStart w:id="36" w:name="_Toc21626"/>
      <w:r>
        <w:rPr>
          <w:rFonts w:hint="eastAsia" w:ascii="仿宋_GB2312" w:hAnsi="仿宋_GB2312" w:eastAsia="仿宋_GB2312" w:cs="仿宋_GB2312"/>
          <w:bCs/>
        </w:rPr>
        <w:t>“招商工作经费项目”绩效</w:t>
      </w:r>
      <w:r>
        <w:rPr>
          <w:rFonts w:ascii="Arial Narrow" w:hAnsi="Arial Narrow" w:eastAsia="仿宋_GB2312" w:cs="Arial Narrow"/>
          <w:bCs/>
        </w:rPr>
        <w:t>评价综合得分8</w:t>
      </w:r>
      <w:r>
        <w:rPr>
          <w:rFonts w:hint="eastAsia" w:ascii="Arial Narrow" w:hAnsi="Arial Narrow" w:eastAsia="仿宋_GB2312" w:cs="Arial Narrow"/>
          <w:bCs/>
        </w:rPr>
        <w:t>9.8</w:t>
      </w:r>
      <w:r>
        <w:rPr>
          <w:rFonts w:ascii="Arial Narrow" w:hAnsi="Arial Narrow" w:eastAsia="仿宋_GB2312" w:cs="Arial Narrow"/>
          <w:bCs/>
        </w:rPr>
        <w:t>分，整体绩效水平为</w:t>
      </w:r>
      <w:r>
        <w:rPr>
          <w:rFonts w:ascii="Arial Narrow" w:hAnsi="Arial Narrow" w:eastAsia="仿宋_GB2312" w:cs="Arial Narrow"/>
        </w:rPr>
        <w:t>良（B）</w:t>
      </w:r>
      <w:r>
        <w:rPr>
          <w:rFonts w:ascii="Arial Narrow" w:hAnsi="Arial Narrow" w:eastAsia="仿宋_GB2312" w:cs="Arial Narrow"/>
          <w:bCs/>
        </w:rPr>
        <w:t>，存在以下不足：</w:t>
      </w:r>
    </w:p>
    <w:p w14:paraId="47FAF04D">
      <w:pPr>
        <w:widowControl w:val="0"/>
        <w:spacing w:line="360" w:lineRule="auto"/>
        <w:ind w:firstLine="480" w:firstLineChars="200"/>
        <w:jc w:val="both"/>
        <w:rPr>
          <w:rFonts w:hint="eastAsia" w:ascii="Arial Narrow" w:hAnsi="Arial Narrow" w:eastAsia="仿宋_GB2312" w:cs="Arial Narrow"/>
          <w:kern w:val="2"/>
        </w:rPr>
      </w:pPr>
      <w:r>
        <w:rPr>
          <w:rFonts w:ascii="Arial Narrow" w:hAnsi="Arial Narrow" w:eastAsia="仿宋_GB2312" w:cs="Arial Narrow"/>
          <w:kern w:val="2"/>
        </w:rPr>
        <w:t>（1）</w:t>
      </w:r>
      <w:r>
        <w:rPr>
          <w:rFonts w:hint="eastAsia" w:ascii="Arial Narrow" w:hAnsi="Arial Narrow" w:eastAsia="仿宋_GB2312" w:cs="Arial Narrow"/>
        </w:rPr>
        <w:t>资金执行率偏低</w:t>
      </w:r>
      <w:r>
        <w:rPr>
          <w:rFonts w:ascii="Arial Narrow" w:hAnsi="Arial Narrow" w:eastAsia="仿宋_GB2312" w:cs="Arial Narrow"/>
          <w:kern w:val="2"/>
        </w:rPr>
        <w:t>；</w:t>
      </w:r>
      <w:r>
        <w:rPr>
          <w:rFonts w:ascii="Arial Narrow" w:hAnsi="Arial Narrow" w:eastAsia="仿宋_GB2312" w:cs="Arial Narrow"/>
        </w:rPr>
        <w:t>2018年度</w:t>
      </w:r>
      <w:r>
        <w:rPr>
          <w:rFonts w:ascii="Arial Narrow" w:hAnsi="Arial Narrow" w:eastAsia="仿宋_GB2312" w:cs="Arial Narrow"/>
          <w:kern w:val="2"/>
        </w:rPr>
        <w:t>项目预算资金475万元，实际支出</w:t>
      </w:r>
      <w:r>
        <w:rPr>
          <w:rFonts w:ascii="Arial Narrow" w:hAnsi="Arial Narrow" w:eastAsia="仿宋_GB2312" w:cs="Arial Narrow"/>
        </w:rPr>
        <w:t>195.07万元，</w:t>
      </w:r>
      <w:r>
        <w:rPr>
          <w:rFonts w:ascii="Arial Narrow" w:hAnsi="Arial Narrow" w:eastAsia="仿宋_GB2312" w:cs="Arial Narrow"/>
          <w:kern w:val="2"/>
        </w:rPr>
        <w:t>预算执行率</w:t>
      </w:r>
      <w:r>
        <w:rPr>
          <w:rFonts w:ascii="Arial Narrow" w:hAnsi="Arial Narrow" w:eastAsia="仿宋_GB2312" w:cs="Arial Narrow"/>
        </w:rPr>
        <w:t>仅为41.07%</w:t>
      </w:r>
      <w:r>
        <w:rPr>
          <w:rFonts w:ascii="Arial Narrow" w:hAnsi="Arial Narrow" w:eastAsia="仿宋_GB2312" w:cs="Arial Narrow"/>
          <w:kern w:val="2"/>
        </w:rPr>
        <w:t>。</w:t>
      </w:r>
      <w:r>
        <w:rPr>
          <w:rFonts w:hint="eastAsia" w:ascii="Arial Narrow" w:hAnsi="Arial Narrow" w:eastAsia="仿宋_GB2312" w:cs="Arial Narrow"/>
          <w:kern w:val="2"/>
        </w:rPr>
        <w:t>主要由于</w:t>
      </w:r>
      <w:r>
        <w:rPr>
          <w:rFonts w:ascii="Arial Narrow" w:hAnsi="Arial Narrow" w:eastAsia="仿宋_GB2312" w:cs="Arial Narrow"/>
          <w:bCs/>
        </w:rPr>
        <w:t>区招商局与</w:t>
      </w:r>
      <w:r>
        <w:rPr>
          <w:rFonts w:ascii="Arial Narrow" w:hAnsi="Arial Narrow" w:eastAsia="仿宋_GB2312" w:cs="Arial Narrow"/>
          <w:kern w:val="2"/>
        </w:rPr>
        <w:t>投资服务中心</w:t>
      </w:r>
      <w:r>
        <w:rPr>
          <w:rFonts w:ascii="Arial Narrow" w:hAnsi="Arial Narrow" w:eastAsia="仿宋_GB2312" w:cs="Arial Narrow"/>
          <w:bCs/>
        </w:rPr>
        <w:t>工作人员打通使用、合并办公，</w:t>
      </w:r>
      <w:r>
        <w:rPr>
          <w:rFonts w:ascii="Arial Narrow" w:hAnsi="Arial Narrow" w:eastAsia="仿宋_GB2312" w:cs="Arial Narrow"/>
        </w:rPr>
        <w:t>部门职责界限模糊，未能根据项目任务分工对预算资金进行测算，</w:t>
      </w:r>
      <w:r>
        <w:rPr>
          <w:rFonts w:ascii="Arial Narrow" w:hAnsi="Arial Narrow" w:eastAsia="仿宋_GB2312" w:cs="Arial Narrow"/>
          <w:kern w:val="2"/>
        </w:rPr>
        <w:t>在预算申报时，沿用往年预算资金，预算编制准确性不高，</w:t>
      </w:r>
      <w:r>
        <w:rPr>
          <w:rFonts w:hint="eastAsia" w:ascii="Arial Narrow" w:hAnsi="Arial Narrow" w:eastAsia="仿宋_GB2312" w:cs="Arial Narrow"/>
          <w:kern w:val="2"/>
        </w:rPr>
        <w:t>不利于项目的后续发展。</w:t>
      </w:r>
    </w:p>
    <w:p w14:paraId="57A149DE">
      <w:pPr>
        <w:spacing w:line="360" w:lineRule="auto"/>
        <w:ind w:firstLine="480"/>
        <w:rPr>
          <w:rFonts w:hint="eastAsia" w:ascii="Arial Narrow" w:hAnsi="Arial Narrow" w:eastAsia="仿宋_GB2312" w:cs="Arial Narrow"/>
        </w:rPr>
      </w:pPr>
      <w:r>
        <w:rPr>
          <w:rFonts w:ascii="Arial Narrow" w:hAnsi="Arial Narrow" w:eastAsia="仿宋_GB2312" w:cs="Arial Narrow"/>
        </w:rPr>
        <w:t>（2）项目单位未制定长期工作计划，部分绩效指标内容宽泛不够量化，缺乏可测性。项目单位编制了项目绩效目标表，但</w:t>
      </w:r>
      <w:r>
        <w:rPr>
          <w:rFonts w:ascii="Arial Narrow" w:hAnsi="Arial Narrow" w:eastAsia="仿宋_GB2312" w:cs="Arial Narrow"/>
          <w:kern w:val="2"/>
        </w:rPr>
        <w:t>未设定项目长期目标</w:t>
      </w:r>
      <w:r>
        <w:rPr>
          <w:rFonts w:ascii="Arial Narrow" w:hAnsi="Arial Narrow" w:eastAsia="仿宋_GB2312" w:cs="Arial Narrow"/>
        </w:rPr>
        <w:t>，</w:t>
      </w:r>
      <w:r>
        <w:rPr>
          <w:rFonts w:hint="eastAsia" w:ascii="Arial Narrow" w:hAnsi="Arial Narrow" w:eastAsia="仿宋_GB2312" w:cs="Arial Narrow"/>
        </w:rPr>
        <w:t>设立了年度目标，但年度目标不够细化，且“推动创新创业要素在区内聚集”等效益</w:t>
      </w:r>
      <w:r>
        <w:rPr>
          <w:rFonts w:ascii="Arial Narrow" w:hAnsi="Arial Narrow" w:eastAsia="仿宋_GB2312" w:cs="Arial Narrow"/>
        </w:rPr>
        <w:t>指标缺乏</w:t>
      </w:r>
      <w:r>
        <w:rPr>
          <w:rFonts w:hint="eastAsia" w:ascii="Arial Narrow" w:hAnsi="Arial Narrow" w:eastAsia="仿宋_GB2312" w:cs="Arial Narrow"/>
        </w:rPr>
        <w:t>一定</w:t>
      </w:r>
      <w:r>
        <w:rPr>
          <w:rFonts w:ascii="Arial Narrow" w:hAnsi="Arial Narrow" w:eastAsia="仿宋_GB2312" w:cs="Arial Narrow"/>
        </w:rPr>
        <w:t>可测性，不利于</w:t>
      </w:r>
      <w:r>
        <w:rPr>
          <w:rFonts w:ascii="Arial Narrow" w:hAnsi="Arial Narrow" w:eastAsia="仿宋_GB2312" w:cs="Arial Narrow"/>
          <w:kern w:val="2"/>
        </w:rPr>
        <w:t>招商工作有序开展，也</w:t>
      </w:r>
      <w:r>
        <w:rPr>
          <w:rFonts w:hint="eastAsia" w:ascii="Arial Narrow" w:hAnsi="Arial Narrow" w:eastAsia="仿宋_GB2312" w:cs="Arial Narrow"/>
          <w:kern w:val="2"/>
        </w:rPr>
        <w:t>不便于</w:t>
      </w:r>
      <w:r>
        <w:rPr>
          <w:rFonts w:ascii="Arial Narrow" w:hAnsi="Arial Narrow" w:eastAsia="仿宋_GB2312" w:cs="Arial Narrow"/>
        </w:rPr>
        <w:t>考核项目的完成情况。</w:t>
      </w:r>
    </w:p>
    <w:p w14:paraId="24CAF452">
      <w:pPr>
        <w:pStyle w:val="3"/>
        <w:spacing w:before="0" w:after="0" w:line="360" w:lineRule="auto"/>
        <w:rPr>
          <w:rFonts w:hint="eastAsia" w:ascii="Arial Narrow" w:hAnsi="Arial Narrow" w:eastAsia="仿宋_GB2312" w:cs="Arial Narrow"/>
        </w:rPr>
      </w:pPr>
      <w:bookmarkStart w:id="37" w:name="_Toc16149912"/>
      <w:r>
        <w:rPr>
          <w:rFonts w:ascii="Arial Narrow" w:hAnsi="Arial Narrow" w:eastAsia="仿宋_GB2312" w:cs="Arial Narrow"/>
        </w:rPr>
        <w:t>（四）建议</w:t>
      </w:r>
      <w:bookmarkEnd w:id="35"/>
      <w:bookmarkEnd w:id="36"/>
      <w:bookmarkEnd w:id="37"/>
    </w:p>
    <w:p w14:paraId="2372A328">
      <w:pPr>
        <w:spacing w:line="360" w:lineRule="auto"/>
        <w:ind w:firstLine="480"/>
        <w:rPr>
          <w:rFonts w:hint="eastAsia" w:ascii="Arial Narrow" w:hAnsi="Arial Narrow" w:eastAsia="仿宋_GB2312" w:cs="Arial Narrow"/>
        </w:rPr>
      </w:pPr>
      <w:r>
        <w:rPr>
          <w:rFonts w:ascii="Arial Narrow" w:hAnsi="Arial Narrow" w:eastAsia="仿宋_GB2312" w:cs="Arial Narrow"/>
        </w:rPr>
        <w:t>1、</w:t>
      </w:r>
      <w:r>
        <w:rPr>
          <w:rFonts w:hint="eastAsia" w:ascii="Arial Narrow" w:hAnsi="Arial Narrow" w:eastAsia="仿宋_GB2312" w:cs="Arial Narrow"/>
        </w:rPr>
        <w:t>提高资金使用率。</w:t>
      </w:r>
      <w:r>
        <w:rPr>
          <w:rFonts w:ascii="Arial Narrow" w:hAnsi="Arial Narrow" w:eastAsia="仿宋_GB2312" w:cs="Arial Narrow"/>
          <w:kern w:val="2"/>
        </w:rPr>
        <w:t>明确两部门职责</w:t>
      </w:r>
      <w:r>
        <w:rPr>
          <w:rFonts w:ascii="Arial Narrow" w:hAnsi="Arial Narrow" w:eastAsia="仿宋_GB2312" w:cs="Arial Narrow"/>
          <w:bCs/>
          <w:kern w:val="2"/>
        </w:rPr>
        <w:t>，</w:t>
      </w:r>
      <w:r>
        <w:rPr>
          <w:rFonts w:hint="eastAsia" w:ascii="Arial Narrow" w:hAnsi="Arial Narrow" w:eastAsia="仿宋_GB2312" w:cs="Arial Narrow"/>
        </w:rPr>
        <w:t>合理编制</w:t>
      </w:r>
      <w:r>
        <w:rPr>
          <w:rFonts w:ascii="Arial Narrow" w:hAnsi="Arial Narrow" w:eastAsia="仿宋_GB2312" w:cs="Arial Narrow"/>
          <w:kern w:val="2"/>
        </w:rPr>
        <w:t>预算。</w:t>
      </w:r>
      <w:r>
        <w:rPr>
          <w:rFonts w:ascii="Arial Narrow" w:hAnsi="Arial Narrow" w:eastAsia="仿宋_GB2312" w:cs="Arial Narrow"/>
        </w:rPr>
        <w:t>区招商局与投资服务中心应明确工作职责，</w:t>
      </w:r>
      <w:r>
        <w:rPr>
          <w:rFonts w:ascii="Arial Narrow" w:hAnsi="Arial Narrow" w:eastAsia="仿宋_GB2312" w:cs="Arial Narrow"/>
          <w:bCs/>
          <w:kern w:val="2"/>
        </w:rPr>
        <w:t>根据项目任务分工，结合</w:t>
      </w:r>
      <w:r>
        <w:rPr>
          <w:rFonts w:ascii="Arial Narrow" w:hAnsi="Arial Narrow" w:eastAsia="仿宋_GB2312" w:cs="Arial Narrow"/>
          <w:kern w:val="2"/>
        </w:rPr>
        <w:t>各招商小组往年上报的招商工作经费使用情况，</w:t>
      </w:r>
      <w:r>
        <w:rPr>
          <w:rFonts w:ascii="Arial Narrow" w:hAnsi="Arial Narrow" w:eastAsia="仿宋_GB2312" w:cs="Arial Narrow"/>
          <w:bCs/>
          <w:kern w:val="2"/>
        </w:rPr>
        <w:t>对当</w:t>
      </w:r>
      <w:r>
        <w:rPr>
          <w:rFonts w:hint="eastAsia" w:ascii="仿宋_GB2312" w:hAnsi="仿宋_GB2312" w:eastAsia="仿宋_GB2312" w:cs="仿宋_GB2312"/>
          <w:bCs/>
          <w:kern w:val="2"/>
        </w:rPr>
        <w:t>年“招商工作经费项目”开</w:t>
      </w:r>
      <w:r>
        <w:rPr>
          <w:rFonts w:ascii="Arial Narrow" w:hAnsi="Arial Narrow" w:eastAsia="仿宋_GB2312" w:cs="Arial Narrow"/>
          <w:bCs/>
          <w:kern w:val="2"/>
        </w:rPr>
        <w:t>展预算资金测算，合理安排项目预算，提高</w:t>
      </w:r>
      <w:r>
        <w:rPr>
          <w:rFonts w:ascii="Arial Narrow" w:hAnsi="Arial Narrow" w:eastAsia="仿宋_GB2312" w:cs="Arial Narrow"/>
          <w:kern w:val="2"/>
        </w:rPr>
        <w:t>预算编制准确性及</w:t>
      </w:r>
      <w:r>
        <w:rPr>
          <w:rFonts w:ascii="Arial Narrow" w:hAnsi="Arial Narrow" w:eastAsia="仿宋_GB2312" w:cs="Arial Narrow"/>
          <w:bCs/>
          <w:kern w:val="2"/>
        </w:rPr>
        <w:t>预算执行率。</w:t>
      </w:r>
    </w:p>
    <w:p w14:paraId="4ABA81B0">
      <w:pPr>
        <w:spacing w:line="360" w:lineRule="auto"/>
        <w:ind w:firstLine="480"/>
        <w:rPr>
          <w:rFonts w:hint="eastAsia" w:ascii="Arial Narrow" w:hAnsi="Arial Narrow" w:eastAsia="仿宋_GB2312" w:cs="Arial Narrow"/>
        </w:rPr>
      </w:pPr>
      <w:r>
        <w:rPr>
          <w:rFonts w:ascii="Arial Narrow" w:hAnsi="Arial Narrow" w:eastAsia="仿宋_GB2312" w:cs="Arial Narrow"/>
        </w:rPr>
        <w:t>2、制定长期</w:t>
      </w:r>
      <w:r>
        <w:rPr>
          <w:rFonts w:ascii="Arial Narrow" w:hAnsi="Arial Narrow" w:eastAsia="仿宋_GB2312" w:cs="Arial Narrow"/>
          <w:kern w:val="2"/>
        </w:rPr>
        <w:t>工作计划将绩效指标内容细化，让绩效目标量化可测</w:t>
      </w:r>
      <w:r>
        <w:rPr>
          <w:rFonts w:ascii="Arial Narrow" w:hAnsi="Arial Narrow" w:eastAsia="仿宋_GB2312" w:cs="Arial Narrow"/>
        </w:rPr>
        <w:t>。区招商局与投资服务中心要加强重视，健全单位绩效目标与指标体系，根据年度工作计划、项目性质及往年实施情况制定当年绩效目标，并将绩效目标分解为清晰、可衡量的绩效指标。根据资金支出方向，建议在项目完成情况、实施效果方面设置</w:t>
      </w:r>
      <w:r>
        <w:rPr>
          <w:rFonts w:hint="eastAsia" w:ascii="Arial Narrow" w:hAnsi="Arial Narrow" w:eastAsia="仿宋_GB2312" w:cs="Arial Narrow"/>
        </w:rPr>
        <w:t>部分定量</w:t>
      </w:r>
      <w:r>
        <w:rPr>
          <w:rFonts w:ascii="Arial Narrow" w:hAnsi="Arial Narrow" w:eastAsia="仿宋_GB2312" w:cs="Arial Narrow"/>
        </w:rPr>
        <w:t>指标，例</w:t>
      </w:r>
      <w:r>
        <w:rPr>
          <w:rFonts w:hint="eastAsia" w:ascii="仿宋_GB2312" w:hAnsi="仿宋_GB2312" w:eastAsia="仿宋_GB2312" w:cs="仿宋_GB2312"/>
        </w:rPr>
        <w:t>如“经济增长率”、“招商引资园区覆盖率”等</w:t>
      </w:r>
      <w:r>
        <w:rPr>
          <w:rFonts w:ascii="Arial Narrow" w:hAnsi="Arial Narrow" w:eastAsia="仿宋_GB2312" w:cs="Arial Narrow"/>
        </w:rPr>
        <w:t>，并设置合理的指标值，从定性和定量两个方面</w:t>
      </w:r>
      <w:r>
        <w:rPr>
          <w:rFonts w:hint="eastAsia" w:ascii="Arial Narrow" w:hAnsi="Arial Narrow" w:eastAsia="仿宋_GB2312" w:cs="Arial Narrow"/>
        </w:rPr>
        <w:t>考核</w:t>
      </w:r>
      <w:r>
        <w:rPr>
          <w:rFonts w:ascii="Arial Narrow" w:hAnsi="Arial Narrow" w:eastAsia="仿宋_GB2312" w:cs="Arial Narrow"/>
        </w:rPr>
        <w:t>项目实施情况和资金使用效益</w:t>
      </w:r>
      <w:r>
        <w:rPr>
          <w:rFonts w:ascii="Arial Narrow" w:hAnsi="Arial Narrow" w:eastAsia="仿宋_GB2312" w:cs="Arial Narrow"/>
          <w:kern w:val="2"/>
        </w:rPr>
        <w:t>。</w:t>
      </w:r>
    </w:p>
    <w:p w14:paraId="4F613826">
      <w:pPr>
        <w:pStyle w:val="2"/>
        <w:snapToGrid w:val="0"/>
        <w:spacing w:before="156" w:beforeLines="50" w:after="0" w:line="360" w:lineRule="auto"/>
        <w:rPr>
          <w:rFonts w:hint="eastAsia" w:ascii="Arial Narrow" w:hAnsi="Arial Narrow" w:eastAsia="仿宋_GB2312" w:cs="Arial Narrow"/>
          <w:sz w:val="24"/>
        </w:rPr>
      </w:pPr>
      <w:bookmarkStart w:id="38" w:name="_Toc16149913"/>
      <w:r>
        <w:rPr>
          <w:rFonts w:ascii="Arial Narrow" w:hAnsi="Arial Narrow" w:eastAsia="仿宋_GB2312" w:cs="Arial Narrow"/>
          <w:sz w:val="24"/>
        </w:rPr>
        <w:t>二、正文</w:t>
      </w:r>
      <w:bookmarkEnd w:id="38"/>
    </w:p>
    <w:p w14:paraId="0135F2A8">
      <w:pPr>
        <w:pStyle w:val="3"/>
        <w:spacing w:before="0" w:after="0" w:line="360" w:lineRule="auto"/>
        <w:ind w:firstLine="482" w:firstLineChars="200"/>
        <w:rPr>
          <w:rFonts w:hint="eastAsia" w:ascii="Arial Narrow" w:hAnsi="Arial Narrow" w:eastAsia="仿宋_GB2312" w:cs="Arial Narrow"/>
        </w:rPr>
      </w:pPr>
      <w:bookmarkStart w:id="39" w:name="_Toc16149914"/>
      <w:r>
        <w:rPr>
          <w:rFonts w:ascii="Arial Narrow" w:hAnsi="Arial Narrow" w:eastAsia="仿宋_GB2312" w:cs="Arial Narrow"/>
        </w:rPr>
        <w:t>（一）项目基本情况</w:t>
      </w:r>
      <w:bookmarkEnd w:id="39"/>
    </w:p>
    <w:p w14:paraId="2F9AA9EE">
      <w:pPr>
        <w:pStyle w:val="4"/>
        <w:spacing w:before="0" w:after="0" w:line="360" w:lineRule="auto"/>
        <w:ind w:firstLine="480" w:firstLineChars="200"/>
        <w:rPr>
          <w:rFonts w:hint="eastAsia" w:ascii="Arial Narrow" w:hAnsi="Arial Narrow" w:eastAsia="仿宋_GB2312" w:cs="Arial Narrow"/>
          <w:b w:val="0"/>
        </w:rPr>
      </w:pPr>
      <w:bookmarkStart w:id="40" w:name="_Toc16149915"/>
      <w:r>
        <w:rPr>
          <w:rFonts w:ascii="Arial Narrow" w:hAnsi="Arial Narrow" w:eastAsia="仿宋_GB2312" w:cs="Arial Narrow"/>
          <w:b w:val="0"/>
        </w:rPr>
        <w:t>1、项目立项背景及依据</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40"/>
    </w:p>
    <w:bookmarkEnd w:id="16"/>
    <w:p w14:paraId="564B5905">
      <w:pPr>
        <w:spacing w:line="360" w:lineRule="auto"/>
        <w:ind w:firstLine="480" w:firstLineChars="200"/>
        <w:rPr>
          <w:rFonts w:hint="eastAsia" w:ascii="Arial Narrow" w:hAnsi="Arial Narrow" w:eastAsia="仿宋_GB2312" w:cs="Arial Narrow"/>
          <w:bCs/>
        </w:rPr>
      </w:pPr>
      <w:bookmarkStart w:id="41" w:name="_Toc6330"/>
      <w:r>
        <w:rPr>
          <w:rFonts w:ascii="Arial Narrow" w:hAnsi="Arial Narrow" w:eastAsia="仿宋_GB2312" w:cs="Arial Narrow"/>
          <w:bCs/>
        </w:rPr>
        <w:t>武汉经济技术开发区（汉南区）招商局（以下简称</w:t>
      </w:r>
      <w:r>
        <w:rPr>
          <w:rFonts w:hint="eastAsia" w:ascii="仿宋_GB2312" w:hAnsi="仿宋_GB2312" w:eastAsia="仿宋_GB2312" w:cs="仿宋_GB2312"/>
          <w:bCs/>
        </w:rPr>
        <w:t>“招商局”</w:t>
      </w:r>
      <w:r>
        <w:rPr>
          <w:rFonts w:ascii="Arial Narrow" w:hAnsi="Arial Narrow" w:eastAsia="仿宋_GB2312" w:cs="Arial Narrow"/>
          <w:bCs/>
        </w:rPr>
        <w:t>）主要职能是统筹协调和指导全区招商引资和投资促进工作，组织、策划、协调以开发区名义在境内外举办和参加的各种招商引资活动等，部门现有行政编制25人；武汉经济技术开发区投资服务中心（以下简称</w:t>
      </w:r>
      <w:r>
        <w:rPr>
          <w:rFonts w:hint="eastAsia" w:ascii="仿宋_GB2312" w:hAnsi="仿宋_GB2312" w:eastAsia="仿宋_GB2312" w:cs="仿宋_GB2312"/>
          <w:bCs/>
        </w:rPr>
        <w:t>“投资服务中心”</w:t>
      </w:r>
      <w:r>
        <w:rPr>
          <w:rFonts w:ascii="Arial Narrow" w:hAnsi="Arial Narrow" w:eastAsia="仿宋_GB2312" w:cs="Arial Narrow"/>
          <w:bCs/>
        </w:rPr>
        <w:t>）为全额拨款事业单位，部门现有事业</w:t>
      </w:r>
      <w:r>
        <w:rPr>
          <w:rFonts w:hint="eastAsia" w:ascii="Arial Narrow" w:hAnsi="Arial Narrow" w:eastAsia="仿宋_GB2312" w:cs="Arial Narrow"/>
          <w:bCs/>
        </w:rPr>
        <w:t>人员</w:t>
      </w:r>
      <w:r>
        <w:rPr>
          <w:rFonts w:ascii="Arial Narrow" w:hAnsi="Arial Narrow" w:eastAsia="仿宋_GB2312" w:cs="Arial Narrow"/>
          <w:bCs/>
        </w:rPr>
        <w:t>21人；区招商局与区投资中心工作人员打通使用、合并办公。</w:t>
      </w:r>
    </w:p>
    <w:p w14:paraId="070790CF">
      <w:pPr>
        <w:spacing w:line="360" w:lineRule="auto"/>
        <w:ind w:firstLine="480" w:firstLineChars="200"/>
        <w:rPr>
          <w:rFonts w:hint="eastAsia" w:ascii="Arial Narrow" w:hAnsi="Arial Narrow" w:eastAsia="仿宋_GB2312" w:cs="Arial Narrow"/>
        </w:rPr>
      </w:pPr>
      <w:r>
        <w:rPr>
          <w:rFonts w:hint="eastAsia" w:ascii="Arial Narrow" w:hAnsi="Arial Narrow" w:eastAsia="仿宋_GB2312" w:cs="Arial Narrow"/>
          <w:bCs/>
        </w:rPr>
        <w:t>区</w:t>
      </w:r>
      <w:r>
        <w:rPr>
          <w:rFonts w:ascii="Arial Narrow" w:hAnsi="Arial Narrow" w:eastAsia="仿宋_GB2312" w:cs="Arial Narrow"/>
          <w:bCs/>
        </w:rPr>
        <w:t>招商局与</w:t>
      </w:r>
      <w:r>
        <w:rPr>
          <w:rFonts w:hint="eastAsia" w:ascii="Arial Narrow" w:hAnsi="Arial Narrow" w:eastAsia="仿宋_GB2312" w:cs="Arial Narrow"/>
          <w:bCs/>
        </w:rPr>
        <w:t>区</w:t>
      </w:r>
      <w:r>
        <w:rPr>
          <w:rFonts w:ascii="Arial Narrow" w:hAnsi="Arial Narrow" w:eastAsia="仿宋_GB2312" w:cs="Arial Narrow"/>
          <w:bCs/>
        </w:rPr>
        <w:t>投资服务中心一起承担招商引资额、实际利用外资等多项绩效指标，按照省、市、区的要求，紧紧围绕转型升级、创新发展主题，主动作为，拼搏赶超，开拓创新，力争为</w:t>
      </w:r>
      <w:r>
        <w:rPr>
          <w:rFonts w:hint="eastAsia" w:ascii="Arial Narrow" w:hAnsi="Arial Narrow" w:eastAsia="仿宋_GB2312" w:cs="Arial Narrow"/>
          <w:bCs/>
        </w:rPr>
        <w:t>开发区高质量发展</w:t>
      </w:r>
      <w:r>
        <w:rPr>
          <w:rFonts w:ascii="Arial Narrow" w:hAnsi="Arial Narrow" w:eastAsia="仿宋_GB2312" w:cs="Arial Narrow"/>
          <w:bCs/>
        </w:rPr>
        <w:t>贡献力量。</w:t>
      </w:r>
      <w:r>
        <w:rPr>
          <w:rFonts w:hint="eastAsia" w:ascii="Arial Narrow" w:hAnsi="Arial Narrow" w:eastAsia="仿宋_GB2312" w:cs="Arial Narrow"/>
          <w:bCs/>
        </w:rPr>
        <w:t>“</w:t>
      </w:r>
      <w:r>
        <w:rPr>
          <w:rFonts w:ascii="Arial Narrow" w:hAnsi="Arial Narrow" w:eastAsia="仿宋_GB2312" w:cs="Arial Narrow"/>
          <w:bCs/>
        </w:rPr>
        <w:t>招商工作经费</w:t>
      </w:r>
      <w:r>
        <w:rPr>
          <w:rFonts w:hint="eastAsia" w:ascii="Arial Narrow" w:hAnsi="Arial Narrow" w:eastAsia="仿宋_GB2312" w:cs="Arial Narrow"/>
          <w:bCs/>
        </w:rPr>
        <w:t>”</w:t>
      </w:r>
      <w:r>
        <w:rPr>
          <w:rFonts w:ascii="Arial Narrow" w:hAnsi="Arial Narrow" w:eastAsia="仿宋_GB2312" w:cs="Arial Narrow"/>
          <w:bCs/>
        </w:rPr>
        <w:t>是</w:t>
      </w:r>
      <w:r>
        <w:rPr>
          <w:rFonts w:hint="eastAsia" w:ascii="Arial Narrow" w:hAnsi="Arial Narrow" w:eastAsia="仿宋_GB2312" w:cs="Arial Narrow"/>
          <w:bCs/>
        </w:rPr>
        <w:t>招商局、</w:t>
      </w:r>
      <w:r>
        <w:rPr>
          <w:rFonts w:ascii="Arial Narrow" w:hAnsi="Arial Narrow" w:eastAsia="仿宋_GB2312" w:cs="Arial Narrow"/>
          <w:bCs/>
        </w:rPr>
        <w:t>投资服务中心每年固定的工作经费，也是</w:t>
      </w:r>
      <w:r>
        <w:rPr>
          <w:rFonts w:hint="eastAsia" w:ascii="Arial Narrow" w:hAnsi="Arial Narrow" w:eastAsia="仿宋_GB2312" w:cs="Arial Narrow"/>
          <w:bCs/>
        </w:rPr>
        <w:t>开展</w:t>
      </w:r>
      <w:r>
        <w:rPr>
          <w:rFonts w:ascii="Arial Narrow" w:hAnsi="Arial Narrow" w:eastAsia="仿宋_GB2312" w:cs="Arial Narrow"/>
          <w:bCs/>
        </w:rPr>
        <w:t>招商引资</w:t>
      </w:r>
      <w:r>
        <w:rPr>
          <w:rFonts w:hint="eastAsia" w:ascii="Arial Narrow" w:hAnsi="Arial Narrow" w:eastAsia="仿宋_GB2312" w:cs="Arial Narrow"/>
          <w:bCs/>
        </w:rPr>
        <w:t>活动</w:t>
      </w:r>
      <w:r>
        <w:rPr>
          <w:rFonts w:ascii="Arial Narrow" w:hAnsi="Arial Narrow" w:eastAsia="仿宋_GB2312" w:cs="Arial Narrow"/>
          <w:bCs/>
        </w:rPr>
        <w:t>的重要财力保障。为维持招商引资日常工作需要，推动相关项目在开发区落户，促进开发区与相关国家（地区）企业的交流与合作，</w:t>
      </w:r>
      <w:r>
        <w:rPr>
          <w:rFonts w:ascii="Arial Narrow" w:hAnsi="Arial Narrow" w:eastAsia="仿宋_GB2312" w:cs="Arial Narrow"/>
        </w:rPr>
        <w:t>招商局</w:t>
      </w:r>
      <w:r>
        <w:rPr>
          <w:rFonts w:hint="eastAsia" w:ascii="Arial Narrow" w:hAnsi="Arial Narrow" w:eastAsia="仿宋_GB2312" w:cs="Arial Narrow"/>
        </w:rPr>
        <w:t>、</w:t>
      </w:r>
      <w:r>
        <w:rPr>
          <w:rFonts w:ascii="Arial Narrow" w:hAnsi="Arial Narrow" w:eastAsia="仿宋_GB2312" w:cs="Arial Narrow"/>
        </w:rPr>
        <w:t>投资服务中心2018年度</w:t>
      </w:r>
      <w:r>
        <w:rPr>
          <w:rFonts w:hint="eastAsia" w:ascii="仿宋_GB2312" w:hAnsi="仿宋_GB2312" w:eastAsia="仿宋_GB2312" w:cs="仿宋_GB2312"/>
        </w:rPr>
        <w:t>“</w:t>
      </w:r>
      <w:r>
        <w:rPr>
          <w:rFonts w:hint="eastAsia" w:ascii="仿宋_GB2312" w:hAnsi="仿宋_GB2312" w:eastAsia="仿宋_GB2312" w:cs="仿宋_GB2312"/>
          <w:kern w:val="32"/>
        </w:rPr>
        <w:t>招商工作经费</w:t>
      </w:r>
      <w:r>
        <w:rPr>
          <w:rFonts w:hint="eastAsia" w:ascii="仿宋_GB2312" w:hAnsi="仿宋_GB2312" w:eastAsia="仿宋_GB2312" w:cs="仿宋_GB2312"/>
        </w:rPr>
        <w:t>”</w:t>
      </w:r>
      <w:r>
        <w:rPr>
          <w:rFonts w:hint="eastAsia" w:ascii="仿宋_GB2312" w:hAnsi="仿宋_GB2312" w:eastAsia="仿宋_GB2312" w:cs="仿宋_GB2312"/>
          <w:kern w:val="32"/>
        </w:rPr>
        <w:t>项目</w:t>
      </w:r>
      <w:r>
        <w:rPr>
          <w:rFonts w:ascii="Arial Narrow" w:hAnsi="Arial Narrow" w:eastAsia="仿宋_GB2312" w:cs="Arial Narrow"/>
        </w:rPr>
        <w:t>预算资金分别为275.00万元、200.00万元，实际支出分别为128.00万元、67.07万元，主要为</w:t>
      </w:r>
      <w:r>
        <w:rPr>
          <w:rFonts w:hint="eastAsia" w:ascii="Arial Narrow" w:hAnsi="Arial Narrow" w:eastAsia="仿宋_GB2312" w:cs="Arial Narrow"/>
        </w:rPr>
        <w:t>商务</w:t>
      </w:r>
      <w:r>
        <w:rPr>
          <w:rFonts w:ascii="Arial Narrow" w:hAnsi="Arial Narrow" w:eastAsia="仿宋_GB2312" w:cs="Arial Narrow"/>
        </w:rPr>
        <w:t>接待费、因公出国（境）费用、差旅费、劳务费等支出。</w:t>
      </w:r>
    </w:p>
    <w:p w14:paraId="3CF33741">
      <w:pPr>
        <w:pStyle w:val="4"/>
        <w:spacing w:before="0" w:after="0"/>
        <w:ind w:firstLine="480" w:firstLineChars="200"/>
        <w:rPr>
          <w:rFonts w:hint="eastAsia" w:ascii="Arial Narrow" w:hAnsi="Arial Narrow" w:eastAsia="仿宋_GB2312" w:cs="Arial Narrow"/>
          <w:b w:val="0"/>
        </w:rPr>
      </w:pPr>
      <w:bookmarkStart w:id="42" w:name="_Toc16149916"/>
      <w:r>
        <w:rPr>
          <w:rFonts w:ascii="Arial Narrow" w:hAnsi="Arial Narrow" w:eastAsia="仿宋_GB2312" w:cs="Arial Narrow"/>
          <w:b w:val="0"/>
        </w:rPr>
        <w:t>2、项目绩效目标</w:t>
      </w:r>
      <w:bookmarkEnd w:id="41"/>
      <w:bookmarkEnd w:id="42"/>
    </w:p>
    <w:p w14:paraId="02CE5B8F">
      <w:pPr>
        <w:spacing w:line="360" w:lineRule="auto"/>
        <w:ind w:firstLine="360" w:firstLineChars="150"/>
        <w:rPr>
          <w:rFonts w:hint="eastAsia" w:ascii="Arial Narrow" w:hAnsi="Arial Narrow" w:eastAsia="仿宋_GB2312" w:cs="Arial Narrow"/>
        </w:rPr>
      </w:pPr>
      <w:r>
        <w:rPr>
          <w:rFonts w:ascii="Arial Narrow" w:hAnsi="Arial Narrow" w:eastAsia="仿宋_GB2312" w:cs="Arial Narrow"/>
        </w:rPr>
        <w:t>（1）长期目标</w:t>
      </w:r>
    </w:p>
    <w:p w14:paraId="1050CE49">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完善组织构架，优化招商体制机制。强化绩效考核，力保指标按时按量完成。围</w:t>
      </w:r>
      <w:r>
        <w:rPr>
          <w:rFonts w:hint="eastAsia" w:ascii="仿宋_GB2312" w:hAnsi="仿宋_GB2312" w:eastAsia="仿宋_GB2312" w:cs="仿宋_GB2312"/>
        </w:rPr>
        <w:t>绕“四都”发展规</w:t>
      </w:r>
      <w:r>
        <w:rPr>
          <w:rFonts w:ascii="Arial Narrow" w:hAnsi="Arial Narrow" w:eastAsia="仿宋_GB2312" w:cs="Arial Narrow"/>
        </w:rPr>
        <w:t>划列出的重点招商项目库和企业库，开展针对性招商工作，坚定转型升级、创新发展，着力推动</w:t>
      </w:r>
      <w:r>
        <w:rPr>
          <w:rFonts w:hint="eastAsia" w:ascii="仿宋_GB2312" w:hAnsi="仿宋_GB2312" w:eastAsia="仿宋_GB2312" w:cs="仿宋_GB2312"/>
        </w:rPr>
        <w:t>“五个转型”</w:t>
      </w:r>
      <w:r>
        <w:rPr>
          <w:rFonts w:ascii="Arial Narrow" w:hAnsi="Arial Narrow" w:eastAsia="仿宋_GB2312" w:cs="Arial Narrow"/>
        </w:rPr>
        <w:t>。</w:t>
      </w:r>
    </w:p>
    <w:p w14:paraId="37787C7E">
      <w:pPr>
        <w:spacing w:line="360" w:lineRule="auto"/>
        <w:ind w:firstLine="360" w:firstLineChars="150"/>
        <w:rPr>
          <w:rFonts w:hint="eastAsia" w:ascii="Arial Narrow" w:hAnsi="Arial Narrow" w:eastAsia="仿宋_GB2312" w:cs="Arial Narrow"/>
        </w:rPr>
      </w:pPr>
      <w:r>
        <w:rPr>
          <w:rFonts w:ascii="Arial Narrow" w:hAnsi="Arial Narrow" w:eastAsia="仿宋_GB2312" w:cs="Arial Narrow"/>
        </w:rPr>
        <w:t>（2）年度目标</w:t>
      </w:r>
    </w:p>
    <w:p w14:paraId="5188BABF">
      <w:pPr>
        <w:spacing w:line="360" w:lineRule="auto"/>
        <w:ind w:firstLine="480" w:firstLineChars="200"/>
        <w:rPr>
          <w:rFonts w:hint="eastAsia" w:ascii="Arial Narrow" w:hAnsi="Arial Narrow" w:eastAsia="仿宋_GB2312" w:cs="Arial Narrow"/>
        </w:rPr>
      </w:pPr>
      <w:r>
        <w:rPr>
          <w:rFonts w:hint="eastAsia" w:ascii="Arial Narrow" w:hAnsi="Arial Narrow" w:eastAsia="仿宋_GB2312" w:cs="Arial Narrow"/>
        </w:rPr>
        <w:t>积极落实招商引资工作，完成市级及区级下达的签约额达到1,700亿元，到位资金达到700亿元等绩效目标；实现</w:t>
      </w:r>
      <w:r>
        <w:rPr>
          <w:rFonts w:ascii="Arial Narrow" w:hAnsi="Arial Narrow" w:eastAsia="仿宋_GB2312" w:cs="Arial Narrow"/>
        </w:rPr>
        <w:t>全年引进投资过100亿项目1个，投资过50亿项目2个，投资10-50亿项目5个，投资1-10亿项目20个；</w:t>
      </w:r>
      <w:r>
        <w:rPr>
          <w:rFonts w:hint="eastAsia" w:ascii="Arial Narrow" w:hAnsi="Arial Narrow" w:eastAsia="仿宋_GB2312" w:cs="Arial Narrow"/>
        </w:rPr>
        <w:t>着力引进国内外</w:t>
      </w:r>
      <w:r>
        <w:rPr>
          <w:rFonts w:ascii="Arial Narrow" w:hAnsi="Arial Narrow" w:eastAsia="仿宋_GB2312" w:cs="Arial Narrow"/>
        </w:rPr>
        <w:t>500强及知名跨国企业；</w:t>
      </w:r>
      <w:r>
        <w:rPr>
          <w:rFonts w:hint="eastAsia" w:ascii="Arial Narrow" w:hAnsi="Arial Narrow" w:eastAsia="仿宋_GB2312" w:cs="Arial Narrow"/>
        </w:rPr>
        <w:t>确保实际利用外资达到</w:t>
      </w:r>
      <w:r>
        <w:rPr>
          <w:rFonts w:ascii="Arial Narrow" w:hAnsi="Arial Narrow" w:eastAsia="仿宋_GB2312" w:cs="Arial Narrow"/>
        </w:rPr>
        <w:t>168,340万美元；</w:t>
      </w:r>
      <w:r>
        <w:rPr>
          <w:rFonts w:hint="eastAsia" w:ascii="Arial Narrow" w:hAnsi="Arial Narrow" w:eastAsia="仿宋_GB2312" w:cs="Arial Narrow"/>
        </w:rPr>
        <w:t>充分优化丰富引进项目的产业结构，努力提升全区的经济增长率；</w:t>
      </w:r>
    </w:p>
    <w:p w14:paraId="7773995C">
      <w:pPr>
        <w:spacing w:line="360" w:lineRule="auto"/>
        <w:ind w:firstLine="240" w:firstLineChars="100"/>
        <w:rPr>
          <w:rFonts w:hint="eastAsia" w:ascii="Arial Narrow" w:hAnsi="Arial Narrow" w:eastAsia="仿宋_GB2312" w:cs="Arial Narrow"/>
        </w:rPr>
      </w:pPr>
      <w:r>
        <w:rPr>
          <w:rFonts w:ascii="Arial Narrow" w:hAnsi="Arial Narrow" w:eastAsia="仿宋_GB2312" w:cs="Arial Narrow"/>
        </w:rPr>
        <w:t>（3）绩效目标完成情况</w:t>
      </w:r>
    </w:p>
    <w:p w14:paraId="434DD2BE">
      <w:pPr>
        <w:spacing w:line="360" w:lineRule="auto"/>
        <w:ind w:firstLine="480" w:firstLineChars="200"/>
        <w:rPr>
          <w:rFonts w:hint="eastAsia" w:ascii="Arial Narrow" w:hAnsi="Arial Narrow" w:eastAsia="仿宋_GB2312" w:cs="Arial Narrow"/>
        </w:rPr>
      </w:pPr>
      <w:r>
        <w:rPr>
          <w:rFonts w:hint="eastAsia" w:ascii="Arial Narrow" w:hAnsi="Arial Narrow" w:eastAsia="仿宋_GB2312" w:cs="Arial Narrow"/>
        </w:rPr>
        <w:t>完成了市级及区级下达的绩效目标，积极落实招商引资工作，</w:t>
      </w:r>
      <w:r>
        <w:rPr>
          <w:rFonts w:ascii="Arial Narrow" w:hAnsi="Arial Narrow" w:eastAsia="仿宋_GB2312" w:cs="Arial Narrow"/>
        </w:rPr>
        <w:t>2018年度亿元项目引进数达到79项，招商引资签约额达到2</w:t>
      </w:r>
      <w:r>
        <w:rPr>
          <w:rFonts w:hint="eastAsia" w:ascii="Arial Narrow" w:hAnsi="Arial Narrow" w:eastAsia="仿宋_GB2312" w:cs="Arial Narrow"/>
        </w:rPr>
        <w:t>,</w:t>
      </w:r>
      <w:r>
        <w:rPr>
          <w:rFonts w:ascii="Arial Narrow" w:hAnsi="Arial Narrow" w:eastAsia="仿宋_GB2312" w:cs="Arial Narrow"/>
        </w:rPr>
        <w:t>002.2亿元，实际到位资金达到724.8亿元，实际利用外资金额达到190,703万美元；使全区的招商引资增长率达到了15.75%，实际利用外资增长率为30.28%；对招商引资工作进行了多样化宣传，签订项目覆盖了9个园区，并优化丰富了产业化结构；</w:t>
      </w:r>
    </w:p>
    <w:p w14:paraId="315615FF">
      <w:pPr>
        <w:pStyle w:val="4"/>
        <w:spacing w:before="0" w:after="0" w:line="360" w:lineRule="auto"/>
        <w:ind w:firstLine="480" w:firstLineChars="200"/>
        <w:rPr>
          <w:rFonts w:hint="eastAsia" w:ascii="Arial Narrow" w:hAnsi="Arial Narrow" w:eastAsia="仿宋_GB2312" w:cs="Arial Narrow"/>
          <w:b w:val="0"/>
        </w:rPr>
      </w:pPr>
      <w:bookmarkStart w:id="43" w:name="_Toc16149917"/>
      <w:r>
        <w:rPr>
          <w:rFonts w:ascii="Arial Narrow" w:hAnsi="Arial Narrow" w:eastAsia="仿宋_GB2312" w:cs="Arial Narrow"/>
          <w:b w:val="0"/>
        </w:rPr>
        <w:t>3、项目预算资金情况和实际使用情况</w:t>
      </w:r>
      <w:bookmarkEnd w:id="43"/>
    </w:p>
    <w:p w14:paraId="3F4CA69F">
      <w:pPr>
        <w:spacing w:line="360" w:lineRule="auto"/>
        <w:ind w:firstLine="480"/>
        <w:rPr>
          <w:rFonts w:hint="eastAsia" w:ascii="Arial Narrow" w:hAnsi="Arial Narrow" w:eastAsia="仿宋_GB2312" w:cs="Arial Narrow"/>
        </w:rPr>
      </w:pPr>
      <w:r>
        <w:rPr>
          <w:rFonts w:ascii="Arial Narrow" w:hAnsi="Arial Narrow" w:eastAsia="仿宋_GB2312" w:cs="Arial Narrow"/>
        </w:rPr>
        <w:t>2018年</w:t>
      </w:r>
      <w:r>
        <w:rPr>
          <w:rFonts w:hint="eastAsia" w:ascii="仿宋_GB2312" w:hAnsi="仿宋_GB2312" w:eastAsia="仿宋_GB2312" w:cs="仿宋_GB2312"/>
        </w:rPr>
        <w:t>度“招商工作经费项目”预</w:t>
      </w:r>
      <w:r>
        <w:rPr>
          <w:rFonts w:ascii="Arial Narrow" w:hAnsi="Arial Narrow" w:eastAsia="仿宋_GB2312" w:cs="Arial Narrow"/>
        </w:rPr>
        <w:t>算资金共计475.00万元，实际支出资金195.07万元，使用情况如下：</w:t>
      </w:r>
      <w:r>
        <w:rPr>
          <w:rFonts w:ascii="Arial Narrow" w:hAnsi="Arial Narrow" w:eastAsia="仿宋_GB2312" w:cs="Arial Narrow"/>
        </w:rPr>
        <w:drawing>
          <wp:inline distT="0" distB="0" distL="114300" distR="114300">
            <wp:extent cx="4572000" cy="2743200"/>
            <wp:effectExtent l="4445" t="4445" r="14605" b="1460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559901">
      <w:pPr>
        <w:spacing w:line="360" w:lineRule="auto"/>
        <w:ind w:firstLine="480"/>
        <w:rPr>
          <w:rFonts w:hint="eastAsia" w:ascii="Arial Narrow" w:hAnsi="Arial Narrow" w:eastAsia="仿宋_GB2312" w:cs="Arial Narrow"/>
        </w:rPr>
      </w:pPr>
      <w:r>
        <w:rPr>
          <w:rFonts w:ascii="Arial Narrow" w:hAnsi="Arial Narrow" w:eastAsia="仿宋_GB2312" w:cs="Arial Narrow"/>
        </w:rPr>
        <w:t>其中，区招商局预算资金275.00万元，实际支出128.00万元；投资服务中心预算资金200.00万元，实际支出67.07万元；均为商品和服务支出。</w:t>
      </w:r>
    </w:p>
    <w:p w14:paraId="277A67D2">
      <w:pPr>
        <w:pStyle w:val="4"/>
        <w:spacing w:before="0" w:after="0" w:line="360" w:lineRule="auto"/>
        <w:ind w:left="480"/>
        <w:rPr>
          <w:rFonts w:hint="eastAsia" w:ascii="Arial Narrow" w:hAnsi="Arial Narrow" w:eastAsia="仿宋_GB2312" w:cs="Arial Narrow"/>
          <w:b w:val="0"/>
        </w:rPr>
      </w:pPr>
      <w:bookmarkStart w:id="44" w:name="_Toc16149918"/>
      <w:r>
        <w:rPr>
          <w:rFonts w:hint="eastAsia" w:ascii="Arial Narrow" w:hAnsi="Arial Narrow" w:eastAsia="仿宋_GB2312" w:cs="Arial Narrow"/>
          <w:b w:val="0"/>
        </w:rPr>
        <w:t>4、</w:t>
      </w:r>
      <w:r>
        <w:rPr>
          <w:rFonts w:ascii="Arial Narrow" w:hAnsi="Arial Narrow" w:eastAsia="仿宋_GB2312" w:cs="Arial Narrow"/>
          <w:b w:val="0"/>
        </w:rPr>
        <w:t>项目实施情况</w:t>
      </w:r>
      <w:bookmarkEnd w:id="44"/>
    </w:p>
    <w:p w14:paraId="30BC98A5">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（1）项目实施单位：武汉经济技术开发区（汉南区）招商局、武汉经济技术开发区</w:t>
      </w:r>
      <w:r>
        <w:rPr>
          <w:rFonts w:hint="eastAsia" w:ascii="Arial Narrow" w:hAnsi="Arial Narrow" w:eastAsia="仿宋_GB2312" w:cs="Arial Narrow"/>
        </w:rPr>
        <w:t>投资服务中心</w:t>
      </w:r>
    </w:p>
    <w:p w14:paraId="3594991F">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（2）项目实施周期与地点：2018年1月至2018年12月；武汉经济技术开发区（汉南区）</w:t>
      </w:r>
    </w:p>
    <w:p w14:paraId="2659F42B">
      <w:pPr>
        <w:spacing w:line="360" w:lineRule="auto"/>
        <w:ind w:firstLine="480" w:firstLineChars="200"/>
        <w:rPr>
          <w:rFonts w:hint="eastAsia" w:ascii="Arial Narrow" w:hAnsi="Arial Narrow" w:eastAsia="仿宋_GB2312" w:cs="Arial Narrow"/>
          <w:bCs/>
        </w:rPr>
      </w:pPr>
      <w:r>
        <w:rPr>
          <w:rFonts w:ascii="Arial Narrow" w:hAnsi="Arial Narrow" w:eastAsia="仿宋_GB2312" w:cs="Arial Narrow"/>
        </w:rPr>
        <w:t>（3）项目主要内容：</w:t>
      </w:r>
      <w:r>
        <w:rPr>
          <w:rFonts w:hint="eastAsia" w:ascii="Arial Narrow" w:hAnsi="Arial Narrow" w:eastAsia="仿宋_GB2312" w:cs="Arial Narrow"/>
          <w:bCs/>
        </w:rPr>
        <w:t>维持招商引资日常工作需要，规划、组织及执行招商会展、国外招商活动，拜会国内外相关企业与行业协会，推动相关项目在开发区落户，促进开发区与相关国家（地区）企业的交流与合作。</w:t>
      </w:r>
    </w:p>
    <w:p w14:paraId="031C3F57">
      <w:pPr>
        <w:pStyle w:val="3"/>
        <w:spacing w:before="0" w:after="0" w:line="360" w:lineRule="auto"/>
        <w:ind w:firstLine="482"/>
        <w:rPr>
          <w:rFonts w:hint="eastAsia" w:ascii="Arial Narrow" w:hAnsi="Arial Narrow" w:eastAsia="仿宋_GB2312" w:cs="Arial Narrow"/>
        </w:rPr>
      </w:pPr>
      <w:bookmarkStart w:id="45" w:name="_Toc16149919"/>
      <w:r>
        <w:rPr>
          <w:rFonts w:ascii="Arial Narrow" w:hAnsi="Arial Narrow" w:eastAsia="仿宋_GB2312" w:cs="Arial Narrow"/>
        </w:rPr>
        <w:t>（二）绩效评价工作情况</w:t>
      </w:r>
      <w:bookmarkEnd w:id="45"/>
    </w:p>
    <w:p w14:paraId="00154CDD">
      <w:pPr>
        <w:pStyle w:val="4"/>
        <w:spacing w:before="0" w:after="0" w:line="360" w:lineRule="auto"/>
        <w:ind w:firstLine="480" w:firstLineChars="200"/>
        <w:rPr>
          <w:rFonts w:hint="eastAsia" w:ascii="Arial Narrow" w:hAnsi="Arial Narrow" w:eastAsia="仿宋_GB2312" w:cs="Arial Narrow"/>
          <w:b w:val="0"/>
        </w:rPr>
      </w:pPr>
      <w:bookmarkStart w:id="46" w:name="_Toc16149920"/>
      <w:r>
        <w:rPr>
          <w:rFonts w:ascii="Arial Narrow" w:hAnsi="Arial Narrow" w:eastAsia="仿宋_GB2312" w:cs="Arial Narrow"/>
          <w:b w:val="0"/>
        </w:rPr>
        <w:t>1、绩效评价目的</w:t>
      </w:r>
      <w:bookmarkEnd w:id="46"/>
    </w:p>
    <w:p w14:paraId="42E3686F">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为深化预算管理改革，进一步加</w:t>
      </w:r>
      <w:r>
        <w:rPr>
          <w:rFonts w:hint="eastAsia" w:ascii="仿宋_GB2312" w:hAnsi="仿宋_GB2312" w:eastAsia="仿宋_GB2312" w:cs="仿宋_GB2312"/>
        </w:rPr>
        <w:t>强“招商工作经费项目”经</w:t>
      </w:r>
      <w:r>
        <w:rPr>
          <w:rFonts w:ascii="Arial Narrow" w:hAnsi="Arial Narrow" w:eastAsia="仿宋_GB2312" w:cs="Arial Narrow"/>
        </w:rPr>
        <w:t>费支出的监督管理，提高财政资金使用效益，根据《中华人民共和国预算法》和《财政支出绩效评价管理暂行办法》等国家有关财务规章制度，按照武汉经济技术开发区（汉南区）财政局的总体部署进行此次绩效评价。此外，本次绩效评价还力争实现以下目的：</w:t>
      </w:r>
    </w:p>
    <w:p w14:paraId="47DCBDC5">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（1）按照项目资金管理要求，设计合理的指标体系和评价标准，采取科学、规范的评价方法，采用定性及定量相结合的评价指标，</w:t>
      </w:r>
      <w:r>
        <w:rPr>
          <w:rFonts w:hint="eastAsia" w:ascii="仿宋_GB2312" w:hAnsi="仿宋_GB2312" w:eastAsia="仿宋_GB2312" w:cs="仿宋_GB2312"/>
        </w:rPr>
        <w:t>对“招商工作经费项目”</w:t>
      </w:r>
      <w:r>
        <w:rPr>
          <w:rFonts w:ascii="Arial Narrow" w:hAnsi="Arial Narrow" w:eastAsia="仿宋_GB2312" w:cs="Arial Narrow"/>
        </w:rPr>
        <w:t>的投入、过程、产出和效果四个方面进行客观公正地评价。</w:t>
      </w:r>
    </w:p>
    <w:p w14:paraId="596042D2">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（2）通过绩效评价为合理分配资金、优化支出提供依据，也为逐步</w:t>
      </w:r>
      <w:r>
        <w:rPr>
          <w:rFonts w:hint="eastAsia" w:ascii="仿宋_GB2312" w:hAnsi="仿宋_GB2312" w:eastAsia="仿宋_GB2312" w:cs="仿宋_GB2312"/>
        </w:rPr>
        <w:t>建立“预算编制有目标，预算执行有监控，预算完成有评价，评价结果有反馈，反馈结果有应用”的绩效</w:t>
      </w:r>
      <w:r>
        <w:rPr>
          <w:rFonts w:ascii="Arial Narrow" w:hAnsi="Arial Narrow" w:eastAsia="仿宋_GB2312" w:cs="Arial Narrow"/>
        </w:rPr>
        <w:t>评价机制提供决策依据。</w:t>
      </w:r>
    </w:p>
    <w:p w14:paraId="7DD3BAEC">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（3）通过绩效评价总结前一年度项目实施的经验教训，为进一步加强“招商工作经费项目”管理，提高项目建设水平，发挥资金效益提供重要的参考依据，也为将来的招商工作经费项目提供借鉴。</w:t>
      </w:r>
    </w:p>
    <w:p w14:paraId="094F8E37">
      <w:pPr>
        <w:pStyle w:val="4"/>
        <w:spacing w:before="0" w:after="0" w:line="360" w:lineRule="auto"/>
        <w:ind w:firstLine="480" w:firstLineChars="200"/>
        <w:rPr>
          <w:rFonts w:hint="eastAsia" w:ascii="Arial Narrow" w:hAnsi="Arial Narrow" w:eastAsia="仿宋_GB2312" w:cs="Arial Narrow"/>
          <w:b w:val="0"/>
        </w:rPr>
      </w:pPr>
      <w:bookmarkStart w:id="47" w:name="_Toc16149921"/>
      <w:r>
        <w:rPr>
          <w:rFonts w:ascii="Arial Narrow" w:hAnsi="Arial Narrow" w:eastAsia="仿宋_GB2312" w:cs="Arial Narrow"/>
          <w:b w:val="0"/>
        </w:rPr>
        <w:t>2、绩效评价框架及方法</w:t>
      </w:r>
      <w:bookmarkEnd w:id="47"/>
    </w:p>
    <w:p w14:paraId="06FA5DEF">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（1）评价框架</w:t>
      </w:r>
    </w:p>
    <w:p w14:paraId="7F4354B2">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评价指标体系是开展绩效评价工作的核心。评价小组在参考财政支出绩效评价指标框架的基础上，依据《区财政局关于2019年开展预算绩效评价工作的通知（武经开财【2019】29号）》，运用定量定性原则，确定了绩效评价一级指标、二级指标和三级指标。</w:t>
      </w:r>
    </w:p>
    <w:p w14:paraId="2318ADC9">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绩效评价指标体系表如下：</w:t>
      </w:r>
      <w:r>
        <w:rPr>
          <w:rFonts w:ascii="Arial Narrow" w:hAnsi="Arial Narrow" w:eastAsia="仿宋_GB2312" w:cs="Arial Narrow"/>
        </w:rPr>
        <w:drawing>
          <wp:inline distT="0" distB="0" distL="114300" distR="114300">
            <wp:extent cx="5389245" cy="2995295"/>
            <wp:effectExtent l="0" t="0" r="1905" b="14605"/>
            <wp:docPr id="8" name="C9F754DE-2CAD-44b6-B708-469DEB6407EB-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9F754DE-2CAD-44b6-B708-469DEB6407EB-1" descr="qt_temp"/>
                    <pic:cNvPicPr>
                      <a:picLocks noChangeAspect="1"/>
                    </pic:cNvPicPr>
                  </pic:nvPicPr>
                  <pic:blipFill>
                    <a:blip r:embed="rId11"/>
                    <a:stretch>
                      <a:fillRect/>
                    </a:stretch>
                  </pic:blipFill>
                  <pic:spPr>
                    <a:xfrm>
                      <a:off x="0" y="0"/>
                      <a:ext cx="5389245" cy="2995295"/>
                    </a:xfrm>
                    <a:prstGeom prst="rect">
                      <a:avLst/>
                    </a:prstGeom>
                  </pic:spPr>
                </pic:pic>
              </a:graphicData>
            </a:graphic>
          </wp:inline>
        </w:drawing>
      </w:r>
    </w:p>
    <w:p w14:paraId="60761EB0">
      <w:pPr>
        <w:spacing w:line="360" w:lineRule="auto"/>
        <w:ind w:firstLine="480" w:firstLineChars="200"/>
        <w:rPr>
          <w:rFonts w:hint="eastAsia" w:ascii="Arial Narrow" w:hAnsi="Arial Narrow" w:eastAsia="仿宋_GB2312" w:cs="Arial Narrow"/>
        </w:rPr>
      </w:pPr>
    </w:p>
    <w:p w14:paraId="23E33EB0">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绩效评价指标体系包括投入、过程、产出、效果四个方面。</w:t>
      </w:r>
    </w:p>
    <w:p w14:paraId="23F2FC05">
      <w:pPr>
        <w:spacing w:line="360" w:lineRule="auto"/>
        <w:ind w:firstLine="480" w:firstLineChars="200"/>
        <w:rPr>
          <w:rFonts w:hint="eastAsia" w:ascii="Arial Narrow" w:hAnsi="Arial Narrow" w:eastAsia="仿宋_GB2312" w:cs="Arial Narrow"/>
        </w:rPr>
      </w:pPr>
      <w:r>
        <w:rPr>
          <w:rFonts w:hint="eastAsia" w:ascii="仿宋_GB2312" w:hAnsi="仿宋_GB2312" w:eastAsia="仿宋_GB2312" w:cs="仿宋_GB2312"/>
        </w:rPr>
        <w:t>“投入”权重</w:t>
      </w:r>
      <w:r>
        <w:rPr>
          <w:rFonts w:ascii="Arial Narrow" w:hAnsi="Arial Narrow" w:eastAsia="仿宋_GB2312" w:cs="Arial Narrow"/>
        </w:rPr>
        <w:t>16分，下设2个二级指</w:t>
      </w:r>
      <w:r>
        <w:rPr>
          <w:rFonts w:hint="eastAsia" w:ascii="仿宋_GB2312" w:hAnsi="仿宋_GB2312" w:eastAsia="仿宋_GB2312" w:cs="仿宋_GB2312"/>
        </w:rPr>
        <w:t>标“项目立项”和“资金落实”</w:t>
      </w:r>
      <w:r>
        <w:rPr>
          <w:rFonts w:ascii="Arial Narrow" w:hAnsi="Arial Narrow" w:eastAsia="仿宋_GB2312" w:cs="Arial Narrow"/>
        </w:rPr>
        <w:t>，下设4个三级指</w:t>
      </w:r>
      <w:r>
        <w:rPr>
          <w:rFonts w:hint="eastAsia" w:ascii="仿宋_GB2312" w:hAnsi="仿宋_GB2312" w:eastAsia="仿宋_GB2312" w:cs="仿宋_GB2312"/>
        </w:rPr>
        <w:t>标“项目立项规范性”、“绩效目标合理性”、 “资金到位率”、“到位及时率”</w:t>
      </w:r>
      <w:r>
        <w:rPr>
          <w:rFonts w:ascii="Arial Narrow" w:hAnsi="Arial Narrow" w:eastAsia="仿宋_GB2312" w:cs="Arial Narrow"/>
        </w:rPr>
        <w:t>，主要评价项目目标的设置情况和预算的执行情况；</w:t>
      </w:r>
    </w:p>
    <w:p w14:paraId="0E851C83">
      <w:pPr>
        <w:spacing w:line="360" w:lineRule="auto"/>
        <w:ind w:firstLine="480" w:firstLineChars="200"/>
        <w:rPr>
          <w:rFonts w:hint="eastAsia" w:ascii="Arial Narrow" w:hAnsi="Arial Narrow" w:eastAsia="仿宋_GB2312" w:cs="Arial Narrow"/>
        </w:rPr>
      </w:pPr>
      <w:r>
        <w:rPr>
          <w:rFonts w:hint="eastAsia" w:ascii="仿宋_GB2312" w:hAnsi="仿宋_GB2312" w:eastAsia="仿宋_GB2312" w:cs="仿宋_GB2312"/>
        </w:rPr>
        <w:t>“过程”权</w:t>
      </w:r>
      <w:r>
        <w:rPr>
          <w:rFonts w:ascii="Arial Narrow" w:hAnsi="Arial Narrow" w:eastAsia="仿宋_GB2312" w:cs="Arial Narrow"/>
        </w:rPr>
        <w:t>重24分，下设2个二级指</w:t>
      </w:r>
      <w:r>
        <w:rPr>
          <w:rFonts w:hint="eastAsia" w:ascii="仿宋_GB2312" w:hAnsi="仿宋_GB2312" w:eastAsia="仿宋_GB2312" w:cs="仿宋_GB2312"/>
        </w:rPr>
        <w:t>标“项目管理”和“财务管理”</w:t>
      </w:r>
      <w:r>
        <w:rPr>
          <w:rFonts w:ascii="Arial Narrow" w:hAnsi="Arial Narrow" w:eastAsia="仿宋_GB2312" w:cs="Arial Narrow"/>
        </w:rPr>
        <w:t>，下设6个三级</w:t>
      </w:r>
      <w:r>
        <w:rPr>
          <w:rFonts w:hint="eastAsia" w:ascii="仿宋_GB2312" w:hAnsi="仿宋_GB2312" w:eastAsia="仿宋_GB2312" w:cs="仿宋_GB2312"/>
        </w:rPr>
        <w:t>指标“管理制度健全性”、“制度执行有效性”、 “项目质量可控性”、 “财务制度健全性”、“资金使用合规性”、“财务监控有效性”，主要评价项目预算管理情况、</w:t>
      </w:r>
      <w:r>
        <w:rPr>
          <w:rFonts w:ascii="Arial Narrow" w:hAnsi="Arial Narrow" w:eastAsia="仿宋_GB2312" w:cs="Arial Narrow"/>
        </w:rPr>
        <w:t>资金使用情况；</w:t>
      </w:r>
    </w:p>
    <w:p w14:paraId="09C7C201">
      <w:pPr>
        <w:spacing w:line="360" w:lineRule="auto"/>
        <w:ind w:firstLine="480" w:firstLineChars="200"/>
        <w:rPr>
          <w:rFonts w:hint="eastAsia" w:ascii="Arial Narrow" w:hAnsi="Arial Narrow" w:eastAsia="仿宋_GB2312" w:cs="Arial Narrow"/>
        </w:rPr>
      </w:pPr>
      <w:r>
        <w:rPr>
          <w:rFonts w:hint="eastAsia" w:ascii="仿宋_GB2312" w:hAnsi="仿宋_GB2312" w:eastAsia="仿宋_GB2312" w:cs="仿宋_GB2312"/>
        </w:rPr>
        <w:t>“产出”权</w:t>
      </w:r>
      <w:r>
        <w:rPr>
          <w:rFonts w:ascii="Arial Narrow" w:hAnsi="Arial Narrow" w:eastAsia="仿宋_GB2312" w:cs="Arial Narrow"/>
        </w:rPr>
        <w:t>重33分，下设1个</w:t>
      </w:r>
      <w:r>
        <w:rPr>
          <w:rFonts w:hint="eastAsia" w:ascii="仿宋_GB2312" w:hAnsi="仿宋_GB2312" w:eastAsia="仿宋_GB2312" w:cs="仿宋_GB2312"/>
        </w:rPr>
        <w:t>二级指标“项目产出”，</w:t>
      </w:r>
      <w:r>
        <w:rPr>
          <w:rFonts w:ascii="Arial Narrow" w:hAnsi="Arial Narrow" w:eastAsia="仿宋_GB2312" w:cs="Arial Narrow"/>
        </w:rPr>
        <w:t>下设6个三</w:t>
      </w:r>
      <w:r>
        <w:rPr>
          <w:rFonts w:hint="eastAsia" w:ascii="仿宋_GB2312" w:hAnsi="仿宋_GB2312" w:eastAsia="仿宋_GB2312" w:cs="仿宋_GB2312"/>
        </w:rPr>
        <w:t>级指标“项目引进数”、“招商引资到位资金达标率”、“实际利用外资”、“招商引资签约额”、“引进企业数”、 “资金使用率”，主要评价项目各项数量产出和质量产出的实现</w:t>
      </w:r>
      <w:r>
        <w:rPr>
          <w:rFonts w:ascii="Arial Narrow" w:hAnsi="Arial Narrow" w:eastAsia="仿宋_GB2312" w:cs="Arial Narrow"/>
        </w:rPr>
        <w:t>程度；</w:t>
      </w:r>
    </w:p>
    <w:p w14:paraId="1431C1F0">
      <w:pPr>
        <w:spacing w:line="360" w:lineRule="auto"/>
        <w:ind w:firstLine="480" w:firstLineChars="200"/>
        <w:rPr>
          <w:rFonts w:hint="eastAsia" w:ascii="Arial Narrow" w:hAnsi="Arial Narrow" w:eastAsia="仿宋_GB2312" w:cs="Arial Narrow"/>
        </w:rPr>
      </w:pPr>
      <w:r>
        <w:rPr>
          <w:rFonts w:hint="eastAsia" w:ascii="仿宋_GB2312" w:hAnsi="仿宋_GB2312" w:eastAsia="仿宋_GB2312" w:cs="仿宋_GB2312"/>
        </w:rPr>
        <w:t xml:space="preserve"> “效果”权重</w:t>
      </w:r>
      <w:r>
        <w:rPr>
          <w:rFonts w:ascii="Arial Narrow" w:hAnsi="Arial Narrow" w:eastAsia="仿宋_GB2312" w:cs="Arial Narrow"/>
        </w:rPr>
        <w:t>27分，下设1个二级指</w:t>
      </w:r>
      <w:r>
        <w:rPr>
          <w:rFonts w:hint="eastAsia" w:ascii="仿宋_GB2312" w:hAnsi="仿宋_GB2312" w:eastAsia="仿宋_GB2312" w:cs="仿宋_GB2312"/>
        </w:rPr>
        <w:t>标“项目效果”</w:t>
      </w:r>
      <w:r>
        <w:rPr>
          <w:rFonts w:ascii="Arial Narrow" w:hAnsi="Arial Narrow" w:eastAsia="仿宋_GB2312" w:cs="Arial Narrow"/>
        </w:rPr>
        <w:t>，下设6个三级指</w:t>
      </w:r>
      <w:r>
        <w:rPr>
          <w:rFonts w:hint="eastAsia" w:ascii="仿宋_GB2312" w:hAnsi="仿宋_GB2312" w:eastAsia="仿宋_GB2312" w:cs="仿宋_GB2312"/>
        </w:rPr>
        <w:t>标 “经济增长率”、“社零额同比增长率”、“宣传多样性”、“产业结构多样性”、“招商引资园区覆盖率”、“可持续影响”，主要评价项目实施后的社会效益、可持</w:t>
      </w:r>
      <w:r>
        <w:rPr>
          <w:rFonts w:ascii="Arial Narrow" w:hAnsi="Arial Narrow" w:eastAsia="仿宋_GB2312" w:cs="Arial Narrow"/>
        </w:rPr>
        <w:t xml:space="preserve">续影响。 </w:t>
      </w:r>
    </w:p>
    <w:p w14:paraId="4EF07A4D">
      <w:pPr>
        <w:spacing w:after="156" w:afterLines="50" w:line="360" w:lineRule="auto"/>
        <w:ind w:firstLine="480" w:firstLineChars="200"/>
        <w:rPr>
          <w:rFonts w:hint="eastAsia" w:ascii="Arial Narrow" w:hAnsi="Arial Narrow" w:eastAsia="仿宋_GB2312" w:cs="Arial Narrow"/>
        </w:rPr>
      </w:pPr>
      <w:r>
        <w:rPr>
          <w:rFonts w:ascii="Arial Narrow" w:hAnsi="Arial Narrow" w:eastAsia="仿宋_GB2312" w:cs="Arial Narrow"/>
        </w:rPr>
        <w:t>具体指标的分布情况、权重、指标解释、指标说明如下表所示：</w:t>
      </w:r>
    </w:p>
    <w:tbl>
      <w:tblPr>
        <w:tblStyle w:val="14"/>
        <w:tblW w:w="8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946"/>
        <w:gridCol w:w="2470"/>
        <w:gridCol w:w="4212"/>
      </w:tblGrid>
      <w:tr w14:paraId="241C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blHeader/>
          <w:jc w:val="center"/>
        </w:trPr>
        <w:tc>
          <w:tcPr>
            <w:tcW w:w="1725" w:type="dxa"/>
            <w:gridSpan w:val="2"/>
            <w:shd w:val="clear" w:color="000000" w:fill="FFFFFF"/>
            <w:vAlign w:val="center"/>
          </w:tcPr>
          <w:p w14:paraId="64FB1A30">
            <w:pPr>
              <w:rPr>
                <w:rFonts w:hint="eastAsia" w:ascii="Arial Narrow" w:hAnsi="Arial Narrow" w:eastAsia="仿宋_GB2312" w:cs="Arial Narrow"/>
                <w:b/>
                <w:bCs/>
                <w:sz w:val="21"/>
                <w:szCs w:val="21"/>
              </w:rPr>
            </w:pPr>
            <w:r>
              <w:rPr>
                <w:rFonts w:ascii="Arial Narrow" w:hAnsi="Arial Narrow" w:eastAsia="仿宋_GB2312" w:cs="Arial Narrow"/>
                <w:b/>
                <w:bCs/>
                <w:sz w:val="21"/>
                <w:szCs w:val="21"/>
              </w:rPr>
              <w:t>指标名称（权重）</w:t>
            </w:r>
          </w:p>
        </w:tc>
        <w:tc>
          <w:tcPr>
            <w:tcW w:w="2470" w:type="dxa"/>
            <w:shd w:val="clear" w:color="000000" w:fill="FFFFFF"/>
            <w:vAlign w:val="center"/>
          </w:tcPr>
          <w:p w14:paraId="0F1ED36B">
            <w:pPr>
              <w:jc w:val="center"/>
              <w:rPr>
                <w:rFonts w:hint="eastAsia" w:ascii="Arial Narrow" w:hAnsi="Arial Narrow" w:eastAsia="仿宋_GB2312" w:cs="Arial Narrow"/>
                <w:b/>
                <w:bCs/>
                <w:sz w:val="21"/>
                <w:szCs w:val="21"/>
              </w:rPr>
            </w:pPr>
            <w:r>
              <w:rPr>
                <w:rFonts w:ascii="Arial Narrow" w:hAnsi="Arial Narrow" w:eastAsia="仿宋_GB2312" w:cs="Arial Narrow"/>
                <w:b/>
                <w:bCs/>
                <w:sz w:val="21"/>
                <w:szCs w:val="21"/>
              </w:rPr>
              <w:t>指标解释</w:t>
            </w:r>
          </w:p>
        </w:tc>
        <w:tc>
          <w:tcPr>
            <w:tcW w:w="4212" w:type="dxa"/>
            <w:shd w:val="clear" w:color="000000" w:fill="FFFFFF"/>
            <w:vAlign w:val="center"/>
          </w:tcPr>
          <w:p w14:paraId="60F40494">
            <w:pPr>
              <w:jc w:val="center"/>
              <w:rPr>
                <w:rFonts w:hint="eastAsia" w:ascii="Arial Narrow" w:hAnsi="Arial Narrow" w:eastAsia="仿宋_GB2312" w:cs="Arial Narrow"/>
                <w:b/>
                <w:bCs/>
                <w:sz w:val="21"/>
                <w:szCs w:val="21"/>
              </w:rPr>
            </w:pPr>
            <w:r>
              <w:rPr>
                <w:rFonts w:ascii="Arial Narrow" w:hAnsi="Arial Narrow" w:eastAsia="仿宋_GB2312" w:cs="Arial Narrow"/>
                <w:b/>
                <w:bCs/>
                <w:sz w:val="21"/>
                <w:szCs w:val="21"/>
              </w:rPr>
              <w:t>指标说明</w:t>
            </w:r>
          </w:p>
        </w:tc>
      </w:tr>
      <w:tr w14:paraId="017C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79" w:type="dxa"/>
            <w:vMerge w:val="restart"/>
            <w:shd w:val="clear" w:color="000000" w:fill="FFFFFF"/>
            <w:vAlign w:val="center"/>
          </w:tcPr>
          <w:p w14:paraId="070D09F9">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投入（16）</w:t>
            </w:r>
          </w:p>
        </w:tc>
        <w:tc>
          <w:tcPr>
            <w:tcW w:w="946" w:type="dxa"/>
            <w:shd w:val="clear" w:color="000000" w:fill="FFFFFF"/>
            <w:vAlign w:val="center"/>
          </w:tcPr>
          <w:p w14:paraId="78EF0C37">
            <w:pPr>
              <w:rPr>
                <w:rFonts w:hint="eastAsia" w:ascii="Arial Narrow" w:hAnsi="Arial Narrow" w:eastAsia="仿宋_GB2312" w:cs="Arial Narrow"/>
                <w:sz w:val="21"/>
                <w:szCs w:val="21"/>
              </w:rPr>
            </w:pPr>
            <w:r>
              <w:rPr>
                <w:rFonts w:ascii="Arial Narrow" w:hAnsi="Arial Narrow" w:eastAsia="仿宋_GB2312" w:cs="Arial Narrow"/>
                <w:sz w:val="21"/>
                <w:szCs w:val="21"/>
              </w:rPr>
              <w:t>项目立项规范性（5）</w:t>
            </w:r>
          </w:p>
        </w:tc>
        <w:tc>
          <w:tcPr>
            <w:tcW w:w="2470" w:type="dxa"/>
            <w:shd w:val="clear" w:color="000000" w:fill="FFFFFF"/>
            <w:vAlign w:val="center"/>
          </w:tcPr>
          <w:p w14:paraId="080CDC89">
            <w:pPr>
              <w:rPr>
                <w:rFonts w:hint="eastAsia" w:ascii="Arial Narrow" w:hAnsi="Arial Narrow" w:eastAsia="仿宋_GB2312" w:cs="Arial Narrow"/>
                <w:sz w:val="21"/>
                <w:szCs w:val="21"/>
              </w:rPr>
            </w:pPr>
            <w:r>
              <w:rPr>
                <w:rFonts w:ascii="Arial Narrow" w:hAnsi="Arial Narrow" w:eastAsia="仿宋_GB2312" w:cs="Arial Narrow"/>
                <w:sz w:val="21"/>
                <w:szCs w:val="21"/>
              </w:rPr>
              <w:t>项目的申请、设立过程是否符合相关要求，用以反映和考核项目立项的规范情况。</w:t>
            </w:r>
          </w:p>
        </w:tc>
        <w:tc>
          <w:tcPr>
            <w:tcW w:w="4212" w:type="dxa"/>
            <w:shd w:val="clear" w:color="000000" w:fill="FFFFFF"/>
            <w:vAlign w:val="center"/>
          </w:tcPr>
          <w:p w14:paraId="37439B39">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①是否有规划；</w:t>
            </w:r>
            <w:r>
              <w:rPr>
                <w:rFonts w:ascii="Arial Narrow" w:hAnsi="Arial Narrow" w:eastAsia="仿宋_GB2312" w:cs="Arial Narrow"/>
                <w:sz w:val="21"/>
                <w:szCs w:val="21"/>
              </w:rPr>
              <w:br w:type="textWrapping"/>
            </w:r>
            <w:r>
              <w:rPr>
                <w:rFonts w:ascii="Arial Narrow" w:hAnsi="Arial Narrow" w:eastAsia="仿宋_GB2312" w:cs="Arial Narrow"/>
                <w:sz w:val="21"/>
                <w:szCs w:val="21"/>
              </w:rPr>
              <w:t>②项目是否按照规定的程序申请设立；</w:t>
            </w:r>
            <w:r>
              <w:rPr>
                <w:rFonts w:ascii="Arial Narrow" w:hAnsi="Arial Narrow" w:eastAsia="仿宋_GB2312" w:cs="Arial Narrow"/>
                <w:sz w:val="21"/>
                <w:szCs w:val="21"/>
              </w:rPr>
              <w:br w:type="textWrapping"/>
            </w:r>
            <w:r>
              <w:rPr>
                <w:rFonts w:ascii="Arial Narrow" w:hAnsi="Arial Narrow" w:eastAsia="仿宋_GB2312" w:cs="Arial Narrow"/>
                <w:sz w:val="21"/>
                <w:szCs w:val="21"/>
              </w:rPr>
              <w:t>③是否提交预算申请、项目申报表、测算明细等，所提交的文件、材料是否符合相关要求；</w:t>
            </w:r>
            <w:r>
              <w:rPr>
                <w:rFonts w:ascii="Arial Narrow" w:hAnsi="Arial Narrow" w:eastAsia="仿宋_GB2312" w:cs="Arial Narrow"/>
                <w:sz w:val="21"/>
                <w:szCs w:val="21"/>
              </w:rPr>
              <w:br w:type="textWrapping"/>
            </w:r>
            <w:r>
              <w:rPr>
                <w:rFonts w:ascii="Arial Narrow" w:hAnsi="Arial Narrow" w:eastAsia="仿宋_GB2312" w:cs="Arial Narrow"/>
                <w:sz w:val="21"/>
                <w:szCs w:val="21"/>
              </w:rPr>
              <w:t>④事前是否已经过必要的集体决策等或项目预算编制依据充分，预算金额测算具体明确；</w:t>
            </w:r>
            <w:r>
              <w:rPr>
                <w:rFonts w:ascii="Arial Narrow" w:hAnsi="Arial Narrow" w:eastAsia="仿宋_GB2312" w:cs="Arial Narrow"/>
                <w:sz w:val="21"/>
                <w:szCs w:val="21"/>
              </w:rPr>
              <w:br w:type="textWrapping"/>
            </w:r>
            <w:r>
              <w:rPr>
                <w:rFonts w:ascii="Arial Narrow" w:hAnsi="Arial Narrow" w:eastAsia="仿宋_GB2312" w:cs="Arial Narrow"/>
                <w:sz w:val="21"/>
                <w:szCs w:val="21"/>
              </w:rPr>
              <w:t>⑤项目执行时是否发生重大调整。</w:t>
            </w:r>
          </w:p>
        </w:tc>
      </w:tr>
      <w:tr w14:paraId="5374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vMerge w:val="continue"/>
            <w:shd w:val="clear" w:color="000000" w:fill="FFFFFF"/>
            <w:vAlign w:val="center"/>
          </w:tcPr>
          <w:p w14:paraId="5C0ABFA7">
            <w:pPr>
              <w:rPr>
                <w:rFonts w:hint="eastAsia" w:ascii="Arial Narrow" w:hAnsi="Arial Narrow" w:eastAsia="仿宋_GB2312" w:cs="Arial Narrow"/>
                <w:sz w:val="21"/>
                <w:szCs w:val="21"/>
              </w:rPr>
            </w:pPr>
          </w:p>
        </w:tc>
        <w:tc>
          <w:tcPr>
            <w:tcW w:w="946" w:type="dxa"/>
            <w:shd w:val="clear" w:color="000000" w:fill="FFFFFF"/>
            <w:vAlign w:val="center"/>
          </w:tcPr>
          <w:p w14:paraId="43C412C7">
            <w:pPr>
              <w:rPr>
                <w:rFonts w:hint="eastAsia" w:ascii="Arial Narrow" w:hAnsi="Arial Narrow" w:eastAsia="仿宋_GB2312" w:cs="Arial Narrow"/>
                <w:sz w:val="21"/>
                <w:szCs w:val="21"/>
              </w:rPr>
            </w:pPr>
            <w:r>
              <w:rPr>
                <w:rFonts w:ascii="Arial Narrow" w:hAnsi="Arial Narrow" w:eastAsia="仿宋_GB2312" w:cs="Arial Narrow"/>
                <w:sz w:val="21"/>
                <w:szCs w:val="21"/>
              </w:rPr>
              <w:t>绩效目标合理性（3）</w:t>
            </w:r>
          </w:p>
        </w:tc>
        <w:tc>
          <w:tcPr>
            <w:tcW w:w="2470" w:type="dxa"/>
            <w:shd w:val="clear" w:color="000000" w:fill="FFFFFF"/>
            <w:vAlign w:val="center"/>
          </w:tcPr>
          <w:p w14:paraId="721A192A">
            <w:pPr>
              <w:rPr>
                <w:rFonts w:hint="eastAsia" w:ascii="Arial Narrow" w:hAnsi="Arial Narrow" w:eastAsia="仿宋_GB2312" w:cs="Arial Narrow"/>
                <w:sz w:val="21"/>
                <w:szCs w:val="21"/>
              </w:rPr>
            </w:pPr>
            <w:r>
              <w:rPr>
                <w:rFonts w:ascii="Arial Narrow" w:hAnsi="Arial Narrow" w:eastAsia="仿宋_GB2312" w:cs="Arial Narrow"/>
                <w:sz w:val="21"/>
                <w:szCs w:val="21"/>
              </w:rPr>
              <w:t>项目所设定的绩效目标是否依据充分，是否符合客观实际，用以反映和考核项目绩效目标与项目实施的相符情况。</w:t>
            </w:r>
          </w:p>
        </w:tc>
        <w:tc>
          <w:tcPr>
            <w:tcW w:w="4212" w:type="dxa"/>
            <w:shd w:val="clear" w:color="000000" w:fill="FFFFFF"/>
            <w:vAlign w:val="center"/>
          </w:tcPr>
          <w:p w14:paraId="7F80D278">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①是否设定长期目标、年度目标和绩效指标；</w:t>
            </w:r>
            <w:r>
              <w:rPr>
                <w:rFonts w:ascii="Arial Narrow" w:hAnsi="Arial Narrow" w:eastAsia="仿宋_GB2312" w:cs="Arial Narrow"/>
                <w:sz w:val="21"/>
                <w:szCs w:val="21"/>
              </w:rPr>
              <w:br w:type="textWrapping"/>
            </w:r>
            <w:r>
              <w:rPr>
                <w:rFonts w:ascii="Arial Narrow" w:hAnsi="Arial Narrow" w:eastAsia="仿宋_GB2312" w:cs="Arial Narrow"/>
                <w:sz w:val="21"/>
                <w:szCs w:val="21"/>
              </w:rPr>
              <w:t>②目标和指标的设计是否符合目标管理规范；</w:t>
            </w:r>
            <w:r>
              <w:rPr>
                <w:rFonts w:ascii="Arial Narrow" w:hAnsi="Arial Narrow" w:eastAsia="仿宋_GB2312" w:cs="Arial Narrow"/>
                <w:sz w:val="21"/>
                <w:szCs w:val="21"/>
              </w:rPr>
              <w:br w:type="textWrapping"/>
            </w:r>
            <w:r>
              <w:rPr>
                <w:rFonts w:ascii="Arial Narrow" w:hAnsi="Arial Narrow" w:eastAsia="仿宋_GB2312" w:cs="Arial Narrow"/>
                <w:sz w:val="21"/>
                <w:szCs w:val="21"/>
              </w:rPr>
              <w:t>③绩效目标设立是否具有合理性、可测性。</w:t>
            </w:r>
          </w:p>
        </w:tc>
      </w:tr>
      <w:tr w14:paraId="5B73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79" w:type="dxa"/>
            <w:vMerge w:val="continue"/>
            <w:shd w:val="clear" w:color="000000" w:fill="FFFFFF"/>
            <w:vAlign w:val="center"/>
          </w:tcPr>
          <w:p w14:paraId="26C11D4D">
            <w:pPr>
              <w:rPr>
                <w:rFonts w:hint="eastAsia" w:ascii="Arial Narrow" w:hAnsi="Arial Narrow" w:eastAsia="仿宋_GB2312" w:cs="Arial Narrow"/>
                <w:sz w:val="21"/>
                <w:szCs w:val="21"/>
              </w:rPr>
            </w:pPr>
          </w:p>
        </w:tc>
        <w:tc>
          <w:tcPr>
            <w:tcW w:w="946" w:type="dxa"/>
            <w:shd w:val="clear" w:color="000000" w:fill="FFFFFF"/>
            <w:vAlign w:val="center"/>
          </w:tcPr>
          <w:p w14:paraId="362D946D">
            <w:pPr>
              <w:rPr>
                <w:rFonts w:hint="eastAsia" w:ascii="Arial Narrow" w:hAnsi="Arial Narrow" w:eastAsia="仿宋_GB2312" w:cs="Arial Narrow"/>
                <w:sz w:val="21"/>
                <w:szCs w:val="21"/>
              </w:rPr>
            </w:pPr>
            <w:r>
              <w:rPr>
                <w:rFonts w:ascii="Arial Narrow" w:hAnsi="Arial Narrow" w:eastAsia="仿宋_GB2312" w:cs="Arial Narrow"/>
                <w:sz w:val="21"/>
                <w:szCs w:val="21"/>
              </w:rPr>
              <w:t>资金到位率（4）</w:t>
            </w:r>
          </w:p>
        </w:tc>
        <w:tc>
          <w:tcPr>
            <w:tcW w:w="2470" w:type="dxa"/>
            <w:shd w:val="clear" w:color="000000" w:fill="FFFFFF"/>
            <w:vAlign w:val="center"/>
          </w:tcPr>
          <w:p w14:paraId="68263C4D">
            <w:pPr>
              <w:rPr>
                <w:rFonts w:hint="eastAsia" w:ascii="Arial Narrow" w:hAnsi="Arial Narrow" w:eastAsia="仿宋_GB2312" w:cs="Arial Narrow"/>
                <w:sz w:val="21"/>
                <w:szCs w:val="21"/>
              </w:rPr>
            </w:pPr>
            <w:r>
              <w:rPr>
                <w:rFonts w:ascii="Arial Narrow" w:hAnsi="Arial Narrow" w:eastAsia="仿宋_GB2312" w:cs="Arial Narrow"/>
                <w:sz w:val="21"/>
                <w:szCs w:val="21"/>
              </w:rPr>
              <w:t>实际到位资金与计划投入资金的比率，用以反映和考核资金落实情况对项目实施的总体保障程度。</w:t>
            </w:r>
          </w:p>
        </w:tc>
        <w:tc>
          <w:tcPr>
            <w:tcW w:w="4212" w:type="dxa"/>
            <w:shd w:val="clear" w:color="000000" w:fill="FFFFFF"/>
            <w:vAlign w:val="center"/>
          </w:tcPr>
          <w:p w14:paraId="6B2BFF6D">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资金到位率=（实际到位资金/计划投入资金）×100%。</w:t>
            </w:r>
            <w:r>
              <w:rPr>
                <w:rFonts w:ascii="Arial Narrow" w:hAnsi="Arial Narrow" w:eastAsia="仿宋_GB2312" w:cs="Arial Narrow"/>
                <w:sz w:val="21"/>
                <w:szCs w:val="21"/>
              </w:rPr>
              <w:br w:type="textWrapping"/>
            </w:r>
            <w:r>
              <w:rPr>
                <w:rFonts w:ascii="Arial Narrow" w:hAnsi="Arial Narrow" w:eastAsia="仿宋_GB2312" w:cs="Arial Narrow"/>
                <w:sz w:val="21"/>
                <w:szCs w:val="21"/>
              </w:rPr>
              <w:t>实际到位资金：一定时期（本年度或项目期）内实际预算到位资金以及实际落实到具体项目的资金。</w:t>
            </w:r>
            <w:r>
              <w:rPr>
                <w:rFonts w:ascii="Arial Narrow" w:hAnsi="Arial Narrow" w:eastAsia="仿宋_GB2312" w:cs="Arial Narrow"/>
                <w:sz w:val="21"/>
                <w:szCs w:val="21"/>
              </w:rPr>
              <w:br w:type="textWrapping"/>
            </w:r>
            <w:r>
              <w:rPr>
                <w:rFonts w:ascii="Arial Narrow" w:hAnsi="Arial Narrow" w:eastAsia="仿宋_GB2312" w:cs="Arial Narrow"/>
                <w:sz w:val="21"/>
                <w:szCs w:val="21"/>
              </w:rPr>
              <w:t>计划投入资金：一定时期（本年度或项目期）内计划投入到具体项目的资金。</w:t>
            </w:r>
          </w:p>
        </w:tc>
      </w:tr>
      <w:tr w14:paraId="3E86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79" w:type="dxa"/>
            <w:vMerge w:val="continue"/>
            <w:shd w:val="clear" w:color="000000" w:fill="FFFFFF"/>
            <w:vAlign w:val="center"/>
          </w:tcPr>
          <w:p w14:paraId="1BB5272D">
            <w:pPr>
              <w:rPr>
                <w:rFonts w:hint="eastAsia" w:ascii="Arial Narrow" w:hAnsi="Arial Narrow" w:eastAsia="仿宋_GB2312" w:cs="Arial Narrow"/>
                <w:sz w:val="21"/>
                <w:szCs w:val="21"/>
              </w:rPr>
            </w:pPr>
          </w:p>
        </w:tc>
        <w:tc>
          <w:tcPr>
            <w:tcW w:w="946" w:type="dxa"/>
            <w:shd w:val="clear" w:color="000000" w:fill="FFFFFF"/>
            <w:vAlign w:val="center"/>
          </w:tcPr>
          <w:p w14:paraId="3B4FC415">
            <w:pPr>
              <w:rPr>
                <w:rFonts w:hint="eastAsia" w:ascii="Arial Narrow" w:hAnsi="Arial Narrow" w:eastAsia="仿宋_GB2312" w:cs="Arial Narrow"/>
                <w:sz w:val="21"/>
                <w:szCs w:val="21"/>
              </w:rPr>
            </w:pPr>
            <w:r>
              <w:rPr>
                <w:rFonts w:ascii="Arial Narrow" w:hAnsi="Arial Narrow" w:eastAsia="仿宋_GB2312" w:cs="Arial Narrow"/>
                <w:sz w:val="21"/>
                <w:szCs w:val="21"/>
              </w:rPr>
              <w:t>到位及时率（4）</w:t>
            </w:r>
          </w:p>
        </w:tc>
        <w:tc>
          <w:tcPr>
            <w:tcW w:w="2470" w:type="dxa"/>
            <w:shd w:val="clear" w:color="000000" w:fill="FFFFFF"/>
            <w:vAlign w:val="center"/>
          </w:tcPr>
          <w:p w14:paraId="2586D80E">
            <w:pPr>
              <w:rPr>
                <w:rFonts w:hint="eastAsia" w:ascii="Arial Narrow" w:hAnsi="Arial Narrow" w:eastAsia="仿宋_GB2312" w:cs="Arial Narrow"/>
                <w:sz w:val="21"/>
                <w:szCs w:val="21"/>
              </w:rPr>
            </w:pPr>
            <w:r>
              <w:rPr>
                <w:rFonts w:ascii="Arial Narrow" w:hAnsi="Arial Narrow" w:eastAsia="仿宋_GB2312" w:cs="Arial Narrow"/>
                <w:sz w:val="21"/>
                <w:szCs w:val="21"/>
              </w:rPr>
              <w:t>及时到位资金与应到位资金的比率，用以反映和考核项目资金落实的及时性程度。</w:t>
            </w:r>
          </w:p>
        </w:tc>
        <w:tc>
          <w:tcPr>
            <w:tcW w:w="4212" w:type="dxa"/>
            <w:shd w:val="clear" w:color="000000" w:fill="FFFFFF"/>
            <w:vAlign w:val="center"/>
          </w:tcPr>
          <w:p w14:paraId="3A74F57B">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到位及时率=（及时到位资金/应到位项目资金）×100%。</w:t>
            </w:r>
            <w:r>
              <w:rPr>
                <w:rFonts w:ascii="Arial Narrow" w:hAnsi="Arial Narrow" w:eastAsia="仿宋_GB2312" w:cs="Arial Narrow"/>
                <w:sz w:val="21"/>
                <w:szCs w:val="21"/>
              </w:rPr>
              <w:br w:type="textWrapping"/>
            </w:r>
            <w:r>
              <w:rPr>
                <w:rFonts w:ascii="Arial Narrow" w:hAnsi="Arial Narrow" w:eastAsia="仿宋_GB2312" w:cs="Arial Narrow"/>
                <w:sz w:val="21"/>
                <w:szCs w:val="21"/>
              </w:rPr>
              <w:t>及时到位资金：截至规定时点实际落实到项目的资金。</w:t>
            </w:r>
            <w:r>
              <w:rPr>
                <w:rFonts w:ascii="Arial Narrow" w:hAnsi="Arial Narrow" w:eastAsia="仿宋_GB2312" w:cs="Arial Narrow"/>
                <w:sz w:val="21"/>
                <w:szCs w:val="21"/>
              </w:rPr>
              <w:br w:type="textWrapping"/>
            </w:r>
            <w:r>
              <w:rPr>
                <w:rFonts w:ascii="Arial Narrow" w:hAnsi="Arial Narrow" w:eastAsia="仿宋_GB2312" w:cs="Arial Narrow"/>
                <w:sz w:val="21"/>
                <w:szCs w:val="21"/>
              </w:rPr>
              <w:t>应到位资金：按照合同或项目进度要求截至规定时点应落实到具体项目的资金。</w:t>
            </w:r>
          </w:p>
        </w:tc>
      </w:tr>
      <w:tr w14:paraId="0C9E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79" w:type="dxa"/>
            <w:vMerge w:val="restart"/>
            <w:shd w:val="clear" w:color="000000" w:fill="FFFFFF"/>
            <w:vAlign w:val="center"/>
          </w:tcPr>
          <w:p w14:paraId="60C1A2F6">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过程（24）</w:t>
            </w:r>
          </w:p>
        </w:tc>
        <w:tc>
          <w:tcPr>
            <w:tcW w:w="946" w:type="dxa"/>
            <w:shd w:val="clear" w:color="000000" w:fill="FFFFFF"/>
            <w:vAlign w:val="center"/>
          </w:tcPr>
          <w:p w14:paraId="3EC56905">
            <w:pPr>
              <w:rPr>
                <w:rFonts w:hint="eastAsia" w:ascii="Arial Narrow" w:hAnsi="Arial Narrow" w:eastAsia="仿宋_GB2312" w:cs="Arial Narrow"/>
                <w:sz w:val="21"/>
                <w:szCs w:val="21"/>
              </w:rPr>
            </w:pPr>
            <w:r>
              <w:rPr>
                <w:rFonts w:ascii="Arial Narrow" w:hAnsi="Arial Narrow" w:eastAsia="仿宋_GB2312" w:cs="Arial Narrow"/>
                <w:sz w:val="21"/>
                <w:szCs w:val="21"/>
              </w:rPr>
              <w:t>管理制度健全性（4）</w:t>
            </w:r>
          </w:p>
        </w:tc>
        <w:tc>
          <w:tcPr>
            <w:tcW w:w="2470" w:type="dxa"/>
            <w:shd w:val="clear" w:color="000000" w:fill="FFFFFF"/>
            <w:vAlign w:val="center"/>
          </w:tcPr>
          <w:p w14:paraId="2EA9382D">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项目实施单位的项目管理制度是否健全，用以反映和考核相关管理制度对项目顺利实施的保障情况。</w:t>
            </w:r>
          </w:p>
        </w:tc>
        <w:tc>
          <w:tcPr>
            <w:tcW w:w="4212" w:type="dxa"/>
            <w:shd w:val="clear" w:color="000000" w:fill="FFFFFF"/>
            <w:vAlign w:val="center"/>
          </w:tcPr>
          <w:p w14:paraId="7189BCD1">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p>
          <w:p w14:paraId="5C8AFA20">
            <w:pPr>
              <w:rPr>
                <w:rFonts w:hint="eastAsia" w:ascii="Arial Narrow" w:hAnsi="Arial Narrow" w:eastAsia="仿宋_GB2312" w:cs="Arial Narrow"/>
                <w:sz w:val="21"/>
                <w:szCs w:val="21"/>
              </w:rPr>
            </w:pPr>
            <w:r>
              <w:rPr>
                <w:rFonts w:ascii="Arial Narrow" w:hAnsi="Arial Narrow" w:eastAsia="仿宋_GB2312" w:cs="Arial Narrow"/>
                <w:sz w:val="21"/>
                <w:szCs w:val="21"/>
              </w:rPr>
              <w:t>①是否已制定或具有相应的项目管理制度；</w:t>
            </w:r>
          </w:p>
          <w:p w14:paraId="3B654CA2">
            <w:pPr>
              <w:rPr>
                <w:rFonts w:hint="eastAsia" w:ascii="Arial Narrow" w:hAnsi="Arial Narrow" w:eastAsia="仿宋_GB2312" w:cs="Arial Narrow"/>
                <w:sz w:val="21"/>
                <w:szCs w:val="21"/>
              </w:rPr>
            </w:pPr>
            <w:r>
              <w:rPr>
                <w:rFonts w:ascii="Arial Narrow" w:hAnsi="Arial Narrow" w:eastAsia="仿宋_GB2312" w:cs="Arial Narrow"/>
                <w:sz w:val="21"/>
                <w:szCs w:val="21"/>
              </w:rPr>
              <w:br w:type="page"/>
            </w:r>
            <w:r>
              <w:rPr>
                <w:rFonts w:ascii="Arial Narrow" w:hAnsi="Arial Narrow" w:eastAsia="仿宋_GB2312" w:cs="Arial Narrow"/>
                <w:sz w:val="21"/>
                <w:szCs w:val="21"/>
              </w:rPr>
              <w:t>②项目管理制度的制定是否合法、合规。</w:t>
            </w:r>
          </w:p>
        </w:tc>
      </w:tr>
      <w:tr w14:paraId="366E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79" w:type="dxa"/>
            <w:vMerge w:val="continue"/>
            <w:shd w:val="clear" w:color="000000" w:fill="FFFFFF"/>
            <w:vAlign w:val="center"/>
          </w:tcPr>
          <w:p w14:paraId="443F3467">
            <w:pPr>
              <w:rPr>
                <w:rFonts w:hint="eastAsia" w:ascii="Arial Narrow" w:hAnsi="Arial Narrow" w:eastAsia="仿宋_GB2312" w:cs="Arial Narrow"/>
                <w:sz w:val="21"/>
                <w:szCs w:val="21"/>
              </w:rPr>
            </w:pPr>
          </w:p>
        </w:tc>
        <w:tc>
          <w:tcPr>
            <w:tcW w:w="946" w:type="dxa"/>
            <w:shd w:val="clear" w:color="000000" w:fill="FFFFFF"/>
            <w:vAlign w:val="center"/>
          </w:tcPr>
          <w:p w14:paraId="517D929C">
            <w:pPr>
              <w:rPr>
                <w:rFonts w:hint="eastAsia" w:ascii="Arial Narrow" w:hAnsi="Arial Narrow" w:eastAsia="仿宋_GB2312" w:cs="Arial Narrow"/>
                <w:sz w:val="21"/>
                <w:szCs w:val="21"/>
              </w:rPr>
            </w:pPr>
            <w:r>
              <w:rPr>
                <w:rFonts w:ascii="Arial Narrow" w:hAnsi="Arial Narrow" w:eastAsia="仿宋_GB2312" w:cs="Arial Narrow"/>
                <w:sz w:val="21"/>
                <w:szCs w:val="21"/>
              </w:rPr>
              <w:t>制度执行有效性（4）</w:t>
            </w:r>
          </w:p>
        </w:tc>
        <w:tc>
          <w:tcPr>
            <w:tcW w:w="2470" w:type="dxa"/>
            <w:shd w:val="clear" w:color="000000" w:fill="FFFFFF"/>
            <w:vAlign w:val="center"/>
          </w:tcPr>
          <w:p w14:paraId="41AD19AC">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项目实施是否符合相关管理制度规定，用以反映和考核项目管理制度的有效执行情况。</w:t>
            </w:r>
          </w:p>
        </w:tc>
        <w:tc>
          <w:tcPr>
            <w:tcW w:w="4212" w:type="dxa"/>
            <w:shd w:val="clear" w:color="000000" w:fill="FFFFFF"/>
            <w:vAlign w:val="center"/>
          </w:tcPr>
          <w:p w14:paraId="6E965708">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①是否遵守相关法律法规和业务管理规定，</w:t>
            </w:r>
            <w:r>
              <w:rPr>
                <w:rFonts w:ascii="Arial Narrow" w:hAnsi="Arial Narrow" w:eastAsia="仿宋_GB2312" w:cs="Arial Narrow"/>
                <w:sz w:val="21"/>
                <w:szCs w:val="21"/>
              </w:rPr>
              <w:br w:type="textWrapping"/>
            </w:r>
            <w:r>
              <w:rPr>
                <w:rFonts w:ascii="Arial Narrow" w:hAnsi="Arial Narrow" w:eastAsia="仿宋_GB2312" w:cs="Arial Narrow"/>
                <w:sz w:val="21"/>
                <w:szCs w:val="21"/>
              </w:rPr>
              <w:t>②项目单位是否严格执行项目管理程序；</w:t>
            </w:r>
            <w:r>
              <w:rPr>
                <w:rFonts w:ascii="Arial Narrow" w:hAnsi="Arial Narrow" w:eastAsia="仿宋_GB2312" w:cs="Arial Narrow"/>
                <w:sz w:val="21"/>
                <w:szCs w:val="21"/>
              </w:rPr>
              <w:br w:type="textWrapping"/>
            </w:r>
            <w:r>
              <w:rPr>
                <w:rFonts w:ascii="Arial Narrow" w:hAnsi="Arial Narrow" w:eastAsia="仿宋_GB2312" w:cs="Arial Narrow"/>
                <w:sz w:val="21"/>
                <w:szCs w:val="21"/>
              </w:rPr>
              <w:t>③项目投资协议书、会议纪要等资料是否齐全并及时归档。</w:t>
            </w:r>
          </w:p>
        </w:tc>
      </w:tr>
      <w:tr w14:paraId="2570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779" w:type="dxa"/>
            <w:vMerge w:val="continue"/>
            <w:shd w:val="clear" w:color="000000" w:fill="FFFFFF"/>
            <w:vAlign w:val="center"/>
          </w:tcPr>
          <w:p w14:paraId="3E47BECF">
            <w:pPr>
              <w:rPr>
                <w:rFonts w:hint="eastAsia" w:ascii="Arial Narrow" w:hAnsi="Arial Narrow" w:eastAsia="仿宋_GB2312" w:cs="Arial Narrow"/>
                <w:sz w:val="21"/>
                <w:szCs w:val="21"/>
              </w:rPr>
            </w:pPr>
          </w:p>
        </w:tc>
        <w:tc>
          <w:tcPr>
            <w:tcW w:w="946" w:type="dxa"/>
            <w:shd w:val="clear" w:color="000000" w:fill="FFFFFF"/>
            <w:vAlign w:val="center"/>
          </w:tcPr>
          <w:p w14:paraId="096A5FA1">
            <w:pPr>
              <w:rPr>
                <w:rFonts w:hint="eastAsia" w:ascii="Arial Narrow" w:hAnsi="Arial Narrow" w:eastAsia="仿宋_GB2312" w:cs="Arial Narrow"/>
                <w:sz w:val="21"/>
                <w:szCs w:val="21"/>
              </w:rPr>
            </w:pPr>
            <w:r>
              <w:rPr>
                <w:rFonts w:ascii="Arial Narrow" w:hAnsi="Arial Narrow" w:eastAsia="仿宋_GB2312" w:cs="Arial Narrow"/>
                <w:sz w:val="21"/>
                <w:szCs w:val="21"/>
              </w:rPr>
              <w:t>项目质量可控性（4）</w:t>
            </w:r>
          </w:p>
        </w:tc>
        <w:tc>
          <w:tcPr>
            <w:tcW w:w="2470" w:type="dxa"/>
            <w:shd w:val="clear" w:color="000000" w:fill="FFFFFF"/>
            <w:vAlign w:val="center"/>
          </w:tcPr>
          <w:p w14:paraId="6E3DD4EA">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项目实施单位是否为达到项目质量要求而采取了必需的措施,用以反映和考核项目实施单位对项目质量的控制情况。</w:t>
            </w:r>
          </w:p>
        </w:tc>
        <w:tc>
          <w:tcPr>
            <w:tcW w:w="4212" w:type="dxa"/>
            <w:shd w:val="clear" w:color="000000" w:fill="FFFFFF"/>
            <w:vAlign w:val="center"/>
          </w:tcPr>
          <w:p w14:paraId="07F17B69">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①是否制定或具有相应的项目质量要求或考核办法，如招商引资绩效考评制度等；</w:t>
            </w:r>
            <w:r>
              <w:rPr>
                <w:rFonts w:ascii="Arial Narrow" w:hAnsi="Arial Narrow" w:eastAsia="仿宋_GB2312" w:cs="Arial Narrow"/>
                <w:sz w:val="21"/>
                <w:szCs w:val="21"/>
              </w:rPr>
              <w:br w:type="textWrapping"/>
            </w:r>
            <w:r>
              <w:rPr>
                <w:rFonts w:ascii="Arial Narrow" w:hAnsi="Arial Narrow" w:eastAsia="仿宋_GB2312" w:cs="Arial Narrow"/>
                <w:sz w:val="21"/>
                <w:szCs w:val="21"/>
              </w:rPr>
              <w:t>②是否对招商引资工作进行督促检查。</w:t>
            </w:r>
          </w:p>
        </w:tc>
      </w:tr>
      <w:tr w14:paraId="7829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79" w:type="dxa"/>
            <w:vMerge w:val="continue"/>
            <w:shd w:val="clear" w:color="000000" w:fill="FFFFFF"/>
            <w:vAlign w:val="center"/>
          </w:tcPr>
          <w:p w14:paraId="5F8B4E50">
            <w:pPr>
              <w:rPr>
                <w:rFonts w:hint="eastAsia" w:ascii="Arial Narrow" w:hAnsi="Arial Narrow" w:eastAsia="仿宋_GB2312" w:cs="Arial Narrow"/>
                <w:sz w:val="21"/>
                <w:szCs w:val="21"/>
              </w:rPr>
            </w:pPr>
          </w:p>
        </w:tc>
        <w:tc>
          <w:tcPr>
            <w:tcW w:w="946" w:type="dxa"/>
            <w:shd w:val="clear" w:color="000000" w:fill="FFFFFF"/>
            <w:vAlign w:val="center"/>
          </w:tcPr>
          <w:p w14:paraId="4132B6A2">
            <w:pPr>
              <w:rPr>
                <w:rFonts w:hint="eastAsia" w:ascii="Arial Narrow" w:hAnsi="Arial Narrow" w:eastAsia="仿宋_GB2312" w:cs="Arial Narrow"/>
                <w:sz w:val="21"/>
                <w:szCs w:val="21"/>
              </w:rPr>
            </w:pPr>
            <w:r>
              <w:rPr>
                <w:rFonts w:ascii="Arial Narrow" w:hAnsi="Arial Narrow" w:eastAsia="仿宋_GB2312" w:cs="Arial Narrow"/>
                <w:sz w:val="21"/>
                <w:szCs w:val="21"/>
              </w:rPr>
              <w:t>财务制度健全性（4）</w:t>
            </w:r>
          </w:p>
        </w:tc>
        <w:tc>
          <w:tcPr>
            <w:tcW w:w="2470" w:type="dxa"/>
            <w:shd w:val="clear" w:color="000000" w:fill="FFFFFF"/>
            <w:vAlign w:val="center"/>
          </w:tcPr>
          <w:p w14:paraId="48D57166">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项目实施单位的财务制度是否健全，用以反映和考核财务管理制度对资金规范、安全运行的保障情况。</w:t>
            </w:r>
          </w:p>
        </w:tc>
        <w:tc>
          <w:tcPr>
            <w:tcW w:w="4212" w:type="dxa"/>
            <w:shd w:val="clear" w:color="000000" w:fill="FFFFFF"/>
            <w:vAlign w:val="center"/>
          </w:tcPr>
          <w:p w14:paraId="15AF9218">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项目单位是否制定或具有相应的资金管理体系，管理体系符合相关财务会计制度的规定。</w:t>
            </w:r>
          </w:p>
        </w:tc>
      </w:tr>
      <w:tr w14:paraId="4987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779" w:type="dxa"/>
            <w:vMerge w:val="continue"/>
            <w:shd w:val="clear" w:color="000000" w:fill="FFFFFF"/>
            <w:vAlign w:val="center"/>
          </w:tcPr>
          <w:p w14:paraId="5B7D05A0">
            <w:pPr>
              <w:rPr>
                <w:rFonts w:hint="eastAsia" w:ascii="Arial Narrow" w:hAnsi="Arial Narrow" w:eastAsia="仿宋_GB2312" w:cs="Arial Narrow"/>
                <w:sz w:val="21"/>
                <w:szCs w:val="21"/>
              </w:rPr>
            </w:pPr>
          </w:p>
        </w:tc>
        <w:tc>
          <w:tcPr>
            <w:tcW w:w="946" w:type="dxa"/>
            <w:shd w:val="clear" w:color="000000" w:fill="FFFFFF"/>
            <w:vAlign w:val="center"/>
          </w:tcPr>
          <w:p w14:paraId="592232BC">
            <w:pPr>
              <w:rPr>
                <w:rFonts w:hint="eastAsia" w:ascii="Arial Narrow" w:hAnsi="Arial Narrow" w:eastAsia="仿宋_GB2312" w:cs="Arial Narrow"/>
                <w:sz w:val="21"/>
                <w:szCs w:val="21"/>
              </w:rPr>
            </w:pPr>
            <w:r>
              <w:rPr>
                <w:rFonts w:ascii="Arial Narrow" w:hAnsi="Arial Narrow" w:eastAsia="仿宋_GB2312" w:cs="Arial Narrow"/>
                <w:sz w:val="21"/>
                <w:szCs w:val="21"/>
              </w:rPr>
              <w:t>资金使用合规性（4）</w:t>
            </w:r>
          </w:p>
        </w:tc>
        <w:tc>
          <w:tcPr>
            <w:tcW w:w="2470" w:type="dxa"/>
            <w:shd w:val="clear" w:color="000000" w:fill="FFFFFF"/>
            <w:vAlign w:val="center"/>
          </w:tcPr>
          <w:p w14:paraId="5E7ED06A">
            <w:pPr>
              <w:rPr>
                <w:rFonts w:hint="eastAsia" w:ascii="Arial Narrow" w:hAnsi="Arial Narrow" w:eastAsia="仿宋_GB2312" w:cs="Arial Narrow"/>
                <w:sz w:val="21"/>
                <w:szCs w:val="21"/>
              </w:rPr>
            </w:pPr>
            <w:r>
              <w:rPr>
                <w:rFonts w:ascii="Arial Narrow" w:hAnsi="Arial Narrow" w:eastAsia="仿宋_GB2312" w:cs="Arial Narrow"/>
                <w:sz w:val="21"/>
                <w:szCs w:val="21"/>
              </w:rPr>
              <w:t>项目资金使用是否符合相关的财务管理制度规定，用以反映和考核项目资金的规范运行情况。</w:t>
            </w:r>
          </w:p>
        </w:tc>
        <w:tc>
          <w:tcPr>
            <w:tcW w:w="4212" w:type="dxa"/>
            <w:shd w:val="clear" w:color="000000" w:fill="FFFFFF"/>
            <w:vAlign w:val="center"/>
          </w:tcPr>
          <w:p w14:paraId="0DB9914E">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①资金的拨付是否有完整的审批程序和手续；</w:t>
            </w:r>
            <w:r>
              <w:rPr>
                <w:rFonts w:ascii="Arial Narrow" w:hAnsi="Arial Narrow" w:eastAsia="仿宋_GB2312" w:cs="Arial Narrow"/>
                <w:sz w:val="21"/>
                <w:szCs w:val="21"/>
              </w:rPr>
              <w:br w:type="textWrapping"/>
            </w:r>
            <w:r>
              <w:rPr>
                <w:rFonts w:ascii="Arial Narrow" w:hAnsi="Arial Narrow" w:eastAsia="仿宋_GB2312" w:cs="Arial Narrow"/>
                <w:sz w:val="21"/>
                <w:szCs w:val="21"/>
              </w:rPr>
              <w:t>②项目支出是否符合国家财经法规和财务管理制度的有关规定；</w:t>
            </w:r>
            <w:r>
              <w:rPr>
                <w:rFonts w:ascii="Arial Narrow" w:hAnsi="Arial Narrow" w:eastAsia="仿宋_GB2312" w:cs="Arial Narrow"/>
                <w:sz w:val="21"/>
                <w:szCs w:val="21"/>
              </w:rPr>
              <w:br w:type="textWrapping"/>
            </w:r>
            <w:r>
              <w:rPr>
                <w:rFonts w:ascii="Arial Narrow" w:hAnsi="Arial Narrow" w:eastAsia="仿宋_GB2312" w:cs="Arial Narrow"/>
                <w:sz w:val="21"/>
                <w:szCs w:val="21"/>
              </w:rPr>
              <w:t>③入账处理时候是否规范，单据是否齐全；</w:t>
            </w:r>
            <w:r>
              <w:rPr>
                <w:rFonts w:ascii="Arial Narrow" w:hAnsi="Arial Narrow" w:eastAsia="仿宋_GB2312" w:cs="Arial Narrow"/>
                <w:sz w:val="21"/>
                <w:szCs w:val="21"/>
              </w:rPr>
              <w:br w:type="textWrapping"/>
            </w:r>
            <w:r>
              <w:rPr>
                <w:rFonts w:ascii="Arial Narrow" w:hAnsi="Arial Narrow" w:eastAsia="仿宋_GB2312" w:cs="Arial Narrow"/>
                <w:sz w:val="21"/>
                <w:szCs w:val="21"/>
              </w:rPr>
              <w:t>④是否存在截留、挤占、挪用、虚列支出等情况。</w:t>
            </w:r>
          </w:p>
        </w:tc>
      </w:tr>
      <w:tr w14:paraId="0A2D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779" w:type="dxa"/>
            <w:vMerge w:val="continue"/>
            <w:shd w:val="clear" w:color="000000" w:fill="FFFFFF"/>
            <w:vAlign w:val="center"/>
          </w:tcPr>
          <w:p w14:paraId="3D3010A4">
            <w:pPr>
              <w:rPr>
                <w:rFonts w:hint="eastAsia" w:ascii="Arial Narrow" w:hAnsi="Arial Narrow" w:eastAsia="仿宋_GB2312" w:cs="Arial Narrow"/>
                <w:sz w:val="21"/>
                <w:szCs w:val="21"/>
              </w:rPr>
            </w:pPr>
          </w:p>
        </w:tc>
        <w:tc>
          <w:tcPr>
            <w:tcW w:w="946" w:type="dxa"/>
            <w:shd w:val="clear" w:color="000000" w:fill="FFFFFF"/>
            <w:vAlign w:val="center"/>
          </w:tcPr>
          <w:p w14:paraId="379B2C44">
            <w:pPr>
              <w:rPr>
                <w:rFonts w:hint="eastAsia" w:ascii="Arial Narrow" w:hAnsi="Arial Narrow" w:eastAsia="仿宋_GB2312" w:cs="Arial Narrow"/>
                <w:sz w:val="21"/>
                <w:szCs w:val="21"/>
              </w:rPr>
            </w:pPr>
            <w:r>
              <w:rPr>
                <w:rFonts w:ascii="Arial Narrow" w:hAnsi="Arial Narrow" w:eastAsia="仿宋_GB2312" w:cs="Arial Narrow"/>
                <w:sz w:val="21"/>
                <w:szCs w:val="21"/>
              </w:rPr>
              <w:t>财务监控有效性（4）</w:t>
            </w:r>
          </w:p>
        </w:tc>
        <w:tc>
          <w:tcPr>
            <w:tcW w:w="2470" w:type="dxa"/>
            <w:shd w:val="clear" w:color="000000" w:fill="FFFFFF"/>
            <w:vAlign w:val="center"/>
          </w:tcPr>
          <w:p w14:paraId="6D0D2E9D">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项目实施单位是否为保障资金的安全、规范运行而采取了必要的监控措施，用以反映和考核项目实施单位对资金运行的控制情况。</w:t>
            </w:r>
          </w:p>
        </w:tc>
        <w:tc>
          <w:tcPr>
            <w:tcW w:w="4212" w:type="dxa"/>
            <w:shd w:val="clear" w:color="000000" w:fill="FFFFFF"/>
            <w:vAlign w:val="center"/>
          </w:tcPr>
          <w:p w14:paraId="2EC0B55B">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①是否已制定或具有相应的监控机制；</w:t>
            </w:r>
            <w:r>
              <w:rPr>
                <w:rFonts w:ascii="Arial Narrow" w:hAnsi="Arial Narrow" w:eastAsia="仿宋_GB2312" w:cs="Arial Narrow"/>
                <w:sz w:val="21"/>
                <w:szCs w:val="21"/>
              </w:rPr>
              <w:br w:type="textWrapping"/>
            </w:r>
            <w:r>
              <w:rPr>
                <w:rFonts w:ascii="Arial Narrow" w:hAnsi="Arial Narrow" w:eastAsia="仿宋_GB2312" w:cs="Arial Narrow"/>
                <w:sz w:val="21"/>
                <w:szCs w:val="21"/>
              </w:rPr>
              <w:t>②是否采取了相应的财务检查等必要的监控措施或手段。</w:t>
            </w:r>
          </w:p>
        </w:tc>
      </w:tr>
      <w:tr w14:paraId="4C56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79" w:type="dxa"/>
            <w:vMerge w:val="restart"/>
            <w:shd w:val="clear" w:color="000000" w:fill="FFFFFF"/>
            <w:vAlign w:val="center"/>
          </w:tcPr>
          <w:p w14:paraId="69414483">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产出（33）</w:t>
            </w:r>
          </w:p>
          <w:p w14:paraId="6F7FED4A">
            <w:pPr>
              <w:jc w:val="center"/>
              <w:rPr>
                <w:rFonts w:hint="eastAsia" w:ascii="Arial Narrow" w:hAnsi="Arial Narrow" w:eastAsia="仿宋_GB2312" w:cs="Arial Narrow"/>
                <w:sz w:val="21"/>
                <w:szCs w:val="21"/>
              </w:rPr>
            </w:pPr>
          </w:p>
        </w:tc>
        <w:tc>
          <w:tcPr>
            <w:tcW w:w="946" w:type="dxa"/>
            <w:shd w:val="clear" w:color="000000" w:fill="FFFFFF"/>
            <w:vAlign w:val="center"/>
          </w:tcPr>
          <w:p w14:paraId="0B399812">
            <w:pPr>
              <w:rPr>
                <w:rFonts w:hint="eastAsia" w:ascii="Arial Narrow" w:hAnsi="Arial Narrow" w:eastAsia="仿宋_GB2312" w:cs="Arial Narrow"/>
                <w:sz w:val="21"/>
                <w:szCs w:val="21"/>
              </w:rPr>
            </w:pPr>
            <w:r>
              <w:rPr>
                <w:rFonts w:ascii="Arial Narrow" w:hAnsi="Arial Narrow" w:eastAsia="仿宋_GB2312" w:cs="Arial Narrow"/>
                <w:sz w:val="21"/>
                <w:szCs w:val="21"/>
              </w:rPr>
              <w:t>项目引进数（8）</w:t>
            </w:r>
          </w:p>
        </w:tc>
        <w:tc>
          <w:tcPr>
            <w:tcW w:w="2470" w:type="dxa"/>
            <w:shd w:val="clear" w:color="000000" w:fill="FFFFFF"/>
            <w:vAlign w:val="center"/>
          </w:tcPr>
          <w:p w14:paraId="7B5CB2B9">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项目实施后引进的招商项目数是否达到预期目标，用以反映和考核项目实施单位产出数量指标的完成情况。</w:t>
            </w:r>
          </w:p>
        </w:tc>
        <w:tc>
          <w:tcPr>
            <w:tcW w:w="4212" w:type="dxa"/>
            <w:shd w:val="clear" w:color="000000" w:fill="FFFFFF"/>
            <w:vAlign w:val="center"/>
          </w:tcPr>
          <w:p w14:paraId="4D08F963">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①项目实施后是否引进1个100亿元以上项目数；</w:t>
            </w:r>
          </w:p>
          <w:p w14:paraId="41529207">
            <w:pPr>
              <w:rPr>
                <w:rFonts w:hint="eastAsia" w:ascii="Arial Narrow" w:hAnsi="Arial Narrow" w:eastAsia="仿宋_GB2312" w:cs="Arial Narrow"/>
                <w:sz w:val="21"/>
                <w:szCs w:val="21"/>
              </w:rPr>
            </w:pPr>
            <w:r>
              <w:rPr>
                <w:rFonts w:ascii="Arial Narrow" w:hAnsi="Arial Narrow" w:eastAsia="仿宋_GB2312" w:cs="Arial Narrow"/>
                <w:sz w:val="21"/>
                <w:szCs w:val="21"/>
              </w:rPr>
              <w:t>②项目实施后是否引进2个50亿元以上项目数；</w:t>
            </w:r>
          </w:p>
          <w:p w14:paraId="6B4DA53E">
            <w:pPr>
              <w:rPr>
                <w:rFonts w:hint="eastAsia" w:ascii="Arial Narrow" w:hAnsi="Arial Narrow" w:eastAsia="仿宋_GB2312" w:cs="Arial Narrow"/>
                <w:sz w:val="21"/>
                <w:szCs w:val="21"/>
              </w:rPr>
            </w:pPr>
            <w:r>
              <w:rPr>
                <w:rFonts w:ascii="Arial Narrow" w:hAnsi="Arial Narrow" w:eastAsia="仿宋_GB2312" w:cs="Arial Narrow"/>
                <w:sz w:val="21"/>
                <w:szCs w:val="21"/>
              </w:rPr>
              <w:t>③项目实施后是否引进5个10-50亿元项目数；</w:t>
            </w:r>
          </w:p>
          <w:p w14:paraId="5582C09B">
            <w:pPr>
              <w:rPr>
                <w:rFonts w:hint="eastAsia" w:ascii="Arial Narrow" w:hAnsi="Arial Narrow" w:eastAsia="仿宋_GB2312" w:cs="Arial Narrow"/>
                <w:sz w:val="21"/>
                <w:szCs w:val="21"/>
              </w:rPr>
            </w:pPr>
            <w:r>
              <w:rPr>
                <w:rFonts w:ascii="Arial Narrow" w:hAnsi="Arial Narrow" w:eastAsia="仿宋_GB2312" w:cs="Arial Narrow"/>
                <w:sz w:val="21"/>
                <w:szCs w:val="21"/>
              </w:rPr>
              <w:t>④项目实施后是否引进20个1-10亿元项目数。</w:t>
            </w:r>
          </w:p>
        </w:tc>
      </w:tr>
      <w:tr w14:paraId="7B94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9" w:type="dxa"/>
            <w:vMerge w:val="continue"/>
            <w:shd w:val="clear" w:color="000000" w:fill="FFFFFF"/>
            <w:vAlign w:val="center"/>
          </w:tcPr>
          <w:p w14:paraId="682209EB">
            <w:pPr>
              <w:rPr>
                <w:rFonts w:hint="eastAsia" w:ascii="Arial Narrow" w:hAnsi="Arial Narrow" w:eastAsia="仿宋_GB2312" w:cs="Arial Narrow"/>
                <w:sz w:val="21"/>
                <w:szCs w:val="21"/>
              </w:rPr>
            </w:pPr>
          </w:p>
        </w:tc>
        <w:tc>
          <w:tcPr>
            <w:tcW w:w="946" w:type="dxa"/>
            <w:shd w:val="clear" w:color="000000" w:fill="FFFFFF"/>
            <w:vAlign w:val="center"/>
          </w:tcPr>
          <w:p w14:paraId="2955EA05">
            <w:pPr>
              <w:rPr>
                <w:rFonts w:hint="eastAsia" w:ascii="Arial Narrow" w:hAnsi="Arial Narrow" w:eastAsia="仿宋_GB2312" w:cs="Arial Narrow"/>
                <w:sz w:val="21"/>
                <w:szCs w:val="21"/>
              </w:rPr>
            </w:pPr>
            <w:r>
              <w:rPr>
                <w:rFonts w:ascii="Arial Narrow" w:hAnsi="Arial Narrow" w:eastAsia="仿宋_GB2312" w:cs="Arial Narrow"/>
                <w:sz w:val="21"/>
                <w:szCs w:val="21"/>
              </w:rPr>
              <w:t>招商引资到位资金达标率（4）</w:t>
            </w:r>
          </w:p>
        </w:tc>
        <w:tc>
          <w:tcPr>
            <w:tcW w:w="2470" w:type="dxa"/>
            <w:shd w:val="clear" w:color="000000" w:fill="FFFFFF"/>
            <w:vAlign w:val="center"/>
          </w:tcPr>
          <w:p w14:paraId="5A14EC21">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项目实施后招商引资到位资金是否达到预期目标，用以反映和考核项目实施单位产出数量指标的完成情况。</w:t>
            </w:r>
          </w:p>
        </w:tc>
        <w:tc>
          <w:tcPr>
            <w:tcW w:w="4212" w:type="dxa"/>
            <w:shd w:val="clear" w:color="000000" w:fill="FFFFFF"/>
            <w:vAlign w:val="center"/>
          </w:tcPr>
          <w:p w14:paraId="76EAC3DB">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招商引资到位资金达标率=（实际招商引资到位资金/招商引资到位资金预期目标）*100%；</w:t>
            </w:r>
          </w:p>
          <w:p w14:paraId="7E1CE1DF">
            <w:pPr>
              <w:rPr>
                <w:rFonts w:hint="eastAsia" w:ascii="Arial Narrow" w:hAnsi="Arial Narrow" w:eastAsia="仿宋_GB2312" w:cs="Arial Narrow"/>
                <w:sz w:val="21"/>
                <w:szCs w:val="21"/>
              </w:rPr>
            </w:pPr>
            <w:r>
              <w:rPr>
                <w:rFonts w:ascii="Arial Narrow" w:hAnsi="Arial Narrow" w:eastAsia="仿宋_GB2312" w:cs="Arial Narrow"/>
                <w:sz w:val="21"/>
                <w:szCs w:val="21"/>
              </w:rPr>
              <w:t>2018年招商引资到位资金预期目标为700亿元。</w:t>
            </w:r>
          </w:p>
        </w:tc>
      </w:tr>
      <w:tr w14:paraId="4F70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9" w:type="dxa"/>
            <w:vMerge w:val="continue"/>
            <w:shd w:val="clear" w:color="000000" w:fill="FFFFFF"/>
            <w:vAlign w:val="center"/>
          </w:tcPr>
          <w:p w14:paraId="07DBA900">
            <w:pPr>
              <w:rPr>
                <w:rFonts w:hint="eastAsia" w:ascii="Arial Narrow" w:hAnsi="Arial Narrow" w:eastAsia="仿宋_GB2312" w:cs="Arial Narrow"/>
                <w:sz w:val="21"/>
                <w:szCs w:val="21"/>
              </w:rPr>
            </w:pPr>
          </w:p>
        </w:tc>
        <w:tc>
          <w:tcPr>
            <w:tcW w:w="946" w:type="dxa"/>
            <w:shd w:val="clear" w:color="000000" w:fill="FFFFFF"/>
            <w:vAlign w:val="center"/>
          </w:tcPr>
          <w:p w14:paraId="12FC7900">
            <w:pPr>
              <w:rPr>
                <w:rFonts w:hint="eastAsia" w:ascii="Arial Narrow" w:hAnsi="Arial Narrow" w:eastAsia="仿宋_GB2312" w:cs="Arial Narrow"/>
                <w:sz w:val="21"/>
                <w:szCs w:val="21"/>
              </w:rPr>
            </w:pPr>
            <w:r>
              <w:rPr>
                <w:rFonts w:ascii="Arial Narrow" w:hAnsi="Arial Narrow" w:eastAsia="仿宋_GB2312" w:cs="Arial Narrow"/>
                <w:sz w:val="21"/>
                <w:szCs w:val="21"/>
              </w:rPr>
              <w:t>实际利用外资</w:t>
            </w:r>
          </w:p>
          <w:p w14:paraId="15934FA2">
            <w:pPr>
              <w:rPr>
                <w:rFonts w:hint="eastAsia" w:ascii="Arial Narrow" w:hAnsi="Arial Narrow" w:eastAsia="仿宋_GB2312" w:cs="Arial Narrow"/>
                <w:sz w:val="21"/>
                <w:szCs w:val="21"/>
              </w:rPr>
            </w:pPr>
            <w:r>
              <w:rPr>
                <w:rFonts w:ascii="Arial Narrow" w:hAnsi="Arial Narrow" w:eastAsia="仿宋_GB2312" w:cs="Arial Narrow"/>
                <w:sz w:val="21"/>
                <w:szCs w:val="21"/>
              </w:rPr>
              <w:t>（4）</w:t>
            </w:r>
          </w:p>
        </w:tc>
        <w:tc>
          <w:tcPr>
            <w:tcW w:w="2470" w:type="dxa"/>
            <w:shd w:val="clear" w:color="000000" w:fill="FFFFFF"/>
            <w:vAlign w:val="center"/>
          </w:tcPr>
          <w:p w14:paraId="7EF6E24C">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项目实施后实际利用外资总额是否达到预期目标，用以反映和考核项目实施单位产出数量指标的完成情况。</w:t>
            </w:r>
          </w:p>
        </w:tc>
        <w:tc>
          <w:tcPr>
            <w:tcW w:w="4212" w:type="dxa"/>
            <w:shd w:val="clear" w:color="000000" w:fill="FFFFFF"/>
            <w:vAlign w:val="center"/>
          </w:tcPr>
          <w:p w14:paraId="126DA7F3">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项目实施后实际利用外资总额是否达到168,340万美元。</w:t>
            </w:r>
          </w:p>
        </w:tc>
      </w:tr>
      <w:tr w14:paraId="7AC0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79" w:type="dxa"/>
            <w:vMerge w:val="continue"/>
            <w:shd w:val="clear" w:color="000000" w:fill="FFFFFF"/>
            <w:vAlign w:val="center"/>
          </w:tcPr>
          <w:p w14:paraId="01E04824">
            <w:pPr>
              <w:rPr>
                <w:rFonts w:hint="eastAsia" w:ascii="Arial Narrow" w:hAnsi="Arial Narrow" w:eastAsia="仿宋_GB2312" w:cs="Arial Narrow"/>
                <w:sz w:val="21"/>
                <w:szCs w:val="21"/>
              </w:rPr>
            </w:pPr>
          </w:p>
        </w:tc>
        <w:tc>
          <w:tcPr>
            <w:tcW w:w="946" w:type="dxa"/>
            <w:shd w:val="clear" w:color="000000" w:fill="FFFFFF"/>
            <w:vAlign w:val="center"/>
          </w:tcPr>
          <w:p w14:paraId="541E477A">
            <w:pPr>
              <w:rPr>
                <w:rFonts w:hint="eastAsia" w:ascii="Arial Narrow" w:hAnsi="Arial Narrow" w:eastAsia="仿宋_GB2312" w:cs="Arial Narrow"/>
                <w:sz w:val="21"/>
                <w:szCs w:val="21"/>
              </w:rPr>
            </w:pPr>
            <w:r>
              <w:rPr>
                <w:rFonts w:ascii="Arial Narrow" w:hAnsi="Arial Narrow" w:eastAsia="仿宋_GB2312" w:cs="Arial Narrow"/>
                <w:sz w:val="21"/>
                <w:szCs w:val="21"/>
              </w:rPr>
              <w:t>招商引资签约额（4）</w:t>
            </w:r>
          </w:p>
        </w:tc>
        <w:tc>
          <w:tcPr>
            <w:tcW w:w="2470" w:type="dxa"/>
            <w:shd w:val="clear" w:color="000000" w:fill="FFFFFF"/>
            <w:vAlign w:val="center"/>
          </w:tcPr>
          <w:p w14:paraId="0DACA9DD">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项目实施单位招商引资签约额是否达到预期目标，用以反映和考核项目实施单位产出数量指标的完成情况。</w:t>
            </w:r>
          </w:p>
        </w:tc>
        <w:tc>
          <w:tcPr>
            <w:tcW w:w="4212" w:type="dxa"/>
            <w:shd w:val="clear" w:color="000000" w:fill="FFFFFF"/>
            <w:vAlign w:val="center"/>
          </w:tcPr>
          <w:p w14:paraId="0E53DF18">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项目实施后实际招商引资签约额否达到年初目标1,700亿元。</w:t>
            </w:r>
          </w:p>
        </w:tc>
      </w:tr>
      <w:tr w14:paraId="21EF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79" w:type="dxa"/>
            <w:vMerge w:val="continue"/>
            <w:shd w:val="clear" w:color="000000" w:fill="FFFFFF"/>
            <w:vAlign w:val="center"/>
          </w:tcPr>
          <w:p w14:paraId="0B7FD69C">
            <w:pPr>
              <w:rPr>
                <w:rFonts w:hint="eastAsia" w:ascii="Arial Narrow" w:hAnsi="Arial Narrow" w:eastAsia="仿宋_GB2312" w:cs="Arial Narrow"/>
                <w:sz w:val="21"/>
                <w:szCs w:val="21"/>
              </w:rPr>
            </w:pPr>
          </w:p>
        </w:tc>
        <w:tc>
          <w:tcPr>
            <w:tcW w:w="946" w:type="dxa"/>
            <w:shd w:val="clear" w:color="000000" w:fill="FFFFFF"/>
            <w:vAlign w:val="center"/>
          </w:tcPr>
          <w:p w14:paraId="1AB85DD4">
            <w:pPr>
              <w:rPr>
                <w:rFonts w:hint="eastAsia" w:ascii="Arial Narrow" w:hAnsi="Arial Narrow" w:eastAsia="仿宋_GB2312" w:cs="Arial Narrow"/>
                <w:sz w:val="21"/>
                <w:szCs w:val="21"/>
              </w:rPr>
            </w:pPr>
            <w:r>
              <w:rPr>
                <w:rFonts w:ascii="Arial Narrow" w:hAnsi="Arial Narrow" w:eastAsia="仿宋_GB2312" w:cs="Arial Narrow"/>
                <w:sz w:val="21"/>
                <w:szCs w:val="21"/>
              </w:rPr>
              <w:t>引进企业数（8）</w:t>
            </w:r>
          </w:p>
        </w:tc>
        <w:tc>
          <w:tcPr>
            <w:tcW w:w="2470" w:type="dxa"/>
            <w:shd w:val="clear" w:color="000000" w:fill="FFFFFF"/>
            <w:vAlign w:val="center"/>
          </w:tcPr>
          <w:p w14:paraId="0E0C57AA">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项目实施后是否引进预期目标的国内外500强及知名跨国企业研发机构、大型央企投资、中国民营500强投资项目，用以反映和考核项目实施单位产出质量指标的完成情况。</w:t>
            </w:r>
          </w:p>
        </w:tc>
        <w:tc>
          <w:tcPr>
            <w:tcW w:w="4212" w:type="dxa"/>
            <w:shd w:val="clear" w:color="000000" w:fill="FFFFFF"/>
            <w:vAlign w:val="center"/>
          </w:tcPr>
          <w:p w14:paraId="351B39F6">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①项目实施后是否引进6个以上国内外500强及知名跨国企业研发机构；</w:t>
            </w:r>
            <w:r>
              <w:rPr>
                <w:rFonts w:ascii="Arial Narrow" w:hAnsi="Arial Narrow" w:eastAsia="仿宋_GB2312" w:cs="Arial Narrow"/>
                <w:sz w:val="21"/>
                <w:szCs w:val="21"/>
              </w:rPr>
              <w:br w:type="textWrapping"/>
            </w:r>
            <w:r>
              <w:rPr>
                <w:rFonts w:ascii="Arial Narrow" w:hAnsi="Arial Narrow" w:eastAsia="仿宋_GB2312" w:cs="Arial Narrow"/>
                <w:sz w:val="21"/>
                <w:szCs w:val="21"/>
              </w:rPr>
              <w:t>②项目实施后是否引进10家以上引进世界500强、大型央企投资、中国民营500强投资项目。</w:t>
            </w:r>
          </w:p>
        </w:tc>
      </w:tr>
      <w:tr w14:paraId="3EDF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79" w:type="dxa"/>
            <w:vMerge w:val="continue"/>
            <w:shd w:val="clear" w:color="000000" w:fill="FFFFFF"/>
            <w:vAlign w:val="center"/>
          </w:tcPr>
          <w:p w14:paraId="63B88EF9">
            <w:pPr>
              <w:rPr>
                <w:rFonts w:hint="eastAsia" w:ascii="Arial Narrow" w:hAnsi="Arial Narrow" w:eastAsia="仿宋_GB2312" w:cs="Arial Narrow"/>
                <w:sz w:val="21"/>
                <w:szCs w:val="21"/>
              </w:rPr>
            </w:pPr>
          </w:p>
        </w:tc>
        <w:tc>
          <w:tcPr>
            <w:tcW w:w="946" w:type="dxa"/>
            <w:shd w:val="clear" w:color="000000" w:fill="FFFFFF"/>
            <w:vAlign w:val="center"/>
          </w:tcPr>
          <w:p w14:paraId="55905776">
            <w:pPr>
              <w:rPr>
                <w:rFonts w:hint="eastAsia" w:ascii="Arial Narrow" w:hAnsi="Arial Narrow" w:eastAsia="仿宋_GB2312" w:cs="Arial Narrow"/>
                <w:sz w:val="21"/>
                <w:szCs w:val="21"/>
              </w:rPr>
            </w:pPr>
            <w:r>
              <w:rPr>
                <w:rFonts w:ascii="Arial Narrow" w:hAnsi="Arial Narrow" w:eastAsia="仿宋_GB2312" w:cs="Arial Narrow"/>
                <w:sz w:val="21"/>
                <w:szCs w:val="21"/>
              </w:rPr>
              <w:t>资金使用率（5）</w:t>
            </w:r>
          </w:p>
        </w:tc>
        <w:tc>
          <w:tcPr>
            <w:tcW w:w="2470" w:type="dxa"/>
            <w:shd w:val="clear" w:color="000000" w:fill="FFFFFF"/>
            <w:vAlign w:val="center"/>
          </w:tcPr>
          <w:p w14:paraId="42355100">
            <w:pPr>
              <w:rPr>
                <w:rFonts w:hint="eastAsia" w:ascii="Arial Narrow" w:hAnsi="Arial Narrow" w:eastAsia="仿宋_GB2312" w:cs="Arial Narrow"/>
                <w:sz w:val="21"/>
                <w:szCs w:val="21"/>
              </w:rPr>
            </w:pPr>
            <w:r>
              <w:rPr>
                <w:rFonts w:ascii="Arial Narrow" w:hAnsi="Arial Narrow" w:eastAsia="仿宋_GB2312" w:cs="Arial Narrow"/>
                <w:sz w:val="21"/>
                <w:szCs w:val="21"/>
              </w:rPr>
              <w:t>项目实际支出与项目到位资金的比率，用以反映和考核项目资金使用情况。</w:t>
            </w:r>
          </w:p>
        </w:tc>
        <w:tc>
          <w:tcPr>
            <w:tcW w:w="4212" w:type="dxa"/>
            <w:shd w:val="clear" w:color="000000" w:fill="FFFFFF"/>
            <w:vAlign w:val="center"/>
          </w:tcPr>
          <w:p w14:paraId="75E67B92">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资金使用率=项目实际支出/项目到位资金×100%。</w:t>
            </w:r>
            <w:r>
              <w:rPr>
                <w:rFonts w:ascii="Arial Narrow" w:hAnsi="Arial Narrow" w:eastAsia="仿宋_GB2312" w:cs="Arial Narrow"/>
                <w:sz w:val="21"/>
                <w:szCs w:val="21"/>
              </w:rPr>
              <w:br w:type="textWrapping"/>
            </w:r>
            <w:r>
              <w:rPr>
                <w:rFonts w:ascii="Arial Narrow" w:hAnsi="Arial Narrow" w:eastAsia="仿宋_GB2312" w:cs="Arial Narrow"/>
                <w:sz w:val="21"/>
                <w:szCs w:val="21"/>
              </w:rPr>
              <w:t>实际支出：项目实施单位为完成既定工作目标一定时期（本年度或项目期）内实际所耗费的支出。</w:t>
            </w:r>
            <w:r>
              <w:rPr>
                <w:rFonts w:ascii="Arial Narrow" w:hAnsi="Arial Narrow" w:eastAsia="仿宋_GB2312" w:cs="Arial Narrow"/>
                <w:sz w:val="21"/>
                <w:szCs w:val="21"/>
              </w:rPr>
              <w:br w:type="textWrapping"/>
            </w:r>
            <w:r>
              <w:rPr>
                <w:rFonts w:ascii="Arial Narrow" w:hAnsi="Arial Narrow" w:eastAsia="仿宋_GB2312" w:cs="Arial Narrow"/>
                <w:sz w:val="21"/>
                <w:szCs w:val="21"/>
              </w:rPr>
              <w:t>到位资金：一定时期（本年度或项目期）内实际落实到具体项目的资金。</w:t>
            </w:r>
          </w:p>
        </w:tc>
      </w:tr>
      <w:tr w14:paraId="7B44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9" w:type="dxa"/>
            <w:vMerge w:val="restart"/>
            <w:shd w:val="clear" w:color="000000" w:fill="FFFFFF"/>
            <w:vAlign w:val="center"/>
          </w:tcPr>
          <w:p w14:paraId="23F23554">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效果（27）</w:t>
            </w:r>
          </w:p>
        </w:tc>
        <w:tc>
          <w:tcPr>
            <w:tcW w:w="946" w:type="dxa"/>
            <w:shd w:val="clear" w:color="000000" w:fill="FFFFFF"/>
            <w:vAlign w:val="center"/>
          </w:tcPr>
          <w:p w14:paraId="7B95D890">
            <w:pPr>
              <w:rPr>
                <w:rFonts w:hint="eastAsia" w:ascii="Arial Narrow" w:hAnsi="Arial Narrow" w:eastAsia="仿宋_GB2312" w:cs="Arial Narrow"/>
                <w:sz w:val="21"/>
                <w:szCs w:val="21"/>
              </w:rPr>
            </w:pPr>
            <w:r>
              <w:rPr>
                <w:rFonts w:ascii="Arial Narrow" w:hAnsi="Arial Narrow" w:eastAsia="仿宋_GB2312" w:cs="Arial Narrow"/>
                <w:sz w:val="21"/>
                <w:szCs w:val="21"/>
              </w:rPr>
              <w:t>经济增长率（4）</w:t>
            </w:r>
          </w:p>
        </w:tc>
        <w:tc>
          <w:tcPr>
            <w:tcW w:w="2470" w:type="dxa"/>
            <w:shd w:val="clear" w:color="000000" w:fill="FFFFFF"/>
            <w:vAlign w:val="center"/>
          </w:tcPr>
          <w:p w14:paraId="3F55DE58">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项目实施后，招商引资总额及实际利用外资的增长情况，用以反映和考核项目的经济效益。</w:t>
            </w:r>
          </w:p>
        </w:tc>
        <w:tc>
          <w:tcPr>
            <w:tcW w:w="4212" w:type="dxa"/>
            <w:shd w:val="clear" w:color="000000" w:fill="FFFFFF"/>
            <w:vAlign w:val="center"/>
          </w:tcPr>
          <w:p w14:paraId="659ED6E4">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①招商引资增长率=（2018年招商引资到位资金-2017年招商引资到位资金/2017年招商引资到位资金）*100%；</w:t>
            </w:r>
          </w:p>
          <w:p w14:paraId="792D6D88">
            <w:pPr>
              <w:rPr>
                <w:rFonts w:hint="eastAsia" w:ascii="Arial Narrow" w:hAnsi="Arial Narrow" w:eastAsia="仿宋_GB2312" w:cs="Arial Narrow"/>
                <w:sz w:val="21"/>
                <w:szCs w:val="21"/>
              </w:rPr>
            </w:pPr>
            <w:r>
              <w:rPr>
                <w:rFonts w:ascii="Arial Narrow" w:hAnsi="Arial Narrow" w:eastAsia="仿宋_GB2312" w:cs="Arial Narrow"/>
                <w:sz w:val="21"/>
                <w:szCs w:val="21"/>
              </w:rPr>
              <w:t>②实际利用外资增长率=（2018年实际利用外资到位资金-2017年实际利用外资到位资金/2017年实际利用外资到位资金）*100%。</w:t>
            </w:r>
          </w:p>
        </w:tc>
      </w:tr>
      <w:tr w14:paraId="5EFC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779" w:type="dxa"/>
            <w:vMerge w:val="continue"/>
            <w:shd w:val="clear" w:color="000000" w:fill="FFFFFF"/>
            <w:vAlign w:val="center"/>
          </w:tcPr>
          <w:p w14:paraId="0DB0731F">
            <w:pPr>
              <w:rPr>
                <w:rFonts w:hint="eastAsia" w:ascii="Arial Narrow" w:hAnsi="Arial Narrow" w:eastAsia="仿宋_GB2312" w:cs="Arial Narrow"/>
                <w:sz w:val="21"/>
                <w:szCs w:val="21"/>
              </w:rPr>
            </w:pPr>
          </w:p>
        </w:tc>
        <w:tc>
          <w:tcPr>
            <w:tcW w:w="946" w:type="dxa"/>
            <w:shd w:val="clear" w:color="000000" w:fill="FFFFFF"/>
            <w:vAlign w:val="center"/>
          </w:tcPr>
          <w:p w14:paraId="1DA81C4E">
            <w:pPr>
              <w:rPr>
                <w:rFonts w:hint="eastAsia" w:ascii="Arial Narrow" w:hAnsi="Arial Narrow" w:eastAsia="仿宋_GB2312" w:cs="Arial Narrow"/>
                <w:sz w:val="21"/>
                <w:szCs w:val="21"/>
              </w:rPr>
            </w:pPr>
            <w:r>
              <w:rPr>
                <w:rFonts w:ascii="Arial Narrow" w:hAnsi="Arial Narrow" w:eastAsia="仿宋_GB2312" w:cs="Arial Narrow"/>
                <w:sz w:val="21"/>
                <w:szCs w:val="21"/>
              </w:rPr>
              <w:t>宣传多样性（5）</w:t>
            </w:r>
          </w:p>
        </w:tc>
        <w:tc>
          <w:tcPr>
            <w:tcW w:w="2470" w:type="dxa"/>
            <w:shd w:val="clear" w:color="000000" w:fill="FFFFFF"/>
            <w:vAlign w:val="center"/>
          </w:tcPr>
          <w:p w14:paraId="0168A73C">
            <w:pPr>
              <w:rPr>
                <w:rFonts w:hint="eastAsia" w:ascii="Arial Narrow" w:hAnsi="Arial Narrow" w:eastAsia="仿宋_GB2312" w:cs="Arial Narrow"/>
                <w:sz w:val="21"/>
                <w:szCs w:val="21"/>
              </w:rPr>
            </w:pPr>
            <w:r>
              <w:rPr>
                <w:rFonts w:ascii="Arial Narrow" w:hAnsi="Arial Narrow" w:eastAsia="仿宋_GB2312" w:cs="Arial Narrow"/>
                <w:sz w:val="21"/>
                <w:szCs w:val="21"/>
              </w:rPr>
              <w:t>项目单位招商宣传是否多样，用以反映和考核项目的社会效益。</w:t>
            </w:r>
          </w:p>
        </w:tc>
        <w:tc>
          <w:tcPr>
            <w:tcW w:w="4212" w:type="dxa"/>
            <w:shd w:val="clear" w:color="000000" w:fill="FFFFFF"/>
            <w:vAlign w:val="center"/>
          </w:tcPr>
          <w:p w14:paraId="67AAAF36">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①项目单位是否组织参加宣传活动，如“资智回汉”高校宣讲活动等；</w:t>
            </w:r>
          </w:p>
          <w:p w14:paraId="021816D6">
            <w:pPr>
              <w:rPr>
                <w:rFonts w:hint="eastAsia" w:ascii="Arial Narrow" w:hAnsi="Arial Narrow" w:eastAsia="仿宋_GB2312" w:cs="Arial Narrow"/>
                <w:sz w:val="21"/>
                <w:szCs w:val="21"/>
              </w:rPr>
            </w:pPr>
            <w:r>
              <w:rPr>
                <w:rFonts w:ascii="Arial Narrow" w:hAnsi="Arial Narrow" w:eastAsia="仿宋_GB2312" w:cs="Arial Narrow"/>
                <w:sz w:val="21"/>
                <w:szCs w:val="21"/>
              </w:rPr>
              <w:t>②项目单位的招商引资宣传形式是否多样化。</w:t>
            </w:r>
          </w:p>
        </w:tc>
      </w:tr>
      <w:tr w14:paraId="2FB9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79" w:type="dxa"/>
            <w:vMerge w:val="continue"/>
            <w:shd w:val="clear" w:color="000000" w:fill="FFFFFF"/>
            <w:vAlign w:val="center"/>
          </w:tcPr>
          <w:p w14:paraId="304D130C">
            <w:pPr>
              <w:rPr>
                <w:rFonts w:hint="eastAsia" w:ascii="Arial Narrow" w:hAnsi="Arial Narrow" w:eastAsia="仿宋_GB2312" w:cs="Arial Narrow"/>
                <w:sz w:val="21"/>
                <w:szCs w:val="21"/>
              </w:rPr>
            </w:pPr>
          </w:p>
        </w:tc>
        <w:tc>
          <w:tcPr>
            <w:tcW w:w="946" w:type="dxa"/>
            <w:shd w:val="clear" w:color="000000" w:fill="FFFFFF"/>
            <w:vAlign w:val="center"/>
          </w:tcPr>
          <w:p w14:paraId="1F7F666F">
            <w:pPr>
              <w:rPr>
                <w:rFonts w:hint="eastAsia" w:ascii="Arial Narrow" w:hAnsi="Arial Narrow" w:eastAsia="仿宋_GB2312" w:cs="Arial Narrow"/>
                <w:sz w:val="21"/>
                <w:szCs w:val="21"/>
              </w:rPr>
            </w:pPr>
            <w:r>
              <w:rPr>
                <w:rFonts w:ascii="Arial Narrow" w:hAnsi="Arial Narrow" w:eastAsia="仿宋_GB2312" w:cs="Arial Narrow"/>
                <w:sz w:val="21"/>
                <w:szCs w:val="21"/>
              </w:rPr>
              <w:t>社零额同比增长率</w:t>
            </w:r>
          </w:p>
          <w:p w14:paraId="191F7A71">
            <w:pPr>
              <w:rPr>
                <w:rFonts w:hint="eastAsia" w:ascii="Arial Narrow" w:hAnsi="Arial Narrow" w:eastAsia="仿宋_GB2312" w:cs="Arial Narrow"/>
                <w:sz w:val="21"/>
                <w:szCs w:val="21"/>
              </w:rPr>
            </w:pPr>
            <w:r>
              <w:rPr>
                <w:rFonts w:ascii="Arial Narrow" w:hAnsi="Arial Narrow" w:eastAsia="仿宋_GB2312" w:cs="Arial Narrow"/>
                <w:sz w:val="21"/>
                <w:szCs w:val="21"/>
              </w:rPr>
              <w:t>（5）</w:t>
            </w:r>
          </w:p>
        </w:tc>
        <w:tc>
          <w:tcPr>
            <w:tcW w:w="2470" w:type="dxa"/>
            <w:shd w:val="clear" w:color="000000" w:fill="FFFFFF"/>
            <w:vAlign w:val="center"/>
          </w:tcPr>
          <w:p w14:paraId="247029A3">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项目实施后社零额是否有增长，同比增长额达到多少，用以反映和考核项目的经济效益。</w:t>
            </w:r>
          </w:p>
        </w:tc>
        <w:tc>
          <w:tcPr>
            <w:tcW w:w="4212" w:type="dxa"/>
            <w:shd w:val="clear" w:color="000000" w:fill="FFFFFF"/>
            <w:vAlign w:val="center"/>
          </w:tcPr>
          <w:p w14:paraId="290159FE">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社零额同比增长率=（2018年完成社零额总额-2017年完成社零额总额）/2017年完成社零额总额</w:t>
            </w:r>
          </w:p>
        </w:tc>
      </w:tr>
      <w:tr w14:paraId="33D1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79" w:type="dxa"/>
            <w:vMerge w:val="continue"/>
            <w:shd w:val="clear" w:color="000000" w:fill="FFFFFF"/>
            <w:vAlign w:val="center"/>
          </w:tcPr>
          <w:p w14:paraId="1DCBD701">
            <w:pPr>
              <w:rPr>
                <w:rFonts w:hint="eastAsia" w:ascii="Arial Narrow" w:hAnsi="Arial Narrow" w:eastAsia="仿宋_GB2312" w:cs="Arial Narrow"/>
                <w:sz w:val="21"/>
                <w:szCs w:val="21"/>
              </w:rPr>
            </w:pPr>
          </w:p>
        </w:tc>
        <w:tc>
          <w:tcPr>
            <w:tcW w:w="946" w:type="dxa"/>
            <w:shd w:val="clear" w:color="000000" w:fill="FFFFFF"/>
            <w:vAlign w:val="center"/>
          </w:tcPr>
          <w:p w14:paraId="5301C98B">
            <w:pPr>
              <w:rPr>
                <w:rFonts w:hint="eastAsia" w:ascii="Arial Narrow" w:hAnsi="Arial Narrow" w:eastAsia="仿宋_GB2312" w:cs="Arial Narrow"/>
                <w:sz w:val="21"/>
                <w:szCs w:val="21"/>
              </w:rPr>
            </w:pPr>
            <w:r>
              <w:rPr>
                <w:rFonts w:ascii="Arial Narrow" w:hAnsi="Arial Narrow" w:eastAsia="仿宋_GB2312" w:cs="Arial Narrow"/>
                <w:sz w:val="21"/>
                <w:szCs w:val="21"/>
              </w:rPr>
              <w:t>产业结构多样性（4）</w:t>
            </w:r>
          </w:p>
        </w:tc>
        <w:tc>
          <w:tcPr>
            <w:tcW w:w="2470" w:type="dxa"/>
            <w:shd w:val="clear" w:color="000000" w:fill="FFFFFF"/>
            <w:vAlign w:val="center"/>
          </w:tcPr>
          <w:p w14:paraId="3923BBB9">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项目实施后是否优化了产业结构，是否具有产业结构多样性，用以反映和考核项目的社会效益。</w:t>
            </w:r>
          </w:p>
        </w:tc>
        <w:tc>
          <w:tcPr>
            <w:tcW w:w="4212" w:type="dxa"/>
            <w:shd w:val="clear" w:color="000000" w:fill="FFFFFF"/>
            <w:vAlign w:val="center"/>
          </w:tcPr>
          <w:p w14:paraId="5C5EB8DF">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项目实施后是否优化了产业结构，是否具有产业结构多样性。</w:t>
            </w:r>
          </w:p>
        </w:tc>
      </w:tr>
      <w:tr w14:paraId="4C39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79" w:type="dxa"/>
            <w:vMerge w:val="continue"/>
            <w:shd w:val="clear" w:color="000000" w:fill="FFFFFF"/>
            <w:vAlign w:val="center"/>
          </w:tcPr>
          <w:p w14:paraId="61D93F9F">
            <w:pPr>
              <w:rPr>
                <w:rFonts w:hint="eastAsia" w:ascii="Arial Narrow" w:hAnsi="Arial Narrow" w:eastAsia="仿宋_GB2312" w:cs="Arial Narrow"/>
                <w:sz w:val="21"/>
                <w:szCs w:val="21"/>
              </w:rPr>
            </w:pPr>
          </w:p>
        </w:tc>
        <w:tc>
          <w:tcPr>
            <w:tcW w:w="946" w:type="dxa"/>
            <w:shd w:val="clear" w:color="000000" w:fill="FFFFFF"/>
            <w:vAlign w:val="center"/>
          </w:tcPr>
          <w:p w14:paraId="25BB0C0B">
            <w:pPr>
              <w:rPr>
                <w:rFonts w:hint="eastAsia" w:ascii="Arial Narrow" w:hAnsi="Arial Narrow" w:eastAsia="仿宋_GB2312" w:cs="Arial Narrow"/>
                <w:sz w:val="21"/>
                <w:szCs w:val="21"/>
              </w:rPr>
            </w:pPr>
            <w:r>
              <w:rPr>
                <w:rFonts w:ascii="Arial Narrow" w:hAnsi="Arial Narrow" w:eastAsia="仿宋_GB2312" w:cs="Arial Narrow"/>
                <w:sz w:val="21"/>
                <w:szCs w:val="21"/>
              </w:rPr>
              <w:t>招商引资园区覆盖率（4）</w:t>
            </w:r>
          </w:p>
        </w:tc>
        <w:tc>
          <w:tcPr>
            <w:tcW w:w="2470" w:type="dxa"/>
            <w:shd w:val="clear" w:color="000000" w:fill="FFFFFF"/>
            <w:vAlign w:val="center"/>
          </w:tcPr>
          <w:p w14:paraId="776AFA76">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项目实施后是否覆盖了区内9个园区，用以反映和考核项目的社会效益。</w:t>
            </w:r>
          </w:p>
        </w:tc>
        <w:tc>
          <w:tcPr>
            <w:tcW w:w="4212" w:type="dxa"/>
            <w:shd w:val="clear" w:color="000000" w:fill="FFFFFF"/>
            <w:vAlign w:val="center"/>
          </w:tcPr>
          <w:p w14:paraId="78BC9F0A">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招商引资园区覆盖率=（项目实际入驻的园区个数/9）*100%。</w:t>
            </w:r>
          </w:p>
        </w:tc>
      </w:tr>
      <w:tr w14:paraId="62EF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79" w:type="dxa"/>
            <w:vMerge w:val="continue"/>
            <w:shd w:val="clear" w:color="000000" w:fill="FFFFFF"/>
            <w:vAlign w:val="center"/>
          </w:tcPr>
          <w:p w14:paraId="45F04376">
            <w:pPr>
              <w:rPr>
                <w:rFonts w:hint="eastAsia" w:ascii="Arial Narrow" w:hAnsi="Arial Narrow" w:eastAsia="仿宋_GB2312" w:cs="Arial Narrow"/>
                <w:sz w:val="21"/>
                <w:szCs w:val="21"/>
              </w:rPr>
            </w:pPr>
          </w:p>
        </w:tc>
        <w:tc>
          <w:tcPr>
            <w:tcW w:w="946" w:type="dxa"/>
            <w:shd w:val="clear" w:color="000000" w:fill="FFFFFF"/>
            <w:vAlign w:val="center"/>
          </w:tcPr>
          <w:p w14:paraId="6D47378D">
            <w:pPr>
              <w:rPr>
                <w:rFonts w:hint="eastAsia" w:ascii="Arial Narrow" w:hAnsi="Arial Narrow" w:eastAsia="仿宋_GB2312" w:cs="Arial Narrow"/>
                <w:sz w:val="21"/>
                <w:szCs w:val="21"/>
              </w:rPr>
            </w:pPr>
            <w:r>
              <w:rPr>
                <w:rFonts w:ascii="Arial Narrow" w:hAnsi="Arial Narrow" w:eastAsia="仿宋_GB2312" w:cs="Arial Narrow"/>
                <w:sz w:val="21"/>
                <w:szCs w:val="21"/>
              </w:rPr>
              <w:t>可持续影响</w:t>
            </w:r>
          </w:p>
          <w:p w14:paraId="16384776">
            <w:pPr>
              <w:rPr>
                <w:rFonts w:hint="eastAsia" w:ascii="Arial Narrow" w:hAnsi="Arial Narrow" w:eastAsia="仿宋_GB2312" w:cs="Arial Narrow"/>
                <w:sz w:val="21"/>
                <w:szCs w:val="21"/>
              </w:rPr>
            </w:pPr>
            <w:r>
              <w:rPr>
                <w:rFonts w:ascii="Arial Narrow" w:hAnsi="Arial Narrow" w:eastAsia="仿宋_GB2312" w:cs="Arial Narrow"/>
                <w:sz w:val="21"/>
                <w:szCs w:val="21"/>
              </w:rPr>
              <w:t>（5）</w:t>
            </w:r>
          </w:p>
        </w:tc>
        <w:tc>
          <w:tcPr>
            <w:tcW w:w="2470" w:type="dxa"/>
            <w:shd w:val="clear" w:color="000000" w:fill="FFFFFF"/>
            <w:vAlign w:val="center"/>
          </w:tcPr>
          <w:p w14:paraId="7F07ABDB">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项目实施单位是否解决企业问题，是否有相关的管理机构及人力资源满足项目实施的要求，用以反映和考核项目的可持续性。</w:t>
            </w:r>
          </w:p>
        </w:tc>
        <w:tc>
          <w:tcPr>
            <w:tcW w:w="4212" w:type="dxa"/>
            <w:shd w:val="clear" w:color="000000" w:fill="FFFFFF"/>
            <w:vAlign w:val="center"/>
          </w:tcPr>
          <w:p w14:paraId="501740B8">
            <w:pPr>
              <w:rPr>
                <w:rFonts w:hint="eastAsia" w:ascii="Arial Narrow" w:hAnsi="Arial Narrow" w:eastAsia="仿宋_GB2312" w:cs="Arial Narrow"/>
                <w:sz w:val="21"/>
                <w:szCs w:val="21"/>
              </w:rPr>
            </w:pPr>
            <w:r>
              <w:rPr>
                <w:rFonts w:ascii="Arial Narrow" w:hAnsi="Arial Narrow" w:eastAsia="仿宋_GB2312" w:cs="Arial Narrow"/>
                <w:sz w:val="21"/>
                <w:szCs w:val="21"/>
              </w:rPr>
              <w:t>评价要点：</w:t>
            </w:r>
            <w:r>
              <w:rPr>
                <w:rFonts w:ascii="Arial Narrow" w:hAnsi="Arial Narrow" w:eastAsia="仿宋_GB2312" w:cs="Arial Narrow"/>
                <w:sz w:val="21"/>
                <w:szCs w:val="21"/>
              </w:rPr>
              <w:br w:type="textWrapping"/>
            </w:r>
            <w:r>
              <w:rPr>
                <w:rFonts w:ascii="Arial Narrow" w:hAnsi="Arial Narrow" w:eastAsia="仿宋_GB2312" w:cs="Arial Narrow"/>
                <w:sz w:val="21"/>
                <w:szCs w:val="21"/>
              </w:rPr>
              <w:t>①项目实施单位为入驻企业创造良好的氛围，营造引商留商扶商环境，解决企业问题；</w:t>
            </w:r>
            <w:r>
              <w:rPr>
                <w:rFonts w:ascii="Arial Narrow" w:hAnsi="Arial Narrow" w:eastAsia="仿宋_GB2312" w:cs="Arial Narrow"/>
                <w:sz w:val="21"/>
                <w:szCs w:val="21"/>
              </w:rPr>
              <w:br w:type="textWrapping"/>
            </w:r>
            <w:r>
              <w:rPr>
                <w:rFonts w:ascii="Arial Narrow" w:hAnsi="Arial Narrow" w:eastAsia="仿宋_GB2312" w:cs="Arial Narrow"/>
                <w:sz w:val="21"/>
                <w:szCs w:val="21"/>
              </w:rPr>
              <w:t>②</w:t>
            </w:r>
            <w:r>
              <w:rPr>
                <w:rFonts w:hint="eastAsia" w:ascii="Arial Narrow" w:hAnsi="Arial Narrow" w:eastAsia="仿宋_GB2312" w:cs="Arial Narrow"/>
                <w:sz w:val="21"/>
                <w:szCs w:val="21"/>
              </w:rPr>
              <w:t>项目实施单位是否分工明确，以保障项目的后续运行</w:t>
            </w:r>
            <w:r>
              <w:rPr>
                <w:rFonts w:ascii="Arial Narrow" w:hAnsi="Arial Narrow" w:eastAsia="仿宋_GB2312" w:cs="Arial Narrow"/>
                <w:sz w:val="21"/>
                <w:szCs w:val="21"/>
              </w:rPr>
              <w:t>。</w:t>
            </w:r>
          </w:p>
        </w:tc>
      </w:tr>
    </w:tbl>
    <w:p w14:paraId="268F1D54">
      <w:pPr>
        <w:spacing w:before="156" w:beforeLines="50" w:after="156" w:afterLines="50" w:line="360" w:lineRule="auto"/>
        <w:rPr>
          <w:rFonts w:hint="eastAsia" w:ascii="Arial Narrow" w:hAnsi="Arial Narrow" w:eastAsia="仿宋_GB2312" w:cs="Arial Narrow"/>
          <w:sz w:val="21"/>
          <w:szCs w:val="21"/>
        </w:rPr>
      </w:pPr>
      <w:r>
        <w:rPr>
          <w:rFonts w:ascii="Arial Narrow" w:hAnsi="Arial Narrow" w:eastAsia="仿宋_GB2312" w:cs="Arial Narrow"/>
          <w:sz w:val="21"/>
          <w:szCs w:val="21"/>
        </w:rPr>
        <w:t>具体指标目标值、绩效标准、评分细则如下表所示：</w:t>
      </w:r>
    </w:p>
    <w:tbl>
      <w:tblPr>
        <w:tblStyle w:val="14"/>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850"/>
        <w:gridCol w:w="901"/>
        <w:gridCol w:w="733"/>
        <w:gridCol w:w="5058"/>
      </w:tblGrid>
      <w:tr w14:paraId="5A06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blHeader/>
          <w:jc w:val="center"/>
        </w:trPr>
        <w:tc>
          <w:tcPr>
            <w:tcW w:w="794" w:type="dxa"/>
            <w:tcBorders>
              <w:top w:val="single" w:color="auto" w:sz="4" w:space="0"/>
              <w:left w:val="single" w:color="auto" w:sz="4" w:space="0"/>
              <w:bottom w:val="single" w:color="auto" w:sz="4" w:space="0"/>
              <w:right w:val="single" w:color="auto" w:sz="4" w:space="0"/>
            </w:tcBorders>
            <w:shd w:val="clear" w:color="000000" w:fill="FFFFFF"/>
            <w:vAlign w:val="center"/>
          </w:tcPr>
          <w:p w14:paraId="1C020869">
            <w:pPr>
              <w:rPr>
                <w:rFonts w:hint="eastAsia" w:ascii="Arial Narrow" w:hAnsi="Arial Narrow" w:eastAsia="仿宋_GB2312" w:cs="Arial Narrow"/>
                <w:b/>
                <w:bCs/>
                <w:sz w:val="21"/>
                <w:szCs w:val="21"/>
              </w:rPr>
            </w:pPr>
            <w:r>
              <w:rPr>
                <w:rFonts w:ascii="Arial Narrow" w:hAnsi="Arial Narrow" w:eastAsia="仿宋_GB2312" w:cs="Arial Narrow"/>
                <w:b/>
                <w:bCs/>
                <w:sz w:val="21"/>
                <w:szCs w:val="21"/>
              </w:rPr>
              <w:t>二级指标</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7E2757FA">
            <w:pPr>
              <w:jc w:val="center"/>
              <w:rPr>
                <w:rFonts w:hint="eastAsia" w:ascii="Arial Narrow" w:hAnsi="Arial Narrow" w:eastAsia="仿宋_GB2312" w:cs="Arial Narrow"/>
                <w:b/>
                <w:bCs/>
                <w:sz w:val="21"/>
                <w:szCs w:val="21"/>
              </w:rPr>
            </w:pPr>
            <w:r>
              <w:rPr>
                <w:rFonts w:ascii="Arial Narrow" w:hAnsi="Arial Narrow" w:eastAsia="仿宋_GB2312" w:cs="Arial Narrow"/>
                <w:b/>
                <w:bCs/>
                <w:sz w:val="21"/>
                <w:szCs w:val="21"/>
              </w:rPr>
              <w:t>三级</w:t>
            </w:r>
          </w:p>
          <w:p w14:paraId="2D0F7C29">
            <w:pPr>
              <w:jc w:val="center"/>
              <w:rPr>
                <w:rFonts w:hint="eastAsia" w:ascii="Arial Narrow" w:hAnsi="Arial Narrow" w:eastAsia="仿宋_GB2312" w:cs="Arial Narrow"/>
                <w:b/>
                <w:bCs/>
                <w:sz w:val="21"/>
                <w:szCs w:val="21"/>
              </w:rPr>
            </w:pPr>
            <w:r>
              <w:rPr>
                <w:rFonts w:ascii="Arial Narrow" w:hAnsi="Arial Narrow" w:eastAsia="仿宋_GB2312" w:cs="Arial Narrow"/>
                <w:b/>
                <w:bCs/>
                <w:sz w:val="21"/>
                <w:szCs w:val="21"/>
              </w:rPr>
              <w:t>指标</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2550D286">
            <w:pPr>
              <w:jc w:val="center"/>
              <w:rPr>
                <w:rFonts w:hint="eastAsia" w:ascii="Arial Narrow" w:hAnsi="Arial Narrow" w:eastAsia="仿宋_GB2312" w:cs="Arial Narrow"/>
                <w:b/>
                <w:bCs/>
                <w:sz w:val="21"/>
                <w:szCs w:val="21"/>
              </w:rPr>
            </w:pPr>
            <w:r>
              <w:rPr>
                <w:rFonts w:ascii="Arial Narrow" w:hAnsi="Arial Narrow" w:eastAsia="仿宋_GB2312" w:cs="Arial Narrow"/>
                <w:b/>
                <w:bCs/>
                <w:sz w:val="21"/>
                <w:szCs w:val="21"/>
              </w:rPr>
              <w:t>目标值</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0F970EAC">
            <w:pPr>
              <w:jc w:val="center"/>
              <w:rPr>
                <w:rFonts w:hint="eastAsia" w:ascii="Arial Narrow" w:hAnsi="Arial Narrow" w:eastAsia="仿宋_GB2312" w:cs="Arial Narrow"/>
                <w:b/>
                <w:bCs/>
                <w:sz w:val="21"/>
                <w:szCs w:val="21"/>
              </w:rPr>
            </w:pPr>
            <w:r>
              <w:rPr>
                <w:rFonts w:ascii="Arial Narrow" w:hAnsi="Arial Narrow" w:eastAsia="仿宋_GB2312" w:cs="Arial Narrow"/>
                <w:b/>
                <w:bCs/>
                <w:sz w:val="21"/>
                <w:szCs w:val="21"/>
              </w:rPr>
              <w:t>绩效标准</w:t>
            </w: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2017FC71">
            <w:pPr>
              <w:jc w:val="center"/>
              <w:rPr>
                <w:rFonts w:hint="eastAsia" w:ascii="Arial Narrow" w:hAnsi="Arial Narrow" w:eastAsia="仿宋_GB2312" w:cs="Arial Narrow"/>
                <w:b/>
                <w:bCs/>
                <w:sz w:val="21"/>
                <w:szCs w:val="21"/>
              </w:rPr>
            </w:pPr>
            <w:r>
              <w:rPr>
                <w:rFonts w:ascii="Arial Narrow" w:hAnsi="Arial Narrow" w:eastAsia="仿宋_GB2312" w:cs="Arial Narrow"/>
                <w:b/>
                <w:bCs/>
                <w:sz w:val="21"/>
                <w:szCs w:val="21"/>
              </w:rPr>
              <w:t>评分细则</w:t>
            </w:r>
          </w:p>
        </w:tc>
      </w:tr>
      <w:tr w14:paraId="650D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794" w:type="dxa"/>
            <w:vMerge w:val="restart"/>
            <w:tcBorders>
              <w:top w:val="single" w:color="auto" w:sz="4" w:space="0"/>
              <w:left w:val="single" w:color="auto" w:sz="4" w:space="0"/>
              <w:right w:val="single" w:color="auto" w:sz="4" w:space="0"/>
            </w:tcBorders>
            <w:shd w:val="clear" w:color="000000" w:fill="FFFFFF"/>
            <w:vAlign w:val="center"/>
          </w:tcPr>
          <w:p w14:paraId="289DD9F5">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项目</w:t>
            </w:r>
          </w:p>
          <w:p w14:paraId="418DDF35">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立项（8）</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09B49839">
            <w:pPr>
              <w:rPr>
                <w:rFonts w:hint="eastAsia" w:ascii="Arial Narrow" w:hAnsi="Arial Narrow" w:eastAsia="仿宋_GB2312" w:cs="Arial Narrow"/>
                <w:sz w:val="21"/>
                <w:szCs w:val="21"/>
              </w:rPr>
            </w:pPr>
            <w:r>
              <w:rPr>
                <w:rFonts w:ascii="Arial Narrow" w:hAnsi="Arial Narrow" w:eastAsia="仿宋_GB2312" w:cs="Arial Narrow"/>
                <w:sz w:val="21"/>
                <w:szCs w:val="21"/>
              </w:rPr>
              <w:t>项目立项规范性（5）</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2DDC7FE9">
            <w:pPr>
              <w:rPr>
                <w:rFonts w:hint="eastAsia" w:ascii="Arial Narrow" w:hAnsi="Arial Narrow" w:eastAsia="仿宋_GB2312" w:cs="Arial Narrow"/>
                <w:sz w:val="21"/>
                <w:szCs w:val="21"/>
              </w:rPr>
            </w:pPr>
            <w:r>
              <w:rPr>
                <w:rFonts w:ascii="Arial Narrow" w:hAnsi="Arial Narrow" w:eastAsia="仿宋_GB2312" w:cs="Arial Narrow"/>
                <w:sz w:val="21"/>
                <w:szCs w:val="21"/>
              </w:rPr>
              <w:t>　</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21611B37">
            <w:pPr>
              <w:rPr>
                <w:rFonts w:hint="eastAsia" w:ascii="Arial Narrow" w:hAnsi="Arial Narrow" w:eastAsia="仿宋_GB2312" w:cs="Arial Narrow"/>
                <w:sz w:val="21"/>
                <w:szCs w:val="21"/>
              </w:rPr>
            </w:pPr>
            <w:r>
              <w:rPr>
                <w:rFonts w:ascii="Arial Narrow" w:hAnsi="Arial Narrow" w:eastAsia="仿宋_GB2312" w:cs="Arial Narrow"/>
                <w:sz w:val="21"/>
                <w:szCs w:val="21"/>
              </w:rPr>
              <w:t>　</w:t>
            </w: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45F61855">
            <w:pPr>
              <w:rPr>
                <w:rFonts w:hint="eastAsia" w:ascii="Arial Narrow" w:hAnsi="Arial Narrow" w:eastAsia="仿宋_GB2312" w:cs="Arial Narrow"/>
                <w:sz w:val="21"/>
                <w:szCs w:val="21"/>
              </w:rPr>
            </w:pPr>
            <w:r>
              <w:rPr>
                <w:rFonts w:ascii="Arial Narrow" w:hAnsi="Arial Narrow" w:eastAsia="仿宋_GB2312" w:cs="Arial Narrow"/>
                <w:sz w:val="21"/>
                <w:szCs w:val="21"/>
              </w:rPr>
              <w:t>项目有规划，计1分；项目按照规定的程序申请设立计1分；所提交的文件、材料符合相关要求计1分；事情经过必要的集体决策等，计1分；项目执行时发生重大调整，调整报告及批复符合相关要求，计1分。</w:t>
            </w:r>
          </w:p>
        </w:tc>
      </w:tr>
      <w:tr w14:paraId="2AE8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794" w:type="dxa"/>
            <w:vMerge w:val="continue"/>
            <w:tcBorders>
              <w:left w:val="single" w:color="auto" w:sz="4" w:space="0"/>
              <w:bottom w:val="single" w:color="auto" w:sz="4" w:space="0"/>
              <w:right w:val="single" w:color="auto" w:sz="4" w:space="0"/>
            </w:tcBorders>
            <w:shd w:val="clear" w:color="000000" w:fill="FFFFFF"/>
            <w:vAlign w:val="center"/>
          </w:tcPr>
          <w:p w14:paraId="74AD8D2D">
            <w:pPr>
              <w:jc w:val="cente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2C83D7C8">
            <w:pPr>
              <w:rPr>
                <w:rFonts w:hint="eastAsia" w:ascii="Arial Narrow" w:hAnsi="Arial Narrow" w:eastAsia="仿宋_GB2312" w:cs="Arial Narrow"/>
                <w:sz w:val="21"/>
                <w:szCs w:val="21"/>
              </w:rPr>
            </w:pPr>
            <w:r>
              <w:rPr>
                <w:rFonts w:ascii="Arial Narrow" w:hAnsi="Arial Narrow" w:eastAsia="仿宋_GB2312" w:cs="Arial Narrow"/>
                <w:sz w:val="21"/>
                <w:szCs w:val="21"/>
              </w:rPr>
              <w:t>绩效目标合理性（3）</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045633F7">
            <w:pPr>
              <w:rPr>
                <w:rFonts w:hint="eastAsia" w:ascii="Arial Narrow" w:hAnsi="Arial Narrow" w:eastAsia="仿宋_GB2312" w:cs="Arial Narrow"/>
                <w:sz w:val="21"/>
                <w:szCs w:val="21"/>
              </w:rPr>
            </w:pPr>
            <w:r>
              <w:rPr>
                <w:rFonts w:ascii="Arial Narrow" w:hAnsi="Arial Narrow" w:eastAsia="仿宋_GB2312" w:cs="Arial Narrow"/>
                <w:sz w:val="21"/>
                <w:szCs w:val="21"/>
              </w:rPr>
              <w:t>　</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2749E9DF">
            <w:pPr>
              <w:rPr>
                <w:rFonts w:hint="eastAsia" w:ascii="Arial Narrow" w:hAnsi="Arial Narrow" w:eastAsia="仿宋_GB2312" w:cs="Arial Narrow"/>
                <w:sz w:val="21"/>
                <w:szCs w:val="21"/>
              </w:rPr>
            </w:pPr>
            <w:r>
              <w:rPr>
                <w:rFonts w:ascii="Arial Narrow" w:hAnsi="Arial Narrow" w:eastAsia="仿宋_GB2312" w:cs="Arial Narrow"/>
                <w:sz w:val="21"/>
                <w:szCs w:val="21"/>
              </w:rPr>
              <w:t>　</w:t>
            </w: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1B609AA2">
            <w:pPr>
              <w:rPr>
                <w:rFonts w:hint="eastAsia" w:ascii="Arial Narrow" w:hAnsi="Arial Narrow" w:eastAsia="仿宋_GB2312" w:cs="Arial Narrow"/>
                <w:sz w:val="21"/>
                <w:szCs w:val="21"/>
              </w:rPr>
            </w:pPr>
            <w:r>
              <w:rPr>
                <w:rFonts w:ascii="Arial Narrow" w:hAnsi="Arial Narrow" w:eastAsia="仿宋_GB2312" w:cs="Arial Narrow"/>
                <w:sz w:val="21"/>
                <w:szCs w:val="21"/>
              </w:rPr>
              <w:t>项目设定长期目标、年度目标和绩效指标，计1分；</w:t>
            </w:r>
            <w:r>
              <w:rPr>
                <w:rFonts w:ascii="Arial Narrow" w:hAnsi="Arial Narrow" w:eastAsia="仿宋_GB2312" w:cs="Arial Narrow"/>
                <w:sz w:val="21"/>
                <w:szCs w:val="21"/>
              </w:rPr>
              <w:br w:type="textWrapping"/>
            </w:r>
            <w:r>
              <w:rPr>
                <w:rFonts w:ascii="Arial Narrow" w:hAnsi="Arial Narrow" w:eastAsia="仿宋_GB2312" w:cs="Arial Narrow"/>
                <w:sz w:val="21"/>
                <w:szCs w:val="21"/>
              </w:rPr>
              <w:t>目标和指标的设计符合目标管理规范，计1分；绩效目标设立具有合理性、可测性，计1分。</w:t>
            </w:r>
          </w:p>
        </w:tc>
      </w:tr>
      <w:tr w14:paraId="5A03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794" w:type="dxa"/>
            <w:vMerge w:val="restart"/>
            <w:tcBorders>
              <w:top w:val="single" w:color="auto" w:sz="4" w:space="0"/>
              <w:left w:val="single" w:color="auto" w:sz="4" w:space="0"/>
              <w:right w:val="single" w:color="auto" w:sz="4" w:space="0"/>
            </w:tcBorders>
            <w:shd w:val="clear" w:color="000000" w:fill="FFFFFF"/>
            <w:vAlign w:val="center"/>
          </w:tcPr>
          <w:p w14:paraId="73BB4BE9">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资金</w:t>
            </w:r>
          </w:p>
          <w:p w14:paraId="1DFD66E7">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落实（8）</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244BBDF7">
            <w:pPr>
              <w:rPr>
                <w:rFonts w:hint="eastAsia" w:ascii="Arial Narrow" w:hAnsi="Arial Narrow" w:eastAsia="仿宋_GB2312" w:cs="Arial Narrow"/>
                <w:sz w:val="21"/>
                <w:szCs w:val="21"/>
              </w:rPr>
            </w:pPr>
            <w:r>
              <w:rPr>
                <w:rFonts w:ascii="Arial Narrow" w:hAnsi="Arial Narrow" w:eastAsia="仿宋_GB2312" w:cs="Arial Narrow"/>
                <w:sz w:val="21"/>
                <w:szCs w:val="21"/>
              </w:rPr>
              <w:t>资金到位率</w:t>
            </w:r>
          </w:p>
          <w:p w14:paraId="2326AAC2">
            <w:pPr>
              <w:rPr>
                <w:rFonts w:hint="eastAsia" w:ascii="Arial Narrow" w:hAnsi="Arial Narrow" w:eastAsia="仿宋_GB2312" w:cs="Arial Narrow"/>
                <w:sz w:val="21"/>
                <w:szCs w:val="21"/>
              </w:rPr>
            </w:pPr>
            <w:r>
              <w:rPr>
                <w:rFonts w:ascii="Arial Narrow" w:hAnsi="Arial Narrow" w:eastAsia="仿宋_GB2312" w:cs="Arial Narrow"/>
                <w:sz w:val="21"/>
                <w:szCs w:val="21"/>
              </w:rPr>
              <w:t>（4）</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0241875E">
            <w:pPr>
              <w:rPr>
                <w:rFonts w:hint="eastAsia" w:ascii="Arial Narrow" w:hAnsi="Arial Narrow" w:eastAsia="仿宋_GB2312" w:cs="Arial Narrow"/>
                <w:sz w:val="21"/>
                <w:szCs w:val="21"/>
              </w:rPr>
            </w:pPr>
            <w:r>
              <w:rPr>
                <w:rFonts w:ascii="Arial Narrow" w:hAnsi="Arial Narrow" w:eastAsia="仿宋_GB2312" w:cs="Arial Narrow"/>
                <w:sz w:val="21"/>
                <w:szCs w:val="21"/>
              </w:rPr>
              <w:t>100%</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6F0BE47F">
            <w:pPr>
              <w:rPr>
                <w:rFonts w:hint="eastAsia" w:ascii="Arial Narrow" w:hAnsi="Arial Narrow" w:eastAsia="仿宋_GB2312" w:cs="Arial Narrow"/>
                <w:sz w:val="21"/>
                <w:szCs w:val="21"/>
              </w:rPr>
            </w:pPr>
            <w:r>
              <w:rPr>
                <w:rFonts w:ascii="Arial Narrow" w:hAnsi="Arial Narrow" w:eastAsia="仿宋_GB2312" w:cs="Arial Narrow"/>
                <w:sz w:val="21"/>
                <w:szCs w:val="21"/>
              </w:rPr>
              <w:t>计划标准</w:t>
            </w: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7A17E270">
            <w:pPr>
              <w:rPr>
                <w:rFonts w:hint="eastAsia" w:ascii="Arial Narrow" w:hAnsi="Arial Narrow" w:eastAsia="仿宋_GB2312" w:cs="Arial Narrow"/>
                <w:sz w:val="21"/>
                <w:szCs w:val="21"/>
              </w:rPr>
            </w:pPr>
            <w:r>
              <w:rPr>
                <w:rFonts w:ascii="Arial Narrow" w:hAnsi="Arial Narrow" w:eastAsia="仿宋_GB2312" w:cs="Arial Narrow"/>
                <w:sz w:val="21"/>
                <w:szCs w:val="21"/>
              </w:rPr>
              <w:t>资金到位率=（实际到位资金/计划投入资金）×100%，达到100%计4分，每降低10%，扣1分。</w:t>
            </w:r>
          </w:p>
        </w:tc>
      </w:tr>
      <w:tr w14:paraId="3A71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94" w:type="dxa"/>
            <w:vMerge w:val="continue"/>
            <w:tcBorders>
              <w:left w:val="single" w:color="auto" w:sz="4" w:space="0"/>
              <w:right w:val="single" w:color="auto" w:sz="4" w:space="0"/>
            </w:tcBorders>
            <w:shd w:val="clear" w:color="000000" w:fill="FFFFFF"/>
            <w:vAlign w:val="center"/>
          </w:tcPr>
          <w:p w14:paraId="419CE669">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18815327">
            <w:pPr>
              <w:rPr>
                <w:rFonts w:hint="eastAsia" w:ascii="Arial Narrow" w:hAnsi="Arial Narrow" w:eastAsia="仿宋_GB2312" w:cs="Arial Narrow"/>
                <w:sz w:val="21"/>
                <w:szCs w:val="21"/>
              </w:rPr>
            </w:pPr>
            <w:r>
              <w:rPr>
                <w:rFonts w:ascii="Arial Narrow" w:hAnsi="Arial Narrow" w:eastAsia="仿宋_GB2312" w:cs="Arial Narrow"/>
                <w:sz w:val="21"/>
                <w:szCs w:val="21"/>
              </w:rPr>
              <w:t>到位及时率</w:t>
            </w:r>
          </w:p>
          <w:p w14:paraId="50E85CA7">
            <w:pPr>
              <w:rPr>
                <w:rFonts w:hint="eastAsia" w:ascii="Arial Narrow" w:hAnsi="Arial Narrow" w:eastAsia="仿宋_GB2312" w:cs="Arial Narrow"/>
                <w:sz w:val="21"/>
                <w:szCs w:val="21"/>
              </w:rPr>
            </w:pPr>
            <w:r>
              <w:rPr>
                <w:rFonts w:ascii="Arial Narrow" w:hAnsi="Arial Narrow" w:eastAsia="仿宋_GB2312" w:cs="Arial Narrow"/>
                <w:sz w:val="21"/>
                <w:szCs w:val="21"/>
              </w:rPr>
              <w:t>（4）</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775BB1E6">
            <w:pPr>
              <w:rPr>
                <w:rFonts w:hint="eastAsia" w:ascii="Arial Narrow" w:hAnsi="Arial Narrow" w:eastAsia="仿宋_GB2312" w:cs="Arial Narrow"/>
                <w:sz w:val="21"/>
                <w:szCs w:val="21"/>
              </w:rPr>
            </w:pPr>
            <w:r>
              <w:rPr>
                <w:rFonts w:ascii="Arial Narrow" w:hAnsi="Arial Narrow" w:eastAsia="仿宋_GB2312" w:cs="Arial Narrow"/>
                <w:sz w:val="21"/>
                <w:szCs w:val="21"/>
              </w:rPr>
              <w:t>100%</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321BDCE1">
            <w:pPr>
              <w:rPr>
                <w:rFonts w:hint="eastAsia" w:ascii="Arial Narrow" w:hAnsi="Arial Narrow" w:eastAsia="仿宋_GB2312" w:cs="Arial Narrow"/>
                <w:sz w:val="21"/>
                <w:szCs w:val="21"/>
              </w:rPr>
            </w:pPr>
            <w:r>
              <w:rPr>
                <w:rFonts w:ascii="Arial Narrow" w:hAnsi="Arial Narrow" w:eastAsia="仿宋_GB2312" w:cs="Arial Narrow"/>
                <w:sz w:val="21"/>
                <w:szCs w:val="21"/>
              </w:rPr>
              <w:t>计划标准</w:t>
            </w: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39C4673B">
            <w:pPr>
              <w:rPr>
                <w:rFonts w:hint="eastAsia" w:ascii="Arial Narrow" w:hAnsi="Arial Narrow" w:eastAsia="仿宋_GB2312" w:cs="Arial Narrow"/>
                <w:sz w:val="21"/>
                <w:szCs w:val="21"/>
              </w:rPr>
            </w:pPr>
            <w:r>
              <w:rPr>
                <w:rFonts w:ascii="Arial Narrow" w:hAnsi="Arial Narrow" w:eastAsia="仿宋_GB2312" w:cs="Arial Narrow"/>
                <w:sz w:val="21"/>
                <w:szCs w:val="21"/>
              </w:rPr>
              <w:t>到位及时率=（及时到位资金/应到位资金）×100%，达到100%计4分，每降低10%，扣1分</w:t>
            </w:r>
          </w:p>
        </w:tc>
      </w:tr>
      <w:tr w14:paraId="7E2D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94" w:type="dxa"/>
            <w:vMerge w:val="restart"/>
            <w:tcBorders>
              <w:top w:val="single" w:color="auto" w:sz="4" w:space="0"/>
              <w:left w:val="single" w:color="auto" w:sz="4" w:space="0"/>
              <w:right w:val="single" w:color="auto" w:sz="4" w:space="0"/>
            </w:tcBorders>
            <w:shd w:val="clear" w:color="000000" w:fill="FFFFFF"/>
            <w:vAlign w:val="center"/>
          </w:tcPr>
          <w:p w14:paraId="189A1050">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项目</w:t>
            </w:r>
          </w:p>
          <w:p w14:paraId="08371A77">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管理（12）</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0EAAE1C9">
            <w:pPr>
              <w:rPr>
                <w:rFonts w:hint="eastAsia" w:ascii="Arial Narrow" w:hAnsi="Arial Narrow" w:eastAsia="仿宋_GB2312" w:cs="Arial Narrow"/>
                <w:sz w:val="21"/>
                <w:szCs w:val="21"/>
              </w:rPr>
            </w:pPr>
            <w:r>
              <w:rPr>
                <w:rFonts w:ascii="Arial Narrow" w:hAnsi="Arial Narrow" w:eastAsia="仿宋_GB2312" w:cs="Arial Narrow"/>
                <w:sz w:val="21"/>
                <w:szCs w:val="21"/>
              </w:rPr>
              <w:t>管理制度健全性（4）</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4314BD4B">
            <w:pPr>
              <w:rPr>
                <w:rFonts w:hint="eastAsia" w:ascii="Arial Narrow" w:hAnsi="Arial Narrow" w:eastAsia="仿宋_GB2312" w:cs="Arial Narrow"/>
                <w:sz w:val="21"/>
                <w:szCs w:val="21"/>
              </w:rPr>
            </w:pP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5E3C9141">
            <w:pPr>
              <w:rPr>
                <w:rFonts w:hint="eastAsia" w:ascii="Arial Narrow" w:hAnsi="Arial Narrow" w:eastAsia="仿宋_GB2312" w:cs="Arial Narrow"/>
                <w:sz w:val="21"/>
                <w:szCs w:val="21"/>
              </w:rPr>
            </w:pP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04DE977F">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项目实施单位已制定或具有相应的项目管理制度，计2分；</w:t>
            </w:r>
            <w:r>
              <w:rPr>
                <w:rFonts w:ascii="Arial Narrow" w:hAnsi="Arial Narrow" w:eastAsia="仿宋_GB2312" w:cs="Arial Narrow"/>
                <w:sz w:val="21"/>
                <w:szCs w:val="21"/>
              </w:rPr>
              <w:br w:type="textWrapping"/>
            </w:r>
            <w:r>
              <w:rPr>
                <w:rFonts w:ascii="Arial Narrow" w:hAnsi="Arial Narrow" w:eastAsia="仿宋_GB2312" w:cs="Arial Narrow"/>
                <w:sz w:val="21"/>
                <w:szCs w:val="21"/>
              </w:rPr>
              <w:t>项目管理制度的制定合法、合规，计2分。</w:t>
            </w:r>
          </w:p>
        </w:tc>
      </w:tr>
      <w:tr w14:paraId="0185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794" w:type="dxa"/>
            <w:vMerge w:val="continue"/>
            <w:tcBorders>
              <w:left w:val="single" w:color="auto" w:sz="4" w:space="0"/>
              <w:right w:val="single" w:color="auto" w:sz="4" w:space="0"/>
            </w:tcBorders>
            <w:shd w:val="clear" w:color="000000" w:fill="FFFFFF"/>
            <w:vAlign w:val="center"/>
          </w:tcPr>
          <w:p w14:paraId="0B6D3172">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1D8FE06E">
            <w:pPr>
              <w:rPr>
                <w:rFonts w:hint="eastAsia" w:ascii="Arial Narrow" w:hAnsi="Arial Narrow" w:eastAsia="仿宋_GB2312" w:cs="Arial Narrow"/>
                <w:sz w:val="21"/>
                <w:szCs w:val="21"/>
              </w:rPr>
            </w:pPr>
            <w:r>
              <w:rPr>
                <w:rFonts w:ascii="Arial Narrow" w:hAnsi="Arial Narrow" w:eastAsia="仿宋_GB2312" w:cs="Arial Narrow"/>
                <w:sz w:val="21"/>
                <w:szCs w:val="21"/>
              </w:rPr>
              <w:t>制度执行有效性（4）</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56FC2988">
            <w:pPr>
              <w:rPr>
                <w:rFonts w:hint="eastAsia" w:ascii="Arial Narrow" w:hAnsi="Arial Narrow" w:eastAsia="仿宋_GB2312" w:cs="Arial Narrow"/>
                <w:sz w:val="21"/>
                <w:szCs w:val="21"/>
              </w:rPr>
            </w:pP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08DD5FF0">
            <w:pPr>
              <w:rPr>
                <w:rFonts w:hint="eastAsia" w:ascii="Arial Narrow" w:hAnsi="Arial Narrow" w:eastAsia="仿宋_GB2312" w:cs="Arial Narrow"/>
                <w:sz w:val="21"/>
                <w:szCs w:val="21"/>
              </w:rPr>
            </w:pP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208EC6D6">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项目实施过程遵守相关法律法规和业务管理规定，计1分；项目单位严格执行项目管理程序，计1分；项目投资协议书、会议纪要等资料是否齐全并及时归档，计2分。</w:t>
            </w:r>
          </w:p>
        </w:tc>
      </w:tr>
      <w:tr w14:paraId="10D9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4" w:type="dxa"/>
            <w:vMerge w:val="continue"/>
            <w:tcBorders>
              <w:left w:val="single" w:color="auto" w:sz="4" w:space="0"/>
              <w:bottom w:val="single" w:color="auto" w:sz="4" w:space="0"/>
              <w:right w:val="single" w:color="auto" w:sz="4" w:space="0"/>
            </w:tcBorders>
            <w:shd w:val="clear" w:color="000000" w:fill="FFFFFF"/>
            <w:vAlign w:val="center"/>
          </w:tcPr>
          <w:p w14:paraId="560D1B67">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3E8F9991">
            <w:pPr>
              <w:rPr>
                <w:rFonts w:hint="eastAsia" w:ascii="Arial Narrow" w:hAnsi="Arial Narrow" w:eastAsia="仿宋_GB2312" w:cs="Arial Narrow"/>
                <w:sz w:val="21"/>
                <w:szCs w:val="21"/>
              </w:rPr>
            </w:pPr>
            <w:r>
              <w:rPr>
                <w:rFonts w:ascii="Arial Narrow" w:hAnsi="Arial Narrow" w:eastAsia="仿宋_GB2312" w:cs="Arial Narrow"/>
                <w:sz w:val="21"/>
                <w:szCs w:val="21"/>
              </w:rPr>
              <w:t>项目质量可控性（4）</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6959BAE5">
            <w:pPr>
              <w:rPr>
                <w:rFonts w:hint="eastAsia" w:ascii="Arial Narrow" w:hAnsi="Arial Narrow" w:eastAsia="仿宋_GB2312" w:cs="Arial Narrow"/>
                <w:sz w:val="21"/>
                <w:szCs w:val="21"/>
              </w:rPr>
            </w:pPr>
            <w:r>
              <w:rPr>
                <w:rFonts w:ascii="Arial Narrow" w:hAnsi="Arial Narrow" w:eastAsia="仿宋_GB2312" w:cs="Arial Narrow"/>
                <w:sz w:val="21"/>
                <w:szCs w:val="21"/>
              </w:rPr>
              <w:t>　</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0A3E7262">
            <w:pPr>
              <w:rPr>
                <w:rFonts w:hint="eastAsia" w:ascii="Arial Narrow" w:hAnsi="Arial Narrow" w:eastAsia="仿宋_GB2312" w:cs="Arial Narrow"/>
                <w:sz w:val="21"/>
                <w:szCs w:val="21"/>
              </w:rPr>
            </w:pP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3E557537">
            <w:pPr>
              <w:rPr>
                <w:rFonts w:hint="eastAsia" w:ascii="Arial Narrow" w:hAnsi="Arial Narrow" w:eastAsia="仿宋_GB2312" w:cs="Arial Narrow"/>
                <w:sz w:val="21"/>
                <w:szCs w:val="21"/>
              </w:rPr>
            </w:pPr>
            <w:r>
              <w:rPr>
                <w:rFonts w:ascii="Arial Narrow" w:hAnsi="Arial Narrow" w:eastAsia="仿宋_GB2312" w:cs="Arial Narrow"/>
                <w:sz w:val="21"/>
                <w:szCs w:val="21"/>
              </w:rPr>
              <w:t xml:space="preserve">制定或具有相应的项目质量要求或考核办法，计2分；对招商引资工作进行督促检查，计2分。                                                                                          </w:t>
            </w:r>
          </w:p>
        </w:tc>
      </w:tr>
      <w:tr w14:paraId="42BD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94" w:type="dxa"/>
            <w:vMerge w:val="restart"/>
            <w:tcBorders>
              <w:top w:val="single" w:color="auto" w:sz="4" w:space="0"/>
              <w:left w:val="single" w:color="auto" w:sz="4" w:space="0"/>
              <w:right w:val="single" w:color="auto" w:sz="4" w:space="0"/>
            </w:tcBorders>
            <w:shd w:val="clear" w:color="000000" w:fill="FFFFFF"/>
            <w:vAlign w:val="center"/>
          </w:tcPr>
          <w:p w14:paraId="2FBD7989">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财务</w:t>
            </w:r>
          </w:p>
          <w:p w14:paraId="7BF901A6">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管理（12）</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498449A1">
            <w:pPr>
              <w:rPr>
                <w:rFonts w:hint="eastAsia" w:ascii="Arial Narrow" w:hAnsi="Arial Narrow" w:eastAsia="仿宋_GB2312" w:cs="Arial Narrow"/>
                <w:sz w:val="21"/>
                <w:szCs w:val="21"/>
              </w:rPr>
            </w:pPr>
            <w:r>
              <w:rPr>
                <w:rFonts w:ascii="Arial Narrow" w:hAnsi="Arial Narrow" w:eastAsia="仿宋_GB2312" w:cs="Arial Narrow"/>
                <w:sz w:val="21"/>
                <w:szCs w:val="21"/>
              </w:rPr>
              <w:t>财务制度健全性（4）</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2EED11C2">
            <w:pPr>
              <w:rPr>
                <w:rFonts w:hint="eastAsia" w:ascii="Arial Narrow" w:hAnsi="Arial Narrow" w:eastAsia="仿宋_GB2312" w:cs="Arial Narrow"/>
                <w:sz w:val="21"/>
                <w:szCs w:val="21"/>
              </w:rPr>
            </w:pPr>
            <w:r>
              <w:rPr>
                <w:rFonts w:ascii="Arial Narrow" w:hAnsi="Arial Narrow" w:eastAsia="仿宋_GB2312" w:cs="Arial Narrow"/>
                <w:sz w:val="21"/>
                <w:szCs w:val="21"/>
              </w:rPr>
              <w:t>　</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6D68031A">
            <w:pPr>
              <w:rPr>
                <w:rFonts w:hint="eastAsia" w:ascii="Arial Narrow" w:hAnsi="Arial Narrow" w:eastAsia="仿宋_GB2312" w:cs="Arial Narrow"/>
                <w:sz w:val="21"/>
                <w:szCs w:val="21"/>
              </w:rPr>
            </w:pP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35653ABA">
            <w:pPr>
              <w:rPr>
                <w:rFonts w:hint="eastAsia" w:ascii="Arial Narrow" w:hAnsi="Arial Narrow" w:eastAsia="仿宋_GB2312" w:cs="Arial Narrow"/>
                <w:sz w:val="21"/>
                <w:szCs w:val="21"/>
              </w:rPr>
            </w:pPr>
            <w:r>
              <w:rPr>
                <w:rFonts w:ascii="Arial Narrow" w:hAnsi="Arial Narrow" w:eastAsia="仿宋_GB2312" w:cs="Arial Narrow"/>
                <w:sz w:val="21"/>
                <w:szCs w:val="21"/>
              </w:rPr>
              <w:t>项目单位已制定或具有相应的资金管理体系，计2分，符合相关财务会计制度的规定计2分。</w:t>
            </w:r>
          </w:p>
        </w:tc>
      </w:tr>
      <w:tr w14:paraId="62BD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94" w:type="dxa"/>
            <w:vMerge w:val="continue"/>
            <w:tcBorders>
              <w:left w:val="single" w:color="auto" w:sz="4" w:space="0"/>
              <w:right w:val="single" w:color="auto" w:sz="4" w:space="0"/>
            </w:tcBorders>
            <w:shd w:val="clear" w:color="000000" w:fill="FFFFFF"/>
            <w:vAlign w:val="center"/>
          </w:tcPr>
          <w:p w14:paraId="5B3069A2">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601023B2">
            <w:pPr>
              <w:rPr>
                <w:rFonts w:hint="eastAsia" w:ascii="Arial Narrow" w:hAnsi="Arial Narrow" w:eastAsia="仿宋_GB2312" w:cs="Arial Narrow"/>
                <w:sz w:val="21"/>
                <w:szCs w:val="21"/>
              </w:rPr>
            </w:pPr>
            <w:r>
              <w:rPr>
                <w:rFonts w:ascii="Arial Narrow" w:hAnsi="Arial Narrow" w:eastAsia="仿宋_GB2312" w:cs="Arial Narrow"/>
                <w:sz w:val="21"/>
                <w:szCs w:val="21"/>
              </w:rPr>
              <w:t>资金使用合规性（4）</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2C7E7907">
            <w:pPr>
              <w:rPr>
                <w:rFonts w:hint="eastAsia" w:ascii="Arial Narrow" w:hAnsi="Arial Narrow" w:eastAsia="仿宋_GB2312" w:cs="Arial Narrow"/>
                <w:sz w:val="21"/>
                <w:szCs w:val="21"/>
              </w:rPr>
            </w:pPr>
            <w:r>
              <w:rPr>
                <w:rFonts w:ascii="Arial Narrow" w:hAnsi="Arial Narrow" w:eastAsia="仿宋_GB2312" w:cs="Arial Narrow"/>
                <w:sz w:val="21"/>
                <w:szCs w:val="21"/>
              </w:rPr>
              <w:t>　</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37BD37BF">
            <w:pPr>
              <w:rPr>
                <w:rFonts w:hint="eastAsia" w:ascii="Arial Narrow" w:hAnsi="Arial Narrow" w:eastAsia="仿宋_GB2312" w:cs="Arial Narrow"/>
                <w:sz w:val="21"/>
                <w:szCs w:val="21"/>
              </w:rPr>
            </w:pP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5FF17B4F">
            <w:pPr>
              <w:rPr>
                <w:rFonts w:hint="eastAsia" w:ascii="Arial Narrow" w:hAnsi="Arial Narrow" w:eastAsia="仿宋_GB2312" w:cs="Arial Narrow"/>
                <w:sz w:val="21"/>
                <w:szCs w:val="21"/>
              </w:rPr>
            </w:pPr>
            <w:r>
              <w:rPr>
                <w:rFonts w:ascii="Arial Narrow" w:hAnsi="Arial Narrow" w:eastAsia="仿宋_GB2312" w:cs="Arial Narrow"/>
                <w:sz w:val="21"/>
                <w:szCs w:val="21"/>
              </w:rPr>
              <w:t>资金的拨付有完整的审批程序和手续，计1分；</w:t>
            </w:r>
            <w:r>
              <w:rPr>
                <w:rFonts w:ascii="Arial Narrow" w:hAnsi="Arial Narrow" w:eastAsia="仿宋_GB2312" w:cs="Arial Narrow"/>
                <w:sz w:val="21"/>
                <w:szCs w:val="21"/>
              </w:rPr>
              <w:br w:type="textWrapping"/>
            </w:r>
            <w:r>
              <w:rPr>
                <w:rFonts w:ascii="Arial Narrow" w:hAnsi="Arial Narrow" w:eastAsia="仿宋_GB2312" w:cs="Arial Narrow"/>
                <w:sz w:val="21"/>
                <w:szCs w:val="21"/>
              </w:rPr>
              <w:t>项目支出符合国家财经法规和财务管理制度的有关规定，计1分；</w:t>
            </w:r>
            <w:r>
              <w:rPr>
                <w:rFonts w:ascii="Arial Narrow" w:hAnsi="Arial Narrow" w:eastAsia="仿宋_GB2312" w:cs="Arial Narrow"/>
                <w:sz w:val="21"/>
                <w:szCs w:val="21"/>
              </w:rPr>
              <w:br w:type="textWrapping"/>
            </w:r>
            <w:r>
              <w:rPr>
                <w:rFonts w:ascii="Arial Narrow" w:hAnsi="Arial Narrow" w:eastAsia="仿宋_GB2312" w:cs="Arial Narrow"/>
                <w:sz w:val="21"/>
                <w:szCs w:val="21"/>
              </w:rPr>
              <w:t>入账处理规范，单据齐全，计1分；不存在挤占、挪用项目经费，计1分。</w:t>
            </w:r>
          </w:p>
        </w:tc>
      </w:tr>
      <w:tr w14:paraId="637B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94" w:type="dxa"/>
            <w:vMerge w:val="continue"/>
            <w:tcBorders>
              <w:left w:val="single" w:color="auto" w:sz="4" w:space="0"/>
              <w:bottom w:val="single" w:color="auto" w:sz="4" w:space="0"/>
              <w:right w:val="single" w:color="auto" w:sz="4" w:space="0"/>
            </w:tcBorders>
            <w:shd w:val="clear" w:color="000000" w:fill="FFFFFF"/>
            <w:vAlign w:val="center"/>
          </w:tcPr>
          <w:p w14:paraId="78C2C4E2">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6C90C3DA">
            <w:pPr>
              <w:rPr>
                <w:rFonts w:hint="eastAsia" w:ascii="Arial Narrow" w:hAnsi="Arial Narrow" w:eastAsia="仿宋_GB2312" w:cs="Arial Narrow"/>
                <w:sz w:val="21"/>
                <w:szCs w:val="21"/>
              </w:rPr>
            </w:pPr>
            <w:r>
              <w:rPr>
                <w:rFonts w:ascii="Arial Narrow" w:hAnsi="Arial Narrow" w:eastAsia="仿宋_GB2312" w:cs="Arial Narrow"/>
                <w:sz w:val="21"/>
                <w:szCs w:val="21"/>
              </w:rPr>
              <w:t>财务监控有效性（4）</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7E5198F3">
            <w:pPr>
              <w:rPr>
                <w:rFonts w:hint="eastAsia" w:ascii="Arial Narrow" w:hAnsi="Arial Narrow" w:eastAsia="仿宋_GB2312" w:cs="Arial Narrow"/>
                <w:sz w:val="21"/>
                <w:szCs w:val="21"/>
              </w:rPr>
            </w:pP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7552A6E1">
            <w:pPr>
              <w:rPr>
                <w:rFonts w:hint="eastAsia" w:ascii="Arial Narrow" w:hAnsi="Arial Narrow" w:eastAsia="仿宋_GB2312" w:cs="Arial Narrow"/>
                <w:sz w:val="21"/>
                <w:szCs w:val="21"/>
              </w:rPr>
            </w:pP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3684934B">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项目实施单位已制定或具有相应的监控机制，计2分；采取了相应的财务检查等必要的监控措施或手段，计2分。</w:t>
            </w:r>
          </w:p>
        </w:tc>
      </w:tr>
      <w:tr w14:paraId="29DC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794" w:type="dxa"/>
            <w:vMerge w:val="restart"/>
            <w:tcBorders>
              <w:top w:val="single" w:color="auto" w:sz="4" w:space="0"/>
              <w:left w:val="single" w:color="auto" w:sz="4" w:space="0"/>
              <w:right w:val="single" w:color="auto" w:sz="4" w:space="0"/>
            </w:tcBorders>
            <w:shd w:val="clear" w:color="000000" w:fill="FFFFFF"/>
            <w:vAlign w:val="center"/>
          </w:tcPr>
          <w:p w14:paraId="70F3D3A3">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项目</w:t>
            </w:r>
          </w:p>
          <w:p w14:paraId="4F0BDB9E">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产出（33）</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62960BED">
            <w:pPr>
              <w:rPr>
                <w:rFonts w:hint="eastAsia" w:ascii="Arial Narrow" w:hAnsi="Arial Narrow" w:eastAsia="仿宋_GB2312" w:cs="Arial Narrow"/>
                <w:sz w:val="21"/>
                <w:szCs w:val="21"/>
              </w:rPr>
            </w:pPr>
            <w:r>
              <w:rPr>
                <w:rFonts w:ascii="Arial Narrow" w:hAnsi="Arial Narrow" w:eastAsia="仿宋_GB2312" w:cs="Arial Narrow"/>
                <w:sz w:val="21"/>
                <w:szCs w:val="21"/>
              </w:rPr>
              <w:t>项目引进数</w:t>
            </w:r>
          </w:p>
          <w:p w14:paraId="50476128">
            <w:pPr>
              <w:rPr>
                <w:rFonts w:hint="eastAsia" w:ascii="Arial Narrow" w:hAnsi="Arial Narrow" w:eastAsia="仿宋_GB2312" w:cs="Arial Narrow"/>
                <w:sz w:val="21"/>
                <w:szCs w:val="21"/>
              </w:rPr>
            </w:pPr>
            <w:r>
              <w:rPr>
                <w:rFonts w:ascii="Arial Narrow" w:hAnsi="Arial Narrow" w:eastAsia="仿宋_GB2312" w:cs="Arial Narrow"/>
                <w:sz w:val="21"/>
                <w:szCs w:val="21"/>
              </w:rPr>
              <w:t>（8）</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29DB0D61">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1/2/5/20个</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44AC44FA">
            <w:pPr>
              <w:rPr>
                <w:rFonts w:hint="eastAsia" w:ascii="Arial Narrow" w:hAnsi="Arial Narrow" w:eastAsia="仿宋_GB2312" w:cs="Arial Narrow"/>
                <w:sz w:val="21"/>
                <w:szCs w:val="21"/>
              </w:rPr>
            </w:pPr>
            <w:r>
              <w:rPr>
                <w:rFonts w:ascii="Arial Narrow" w:hAnsi="Arial Narrow" w:eastAsia="仿宋_GB2312" w:cs="Arial Narrow"/>
                <w:sz w:val="21"/>
                <w:szCs w:val="21"/>
              </w:rPr>
              <w:t>计划标准</w:t>
            </w: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6D8B83DD">
            <w:pPr>
              <w:rPr>
                <w:rFonts w:hint="eastAsia" w:ascii="Arial Narrow" w:hAnsi="Arial Narrow" w:eastAsia="仿宋_GB2312" w:cs="Arial Narrow"/>
                <w:sz w:val="21"/>
                <w:szCs w:val="21"/>
              </w:rPr>
            </w:pPr>
            <w:r>
              <w:rPr>
                <w:rFonts w:ascii="Arial Narrow" w:hAnsi="Arial Narrow" w:eastAsia="仿宋_GB2312" w:cs="Arial Narrow"/>
                <w:sz w:val="21"/>
                <w:szCs w:val="21"/>
              </w:rPr>
              <w:t>引进1个100亿元以上项目，记2分，否则不计分；</w:t>
            </w:r>
          </w:p>
          <w:p w14:paraId="09662C54">
            <w:pPr>
              <w:rPr>
                <w:rFonts w:hint="eastAsia" w:ascii="Arial Narrow" w:hAnsi="Arial Narrow" w:eastAsia="仿宋_GB2312" w:cs="Arial Narrow"/>
                <w:sz w:val="21"/>
                <w:szCs w:val="21"/>
              </w:rPr>
            </w:pPr>
            <w:r>
              <w:rPr>
                <w:rFonts w:ascii="Arial Narrow" w:hAnsi="Arial Narrow" w:eastAsia="仿宋_GB2312" w:cs="Arial Narrow"/>
                <w:sz w:val="21"/>
                <w:szCs w:val="21"/>
              </w:rPr>
              <w:t>引进2个50亿元以上项目，计2分，每少一个扣1分；</w:t>
            </w:r>
          </w:p>
          <w:p w14:paraId="5D23CAB7">
            <w:pPr>
              <w:rPr>
                <w:rFonts w:hint="eastAsia" w:ascii="Arial Narrow" w:hAnsi="Arial Narrow" w:eastAsia="仿宋_GB2312" w:cs="Arial Narrow"/>
                <w:sz w:val="21"/>
                <w:szCs w:val="21"/>
              </w:rPr>
            </w:pPr>
            <w:r>
              <w:rPr>
                <w:rFonts w:ascii="Arial Narrow" w:hAnsi="Arial Narrow" w:eastAsia="仿宋_GB2312" w:cs="Arial Narrow"/>
                <w:sz w:val="21"/>
                <w:szCs w:val="21"/>
              </w:rPr>
              <w:t>引进5个10-50亿元项目，计2分，每少1个，扣0.4分；</w:t>
            </w:r>
          </w:p>
          <w:p w14:paraId="334C7B10">
            <w:pPr>
              <w:rPr>
                <w:rFonts w:hint="eastAsia" w:ascii="Arial Narrow" w:hAnsi="Arial Narrow" w:eastAsia="仿宋_GB2312" w:cs="Arial Narrow"/>
                <w:sz w:val="21"/>
                <w:szCs w:val="21"/>
              </w:rPr>
            </w:pPr>
            <w:r>
              <w:rPr>
                <w:rFonts w:ascii="Arial Narrow" w:hAnsi="Arial Narrow" w:eastAsia="仿宋_GB2312" w:cs="Arial Narrow"/>
                <w:sz w:val="21"/>
                <w:szCs w:val="21"/>
              </w:rPr>
              <w:t>引进20个1-10亿元项目，记2分，每少5个，扣0.5分。</w:t>
            </w:r>
          </w:p>
        </w:tc>
      </w:tr>
      <w:tr w14:paraId="4D1F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4" w:type="dxa"/>
            <w:vMerge w:val="continue"/>
            <w:tcBorders>
              <w:left w:val="single" w:color="auto" w:sz="4" w:space="0"/>
              <w:right w:val="single" w:color="auto" w:sz="4" w:space="0"/>
            </w:tcBorders>
            <w:shd w:val="clear" w:color="000000" w:fill="FFFFFF"/>
            <w:vAlign w:val="center"/>
          </w:tcPr>
          <w:p w14:paraId="208EE716">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064F7006">
            <w:pPr>
              <w:rPr>
                <w:rFonts w:hint="eastAsia" w:ascii="Arial Narrow" w:hAnsi="Arial Narrow" w:eastAsia="仿宋_GB2312" w:cs="Arial Narrow"/>
                <w:sz w:val="21"/>
                <w:szCs w:val="21"/>
              </w:rPr>
            </w:pPr>
            <w:r>
              <w:rPr>
                <w:rFonts w:ascii="Arial Narrow" w:hAnsi="Arial Narrow" w:eastAsia="仿宋_GB2312" w:cs="Arial Narrow"/>
                <w:sz w:val="21"/>
                <w:szCs w:val="21"/>
              </w:rPr>
              <w:t>招商引资到位资金达标率（4）</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15ED912F">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100%</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3AE7EFD2">
            <w:pPr>
              <w:rPr>
                <w:rFonts w:hint="eastAsia" w:ascii="Arial Narrow" w:hAnsi="Arial Narrow" w:eastAsia="仿宋_GB2312" w:cs="Arial Narrow"/>
                <w:sz w:val="21"/>
                <w:szCs w:val="21"/>
              </w:rPr>
            </w:pPr>
            <w:r>
              <w:rPr>
                <w:rFonts w:ascii="Arial Narrow" w:hAnsi="Arial Narrow" w:eastAsia="仿宋_GB2312" w:cs="Arial Narrow"/>
                <w:sz w:val="21"/>
                <w:szCs w:val="21"/>
              </w:rPr>
              <w:t>计划标准</w:t>
            </w: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0FA5DD14">
            <w:pPr>
              <w:rPr>
                <w:rFonts w:hint="eastAsia" w:ascii="Arial Narrow" w:hAnsi="Arial Narrow" w:eastAsia="仿宋_GB2312" w:cs="Arial Narrow"/>
                <w:sz w:val="21"/>
                <w:szCs w:val="21"/>
              </w:rPr>
            </w:pPr>
            <w:r>
              <w:rPr>
                <w:rFonts w:ascii="Arial Narrow" w:hAnsi="Arial Narrow" w:eastAsia="仿宋_GB2312" w:cs="Arial Narrow"/>
                <w:sz w:val="21"/>
                <w:szCs w:val="21"/>
              </w:rPr>
              <w:t>招商引资总额达标率达到100%，计4分，每减少10%，扣1分。</w:t>
            </w:r>
          </w:p>
        </w:tc>
      </w:tr>
      <w:tr w14:paraId="17D6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4" w:type="dxa"/>
            <w:vMerge w:val="continue"/>
            <w:tcBorders>
              <w:left w:val="single" w:color="auto" w:sz="4" w:space="0"/>
              <w:right w:val="single" w:color="auto" w:sz="4" w:space="0"/>
            </w:tcBorders>
            <w:shd w:val="clear" w:color="000000" w:fill="FFFFFF"/>
            <w:vAlign w:val="center"/>
          </w:tcPr>
          <w:p w14:paraId="4D63530D">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54CCD799">
            <w:pPr>
              <w:rPr>
                <w:rFonts w:hint="eastAsia" w:ascii="Arial Narrow" w:hAnsi="Arial Narrow" w:eastAsia="仿宋_GB2312" w:cs="Arial Narrow"/>
                <w:sz w:val="21"/>
                <w:szCs w:val="21"/>
              </w:rPr>
            </w:pPr>
            <w:r>
              <w:rPr>
                <w:rFonts w:ascii="Arial Narrow" w:hAnsi="Arial Narrow" w:eastAsia="仿宋_GB2312" w:cs="Arial Narrow"/>
                <w:sz w:val="21"/>
                <w:szCs w:val="21"/>
              </w:rPr>
              <w:t>实际利用外资</w:t>
            </w:r>
          </w:p>
          <w:p w14:paraId="59587FD1">
            <w:pPr>
              <w:rPr>
                <w:rFonts w:hint="eastAsia" w:ascii="Arial Narrow" w:hAnsi="Arial Narrow" w:eastAsia="仿宋_GB2312" w:cs="Arial Narrow"/>
                <w:sz w:val="21"/>
                <w:szCs w:val="21"/>
              </w:rPr>
            </w:pPr>
            <w:r>
              <w:rPr>
                <w:rFonts w:ascii="Arial Narrow" w:hAnsi="Arial Narrow" w:eastAsia="仿宋_GB2312" w:cs="Arial Narrow"/>
                <w:sz w:val="21"/>
                <w:szCs w:val="21"/>
              </w:rPr>
              <w:t>（4）</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430AFC67">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168,340万美元</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61B3249D">
            <w:pPr>
              <w:rPr>
                <w:rFonts w:hint="eastAsia" w:ascii="Arial Narrow" w:hAnsi="Arial Narrow" w:eastAsia="仿宋_GB2312" w:cs="Arial Narrow"/>
                <w:sz w:val="21"/>
                <w:szCs w:val="21"/>
              </w:rPr>
            </w:pPr>
            <w:r>
              <w:rPr>
                <w:rFonts w:ascii="Arial Narrow" w:hAnsi="Arial Narrow" w:eastAsia="仿宋_GB2312" w:cs="Arial Narrow"/>
                <w:sz w:val="21"/>
                <w:szCs w:val="21"/>
              </w:rPr>
              <w:t>计划标准</w:t>
            </w: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084A24C9">
            <w:pPr>
              <w:rPr>
                <w:rFonts w:hint="eastAsia" w:ascii="Arial Narrow" w:hAnsi="Arial Narrow" w:eastAsia="仿宋_GB2312" w:cs="Arial Narrow"/>
                <w:sz w:val="21"/>
                <w:szCs w:val="21"/>
              </w:rPr>
            </w:pPr>
            <w:r>
              <w:rPr>
                <w:rFonts w:ascii="Arial Narrow" w:hAnsi="Arial Narrow" w:eastAsia="仿宋_GB2312" w:cs="Arial Narrow"/>
                <w:sz w:val="21"/>
                <w:szCs w:val="21"/>
              </w:rPr>
              <w:t>实际利用外资总额达到168,340万美元，计4分，否则不得分。</w:t>
            </w:r>
          </w:p>
        </w:tc>
      </w:tr>
      <w:tr w14:paraId="54ED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4" w:type="dxa"/>
            <w:vMerge w:val="continue"/>
            <w:tcBorders>
              <w:left w:val="single" w:color="auto" w:sz="4" w:space="0"/>
              <w:right w:val="single" w:color="auto" w:sz="4" w:space="0"/>
            </w:tcBorders>
            <w:shd w:val="clear" w:color="000000" w:fill="FFFFFF"/>
            <w:vAlign w:val="center"/>
          </w:tcPr>
          <w:p w14:paraId="716E24CF">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527A7BE5">
            <w:pPr>
              <w:rPr>
                <w:rFonts w:hint="eastAsia" w:ascii="Arial Narrow" w:hAnsi="Arial Narrow" w:eastAsia="仿宋_GB2312" w:cs="Arial Narrow"/>
                <w:sz w:val="21"/>
                <w:szCs w:val="21"/>
              </w:rPr>
            </w:pPr>
            <w:r>
              <w:rPr>
                <w:rFonts w:ascii="Arial Narrow" w:hAnsi="Arial Narrow" w:eastAsia="仿宋_GB2312" w:cs="Arial Narrow"/>
                <w:sz w:val="21"/>
                <w:szCs w:val="21"/>
              </w:rPr>
              <w:t>招商引资签约额（4）</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6C637C65">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1700亿元</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1105E7FC">
            <w:pPr>
              <w:rPr>
                <w:rFonts w:hint="eastAsia" w:ascii="Arial Narrow" w:hAnsi="Arial Narrow" w:eastAsia="仿宋_GB2312" w:cs="Arial Narrow"/>
                <w:sz w:val="21"/>
                <w:szCs w:val="21"/>
              </w:rPr>
            </w:pPr>
            <w:r>
              <w:rPr>
                <w:rFonts w:ascii="Arial Narrow" w:hAnsi="Arial Narrow" w:eastAsia="仿宋_GB2312" w:cs="Arial Narrow"/>
                <w:sz w:val="21"/>
                <w:szCs w:val="21"/>
              </w:rPr>
              <w:t>计划标准</w:t>
            </w: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298A98C7">
            <w:pPr>
              <w:rPr>
                <w:rFonts w:hint="eastAsia" w:ascii="Arial Narrow" w:hAnsi="Arial Narrow" w:eastAsia="仿宋_GB2312" w:cs="Arial Narrow"/>
                <w:sz w:val="21"/>
                <w:szCs w:val="21"/>
              </w:rPr>
            </w:pPr>
            <w:r>
              <w:rPr>
                <w:rFonts w:ascii="Arial Narrow" w:hAnsi="Arial Narrow" w:eastAsia="仿宋_GB2312" w:cs="Arial Narrow"/>
                <w:sz w:val="21"/>
                <w:szCs w:val="21"/>
              </w:rPr>
              <w:t>招商引资签约额达到年初目标100%计4分，每少10%，扣0.5分。</w:t>
            </w:r>
          </w:p>
        </w:tc>
      </w:tr>
      <w:tr w14:paraId="5002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4" w:type="dxa"/>
            <w:vMerge w:val="continue"/>
            <w:tcBorders>
              <w:left w:val="single" w:color="auto" w:sz="4" w:space="0"/>
              <w:right w:val="single" w:color="auto" w:sz="4" w:space="0"/>
            </w:tcBorders>
            <w:shd w:val="clear" w:color="000000" w:fill="FFFFFF"/>
            <w:vAlign w:val="center"/>
          </w:tcPr>
          <w:p w14:paraId="5FEABFAD">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2D6DFD2A">
            <w:pPr>
              <w:rPr>
                <w:rFonts w:hint="eastAsia" w:ascii="Arial Narrow" w:hAnsi="Arial Narrow" w:eastAsia="仿宋_GB2312" w:cs="Arial Narrow"/>
                <w:sz w:val="21"/>
                <w:szCs w:val="21"/>
              </w:rPr>
            </w:pPr>
            <w:r>
              <w:rPr>
                <w:rFonts w:ascii="Arial Narrow" w:hAnsi="Arial Narrow" w:eastAsia="仿宋_GB2312" w:cs="Arial Narrow"/>
                <w:sz w:val="21"/>
                <w:szCs w:val="21"/>
              </w:rPr>
              <w:t>引进企业数</w:t>
            </w:r>
          </w:p>
          <w:p w14:paraId="26715C00">
            <w:pPr>
              <w:rPr>
                <w:rFonts w:hint="eastAsia" w:ascii="Arial Narrow" w:hAnsi="Arial Narrow" w:eastAsia="仿宋_GB2312" w:cs="Arial Narrow"/>
                <w:sz w:val="21"/>
                <w:szCs w:val="21"/>
              </w:rPr>
            </w:pPr>
            <w:r>
              <w:rPr>
                <w:rFonts w:ascii="Arial Narrow" w:hAnsi="Arial Narrow" w:eastAsia="仿宋_GB2312" w:cs="Arial Narrow"/>
                <w:sz w:val="21"/>
                <w:szCs w:val="21"/>
              </w:rPr>
              <w:t>（8）</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35D46EA3">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6个；</w:t>
            </w:r>
          </w:p>
          <w:p w14:paraId="04DF0516">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10家</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01286951">
            <w:pPr>
              <w:rPr>
                <w:rFonts w:hint="eastAsia" w:ascii="Arial Narrow" w:hAnsi="Arial Narrow" w:eastAsia="仿宋_GB2312" w:cs="Arial Narrow"/>
                <w:sz w:val="21"/>
                <w:szCs w:val="21"/>
              </w:rPr>
            </w:pPr>
            <w:r>
              <w:rPr>
                <w:rFonts w:ascii="Arial Narrow" w:hAnsi="Arial Narrow" w:eastAsia="仿宋_GB2312" w:cs="Arial Narrow"/>
                <w:sz w:val="21"/>
                <w:szCs w:val="21"/>
              </w:rPr>
              <w:t>计划标准</w:t>
            </w: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7D0D8E5E">
            <w:pPr>
              <w:rPr>
                <w:rFonts w:hint="eastAsia" w:ascii="Arial Narrow" w:hAnsi="Arial Narrow" w:eastAsia="仿宋_GB2312" w:cs="Arial Narrow"/>
                <w:sz w:val="21"/>
                <w:szCs w:val="21"/>
              </w:rPr>
            </w:pPr>
            <w:r>
              <w:rPr>
                <w:rFonts w:ascii="Arial Narrow" w:hAnsi="Arial Narrow" w:eastAsia="仿宋_GB2312" w:cs="Arial Narrow"/>
                <w:sz w:val="21"/>
                <w:szCs w:val="21"/>
              </w:rPr>
              <w:t>引进国内外500强及知名跨国企业研发机构6个及以上，计4分，每少一个扣1分；</w:t>
            </w:r>
          </w:p>
          <w:p w14:paraId="482C755F">
            <w:pPr>
              <w:rPr>
                <w:rFonts w:hint="eastAsia" w:ascii="Arial Narrow" w:hAnsi="Arial Narrow" w:eastAsia="仿宋_GB2312" w:cs="Arial Narrow"/>
                <w:sz w:val="21"/>
                <w:szCs w:val="21"/>
              </w:rPr>
            </w:pPr>
            <w:r>
              <w:rPr>
                <w:rFonts w:ascii="Arial Narrow" w:hAnsi="Arial Narrow" w:eastAsia="仿宋_GB2312" w:cs="Arial Narrow"/>
                <w:sz w:val="21"/>
                <w:szCs w:val="21"/>
              </w:rPr>
              <w:t>引进世界500强、大型央企投资、中国民营500强投资项目10个及以上，计4分；每少一家扣0.5分。</w:t>
            </w:r>
          </w:p>
        </w:tc>
      </w:tr>
      <w:tr w14:paraId="31A6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4" w:type="dxa"/>
            <w:vMerge w:val="continue"/>
            <w:tcBorders>
              <w:left w:val="single" w:color="auto" w:sz="4" w:space="0"/>
              <w:right w:val="single" w:color="auto" w:sz="4" w:space="0"/>
            </w:tcBorders>
            <w:shd w:val="clear" w:color="000000" w:fill="FFFFFF"/>
            <w:vAlign w:val="center"/>
          </w:tcPr>
          <w:p w14:paraId="7849C0EA">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2FD16ADE">
            <w:pPr>
              <w:rPr>
                <w:rFonts w:hint="eastAsia" w:ascii="Arial Narrow" w:hAnsi="Arial Narrow" w:eastAsia="仿宋_GB2312" w:cs="Arial Narrow"/>
                <w:sz w:val="21"/>
                <w:szCs w:val="21"/>
              </w:rPr>
            </w:pPr>
            <w:r>
              <w:rPr>
                <w:rFonts w:ascii="Arial Narrow" w:hAnsi="Arial Narrow" w:eastAsia="仿宋_GB2312" w:cs="Arial Narrow"/>
                <w:sz w:val="21"/>
                <w:szCs w:val="21"/>
              </w:rPr>
              <w:t>资金使用率</w:t>
            </w:r>
          </w:p>
          <w:p w14:paraId="575A822B">
            <w:pPr>
              <w:rPr>
                <w:rFonts w:hint="eastAsia" w:ascii="Arial Narrow" w:hAnsi="Arial Narrow" w:eastAsia="仿宋_GB2312" w:cs="Arial Narrow"/>
                <w:sz w:val="21"/>
                <w:szCs w:val="21"/>
              </w:rPr>
            </w:pPr>
            <w:r>
              <w:rPr>
                <w:rFonts w:ascii="Arial Narrow" w:hAnsi="Arial Narrow" w:eastAsia="仿宋_GB2312" w:cs="Arial Narrow"/>
                <w:sz w:val="21"/>
                <w:szCs w:val="21"/>
              </w:rPr>
              <w:t>（5）</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588B3729">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≥95%</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12B04EDB">
            <w:pPr>
              <w:rPr>
                <w:rFonts w:hint="eastAsia" w:ascii="Arial Narrow" w:hAnsi="Arial Narrow" w:eastAsia="仿宋_GB2312" w:cs="Arial Narrow"/>
                <w:sz w:val="21"/>
                <w:szCs w:val="21"/>
              </w:rPr>
            </w:pPr>
            <w:r>
              <w:rPr>
                <w:rFonts w:ascii="Arial Narrow" w:hAnsi="Arial Narrow" w:eastAsia="仿宋_GB2312" w:cs="Arial Narrow"/>
                <w:sz w:val="21"/>
                <w:szCs w:val="21"/>
              </w:rPr>
              <w:t>计划标准</w:t>
            </w: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38C3C280">
            <w:pPr>
              <w:rPr>
                <w:rFonts w:hint="eastAsia" w:ascii="Arial Narrow" w:hAnsi="Arial Narrow" w:eastAsia="仿宋_GB2312" w:cs="Arial Narrow"/>
                <w:sz w:val="21"/>
                <w:szCs w:val="21"/>
              </w:rPr>
            </w:pPr>
            <w:r>
              <w:rPr>
                <w:rFonts w:ascii="Arial Narrow" w:hAnsi="Arial Narrow" w:eastAsia="仿宋_GB2312" w:cs="Arial Narrow"/>
                <w:sz w:val="21"/>
                <w:szCs w:val="21"/>
              </w:rPr>
              <w:t>资金使用率超过95%计5分，每降低5%，扣1分。</w:t>
            </w:r>
          </w:p>
        </w:tc>
      </w:tr>
      <w:tr w14:paraId="4B6E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4" w:type="dxa"/>
            <w:vMerge w:val="restart"/>
            <w:tcBorders>
              <w:top w:val="single" w:color="auto" w:sz="4" w:space="0"/>
              <w:left w:val="single" w:color="auto" w:sz="4" w:space="0"/>
              <w:right w:val="single" w:color="auto" w:sz="4" w:space="0"/>
            </w:tcBorders>
            <w:shd w:val="clear" w:color="000000" w:fill="FFFFFF"/>
            <w:vAlign w:val="center"/>
          </w:tcPr>
          <w:p w14:paraId="318C06F8">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项目</w:t>
            </w:r>
          </w:p>
          <w:p w14:paraId="08A0C65C">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效果（27）</w:t>
            </w:r>
          </w:p>
          <w:p w14:paraId="7B871251">
            <w:pPr>
              <w:jc w:val="cente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6A2E30E8">
            <w:pPr>
              <w:rPr>
                <w:rFonts w:hint="eastAsia" w:ascii="Arial Narrow" w:hAnsi="Arial Narrow" w:eastAsia="仿宋_GB2312" w:cs="Arial Narrow"/>
                <w:sz w:val="21"/>
                <w:szCs w:val="21"/>
              </w:rPr>
            </w:pPr>
            <w:r>
              <w:rPr>
                <w:rFonts w:ascii="Arial Narrow" w:hAnsi="Arial Narrow" w:eastAsia="仿宋_GB2312" w:cs="Arial Narrow"/>
                <w:sz w:val="21"/>
                <w:szCs w:val="21"/>
              </w:rPr>
              <w:t>经济增长率</w:t>
            </w:r>
          </w:p>
          <w:p w14:paraId="5C537F82">
            <w:pPr>
              <w:rPr>
                <w:rFonts w:hint="eastAsia" w:ascii="Arial Narrow" w:hAnsi="Arial Narrow" w:eastAsia="仿宋_GB2312" w:cs="Arial Narrow"/>
                <w:sz w:val="21"/>
                <w:szCs w:val="21"/>
              </w:rPr>
            </w:pPr>
            <w:r>
              <w:rPr>
                <w:rFonts w:ascii="Arial Narrow" w:hAnsi="Arial Narrow" w:eastAsia="仿宋_GB2312" w:cs="Arial Narrow"/>
                <w:sz w:val="21"/>
                <w:szCs w:val="21"/>
              </w:rPr>
              <w:t>（4）</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72F02171">
            <w:pPr>
              <w:jc w:val="center"/>
              <w:rPr>
                <w:rFonts w:hint="eastAsia" w:ascii="Arial Narrow" w:hAnsi="Arial Narrow" w:eastAsia="仿宋_GB2312" w:cs="Arial Narrow"/>
                <w:sz w:val="21"/>
                <w:szCs w:val="21"/>
              </w:rPr>
            </w:pPr>
            <w:r>
              <w:rPr>
                <w:rFonts w:ascii="Arial Narrow" w:hAnsi="Arial Narrow" w:eastAsia="仿宋_GB2312" w:cs="Arial Narrow"/>
                <w:sz w:val="21"/>
                <w:szCs w:val="21"/>
              </w:rPr>
              <w:t>15%</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06A8766F">
            <w:pPr>
              <w:rPr>
                <w:rFonts w:hint="eastAsia" w:ascii="Arial Narrow" w:hAnsi="Arial Narrow" w:eastAsia="仿宋_GB2312" w:cs="Arial Narrow"/>
                <w:sz w:val="21"/>
                <w:szCs w:val="21"/>
              </w:rPr>
            </w:pPr>
            <w:r>
              <w:rPr>
                <w:rFonts w:ascii="Arial Narrow" w:hAnsi="Arial Narrow" w:eastAsia="仿宋_GB2312" w:cs="Arial Narrow"/>
                <w:sz w:val="21"/>
                <w:szCs w:val="21"/>
              </w:rPr>
              <w:t>计划标准</w:t>
            </w: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3BCCB031">
            <w:pPr>
              <w:rPr>
                <w:rFonts w:hint="eastAsia" w:ascii="Arial Narrow" w:hAnsi="Arial Narrow" w:eastAsia="仿宋_GB2312" w:cs="Arial Narrow"/>
                <w:sz w:val="21"/>
                <w:szCs w:val="21"/>
              </w:rPr>
            </w:pPr>
            <w:r>
              <w:rPr>
                <w:rFonts w:ascii="Arial Narrow" w:hAnsi="Arial Narrow" w:eastAsia="仿宋_GB2312" w:cs="Arial Narrow"/>
                <w:sz w:val="21"/>
                <w:szCs w:val="21"/>
              </w:rPr>
              <w:t>招商引资增长率达到15%，计2分，每下降5%，扣0.5分；实际利用外资增长率达到15%，计2分，每下降5%，扣0.5分。</w:t>
            </w:r>
          </w:p>
        </w:tc>
      </w:tr>
      <w:tr w14:paraId="54EB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4" w:type="dxa"/>
            <w:vMerge w:val="continue"/>
            <w:tcBorders>
              <w:left w:val="single" w:color="auto" w:sz="4" w:space="0"/>
              <w:right w:val="single" w:color="auto" w:sz="4" w:space="0"/>
            </w:tcBorders>
            <w:shd w:val="clear" w:color="000000" w:fill="FFFFFF"/>
            <w:vAlign w:val="center"/>
          </w:tcPr>
          <w:p w14:paraId="0635F66F">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7F0B515D">
            <w:pPr>
              <w:rPr>
                <w:rFonts w:hint="eastAsia" w:ascii="Arial Narrow" w:hAnsi="Arial Narrow" w:eastAsia="仿宋_GB2312" w:cs="Arial Narrow"/>
                <w:sz w:val="21"/>
                <w:szCs w:val="21"/>
              </w:rPr>
            </w:pPr>
            <w:r>
              <w:rPr>
                <w:rFonts w:ascii="Arial Narrow" w:hAnsi="Arial Narrow" w:eastAsia="仿宋_GB2312" w:cs="Arial Narrow"/>
                <w:sz w:val="21"/>
                <w:szCs w:val="21"/>
              </w:rPr>
              <w:t>宣传多样性</w:t>
            </w:r>
          </w:p>
          <w:p w14:paraId="08CADCA7">
            <w:pPr>
              <w:rPr>
                <w:rFonts w:hint="eastAsia" w:ascii="Arial Narrow" w:hAnsi="Arial Narrow" w:eastAsia="仿宋_GB2312" w:cs="Arial Narrow"/>
                <w:sz w:val="21"/>
                <w:szCs w:val="21"/>
              </w:rPr>
            </w:pPr>
            <w:r>
              <w:rPr>
                <w:rFonts w:ascii="Arial Narrow" w:hAnsi="Arial Narrow" w:eastAsia="仿宋_GB2312" w:cs="Arial Narrow"/>
                <w:sz w:val="21"/>
                <w:szCs w:val="21"/>
              </w:rPr>
              <w:t>（5）</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181A22B7">
            <w:pPr>
              <w:jc w:val="center"/>
              <w:rPr>
                <w:rFonts w:hint="eastAsia" w:ascii="Arial Narrow" w:hAnsi="Arial Narrow" w:eastAsia="仿宋_GB2312" w:cs="Arial Narrow"/>
                <w:sz w:val="21"/>
                <w:szCs w:val="21"/>
              </w:rPr>
            </w:pP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185D6853">
            <w:pPr>
              <w:rPr>
                <w:rFonts w:hint="eastAsia" w:ascii="Arial Narrow" w:hAnsi="Arial Narrow" w:eastAsia="仿宋_GB2312" w:cs="Arial Narrow"/>
                <w:sz w:val="21"/>
                <w:szCs w:val="21"/>
              </w:rPr>
            </w:pP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49B78B4F">
            <w:pPr>
              <w:rPr>
                <w:rFonts w:hint="eastAsia" w:ascii="Arial Narrow" w:hAnsi="Arial Narrow" w:eastAsia="仿宋_GB2312" w:cs="Arial Narrow"/>
                <w:sz w:val="21"/>
                <w:szCs w:val="21"/>
              </w:rPr>
            </w:pPr>
            <w:r>
              <w:rPr>
                <w:rFonts w:ascii="Arial Narrow" w:hAnsi="Arial Narrow" w:eastAsia="仿宋_GB2312" w:cs="Arial Narrow"/>
                <w:sz w:val="21"/>
                <w:szCs w:val="21"/>
              </w:rPr>
              <w:t>项目单位组织参加宣传活动，计3分；项目单位印制相关招商引资宣传册、招商地图等，计2分。</w:t>
            </w:r>
          </w:p>
        </w:tc>
      </w:tr>
      <w:tr w14:paraId="16F3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4" w:type="dxa"/>
            <w:vMerge w:val="continue"/>
            <w:tcBorders>
              <w:left w:val="single" w:color="auto" w:sz="4" w:space="0"/>
              <w:right w:val="single" w:color="auto" w:sz="4" w:space="0"/>
            </w:tcBorders>
            <w:shd w:val="clear" w:color="000000" w:fill="FFFFFF"/>
            <w:vAlign w:val="center"/>
          </w:tcPr>
          <w:p w14:paraId="710FECD5">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2CF449A8">
            <w:pPr>
              <w:rPr>
                <w:rFonts w:hint="eastAsia" w:ascii="Arial Narrow" w:hAnsi="Arial Narrow" w:eastAsia="仿宋_GB2312" w:cs="Arial Narrow"/>
                <w:sz w:val="21"/>
                <w:szCs w:val="21"/>
              </w:rPr>
            </w:pPr>
            <w:r>
              <w:rPr>
                <w:rFonts w:ascii="Arial Narrow" w:hAnsi="Arial Narrow" w:eastAsia="仿宋_GB2312" w:cs="Arial Narrow"/>
                <w:sz w:val="21"/>
                <w:szCs w:val="21"/>
              </w:rPr>
              <w:t>社零额同比增长率（5）</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6E2FC8C0">
            <w:pPr>
              <w:rPr>
                <w:rFonts w:hint="eastAsia" w:ascii="Arial Narrow" w:hAnsi="Arial Narrow" w:eastAsia="仿宋_GB2312" w:cs="Arial Narrow"/>
                <w:sz w:val="21"/>
                <w:szCs w:val="21"/>
              </w:rPr>
            </w:pPr>
            <w:r>
              <w:rPr>
                <w:rFonts w:ascii="Arial Narrow" w:hAnsi="Arial Narrow" w:eastAsia="仿宋_GB2312" w:cs="Arial Narrow"/>
                <w:sz w:val="21"/>
                <w:szCs w:val="21"/>
              </w:rPr>
              <w:t>10%</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10D464A5">
            <w:pPr>
              <w:rPr>
                <w:rFonts w:hint="eastAsia" w:ascii="Arial Narrow" w:hAnsi="Arial Narrow" w:eastAsia="仿宋_GB2312" w:cs="Arial Narrow"/>
                <w:sz w:val="21"/>
                <w:szCs w:val="21"/>
              </w:rPr>
            </w:pP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1B192D69">
            <w:pPr>
              <w:rPr>
                <w:rFonts w:hint="eastAsia" w:ascii="Arial Narrow" w:hAnsi="Arial Narrow" w:eastAsia="仿宋_GB2312" w:cs="Arial Narrow"/>
                <w:sz w:val="21"/>
                <w:szCs w:val="21"/>
              </w:rPr>
            </w:pPr>
            <w:r>
              <w:rPr>
                <w:rFonts w:ascii="Arial Narrow" w:hAnsi="Arial Narrow" w:eastAsia="仿宋_GB2312" w:cs="Arial Narrow"/>
                <w:sz w:val="21"/>
                <w:szCs w:val="21"/>
              </w:rPr>
              <w:t>社零额同比增长率达到10%，记5分，每下降2%，扣1分。</w:t>
            </w:r>
          </w:p>
        </w:tc>
      </w:tr>
      <w:tr w14:paraId="2CE8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4" w:type="dxa"/>
            <w:vMerge w:val="continue"/>
            <w:tcBorders>
              <w:left w:val="single" w:color="auto" w:sz="4" w:space="0"/>
              <w:right w:val="single" w:color="auto" w:sz="4" w:space="0"/>
            </w:tcBorders>
            <w:shd w:val="clear" w:color="000000" w:fill="FFFFFF"/>
            <w:vAlign w:val="center"/>
          </w:tcPr>
          <w:p w14:paraId="6F76B2AA">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4DBFA128">
            <w:pPr>
              <w:rPr>
                <w:rFonts w:hint="eastAsia" w:ascii="Arial Narrow" w:hAnsi="Arial Narrow" w:eastAsia="仿宋_GB2312" w:cs="Arial Narrow"/>
                <w:sz w:val="21"/>
                <w:szCs w:val="21"/>
              </w:rPr>
            </w:pPr>
            <w:r>
              <w:rPr>
                <w:rFonts w:ascii="Arial Narrow" w:hAnsi="Arial Narrow" w:eastAsia="仿宋_GB2312" w:cs="Arial Narrow"/>
                <w:sz w:val="21"/>
                <w:szCs w:val="21"/>
              </w:rPr>
              <w:t>产业结构多样性（4）</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6CEA6DC6">
            <w:pPr>
              <w:jc w:val="both"/>
              <w:rPr>
                <w:rFonts w:hint="eastAsia" w:ascii="Arial Narrow" w:hAnsi="Arial Narrow" w:eastAsia="仿宋_GB2312" w:cs="Arial Narrow"/>
                <w:sz w:val="21"/>
                <w:szCs w:val="21"/>
              </w:rPr>
            </w:pP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43450D4A">
            <w:pPr>
              <w:jc w:val="center"/>
              <w:rPr>
                <w:rFonts w:hint="eastAsia" w:ascii="Arial Narrow" w:hAnsi="Arial Narrow" w:eastAsia="仿宋_GB2312" w:cs="Arial Narrow"/>
                <w:sz w:val="21"/>
                <w:szCs w:val="21"/>
              </w:rPr>
            </w:pP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619A62D9">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项目实施后优化了产业结构，计2分；具有产业结构多样性，计2分，否则不得分。</w:t>
            </w:r>
          </w:p>
        </w:tc>
      </w:tr>
      <w:tr w14:paraId="1777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4" w:type="dxa"/>
            <w:vMerge w:val="continue"/>
            <w:tcBorders>
              <w:left w:val="single" w:color="auto" w:sz="4" w:space="0"/>
              <w:right w:val="single" w:color="auto" w:sz="4" w:space="0"/>
            </w:tcBorders>
            <w:shd w:val="clear" w:color="000000" w:fill="FFFFFF"/>
            <w:vAlign w:val="center"/>
          </w:tcPr>
          <w:p w14:paraId="43697A90">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557E42F1">
            <w:pPr>
              <w:rPr>
                <w:rFonts w:hint="eastAsia" w:ascii="Arial Narrow" w:hAnsi="Arial Narrow" w:eastAsia="仿宋_GB2312" w:cs="Arial Narrow"/>
                <w:sz w:val="21"/>
                <w:szCs w:val="21"/>
              </w:rPr>
            </w:pPr>
            <w:r>
              <w:rPr>
                <w:rFonts w:ascii="Arial Narrow" w:hAnsi="Arial Narrow" w:eastAsia="仿宋_GB2312" w:cs="Arial Narrow"/>
                <w:sz w:val="21"/>
                <w:szCs w:val="21"/>
              </w:rPr>
              <w:t>招商引资园区覆盖率（4）</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62685B0D">
            <w:pPr>
              <w:jc w:val="center"/>
              <w:rPr>
                <w:rFonts w:hint="eastAsia" w:ascii="Arial Narrow" w:hAnsi="Arial Narrow" w:eastAsia="仿宋_GB2312" w:cs="Arial Narrow"/>
                <w:sz w:val="21"/>
                <w:szCs w:val="21"/>
              </w:rPr>
            </w:pPr>
            <w:r>
              <w:rPr>
                <w:rFonts w:hint="eastAsia" w:ascii="Arial Narrow" w:hAnsi="Arial Narrow" w:eastAsia="仿宋_GB2312" w:cs="Arial Narrow"/>
                <w:sz w:val="21"/>
                <w:szCs w:val="21"/>
              </w:rPr>
              <w:t>100%</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1A92A42E">
            <w:pPr>
              <w:jc w:val="center"/>
              <w:rPr>
                <w:rFonts w:hint="eastAsia" w:ascii="Arial Narrow" w:hAnsi="Arial Narrow" w:eastAsia="仿宋_GB2312" w:cs="Arial Narrow"/>
                <w:sz w:val="21"/>
                <w:szCs w:val="21"/>
              </w:rPr>
            </w:pP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2811CE28">
            <w:pPr>
              <w:rPr>
                <w:rFonts w:hint="eastAsia" w:ascii="Arial Narrow" w:hAnsi="Arial Narrow" w:eastAsia="仿宋_GB2312" w:cs="Arial Narrow"/>
                <w:sz w:val="21"/>
                <w:szCs w:val="21"/>
              </w:rPr>
            </w:pPr>
            <w:r>
              <w:rPr>
                <w:rFonts w:hint="eastAsia" w:ascii="Arial Narrow" w:hAnsi="Arial Narrow" w:eastAsia="仿宋_GB2312" w:cs="Arial Narrow"/>
                <w:sz w:val="21"/>
                <w:szCs w:val="21"/>
              </w:rPr>
              <w:t>招商引资园区覆盖率达到</w:t>
            </w:r>
            <w:r>
              <w:rPr>
                <w:rFonts w:ascii="Arial Narrow" w:hAnsi="Arial Narrow" w:eastAsia="仿宋_GB2312" w:cs="Arial Narrow"/>
                <w:sz w:val="21"/>
                <w:szCs w:val="21"/>
              </w:rPr>
              <w:t>100%，计4分，每少10%，扣1分。</w:t>
            </w:r>
          </w:p>
        </w:tc>
      </w:tr>
      <w:tr w14:paraId="5504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4" w:type="dxa"/>
            <w:vMerge w:val="continue"/>
            <w:tcBorders>
              <w:left w:val="single" w:color="auto" w:sz="4" w:space="0"/>
              <w:right w:val="single" w:color="auto" w:sz="4" w:space="0"/>
            </w:tcBorders>
            <w:shd w:val="clear" w:color="000000" w:fill="FFFFFF"/>
            <w:vAlign w:val="center"/>
          </w:tcPr>
          <w:p w14:paraId="53B2D601">
            <w:pPr>
              <w:rPr>
                <w:rFonts w:hint="eastAsia" w:ascii="Arial Narrow" w:hAnsi="Arial Narrow" w:eastAsia="仿宋_GB2312" w:cs="Arial Narrow"/>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6194D521">
            <w:pPr>
              <w:rPr>
                <w:rFonts w:hint="eastAsia" w:ascii="Arial Narrow" w:hAnsi="Arial Narrow" w:eastAsia="仿宋_GB2312" w:cs="Arial Narrow"/>
                <w:sz w:val="21"/>
                <w:szCs w:val="21"/>
              </w:rPr>
            </w:pPr>
            <w:r>
              <w:rPr>
                <w:rFonts w:ascii="Arial Narrow" w:hAnsi="Arial Narrow" w:eastAsia="仿宋_GB2312" w:cs="Arial Narrow"/>
                <w:sz w:val="21"/>
                <w:szCs w:val="21"/>
              </w:rPr>
              <w:t>可持续影响（5）</w:t>
            </w:r>
          </w:p>
        </w:tc>
        <w:tc>
          <w:tcPr>
            <w:tcW w:w="901" w:type="dxa"/>
            <w:tcBorders>
              <w:top w:val="single" w:color="auto" w:sz="4" w:space="0"/>
              <w:left w:val="single" w:color="auto" w:sz="4" w:space="0"/>
              <w:bottom w:val="single" w:color="auto" w:sz="4" w:space="0"/>
              <w:right w:val="single" w:color="auto" w:sz="4" w:space="0"/>
            </w:tcBorders>
            <w:shd w:val="clear" w:color="000000" w:fill="FFFFFF"/>
            <w:vAlign w:val="center"/>
          </w:tcPr>
          <w:p w14:paraId="6509B4A8">
            <w:pPr>
              <w:jc w:val="center"/>
              <w:rPr>
                <w:rFonts w:hint="eastAsia" w:ascii="Arial Narrow" w:hAnsi="Arial Narrow" w:eastAsia="仿宋_GB2312" w:cs="Arial Narrow"/>
                <w:sz w:val="21"/>
                <w:szCs w:val="21"/>
              </w:rPr>
            </w:pP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14:paraId="21F7128E">
            <w:pPr>
              <w:jc w:val="center"/>
              <w:rPr>
                <w:rFonts w:hint="eastAsia" w:ascii="Arial Narrow" w:hAnsi="Arial Narrow" w:eastAsia="仿宋_GB2312" w:cs="Arial Narrow"/>
                <w:sz w:val="21"/>
                <w:szCs w:val="21"/>
              </w:rPr>
            </w:pPr>
          </w:p>
        </w:tc>
        <w:tc>
          <w:tcPr>
            <w:tcW w:w="5058" w:type="dxa"/>
            <w:tcBorders>
              <w:top w:val="single" w:color="auto" w:sz="4" w:space="0"/>
              <w:left w:val="single" w:color="auto" w:sz="4" w:space="0"/>
              <w:bottom w:val="single" w:color="auto" w:sz="4" w:space="0"/>
              <w:right w:val="single" w:color="auto" w:sz="4" w:space="0"/>
            </w:tcBorders>
            <w:shd w:val="clear" w:color="000000" w:fill="FFFFFF"/>
            <w:vAlign w:val="center"/>
          </w:tcPr>
          <w:p w14:paraId="31307AFB">
            <w:pPr>
              <w:rPr>
                <w:rFonts w:hint="eastAsia" w:ascii="Arial Narrow" w:hAnsi="Arial Narrow" w:eastAsia="仿宋_GB2312" w:cs="Arial Narrow"/>
                <w:sz w:val="21"/>
                <w:szCs w:val="21"/>
              </w:rPr>
            </w:pPr>
            <w:r>
              <w:rPr>
                <w:rFonts w:ascii="Arial Narrow" w:hAnsi="Arial Narrow" w:eastAsia="仿宋_GB2312" w:cs="Arial Narrow"/>
                <w:sz w:val="21"/>
                <w:szCs w:val="21"/>
              </w:rPr>
              <w:t>项目实施单位为入驻企业创造良好的氛围，营造引商留商扶商环境，解决企业问题，计2分；</w:t>
            </w:r>
            <w:r>
              <w:rPr>
                <w:rFonts w:hint="eastAsia" w:ascii="Arial Narrow" w:hAnsi="Arial Narrow" w:eastAsia="仿宋_GB2312" w:cs="Arial Narrow"/>
                <w:sz w:val="21"/>
                <w:szCs w:val="21"/>
              </w:rPr>
              <w:t>各部门分工明确，能保障项目的后续运行，计</w:t>
            </w:r>
            <w:r>
              <w:rPr>
                <w:rFonts w:ascii="Arial Narrow" w:hAnsi="Arial Narrow" w:eastAsia="仿宋_GB2312" w:cs="Arial Narrow"/>
                <w:sz w:val="21"/>
                <w:szCs w:val="21"/>
              </w:rPr>
              <w:t>3分。</w:t>
            </w:r>
          </w:p>
        </w:tc>
      </w:tr>
    </w:tbl>
    <w:p w14:paraId="06C32AF6">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（2）绩效评价指标体系补充说明</w:t>
      </w:r>
    </w:p>
    <w:p w14:paraId="5A0D7A3F">
      <w:pPr>
        <w:spacing w:line="360" w:lineRule="auto"/>
        <w:ind w:firstLine="420"/>
        <w:rPr>
          <w:rFonts w:hint="eastAsia" w:ascii="Arial Narrow" w:hAnsi="Arial Narrow" w:eastAsia="仿宋_GB2312" w:cs="Arial Narrow"/>
        </w:rPr>
      </w:pPr>
      <w:r>
        <w:rPr>
          <w:rFonts w:ascii="Arial Narrow" w:hAnsi="Arial Narrow" w:eastAsia="仿宋_GB2312" w:cs="Arial Narrow"/>
        </w:rPr>
        <w:t>①指标调整情况</w:t>
      </w:r>
    </w:p>
    <w:p w14:paraId="6285991C">
      <w:pPr>
        <w:spacing w:line="360" w:lineRule="auto"/>
        <w:ind w:firstLine="480"/>
        <w:rPr>
          <w:rFonts w:hint="eastAsia" w:ascii="Arial Narrow" w:hAnsi="Arial Narrow" w:eastAsia="仿宋_GB2312" w:cs="Arial Narrow"/>
        </w:rPr>
      </w:pPr>
      <w:r>
        <w:rPr>
          <w:rFonts w:ascii="Arial Narrow" w:hAnsi="Arial Narrow" w:eastAsia="仿宋_GB2312" w:cs="Arial Narrow"/>
        </w:rPr>
        <w:t>对照项目年初绩效目标，指标调整情况如下：</w:t>
      </w:r>
      <w:r>
        <w:rPr>
          <w:rFonts w:ascii="Arial Narrow" w:hAnsi="Arial Narrow" w:eastAsia="仿宋_GB2312" w:cs="Arial Narrow"/>
        </w:rPr>
        <w:br w:type="textWrapping"/>
      </w:r>
      <w:r>
        <w:rPr>
          <w:rFonts w:ascii="Arial Narrow" w:hAnsi="Arial Narrow" w:eastAsia="仿宋_GB2312" w:cs="Arial Narrow"/>
        </w:rPr>
        <w:t xml:space="preserve">   </w:t>
      </w:r>
      <w:r>
        <w:rPr>
          <w:rFonts w:hint="eastAsia" w:ascii="仿宋_GB2312" w:hAnsi="仿宋_GB2312" w:eastAsia="仿宋_GB2312" w:cs="仿宋_GB2312"/>
        </w:rPr>
        <w:t xml:space="preserve"> 将“招商路径图形成数”、“招商智库建设”、“保障区域用地需求”、“招才引智”和“环保监控有效性”等指标调整为“招商引资签约额”、“社零额同比增长率”、“产业结构多样性”和“招商引资园区覆盖率”</w:t>
      </w:r>
      <w:r>
        <w:rPr>
          <w:rFonts w:ascii="Arial Narrow" w:hAnsi="Arial Narrow" w:eastAsia="仿宋_GB2312" w:cs="Arial Narrow"/>
        </w:rPr>
        <w:t>等4个指标，调整原因：原指标的指标值与今年项目实际完成情况不太匹配，调整后的指标考核能将招商经费项目工作完成情况进行量化和质化考核，用以反映此项目的达标情况。</w:t>
      </w:r>
    </w:p>
    <w:p w14:paraId="6A198D13">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（3）综合分析方法</w:t>
      </w:r>
    </w:p>
    <w:p w14:paraId="6CC869E0">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①综合评分方法</w:t>
      </w:r>
    </w:p>
    <w:p w14:paraId="6DFACD82">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评价采用比较法、公众评判法、统计计算法进行综合评分，通过</w:t>
      </w:r>
      <w:r>
        <w:rPr>
          <w:rFonts w:hint="eastAsia" w:ascii="仿宋_GB2312" w:hAnsi="仿宋_GB2312" w:eastAsia="仿宋_GB2312" w:cs="仿宋_GB2312"/>
        </w:rPr>
        <w:t>对“招商工作经费项目”绩</w:t>
      </w:r>
      <w:r>
        <w:rPr>
          <w:rFonts w:ascii="Arial Narrow" w:hAnsi="Arial Narrow" w:eastAsia="仿宋_GB2312" w:cs="Arial Narrow"/>
        </w:rPr>
        <w:t>效目标与实际实施效果的对比，综合分析其绩效目标实现程度，对各项指标要素评分，结合各项评分值与指标要素权重得出评价综合分值。</w:t>
      </w:r>
    </w:p>
    <w:p w14:paraId="3F040F1E">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②指标计算方法</w:t>
      </w:r>
    </w:p>
    <w:p w14:paraId="539314C1">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评价采用比率法对指标进行计算，先计算出指标实现值与指标标准值的比率，再将该项比率和对应指标满分值相乘，取整后得出指标评分值。</w:t>
      </w:r>
    </w:p>
    <w:p w14:paraId="521C60FC">
      <w:pPr>
        <w:spacing w:line="360" w:lineRule="auto"/>
        <w:ind w:firstLine="480" w:firstLineChars="200"/>
        <w:rPr>
          <w:rFonts w:hint="eastAsia" w:ascii="Arial Narrow" w:hAnsi="Arial Narrow" w:eastAsia="仿宋_GB2312" w:cs="Arial Narrow"/>
        </w:rPr>
      </w:pPr>
      <w:r>
        <w:rPr>
          <w:rFonts w:hint="eastAsia"/>
        </w:rPr>
        <w:t>③</w:t>
      </w:r>
      <w:r>
        <w:rPr>
          <w:rFonts w:ascii="Arial Narrow" w:hAnsi="Arial Narrow" w:eastAsia="仿宋_GB2312" w:cs="Arial Narrow"/>
        </w:rPr>
        <w:t>标准值的确定方法</w:t>
      </w:r>
    </w:p>
    <w:p w14:paraId="7EC8F3E9">
      <w:pPr>
        <w:spacing w:line="360" w:lineRule="auto"/>
        <w:ind w:firstLine="480" w:firstLineChars="200"/>
        <w:rPr>
          <w:rFonts w:hint="eastAsia" w:ascii="Arial Narrow" w:hAnsi="Arial Narrow" w:eastAsia="仿宋_GB2312" w:cs="微软雅黑"/>
        </w:rPr>
      </w:pPr>
      <w:r>
        <w:rPr>
          <w:rFonts w:ascii="Arial Narrow" w:hAnsi="Arial Narrow" w:eastAsia="仿宋_GB2312" w:cs="微软雅黑"/>
        </w:rPr>
        <w:t>本次评价采用了计划标准、历史标准或经验标准来确定标准值。以预先制定的目标、计划、预算、定额等数据作为评价标准，或者参照同类指标的历史数据或经验数据确定标准值。</w:t>
      </w:r>
    </w:p>
    <w:p w14:paraId="7466A536">
      <w:pPr>
        <w:spacing w:line="360" w:lineRule="auto"/>
        <w:ind w:firstLine="240" w:firstLineChars="100"/>
        <w:rPr>
          <w:rFonts w:hint="eastAsia" w:ascii="Arial Narrow" w:hAnsi="Arial Narrow" w:eastAsia="仿宋_GB2312" w:cs="Arial Narrow"/>
        </w:rPr>
      </w:pPr>
      <w:r>
        <w:rPr>
          <w:rFonts w:ascii="Arial Narrow" w:hAnsi="Arial Narrow" w:eastAsia="仿宋_GB2312" w:cs="Arial Narrow"/>
        </w:rPr>
        <w:t>（4）绩效评价方法</w:t>
      </w:r>
    </w:p>
    <w:p w14:paraId="32B4A026">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绩效评价方法主要包括成本效益分析法、比较法、最低成本法、公众评判法、统计计算法等。</w:t>
      </w:r>
      <w:r>
        <w:rPr>
          <w:rFonts w:hint="eastAsia" w:ascii="仿宋_GB2312" w:hAnsi="仿宋_GB2312" w:eastAsia="仿宋_GB2312" w:cs="仿宋_GB2312"/>
        </w:rPr>
        <w:t>“招商工作经费项目”绩</w:t>
      </w:r>
      <w:r>
        <w:rPr>
          <w:rFonts w:ascii="Arial Narrow" w:hAnsi="Arial Narrow" w:eastAsia="仿宋_GB2312" w:cs="Arial Narrow"/>
        </w:rPr>
        <w:t>效评价根据其特点和评价工作的要求，选择比较法、公众评判法、统计计算法、实地考察等方法进行绩效评价分析，与此同时，我们将收集大量直接的统计资料进行分析研究。</w:t>
      </w:r>
    </w:p>
    <w:p w14:paraId="2870430B">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①</w:t>
      </w:r>
      <w:r>
        <w:rPr>
          <w:rFonts w:ascii="Arial Narrow" w:hAnsi="Arial Narrow" w:eastAsia="仿宋_GB2312" w:cs="Arial Narrow"/>
        </w:rPr>
        <w:t>比较法。是指通过对绩效目标与实际实施效果的对比，综合分析绩效目标实现程度。评价小组根据收集的项目支出资料和实地观察，了</w:t>
      </w:r>
      <w:r>
        <w:rPr>
          <w:rFonts w:hint="eastAsia" w:ascii="仿宋_GB2312" w:hAnsi="仿宋_GB2312" w:eastAsia="仿宋_GB2312" w:cs="仿宋_GB2312"/>
        </w:rPr>
        <w:t>解“招商工作经费项目”支出实</w:t>
      </w:r>
      <w:r>
        <w:rPr>
          <w:rFonts w:ascii="Arial Narrow" w:hAnsi="Arial Narrow" w:eastAsia="仿宋_GB2312" w:cs="Arial Narrow"/>
        </w:rPr>
        <w:t>际情况，与项目申报时确定的绩效目标进行对比，评价绩效目标的实现程度。</w:t>
      </w:r>
    </w:p>
    <w:p w14:paraId="7B9D4D46">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②</w:t>
      </w:r>
      <w:r>
        <w:rPr>
          <w:rFonts w:ascii="Arial Narrow" w:hAnsi="Arial Narrow" w:eastAsia="仿宋_GB2312" w:cs="Arial Narrow"/>
        </w:rPr>
        <w:t>公众评判法。是指通过专家评估等对财政支出效果进行评判，评价绩效目标实现程度。评价小组将对参与管理的部门和具体实施单位进行访谈，收</w:t>
      </w:r>
      <w:r>
        <w:rPr>
          <w:rFonts w:hint="eastAsia" w:ascii="仿宋_GB2312" w:hAnsi="仿宋_GB2312" w:eastAsia="仿宋_GB2312" w:cs="仿宋_GB2312"/>
        </w:rPr>
        <w:t>集“招商工作经费项目”具体实施</w:t>
      </w:r>
      <w:r>
        <w:rPr>
          <w:rFonts w:ascii="Arial Narrow" w:hAnsi="Arial Narrow" w:eastAsia="仿宋_GB2312" w:cs="Arial Narrow"/>
        </w:rPr>
        <w:t>情况和效果的相关证据，为绩效分析结论提供有力支撑。</w:t>
      </w:r>
    </w:p>
    <w:p w14:paraId="2F347F21">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③</w:t>
      </w:r>
      <w:r>
        <w:rPr>
          <w:rFonts w:ascii="Arial Narrow" w:hAnsi="Arial Narrow" w:eastAsia="仿宋_GB2312" w:cs="Arial Narrow"/>
        </w:rPr>
        <w:t>统计计算法。是指采用各种专业（或专门）指标的计算方法，通</w:t>
      </w:r>
      <w:r>
        <w:rPr>
          <w:rFonts w:hint="eastAsia" w:ascii="仿宋_GB2312" w:hAnsi="仿宋_GB2312" w:eastAsia="仿宋_GB2312" w:cs="仿宋_GB2312"/>
        </w:rPr>
        <w:t>过收集“招商工作经费项目”的相关</w:t>
      </w:r>
      <w:r>
        <w:rPr>
          <w:rFonts w:ascii="Arial Narrow" w:hAnsi="Arial Narrow" w:eastAsia="仿宋_GB2312" w:cs="Arial Narrow"/>
        </w:rPr>
        <w:t>数据，采用统计或核算等方式进行计算实际完成或达到的结果，评价绩效目标实现程度。评价小组根据相关文件依据，设计</w:t>
      </w:r>
      <w:r>
        <w:rPr>
          <w:rFonts w:hint="eastAsia" w:ascii="仿宋_GB2312" w:hAnsi="仿宋_GB2312" w:eastAsia="仿宋_GB2312" w:cs="仿宋_GB2312"/>
        </w:rPr>
        <w:t>符合“招商工作经费项目”特</w:t>
      </w:r>
      <w:r>
        <w:rPr>
          <w:rFonts w:ascii="Arial Narrow" w:hAnsi="Arial Narrow" w:eastAsia="仿宋_GB2312" w:cs="Arial Narrow"/>
        </w:rPr>
        <w:t>点的评价指标体系，然后采集数据按照计算公式进行计算分析，并根据计算结果</w:t>
      </w:r>
      <w:r>
        <w:rPr>
          <w:rFonts w:hint="eastAsia" w:ascii="仿宋_GB2312" w:hAnsi="仿宋_GB2312" w:eastAsia="仿宋_GB2312" w:cs="仿宋_GB2312"/>
        </w:rPr>
        <w:t>分析“招商工作经费项目”的绩</w:t>
      </w:r>
      <w:r>
        <w:rPr>
          <w:rFonts w:ascii="Arial Narrow" w:hAnsi="Arial Narrow" w:eastAsia="仿宋_GB2312" w:cs="Arial Narrow"/>
        </w:rPr>
        <w:t>效目标实现程度。</w:t>
      </w:r>
    </w:p>
    <w:p w14:paraId="2057ED44">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④</w:t>
      </w:r>
      <w:r>
        <w:rPr>
          <w:rFonts w:ascii="Arial Narrow" w:hAnsi="Arial Narrow" w:eastAsia="仿宋_GB2312" w:cs="Arial Narrow"/>
        </w:rPr>
        <w:t>实地考察。是指前往具体实施地进行考察，了</w:t>
      </w:r>
      <w:r>
        <w:rPr>
          <w:rFonts w:hint="eastAsia" w:ascii="仿宋_GB2312" w:hAnsi="仿宋_GB2312" w:eastAsia="仿宋_GB2312" w:cs="仿宋_GB2312"/>
        </w:rPr>
        <w:t>解“招商工作经费项目”的实</w:t>
      </w:r>
      <w:r>
        <w:rPr>
          <w:rFonts w:ascii="Arial Narrow" w:hAnsi="Arial Narrow" w:eastAsia="仿宋_GB2312" w:cs="Arial Narrow"/>
        </w:rPr>
        <w:t>际情况，评</w:t>
      </w:r>
      <w:r>
        <w:rPr>
          <w:rFonts w:hint="eastAsia" w:ascii="仿宋_GB2312" w:hAnsi="仿宋_GB2312" w:eastAsia="仿宋_GB2312" w:cs="仿宋_GB2312"/>
        </w:rPr>
        <w:t>价“招商工作经费项目”绩</w:t>
      </w:r>
      <w:r>
        <w:rPr>
          <w:rFonts w:ascii="Arial Narrow" w:hAnsi="Arial Narrow" w:eastAsia="仿宋_GB2312" w:cs="Arial Narrow"/>
        </w:rPr>
        <w:t>效目标实现程度。评价小组将前往具体实施地，核实项目实际实施情况，与收集的资料进行验证核对，并拍照留痕。</w:t>
      </w:r>
    </w:p>
    <w:p w14:paraId="7837869A">
      <w:pPr>
        <w:pStyle w:val="3"/>
        <w:spacing w:before="0" w:after="0" w:line="360" w:lineRule="auto"/>
        <w:ind w:firstLine="482" w:firstLineChars="200"/>
        <w:rPr>
          <w:rFonts w:hint="eastAsia" w:ascii="Arial Narrow" w:hAnsi="Arial Narrow" w:eastAsia="仿宋_GB2312" w:cs="Arial Narrow"/>
        </w:rPr>
      </w:pPr>
      <w:bookmarkStart w:id="48" w:name="_Toc16149922"/>
      <w:r>
        <w:rPr>
          <w:rFonts w:ascii="Arial Narrow" w:hAnsi="Arial Narrow" w:eastAsia="仿宋_GB2312" w:cs="Arial Narrow"/>
        </w:rPr>
        <w:t>（三）绩效分析及评价结论</w:t>
      </w:r>
      <w:bookmarkEnd w:id="48"/>
    </w:p>
    <w:p w14:paraId="1F2A0A19">
      <w:pPr>
        <w:pStyle w:val="4"/>
        <w:tabs>
          <w:tab w:val="left" w:pos="2215"/>
        </w:tabs>
        <w:spacing w:before="0" w:after="0" w:line="360" w:lineRule="auto"/>
        <w:ind w:firstLine="480" w:firstLineChars="200"/>
        <w:rPr>
          <w:rFonts w:hint="eastAsia" w:ascii="Arial Narrow" w:hAnsi="Arial Narrow" w:eastAsia="仿宋_GB2312" w:cs="Arial Narrow"/>
          <w:b w:val="0"/>
        </w:rPr>
      </w:pPr>
      <w:bookmarkStart w:id="49" w:name="_Toc16149923"/>
      <w:r>
        <w:rPr>
          <w:rFonts w:ascii="Arial Narrow" w:hAnsi="Arial Narrow" w:eastAsia="仿宋_GB2312" w:cs="Arial Narrow"/>
          <w:b w:val="0"/>
        </w:rPr>
        <w:t>1、绩效分析</w:t>
      </w:r>
      <w:bookmarkEnd w:id="49"/>
      <w:r>
        <w:rPr>
          <w:rFonts w:ascii="Arial Narrow" w:hAnsi="Arial Narrow" w:eastAsia="仿宋_GB2312" w:cs="Arial Narrow"/>
          <w:b w:val="0"/>
        </w:rPr>
        <w:tab/>
      </w:r>
    </w:p>
    <w:p w14:paraId="1F3494A8">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（1）投入（16分）</w:t>
      </w:r>
    </w:p>
    <w:p w14:paraId="651950D2">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投入指标满分为16分，根据评价原则，投入评价得分为13分，评价结果为良（B）。</w:t>
      </w:r>
    </w:p>
    <w:p w14:paraId="58DD2FC0">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drawing>
          <wp:inline distT="0" distB="0" distL="114300" distR="114300">
            <wp:extent cx="4572000" cy="2743200"/>
            <wp:effectExtent l="4445" t="4445" r="14605" b="14605"/>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FB868C">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投入指标主要评价项目立项和资金落实情况，包括项目立项规范性、绩效目标合理性、资金到位率、到位及时率。对于该项的评价，主要采取卷宗研究的方法，查阅《2018年部门预算编制说明》、《开发区财政局关于批复武汉经济技术开发区（汉南区）招商局2018年预算的函》、《开发区财政局关于批复武汉经济技术开发区（汉南区）招商局2018年预算的函》、《2018年开发区部门项目申报及绩效目标表》等，了解项目绩效目标的规范性、预算执行情况，对项目投入涉及的指标打分。</w:t>
      </w:r>
    </w:p>
    <w:p w14:paraId="099DB496">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①</w:t>
      </w:r>
      <w:r>
        <w:rPr>
          <w:rFonts w:ascii="Arial Narrow" w:hAnsi="Arial Narrow" w:eastAsia="仿宋_GB2312" w:cs="Arial Narrow"/>
        </w:rPr>
        <w:t>项目立项规范性（5分）</w:t>
      </w:r>
    </w:p>
    <w:p w14:paraId="185B016D">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项目立项规范性是指项目的申请、设立过程是否符合相关要求，用以反映和考核项目立项的规范情况。评价小组通过查阅2018年度《武汉经济开发区（汉南区）项目支出绩效目标申报表》及现场访谈，了解到招商工作经费项目为部门预算项目，2018年未重新进行项目规划，且无相关立项资料，扣1分；项目单位提交了项目申报表，根据往年情况进行了资金估算，但未进行资金测算，未编制项目预算依据，扣1分；项目执行时未发生重大调整；该项指标评价得分为3分。</w:t>
      </w:r>
    </w:p>
    <w:p w14:paraId="26FC3A79">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②</w:t>
      </w:r>
      <w:r>
        <w:rPr>
          <w:rFonts w:ascii="Arial Narrow" w:hAnsi="Arial Narrow" w:eastAsia="仿宋_GB2312" w:cs="Arial Narrow"/>
        </w:rPr>
        <w:t>绩效目标合理性（3分）</w:t>
      </w:r>
    </w:p>
    <w:p w14:paraId="560D4383">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绩效目标合理性是指项目是否设定绩效目标和绩效指标，所设定的绩效目标和指标是否符合实际，用以反映和考核项目绩效目标与项目实施的相符情况。评价小组通过查阅2018年度《武汉经济开发区（汉南区）项目支出绩效目标申报表》，了解到项目单位编制了绩效目标申报表，在绩效目标表中设定了年度目标和绩效指标，但未设定长期目标，扣0.5分；目标和指标的设计符合目标管理规范，但部分绩效指标如社会效益指标（推动创新创业要素在区内聚集）内容的可测性不高，扣0.5分；该项指标评价得分为2分。</w:t>
      </w:r>
    </w:p>
    <w:p w14:paraId="466AD3D2">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③</w:t>
      </w:r>
      <w:r>
        <w:rPr>
          <w:rFonts w:ascii="Arial Narrow" w:hAnsi="Arial Narrow" w:eastAsia="仿宋_GB2312" w:cs="Arial Narrow"/>
        </w:rPr>
        <w:t>资金到位率（4分）</w:t>
      </w:r>
    </w:p>
    <w:p w14:paraId="5E066F96">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资金到位率是指实际到位资金与计划投入资金的比率，用以反映和考核资金落实情况对项目实施的总体保障程度。评价小组通过查阅《2018年部门预算编制说明》及《开发区财政局关于批复武汉经济技术开发区（汉南区）招商局2018年预算的函》等资料，了解到招商局计划投入招商工作经费为275万元，投资服务中心计划投入资金为200万元；招商局实际到位资金为275万元，投资服务中心实际到位资金为200万元，资金到位率为100%；该项指标评价得分为4分。</w:t>
      </w:r>
    </w:p>
    <w:p w14:paraId="00667D59">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④</w:t>
      </w:r>
      <w:r>
        <w:rPr>
          <w:rFonts w:ascii="Arial Narrow" w:hAnsi="Arial Narrow" w:eastAsia="仿宋_GB2312" w:cs="Arial Narrow"/>
        </w:rPr>
        <w:t>到位及时率（4分）</w:t>
      </w:r>
    </w:p>
    <w:p w14:paraId="5B8EEBBC">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到位及时率是指及时到位资金与应到位资金的比率，用以反映和考核项目资金落实的及时性程度。评价小组通过查阅《开发区财政局关于批复武汉经济技术开发区（汉南区）招商局2018年预算的函》及《开发区财政局关于批复武汉经济技术开发区（汉南区）投资服务中心2018年预算的函》，了解到项目应到位资金共为475万元，其中投资服务中心项目应到位资金为200万元，区招商局应到位资金2</w:t>
      </w:r>
      <w:r>
        <w:rPr>
          <w:rFonts w:hint="eastAsia" w:ascii="Arial Narrow" w:hAnsi="Arial Narrow" w:eastAsia="仿宋_GB2312" w:cs="Arial Narrow"/>
        </w:rPr>
        <w:t>75</w:t>
      </w:r>
      <w:r>
        <w:rPr>
          <w:rFonts w:ascii="Arial Narrow" w:hAnsi="Arial Narrow" w:eastAsia="仿宋_GB2312" w:cs="Arial Narrow"/>
        </w:rPr>
        <w:t>万元。财政局于2018年2月9日批复预算资金，实际到位资金共475万元，资金到位及时，及时率达到100%；该项指标评价得分为4分。</w:t>
      </w:r>
    </w:p>
    <w:p w14:paraId="22A6B872">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（2）过程（24分）</w:t>
      </w:r>
    </w:p>
    <w:p w14:paraId="0B409149">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过程指标满分为24分，根据评价原则，过程评价得分为2</w:t>
      </w:r>
      <w:r>
        <w:rPr>
          <w:rFonts w:hint="eastAsia" w:ascii="Arial Narrow" w:hAnsi="Arial Narrow" w:eastAsia="仿宋_GB2312" w:cs="Arial Narrow"/>
        </w:rPr>
        <w:t>4</w:t>
      </w:r>
      <w:r>
        <w:rPr>
          <w:rFonts w:ascii="Arial Narrow" w:hAnsi="Arial Narrow" w:eastAsia="仿宋_GB2312" w:cs="Arial Narrow"/>
        </w:rPr>
        <w:t>分，评价结果为优（A）。</w:t>
      </w:r>
    </w:p>
    <w:p w14:paraId="7CD2C7C9">
      <w:pPr>
        <w:spacing w:line="360" w:lineRule="auto"/>
        <w:ind w:firstLine="480" w:firstLineChars="200"/>
        <w:rPr>
          <w:rFonts w:hint="eastAsia" w:ascii="Arial Narrow" w:hAnsi="Arial Narrow" w:eastAsia="仿宋_GB2312" w:cs="Arial Narrow"/>
        </w:rPr>
      </w:pPr>
      <w:r>
        <w:drawing>
          <wp:inline distT="0" distB="0" distL="0" distR="0">
            <wp:extent cx="4572000" cy="27432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E5D3EB">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过程方面主要评价项目管理、财务管理情况，包括管理制度健全性、制度执行有效性、项目质量可控性、财务制度健全性、资金使用合规性、财务监控有效性。对于该项的评价，评价小组主要采取了案卷研究和现场访谈等方式进行资料收集、整理和分析，收集了项目实施单位的工作管理制度及财务管理制度，查看了项目支出的收付凭证、明细表及报销单，核查其账务处理是否符合规范、资金安全能否得到保障、项目质量是否可控、监管是否有效等，对项目过程涉及的指标进行打分。</w:t>
      </w:r>
    </w:p>
    <w:p w14:paraId="663C2177">
      <w:pPr>
        <w:pStyle w:val="35"/>
        <w:numPr>
          <w:ilvl w:val="0"/>
          <w:numId w:val="1"/>
        </w:numPr>
        <w:spacing w:line="360" w:lineRule="auto"/>
        <w:ind w:firstLineChars="0"/>
        <w:rPr>
          <w:rFonts w:hint="eastAsia" w:ascii="Arial Narrow" w:hAnsi="Arial Narrow" w:eastAsia="仿宋_GB2312" w:cs="Arial Narrow"/>
        </w:rPr>
      </w:pPr>
      <w:r>
        <w:rPr>
          <w:rFonts w:ascii="Arial Narrow" w:hAnsi="Arial Narrow" w:eastAsia="仿宋_GB2312" w:cs="Arial Narrow"/>
        </w:rPr>
        <w:t>管理制度健全性（4分）</w:t>
      </w:r>
    </w:p>
    <w:p w14:paraId="50B1C905">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管理制度健全性是指项目管理制度是否健全，用以反映和考核项目管理制度对项目顺利实施的保障情况。评价小组通过查阅《区党政办公室关于完善武汉开发区（汉南区）招商工作体制机制的通知》及现场访谈，了解到项目单位具有2018年关于完善武汉开发区（汉南区）招商工作体制机制的方案，</w:t>
      </w:r>
      <w:r>
        <w:rPr>
          <w:rFonts w:hint="eastAsia" w:ascii="Arial Narrow" w:hAnsi="Arial Narrow" w:eastAsia="仿宋_GB2312" w:cs="Arial Narrow"/>
        </w:rPr>
        <w:t>方案遵循以统为主、统分结合、扁平管理、领导专责、负责到底的整体原则，项目管理制度的制定合法、合规。</w:t>
      </w:r>
      <w:r>
        <w:rPr>
          <w:rFonts w:ascii="Arial Narrow" w:hAnsi="Arial Narrow" w:eastAsia="仿宋_GB2312" w:cs="Arial Narrow"/>
        </w:rPr>
        <w:t>该项指标评价得分为4分。</w:t>
      </w:r>
    </w:p>
    <w:p w14:paraId="407921FA">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②</w:t>
      </w:r>
      <w:r>
        <w:rPr>
          <w:rFonts w:ascii="Arial Narrow" w:hAnsi="Arial Narrow" w:eastAsia="仿宋_GB2312" w:cs="Arial Narrow"/>
        </w:rPr>
        <w:t>制度执行有效性（4分）</w:t>
      </w:r>
    </w:p>
    <w:p w14:paraId="7F9A1974">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制度执行有效性是指项目实施是否符合相关项目管理规定，用以反映和考核项目管理制度的有效执行情况。评价小组通过查阅区党政办公室关于印发《武汉经济技术开发区（汉南区）招商工作领导小组工作规则》的通知等资料及现场访谈，了解到项目单位在项目实施过程中遵守相关法律法规和业务管理规定，成立招商引资工作领导小组，按照《招商引资工作领导小组规则》，严格执行项目管理程序；项目投资协议书、会议纪要等资料齐全并及时归档</w:t>
      </w:r>
      <w:r>
        <w:rPr>
          <w:rFonts w:hint="eastAsia" w:ascii="Arial Narrow" w:hAnsi="Arial Narrow" w:eastAsia="仿宋_GB2312" w:cs="Arial Narrow"/>
        </w:rPr>
        <w:t>；</w:t>
      </w:r>
      <w:r>
        <w:rPr>
          <w:rFonts w:ascii="Arial Narrow" w:hAnsi="Arial Narrow" w:eastAsia="仿宋_GB2312" w:cs="Arial Narrow"/>
        </w:rPr>
        <w:t>该项指标评价得分为</w:t>
      </w:r>
      <w:r>
        <w:rPr>
          <w:rFonts w:hint="eastAsia" w:ascii="Arial Narrow" w:hAnsi="Arial Narrow" w:eastAsia="仿宋_GB2312" w:cs="Arial Narrow"/>
        </w:rPr>
        <w:t>4</w:t>
      </w:r>
      <w:r>
        <w:rPr>
          <w:rFonts w:ascii="Arial Narrow" w:hAnsi="Arial Narrow" w:eastAsia="仿宋_GB2312" w:cs="Arial Narrow"/>
        </w:rPr>
        <w:t>分。</w:t>
      </w:r>
    </w:p>
    <w:p w14:paraId="35839860">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③</w:t>
      </w:r>
      <w:r>
        <w:rPr>
          <w:rFonts w:ascii="Arial Narrow" w:hAnsi="Arial Narrow" w:eastAsia="仿宋_GB2312" w:cs="Arial Narrow"/>
        </w:rPr>
        <w:t>项目质量可控性（4分）</w:t>
      </w:r>
    </w:p>
    <w:p w14:paraId="7073F126">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项目质量可控性是指项目实施单位是否为达到项目质量要求而采取了必需的措施,用以反映和考核项目实施单位对项目质量的控制情况。评价小组通过查阅《区招商工作领导小组办公室关于加强招商引资综合绩效考评和项目转办工作的通知》等资料及现场访谈，了解到项目单位具有2018年度招商引资综合绩效考评办法，对考评目的、范围和计分结构等作了相关规定；并成立绩效统筹小组负责全区招商工作绩效目标的分解、督办和考评；该项指标评价得分为4分。</w:t>
      </w:r>
    </w:p>
    <w:p w14:paraId="53DD442A">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④</w:t>
      </w:r>
      <w:r>
        <w:rPr>
          <w:rFonts w:ascii="Arial Narrow" w:hAnsi="Arial Narrow" w:eastAsia="仿宋_GB2312" w:cs="Arial Narrow"/>
        </w:rPr>
        <w:t>财务制度健全性（4分）</w:t>
      </w:r>
    </w:p>
    <w:p w14:paraId="0E7155B1">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财务制度健全性是指项目实施单位的财务制度是否健全，用以反映和考核财务管理制度对资金规范、安全运行的保障情况。评价小组通过查阅《党政机关公务开支相关制度汇编和问题解答》等资料及现场访谈，了解到区招商局对商务接待、差旅费等相关财务费用支出作了具体规定，且在《招商局（投资服务中心）内部管理工作实施细则》中明确了住宿费、伙食补助费、交通费报销等内容，管理体系较为健全，且符合相关财务会计制度的规定；该项指标评价得分为4分。</w:t>
      </w:r>
    </w:p>
    <w:p w14:paraId="20AFBD9C">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⑤</w:t>
      </w:r>
      <w:r>
        <w:rPr>
          <w:rFonts w:ascii="Arial Narrow" w:hAnsi="Arial Narrow" w:eastAsia="仿宋_GB2312" w:cs="Arial Narrow"/>
        </w:rPr>
        <w:t>资金使用合规性（4分）</w:t>
      </w:r>
    </w:p>
    <w:p w14:paraId="3270CEAF">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资金使用合规性是指项目资金使用是否符合相关的财务管理制度规定，用以反映和考核项目资金的规范运行情况。评价小组通过查阅记账凭证和项目支出决算明细表，了解到项目资金主要用于差旅费、公务接待费、委托业务费等，项目有完整的审批程序；项目支出符合国家财经法规的有关规定；入账处理规范，支出证明单、差旅费报销单、商务接待清单等单据齐全；项目经费不存在挤占、挪用等现象；该项指标评价得分为4分。</w:t>
      </w:r>
    </w:p>
    <w:p w14:paraId="1EE199A8">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⑥</w:t>
      </w:r>
      <w:r>
        <w:rPr>
          <w:rFonts w:ascii="Arial Narrow" w:hAnsi="Arial Narrow" w:eastAsia="仿宋_GB2312" w:cs="Arial Narrow"/>
        </w:rPr>
        <w:t>财务监控有效性（4分）</w:t>
      </w:r>
    </w:p>
    <w:p w14:paraId="31234683">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财务监控有效性是指项目实施单位是否为保障资金的安全、规范运行而采取了必要的监控措施，用以反映和考核项目实施单位对资金运行的控制情况。评价小组通过查阅《招商局（投资服务中心）内部管理工作实施细则》等资料，了解到项目单位对费用报销、财务审批流程等有相应的监控机制；为保障资金的安全、规范运行汉南区委第二巡察组对区招商局进行了常规巡察，调阅了2015年-2018年有关文件档案和财务账册，检查出了财务管理不规范等问题，并提出了整改方案，项目单位针对检查问题进行整改并完善；该项指标评价得分为4分。</w:t>
      </w:r>
    </w:p>
    <w:p w14:paraId="323FFBC6">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（3）产出（33分）</w:t>
      </w:r>
    </w:p>
    <w:p w14:paraId="241E6F4C">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产出指标满分为33分，根据评价原则，项目评价得分为27.8分，评价结果为良（B）。</w:t>
      </w:r>
    </w:p>
    <w:p w14:paraId="24901FC7">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drawing>
          <wp:inline distT="0" distB="0" distL="114300" distR="114300">
            <wp:extent cx="4572000" cy="27432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DDE1D6">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产出方面主要评价项目申报实施内容的完成情况。对于该项的评价，评价小组主要采取了卷宗研究、现场访谈等方式进行资料收集、整理和分析，收集查阅了《2018年全区招商引资绩效目标完成情况》等项目资料，了解项目的具体实施情况及预期目标达标率，对项目产出涉及的指标进行打分。</w:t>
      </w:r>
    </w:p>
    <w:p w14:paraId="0F4360D6">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①</w:t>
      </w:r>
      <w:r>
        <w:rPr>
          <w:rFonts w:ascii="Arial Narrow" w:hAnsi="Arial Narrow" w:eastAsia="仿宋_GB2312" w:cs="Arial Narrow"/>
        </w:rPr>
        <w:t>项目引进数（8分）</w:t>
      </w:r>
    </w:p>
    <w:p w14:paraId="79E5DB4D">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项目引进数是指项目实施后引进的招商项目数是否达到预期目标，用以反映和考核项目实施单位产出数量指标的完成情况。评价小组通过查阅《2018年市级、区级绩效目标完成情况》等资料，了解到2018年全区引进了中国城乡发展控股集团总部项目、吉利整车及零部件项目等100亿以上项目3个，引进了东风汽车财务有限公司项目等50亿以上项目2个，引进了经开金融（基金）总部项目、绿地欧洲文化街项目等10-50亿项目9个，引进了中投保中小微担保项目、湖北工建科技研发产业园项目等1-10亿项目18个，扣0.2分；该项指标评价得分为7.8分。</w:t>
      </w:r>
    </w:p>
    <w:p w14:paraId="71D0D55F">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②</w:t>
      </w:r>
      <w:r>
        <w:rPr>
          <w:rFonts w:ascii="Arial Narrow" w:hAnsi="Arial Narrow" w:eastAsia="仿宋_GB2312" w:cs="Arial Narrow"/>
        </w:rPr>
        <w:t>招商引资到位资金达标率（4分）</w:t>
      </w:r>
    </w:p>
    <w:p w14:paraId="797C8307">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招商总额达标率是指项目实施后招商引资签约总额是否达到预期目标，用以反映和考核项目实施单位产出数量指标的完成情况。评价小组通过查阅《2018年市级、区级绩效目标完成情况等资料，了解到2018年市级/区级年初下达的绩效目标为招商引资到位资金达到700亿元，截至2018年底，项目单位实际招商引资到位资金为724.8亿元，招商引资到位资金达标率为103.50%，达到了目标值；该项指标评价得分为4分。</w:t>
      </w:r>
    </w:p>
    <w:p w14:paraId="070E1011">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③</w:t>
      </w:r>
      <w:r>
        <w:rPr>
          <w:rFonts w:ascii="Arial Narrow" w:hAnsi="Arial Narrow" w:eastAsia="仿宋_GB2312" w:cs="Arial Narrow"/>
        </w:rPr>
        <w:t>实际利用外资（4分）</w:t>
      </w:r>
    </w:p>
    <w:p w14:paraId="3560C932">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实际利用外资是指项目实施后实际利用外资总额是否达到预期目标，用以反映和考核项目实施单位产出数量指标的完成情况。评价小组通过查阅《招商引资2018年完成情况》等资料，了解到项目单位2018年计划利用外资总额为168,340万美元，截至2018年底，项目单位实际利用外资总额为190,703万美元，达到了目标值；该项指标评价得分为4分。</w:t>
      </w:r>
    </w:p>
    <w:p w14:paraId="0F68740F">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④</w:t>
      </w:r>
      <w:r>
        <w:rPr>
          <w:rFonts w:ascii="Arial Narrow" w:hAnsi="Arial Narrow" w:eastAsia="仿宋_GB2312" w:cs="Arial Narrow"/>
        </w:rPr>
        <w:t>招商引资签约额（4分）</w:t>
      </w:r>
    </w:p>
    <w:p w14:paraId="33968279">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招商引资签约额是指项目实施单位招商引资签约额是否达到预期目标，用以反映和考核项目实施单位产出数量指标的完成情况。评价小组通过查阅2018年市级绩效目标完成情况等资料，了解到项目单位2018共签约了吉利整车及零部件项目、中城建武汉通用航空制造中心、机器人产业小镇项目等亿元以上重大项目79个，总投资额2002.2亿元，完成全年1700亿签约额目标的117.78%，达到了目标值；该项指标评价得分为4分。</w:t>
      </w:r>
    </w:p>
    <w:p w14:paraId="02339DDA">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⑤</w:t>
      </w:r>
      <w:r>
        <w:rPr>
          <w:rFonts w:ascii="Arial Narrow" w:hAnsi="Arial Narrow" w:eastAsia="仿宋_GB2312" w:cs="Arial Narrow"/>
        </w:rPr>
        <w:t>引进企业数（8分）</w:t>
      </w:r>
    </w:p>
    <w:p w14:paraId="6416A36B">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引进企业数是指项目实施后是否引进预期目标的国内外500强及知名跨国企业研发机构、大型央企投资、中国民营500强投资项目，用以反映和考核项目实施单位产出质量指标的完成情况。评价小组通过查阅《招商引资2018年完成情况》等资料及现场访谈，了解到项目实施后引进了国内外500强及知名跨国企业研发机构15个，引进世界500强、大型央企投资、中国民营500强投资项目共19个，均达到预期目标；该项指标评价得分为8分。</w:t>
      </w:r>
    </w:p>
    <w:p w14:paraId="49B36B01">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⑥</w:t>
      </w:r>
      <w:r>
        <w:rPr>
          <w:rFonts w:ascii="Arial Narrow" w:hAnsi="Arial Narrow" w:eastAsia="仿宋_GB2312" w:cs="Arial Narrow"/>
        </w:rPr>
        <w:t>资金使用率（5分）</w:t>
      </w:r>
    </w:p>
    <w:p w14:paraId="1A8688C2">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资金使用率是指项目实际支出与项目到位资金的比率，用以反映和考核项目资金使用情况。评价小组通过查阅招商局、投资中心项目支出决算明细表等资料</w:t>
      </w:r>
      <w:r>
        <w:rPr>
          <w:rFonts w:hint="eastAsia" w:ascii="Arial Narrow" w:hAnsi="Arial Narrow" w:eastAsia="仿宋_GB2312" w:cs="Arial Narrow"/>
        </w:rPr>
        <w:t>及现场访谈</w:t>
      </w:r>
      <w:r>
        <w:rPr>
          <w:rFonts w:ascii="Arial Narrow" w:hAnsi="Arial Narrow" w:eastAsia="仿宋_GB2312" w:cs="Arial Narrow"/>
        </w:rPr>
        <w:t>，了解到招商局项目到位资金为275万元，项目实际支出为128.00万元；投资服务中心项目到位资金为200万元，项目实际支出为67.07万元；项目共计到位资金475万元，实际支出共计为195.07万元，资金使用率</w:t>
      </w:r>
      <w:r>
        <w:rPr>
          <w:rFonts w:hint="eastAsia" w:ascii="Arial Narrow" w:hAnsi="Arial Narrow" w:eastAsia="仿宋_GB2312" w:cs="Arial Narrow"/>
        </w:rPr>
        <w:t>仅</w:t>
      </w:r>
      <w:r>
        <w:rPr>
          <w:rFonts w:ascii="Arial Narrow" w:hAnsi="Arial Narrow" w:eastAsia="仿宋_GB2312" w:cs="Arial Narrow"/>
        </w:rPr>
        <w:t>为41.07%，扣5分；该项指标评价得分为0分。</w:t>
      </w:r>
    </w:p>
    <w:p w14:paraId="70550CD1">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（4）效果（27分）</w:t>
      </w:r>
    </w:p>
    <w:p w14:paraId="6C5EFF7B">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效果指标满分为27分，根据评价原则，效果评价得分为25分，评价结果为优（A）。</w:t>
      </w:r>
    </w:p>
    <w:p w14:paraId="5B20585E">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drawing>
          <wp:inline distT="0" distB="0" distL="114300" distR="114300">
            <wp:extent cx="4572000" cy="2743200"/>
            <wp:effectExtent l="4445" t="4445" r="14605" b="14605"/>
            <wp:docPr id="2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69B2EA">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效果方面主要评价项目实施对社会发展所带来的直接或间接影响，项目后续运行及成效发挥的可持续影响情况。对于该项的评价，评价小组主要采取了卷宗研究、现场访谈、问卷调查等方式进行资料收集、整理和分析，收集了经济增长率、宣传多样性等项目资料，了解各项目的执行情况，对项目效果涉及的指标进行打分。</w:t>
      </w:r>
    </w:p>
    <w:p w14:paraId="58CFA74A">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①</w:t>
      </w:r>
      <w:r>
        <w:rPr>
          <w:rFonts w:ascii="Arial Narrow" w:hAnsi="Arial Narrow" w:eastAsia="仿宋_GB2312" w:cs="Arial Narrow"/>
        </w:rPr>
        <w:t>经济增长率（4分）</w:t>
      </w:r>
    </w:p>
    <w:p w14:paraId="6609E7E0">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经济增长率是指项目实施后，招商引资总额及实际利用外资的增长情况，用以反映和考核项目的经济效益。评价小组通过查阅《2018年武汉开发区（汉南区）招商引资新签约协议项目汇总表》及《全区及各园区2018年实际利用外资完成情况》等资料，了解到2018年招商引资到位资金为724.8亿元，2017年招商引资到位资金为626.2亿元，招商引资增长率为15.75%；2018年实际利用外资到位资金为190,703万美元，2017年实际利用外资到位资金为146,383万美元，实际利用外资增长率为30.28%，达到预期目标；该项指标评价得分为4分。</w:t>
      </w:r>
    </w:p>
    <w:p w14:paraId="18262665">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②</w:t>
      </w:r>
      <w:r>
        <w:rPr>
          <w:rFonts w:ascii="Arial Narrow" w:hAnsi="Arial Narrow" w:eastAsia="仿宋_GB2312" w:cs="Arial Narrow"/>
        </w:rPr>
        <w:t>宣传多样性（5分）</w:t>
      </w:r>
    </w:p>
    <w:p w14:paraId="38EEC76D">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宣传多样性是指项目单位招商宣传是否多样，用以反映和考核项目的社会效益。评价小组通过查阅区招商宣传册、宣传活动资料及现场访谈，了解到项目单位2018年及时更新印制了招商宣传手册，并参加了在武汉举行的湖北大学校友专场、新民营经济发展大会、长江产业基金汽车产业峰会等，赴博鳌亚洲论坛、大湾区专场、长三角武汉招商推介会等，赴日韩专场等，招商宣传多样；该项指标评价得分为5分。</w:t>
      </w:r>
    </w:p>
    <w:p w14:paraId="11F39549">
      <w:pPr>
        <w:spacing w:line="360" w:lineRule="auto"/>
        <w:ind w:left="240" w:leftChars="100" w:firstLine="240" w:firstLineChars="100"/>
        <w:rPr>
          <w:rFonts w:hint="eastAsia" w:ascii="Arial Narrow" w:hAnsi="Arial Narrow" w:eastAsia="仿宋_GB2312" w:cs="Arial Narrow"/>
        </w:rPr>
      </w:pPr>
      <w:r>
        <w:rPr>
          <w:rFonts w:hint="eastAsia" w:ascii="仿宋" w:hAnsi="仿宋" w:eastAsia="仿宋" w:cs="Arial Narrow"/>
        </w:rPr>
        <w:t>③</w:t>
      </w:r>
      <w:r>
        <w:rPr>
          <w:rFonts w:ascii="Arial Narrow" w:hAnsi="Arial Narrow" w:eastAsia="仿宋_GB2312" w:cs="Arial Narrow"/>
        </w:rPr>
        <w:t>社零额同比增长率（5分）</w:t>
      </w:r>
    </w:p>
    <w:p w14:paraId="66E313A2">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社零额同比增长率是指项目实施后社零额是否有增长，同比增长额达到多少，用以反映和考核项目的经济效益。评价小组通过查阅《武汉市分区零售额》及现场访谈，了解到项目单位，2018年完成社零额总额114.5亿元，同比增长10.80%，达到了目标值；该项指标评价得分为5分。</w:t>
      </w:r>
    </w:p>
    <w:p w14:paraId="6C273176">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④</w:t>
      </w:r>
      <w:r>
        <w:rPr>
          <w:rFonts w:ascii="Arial Narrow" w:hAnsi="Arial Narrow" w:eastAsia="仿宋_GB2312" w:cs="Arial Narrow"/>
        </w:rPr>
        <w:t>产业结构多样性（4分）</w:t>
      </w:r>
    </w:p>
    <w:p w14:paraId="34EF4160">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产业结构多样性是指项目实施后是否优化了产业结构，是否具有产业结构多样性，用以反映和考核项目的社会效益。评价小组通过查阅《2018年武汉开发区（汉南区）招商引资新签约协议项目汇总表》等资料，了解到项目单位2018年引进的项目类型有工业企业、服务业企业、国内外500强及跨国公司研发机构等不同产业，优化了全区的产业结构，丰富了产业结构；该项指标评价得分为4分。</w:t>
      </w:r>
    </w:p>
    <w:p w14:paraId="77134B10">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⑤</w:t>
      </w:r>
      <w:r>
        <w:rPr>
          <w:rFonts w:ascii="Arial Narrow" w:hAnsi="Arial Narrow" w:eastAsia="仿宋_GB2312" w:cs="Arial Narrow"/>
        </w:rPr>
        <w:t>招商引资园区覆盖率（4分）</w:t>
      </w:r>
    </w:p>
    <w:p w14:paraId="3AA12B9F">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招商引资园区覆盖率是指项目实施后是否覆盖了区内9个园区，用以反映和考核项目的社会效益。评价小组通过查阅《全区及各园区招商项目签约总额完成情况》等资料，了解到项目单位2018年招商引资项目覆盖了智慧生态城、商务城、农发投等9个园区，覆盖率达到了100%；该项指标评价得分为4分。</w:t>
      </w:r>
    </w:p>
    <w:p w14:paraId="6385A29E">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⑥</w:t>
      </w:r>
      <w:r>
        <w:rPr>
          <w:rFonts w:ascii="Arial Narrow" w:hAnsi="Arial Narrow" w:eastAsia="仿宋_GB2312" w:cs="Arial Narrow"/>
        </w:rPr>
        <w:t>可持续影响（5分）</w:t>
      </w:r>
    </w:p>
    <w:p w14:paraId="73B4771C">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可持续影响是指项目实施单位是否解决企业问题，是否有相关的管理机构及人力资源满足项目实施的要求，用以反映和考核项目的可持续性。评价小组通过查阅《招商局（投资服务中心）重点业务分工》等资料及现场访谈，了解到在项目实施时，项目单位</w:t>
      </w:r>
      <w:r>
        <w:rPr>
          <w:rFonts w:hint="eastAsia" w:ascii="Arial Narrow" w:hAnsi="Arial Narrow" w:eastAsia="仿宋_GB2312" w:cs="Arial Narrow"/>
        </w:rPr>
        <w:t>设立了不同部门</w:t>
      </w:r>
      <w:r>
        <w:rPr>
          <w:rFonts w:ascii="Arial Narrow" w:hAnsi="Arial Narrow" w:eastAsia="仿宋_GB2312" w:cs="Arial Narrow"/>
        </w:rPr>
        <w:t>与不同产业园区一一对应，负责与各产业园的联系</w:t>
      </w:r>
      <w:r>
        <w:rPr>
          <w:rFonts w:hint="eastAsia" w:ascii="Arial Narrow" w:hAnsi="Arial Narrow" w:eastAsia="仿宋_GB2312" w:cs="Arial Narrow"/>
        </w:rPr>
        <w:t>；项目单位设置了招商局与投资服务中心，但人员打通使用、合并办公，部门职责界限模糊，不利于项目的后续运行</w:t>
      </w:r>
      <w:r>
        <w:rPr>
          <w:rFonts w:ascii="Arial Narrow" w:hAnsi="Arial Narrow" w:eastAsia="仿宋_GB2312" w:cs="Arial Narrow"/>
        </w:rPr>
        <w:t>，扣2分；该项指标评价得3分。</w:t>
      </w:r>
    </w:p>
    <w:p w14:paraId="6465F1C9">
      <w:pPr>
        <w:pStyle w:val="4"/>
        <w:spacing w:before="0" w:after="0" w:line="360" w:lineRule="auto"/>
        <w:ind w:firstLine="480" w:firstLineChars="200"/>
        <w:rPr>
          <w:rFonts w:hint="eastAsia" w:ascii="Arial Narrow" w:hAnsi="Arial Narrow" w:eastAsia="仿宋_GB2312" w:cs="Arial Narrow"/>
          <w:b w:val="0"/>
        </w:rPr>
      </w:pPr>
      <w:bookmarkStart w:id="50" w:name="_Toc16149924"/>
      <w:r>
        <w:rPr>
          <w:rFonts w:ascii="Arial Narrow" w:hAnsi="Arial Narrow" w:eastAsia="仿宋_GB2312" w:cs="Arial Narrow"/>
          <w:b w:val="0"/>
        </w:rPr>
        <w:t>2、评价结论</w:t>
      </w:r>
      <w:bookmarkEnd w:id="50"/>
    </w:p>
    <w:p w14:paraId="2A975B26">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（1）评分结果</w:t>
      </w:r>
    </w:p>
    <w:p w14:paraId="35BF9C5E">
      <w:pPr>
        <w:spacing w:line="360" w:lineRule="auto"/>
        <w:ind w:firstLine="480"/>
        <w:rPr>
          <w:rFonts w:hint="eastAsia" w:ascii="Arial Narrow" w:hAnsi="Arial Narrow" w:eastAsia="仿宋_GB2312" w:cs="Arial Narrow"/>
        </w:rPr>
      </w:pPr>
      <w:r>
        <w:rPr>
          <w:rFonts w:ascii="Arial Narrow" w:hAnsi="Arial Narrow" w:eastAsia="仿宋_GB2312" w:cs="Arial Narrow"/>
        </w:rPr>
        <w:t>项目绩效评价综合得分为8</w:t>
      </w:r>
      <w:r>
        <w:rPr>
          <w:rFonts w:hint="eastAsia" w:ascii="Arial Narrow" w:hAnsi="Arial Narrow" w:eastAsia="仿宋_GB2312" w:cs="Arial Narrow"/>
        </w:rPr>
        <w:t>8</w:t>
      </w:r>
      <w:r>
        <w:rPr>
          <w:rFonts w:ascii="Arial Narrow" w:hAnsi="Arial Narrow" w:eastAsia="仿宋_GB2312" w:cs="Arial Narrow"/>
        </w:rPr>
        <w:t>.8分，评价等级为良（B）。其中投入得分13分，过程得分2</w:t>
      </w:r>
      <w:r>
        <w:rPr>
          <w:rFonts w:hint="eastAsia" w:ascii="Arial Narrow" w:hAnsi="Arial Narrow" w:eastAsia="仿宋_GB2312" w:cs="Arial Narrow"/>
        </w:rPr>
        <w:t>3</w:t>
      </w:r>
      <w:r>
        <w:rPr>
          <w:rFonts w:ascii="Arial Narrow" w:hAnsi="Arial Narrow" w:eastAsia="仿宋_GB2312" w:cs="Arial Narrow"/>
        </w:rPr>
        <w:t>分，产出得分27.8分，效果得分25分。下图为各指标得分情况：</w:t>
      </w:r>
    </w:p>
    <w:p w14:paraId="60D6A3AC">
      <w:pPr>
        <w:spacing w:line="360" w:lineRule="auto"/>
        <w:jc w:val="center"/>
        <w:rPr>
          <w:rFonts w:hint="eastAsia" w:ascii="Arial Narrow" w:hAnsi="Arial Narrow" w:eastAsia="仿宋_GB2312" w:cs="Arial Narrow"/>
        </w:rPr>
      </w:pPr>
      <w:r>
        <w:drawing>
          <wp:inline distT="0" distB="0" distL="0" distR="0">
            <wp:extent cx="4572000" cy="2743200"/>
            <wp:effectExtent l="0" t="0" r="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F5F8B9">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（2）主要结论</w:t>
      </w:r>
    </w:p>
    <w:p w14:paraId="36007A14">
      <w:pPr>
        <w:spacing w:line="360" w:lineRule="auto"/>
        <w:ind w:firstLine="480"/>
        <w:rPr>
          <w:rFonts w:hint="eastAsia" w:ascii="Arial Narrow" w:hAnsi="Arial Narrow" w:eastAsia="仿宋_GB2312" w:cs="Arial Narrow"/>
        </w:rPr>
      </w:pPr>
      <w:r>
        <w:rPr>
          <w:rFonts w:hint="eastAsia" w:ascii="仿宋" w:hAnsi="仿宋" w:eastAsia="仿宋" w:cs="Arial Narrow"/>
        </w:rPr>
        <w:t>①</w:t>
      </w:r>
      <w:r>
        <w:rPr>
          <w:rFonts w:ascii="Arial Narrow" w:hAnsi="Arial Narrow" w:eastAsia="仿宋_GB2312" w:cs="Arial Narrow"/>
        </w:rPr>
        <w:t>投入评价得分13分，评价等级为良（B）；项目为部门预算项目、延续性项目，执行时未发生重大调整，但无立项相关资料；区招商局与投资服务中心职能界限模糊，两部门未根据项目工作任务对预算资金进行测算，项目立项规范性有待加强；同时，项目设定了年度目标和绩效指标，但未设定长期目标；项目2018年计划到位资金475万元，实际到位475万元，资金到位率</w:t>
      </w:r>
      <w:r>
        <w:rPr>
          <w:rFonts w:hint="eastAsia" w:ascii="Arial Narrow" w:hAnsi="Arial Narrow" w:eastAsia="仿宋_GB2312" w:cs="Arial Narrow"/>
        </w:rPr>
        <w:t>与及时率均</w:t>
      </w:r>
      <w:r>
        <w:rPr>
          <w:rFonts w:ascii="Arial Narrow" w:hAnsi="Arial Narrow" w:eastAsia="仿宋_GB2312" w:cs="Arial Narrow"/>
        </w:rPr>
        <w:t>为100%。</w:t>
      </w:r>
    </w:p>
    <w:p w14:paraId="34F06DCD">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②</w:t>
      </w:r>
      <w:r>
        <w:rPr>
          <w:rFonts w:ascii="Arial Narrow" w:hAnsi="Arial Narrow" w:eastAsia="仿宋_GB2312" w:cs="Arial Narrow"/>
        </w:rPr>
        <w:t>过程评价得分2</w:t>
      </w:r>
      <w:r>
        <w:rPr>
          <w:rFonts w:hint="eastAsia" w:ascii="Arial Narrow" w:hAnsi="Arial Narrow" w:eastAsia="仿宋_GB2312" w:cs="Arial Narrow"/>
        </w:rPr>
        <w:t>4</w:t>
      </w:r>
      <w:r>
        <w:rPr>
          <w:rFonts w:ascii="Arial Narrow" w:hAnsi="Arial Narrow" w:eastAsia="仿宋_GB2312" w:cs="Arial Narrow"/>
        </w:rPr>
        <w:t>分，评价等级为优（A）；项目单位制定《党政机关公务开支相关制度汇编》，符合相关财务会计制度的规定，财务制度健全；项目单位为保障资金的安全、规范运行汉南区委第二巡察组对区招商局进行了常规巡察，并提出了整改方案。项目单位在项目实施过程中成立招商引资工作领导小组，严格执行项目管理程序，制定了相应的绩效管理综合考评办法及监控机制。</w:t>
      </w:r>
    </w:p>
    <w:p w14:paraId="2F6F23A8">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③</w:t>
      </w:r>
      <w:r>
        <w:rPr>
          <w:rFonts w:ascii="Arial Narrow" w:hAnsi="Arial Narrow" w:eastAsia="仿宋_GB2312" w:cs="Arial Narrow"/>
        </w:rPr>
        <w:t>产出评价得分27.8分，评价等级为良（B）；项目产出完成情况较好，2018年全区引进100亿以上项目3个、引进50亿以上项目2个、引进10-50亿项目9个、引进1-10亿项目18个、引进国内外500强及知名跨国企业研发机构15个，引进大型央企投资、中国民营500强投资项目共19个；实际招商引资总额为724.80亿元，实际利用外资总额为190,703万美元，实际签约金额2002.2亿元，均达到预期目标；但项目预算资金共计475万元，实际支出共计195.07万元，其中区招商局实际支出128万元，投资服务中心实际支出67.07万元，资金使用率仅为41.07%。</w:t>
      </w:r>
    </w:p>
    <w:p w14:paraId="5D5D5682">
      <w:pPr>
        <w:spacing w:line="360" w:lineRule="auto"/>
        <w:ind w:firstLine="480" w:firstLineChars="200"/>
        <w:rPr>
          <w:rFonts w:hint="eastAsia" w:ascii="Arial Narrow" w:hAnsi="Arial Narrow" w:eastAsia="仿宋_GB2312" w:cs="Arial Narrow"/>
        </w:rPr>
      </w:pPr>
      <w:r>
        <w:rPr>
          <w:rFonts w:hint="eastAsia" w:ascii="仿宋" w:hAnsi="仿宋" w:eastAsia="仿宋" w:cs="Arial Narrow"/>
        </w:rPr>
        <w:t>④</w:t>
      </w:r>
      <w:r>
        <w:rPr>
          <w:rFonts w:ascii="Arial Narrow" w:hAnsi="Arial Narrow" w:eastAsia="仿宋_GB2312" w:cs="Arial Narrow"/>
        </w:rPr>
        <w:t>效果评价得分25分，评价等级为优（A）；通过2018年工作完成情况了解到，招商引资增长率为15.75%，实际利用外资增长率为30.28%，社零额同比增长率为10.80%，均达到了预期目标；招商引资项目覆盖率达到了100%；项目单位2018年参加了在武汉举行的湖北大学校友专场等活动，招商宣</w:t>
      </w:r>
      <w:r>
        <w:rPr>
          <w:rFonts w:hint="eastAsia" w:ascii="仿宋_GB2312" w:hAnsi="仿宋_GB2312" w:eastAsia="仿宋_GB2312" w:cs="仿宋_GB2312"/>
        </w:rPr>
        <w:t>传多样;同时丰富了产业结构; 项目单位设置了招商局与投资服务中心，但人员打通使用、合并办公，部门职责界限模糊，不利于项目的后续运行。。</w:t>
      </w:r>
    </w:p>
    <w:p w14:paraId="0562D39C">
      <w:pPr>
        <w:pStyle w:val="3"/>
        <w:spacing w:before="0" w:after="0" w:line="360" w:lineRule="auto"/>
        <w:ind w:firstLine="482" w:firstLineChars="200"/>
        <w:rPr>
          <w:rFonts w:hint="eastAsia" w:ascii="Arial Narrow" w:hAnsi="Arial Narrow" w:eastAsia="仿宋_GB2312" w:cs="Arial Narrow"/>
          <w:bCs/>
        </w:rPr>
      </w:pPr>
      <w:bookmarkStart w:id="51" w:name="_Toc16149925"/>
      <w:r>
        <w:rPr>
          <w:rFonts w:ascii="Arial Narrow" w:hAnsi="Arial Narrow" w:eastAsia="仿宋_GB2312" w:cs="Arial Narrow"/>
          <w:bCs/>
        </w:rPr>
        <w:t>（四）主要经验及做法、存在的问题和建议</w:t>
      </w:r>
      <w:bookmarkEnd w:id="51"/>
    </w:p>
    <w:p w14:paraId="12CAFA7C">
      <w:pPr>
        <w:pStyle w:val="4"/>
        <w:spacing w:before="0" w:after="0" w:line="360" w:lineRule="auto"/>
        <w:ind w:firstLine="480" w:firstLineChars="200"/>
        <w:rPr>
          <w:rFonts w:hint="eastAsia" w:ascii="Arial Narrow" w:hAnsi="Arial Narrow" w:eastAsia="仿宋_GB2312" w:cs="Arial Narrow"/>
          <w:b w:val="0"/>
        </w:rPr>
      </w:pPr>
      <w:bookmarkStart w:id="52" w:name="_Toc16149926"/>
      <w:r>
        <w:rPr>
          <w:rFonts w:ascii="Arial Narrow" w:hAnsi="Arial Narrow" w:eastAsia="仿宋_GB2312" w:cs="Arial Narrow"/>
          <w:b w:val="0"/>
        </w:rPr>
        <w:t>1、主要经验及做法</w:t>
      </w:r>
      <w:bookmarkEnd w:id="52"/>
    </w:p>
    <w:p w14:paraId="4ADABF21">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1）成立了开发区招商工作领导小组，并出台招商领导小组工作规则，明确了招商工作领导小组主要职责；领导小组带队上门招商、洽谈重大项目，对拟落户的重大项目进行综合评估和决策；领导统筹全区招商引资工作，将招商引资工作任务分解落实到各分局、园区，责任到人，层层抓落实。</w:t>
      </w:r>
    </w:p>
    <w:p w14:paraId="36EAB5E1">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2）区招商局与投资服务中心企业及项目引进工作基本落实到位，2018年全区引进100亿以上项目3个、引进50亿以上项目2个、引进10-50亿项目9个，引进1-10亿项目18个，项目实施后引进国内外500强及知名跨国企业研发机构15个，引进世界500强、大型央企投资、中国民营500强投资项目共19个，保障了后期建设工作高效有序进行。</w:t>
      </w:r>
    </w:p>
    <w:p w14:paraId="23703140">
      <w:pPr>
        <w:pStyle w:val="4"/>
        <w:spacing w:before="0" w:after="0" w:line="360" w:lineRule="auto"/>
        <w:ind w:firstLine="480" w:firstLineChars="200"/>
        <w:rPr>
          <w:rFonts w:hint="eastAsia" w:ascii="Arial Narrow" w:hAnsi="Arial Narrow" w:eastAsia="仿宋_GB2312" w:cs="Arial Narrow"/>
          <w:b w:val="0"/>
        </w:rPr>
      </w:pPr>
      <w:bookmarkStart w:id="53" w:name="_Toc16149927"/>
      <w:r>
        <w:rPr>
          <w:rFonts w:ascii="Arial Narrow" w:hAnsi="Arial Narrow" w:eastAsia="仿宋_GB2312" w:cs="Arial Narrow"/>
          <w:b w:val="0"/>
        </w:rPr>
        <w:t>2、存在的问题及原因分析</w:t>
      </w:r>
      <w:bookmarkEnd w:id="53"/>
    </w:p>
    <w:p w14:paraId="51080AF3">
      <w:pPr>
        <w:widowControl w:val="0"/>
        <w:spacing w:line="360" w:lineRule="auto"/>
        <w:ind w:firstLine="480" w:firstLineChars="200"/>
        <w:jc w:val="both"/>
        <w:rPr>
          <w:rFonts w:hint="eastAsia" w:ascii="Arial Narrow" w:hAnsi="Arial Narrow" w:eastAsia="仿宋_GB2312" w:cs="Arial Narrow"/>
          <w:kern w:val="2"/>
        </w:rPr>
      </w:pPr>
      <w:r>
        <w:rPr>
          <w:rFonts w:ascii="Arial Narrow" w:hAnsi="Arial Narrow" w:eastAsia="仿宋_GB2312" w:cs="Arial Narrow"/>
          <w:kern w:val="2"/>
        </w:rPr>
        <w:t>（1）</w:t>
      </w:r>
      <w:r>
        <w:rPr>
          <w:rFonts w:hint="eastAsia" w:ascii="Arial Narrow" w:hAnsi="Arial Narrow" w:eastAsia="仿宋_GB2312" w:cs="Arial Narrow"/>
        </w:rPr>
        <w:t>资金执行率偏低</w:t>
      </w:r>
      <w:r>
        <w:rPr>
          <w:rFonts w:ascii="Arial Narrow" w:hAnsi="Arial Narrow" w:eastAsia="仿宋_GB2312" w:cs="Arial Narrow"/>
          <w:kern w:val="2"/>
        </w:rPr>
        <w:t>；</w:t>
      </w:r>
      <w:r>
        <w:rPr>
          <w:rFonts w:ascii="Arial Narrow" w:hAnsi="Arial Narrow" w:eastAsia="仿宋_GB2312" w:cs="Arial Narrow"/>
        </w:rPr>
        <w:t>2018年度</w:t>
      </w:r>
      <w:r>
        <w:rPr>
          <w:rFonts w:ascii="Arial Narrow" w:hAnsi="Arial Narrow" w:eastAsia="仿宋_GB2312" w:cs="Arial Narrow"/>
          <w:kern w:val="2"/>
        </w:rPr>
        <w:t>项目预算资金475万元，实际支出</w:t>
      </w:r>
      <w:r>
        <w:rPr>
          <w:rFonts w:ascii="Arial Narrow" w:hAnsi="Arial Narrow" w:eastAsia="仿宋_GB2312" w:cs="Arial Narrow"/>
        </w:rPr>
        <w:t>195.07万元，</w:t>
      </w:r>
      <w:r>
        <w:rPr>
          <w:rFonts w:ascii="Arial Narrow" w:hAnsi="Arial Narrow" w:eastAsia="仿宋_GB2312" w:cs="Arial Narrow"/>
          <w:kern w:val="2"/>
        </w:rPr>
        <w:t>预算执行率</w:t>
      </w:r>
      <w:r>
        <w:rPr>
          <w:rFonts w:ascii="Arial Narrow" w:hAnsi="Arial Narrow" w:eastAsia="仿宋_GB2312" w:cs="Arial Narrow"/>
        </w:rPr>
        <w:t>仅为41.07%</w:t>
      </w:r>
      <w:r>
        <w:rPr>
          <w:rFonts w:ascii="Arial Narrow" w:hAnsi="Arial Narrow" w:eastAsia="仿宋_GB2312" w:cs="Arial Narrow"/>
          <w:kern w:val="2"/>
        </w:rPr>
        <w:t>。</w:t>
      </w:r>
      <w:r>
        <w:rPr>
          <w:rFonts w:hint="eastAsia" w:ascii="Arial Narrow" w:hAnsi="Arial Narrow" w:eastAsia="仿宋_GB2312" w:cs="Arial Narrow"/>
          <w:kern w:val="2"/>
        </w:rPr>
        <w:t>主要由于</w:t>
      </w:r>
      <w:r>
        <w:rPr>
          <w:rFonts w:ascii="Arial Narrow" w:hAnsi="Arial Narrow" w:eastAsia="仿宋_GB2312" w:cs="Arial Narrow"/>
          <w:bCs/>
        </w:rPr>
        <w:t>区招商局与</w:t>
      </w:r>
      <w:r>
        <w:rPr>
          <w:rFonts w:ascii="Arial Narrow" w:hAnsi="Arial Narrow" w:eastAsia="仿宋_GB2312" w:cs="Arial Narrow"/>
          <w:kern w:val="2"/>
        </w:rPr>
        <w:t>投资服务中心</w:t>
      </w:r>
      <w:r>
        <w:rPr>
          <w:rFonts w:ascii="Arial Narrow" w:hAnsi="Arial Narrow" w:eastAsia="仿宋_GB2312" w:cs="Arial Narrow"/>
          <w:bCs/>
        </w:rPr>
        <w:t>工作人员打通使用、合并办公，</w:t>
      </w:r>
      <w:r>
        <w:rPr>
          <w:rFonts w:ascii="Arial Narrow" w:hAnsi="Arial Narrow" w:eastAsia="仿宋_GB2312" w:cs="Arial Narrow"/>
        </w:rPr>
        <w:t>部门职责界限模糊，未能根据项目任务分工对预算资金进行测算，</w:t>
      </w:r>
      <w:r>
        <w:rPr>
          <w:rFonts w:ascii="Arial Narrow" w:hAnsi="Arial Narrow" w:eastAsia="仿宋_GB2312" w:cs="Arial Narrow"/>
          <w:kern w:val="2"/>
        </w:rPr>
        <w:t>在预算申报时，沿用往年预算资金，预算编制准确性不高，</w:t>
      </w:r>
      <w:r>
        <w:rPr>
          <w:rFonts w:hint="eastAsia" w:ascii="Arial Narrow" w:hAnsi="Arial Narrow" w:eastAsia="仿宋_GB2312" w:cs="Arial Narrow"/>
          <w:kern w:val="2"/>
        </w:rPr>
        <w:t>不利于项目的后续发展。</w:t>
      </w:r>
    </w:p>
    <w:p w14:paraId="77789BA0">
      <w:pPr>
        <w:spacing w:line="360" w:lineRule="auto"/>
        <w:ind w:firstLine="480" w:firstLineChars="200"/>
        <w:rPr>
          <w:rFonts w:hint="eastAsia" w:ascii="Arial Narrow" w:hAnsi="Arial Narrow" w:eastAsia="仿宋_GB2312" w:cs="Arial Narrow"/>
          <w:bCs/>
          <w:kern w:val="2"/>
        </w:rPr>
      </w:pPr>
      <w:r>
        <w:rPr>
          <w:rFonts w:ascii="Arial Narrow" w:hAnsi="Arial Narrow" w:eastAsia="仿宋_GB2312" w:cs="Arial Narrow"/>
        </w:rPr>
        <w:t>（2）项目单位未制定长期工作计划，部分绩效指标内容宽泛不够量化，缺乏可测性。项目单位编制了项目绩效目标表，但</w:t>
      </w:r>
      <w:r>
        <w:rPr>
          <w:rFonts w:ascii="Arial Narrow" w:hAnsi="Arial Narrow" w:eastAsia="仿宋_GB2312" w:cs="Arial Narrow"/>
          <w:kern w:val="2"/>
        </w:rPr>
        <w:t>未设定项目长期目标</w:t>
      </w:r>
      <w:r>
        <w:rPr>
          <w:rFonts w:ascii="Arial Narrow" w:hAnsi="Arial Narrow" w:eastAsia="仿宋_GB2312" w:cs="Arial Narrow"/>
        </w:rPr>
        <w:t>，</w:t>
      </w:r>
      <w:r>
        <w:rPr>
          <w:rFonts w:hint="eastAsia" w:ascii="Arial Narrow" w:hAnsi="Arial Narrow" w:eastAsia="仿宋_GB2312" w:cs="Arial Narrow"/>
        </w:rPr>
        <w:t>设立了年度目标，但年度目标不够细化，且“推动创新创业要素在区内聚集”等效益</w:t>
      </w:r>
      <w:r>
        <w:rPr>
          <w:rFonts w:ascii="Arial Narrow" w:hAnsi="Arial Narrow" w:eastAsia="仿宋_GB2312" w:cs="Arial Narrow"/>
        </w:rPr>
        <w:t>指标缺乏</w:t>
      </w:r>
      <w:r>
        <w:rPr>
          <w:rFonts w:hint="eastAsia" w:ascii="Arial Narrow" w:hAnsi="Arial Narrow" w:eastAsia="仿宋_GB2312" w:cs="Arial Narrow"/>
        </w:rPr>
        <w:t>一定</w:t>
      </w:r>
      <w:r>
        <w:rPr>
          <w:rFonts w:ascii="Arial Narrow" w:hAnsi="Arial Narrow" w:eastAsia="仿宋_GB2312" w:cs="Arial Narrow"/>
        </w:rPr>
        <w:t>可测性，不利于</w:t>
      </w:r>
      <w:r>
        <w:rPr>
          <w:rFonts w:ascii="Arial Narrow" w:hAnsi="Arial Narrow" w:eastAsia="仿宋_GB2312" w:cs="Arial Narrow"/>
          <w:kern w:val="2"/>
        </w:rPr>
        <w:t>招商工作有序开展，也</w:t>
      </w:r>
      <w:r>
        <w:rPr>
          <w:rFonts w:hint="eastAsia" w:ascii="Arial Narrow" w:hAnsi="Arial Narrow" w:eastAsia="仿宋_GB2312" w:cs="Arial Narrow"/>
          <w:kern w:val="2"/>
        </w:rPr>
        <w:t>不便于</w:t>
      </w:r>
      <w:r>
        <w:rPr>
          <w:rFonts w:ascii="Arial Narrow" w:hAnsi="Arial Narrow" w:eastAsia="仿宋_GB2312" w:cs="Arial Narrow"/>
        </w:rPr>
        <w:t>考核项目的完成情况。</w:t>
      </w:r>
    </w:p>
    <w:p w14:paraId="5E6EDB85">
      <w:pPr>
        <w:pStyle w:val="4"/>
        <w:spacing w:before="0" w:after="0" w:line="360" w:lineRule="auto"/>
        <w:ind w:firstLine="480" w:firstLineChars="200"/>
        <w:rPr>
          <w:rFonts w:hint="eastAsia" w:ascii="Arial Narrow" w:hAnsi="Arial Narrow" w:eastAsia="仿宋_GB2312" w:cs="Arial Narrow"/>
          <w:b w:val="0"/>
        </w:rPr>
      </w:pPr>
      <w:bookmarkStart w:id="54" w:name="_Toc16149928"/>
      <w:r>
        <w:rPr>
          <w:rFonts w:ascii="Arial Narrow" w:hAnsi="Arial Narrow" w:eastAsia="仿宋_GB2312" w:cs="Arial Narrow"/>
          <w:b w:val="0"/>
        </w:rPr>
        <w:t>3、建议和改进举措</w:t>
      </w:r>
      <w:bookmarkEnd w:id="54"/>
      <w:bookmarkStart w:id="55" w:name="_Toc3634"/>
    </w:p>
    <w:p w14:paraId="72D10543">
      <w:pPr>
        <w:spacing w:line="360" w:lineRule="auto"/>
        <w:ind w:firstLine="480" w:firstLineChars="200"/>
        <w:rPr>
          <w:rFonts w:hint="eastAsia" w:ascii="Arial Narrow" w:hAnsi="Arial Narrow" w:eastAsia="仿宋_GB2312" w:cs="Arial Narrow"/>
        </w:rPr>
      </w:pPr>
      <w:r>
        <w:rPr>
          <w:rFonts w:ascii="Arial Narrow" w:hAnsi="Arial Narrow" w:eastAsia="仿宋_GB2312" w:cs="Arial Narrow"/>
        </w:rPr>
        <w:t>（1）</w:t>
      </w:r>
      <w:r>
        <w:rPr>
          <w:rFonts w:hint="eastAsia" w:ascii="Arial Narrow" w:hAnsi="Arial Narrow" w:eastAsia="仿宋_GB2312" w:cs="Arial Narrow"/>
        </w:rPr>
        <w:t>提高资金使用率。</w:t>
      </w:r>
      <w:r>
        <w:rPr>
          <w:rFonts w:ascii="Arial Narrow" w:hAnsi="Arial Narrow" w:eastAsia="仿宋_GB2312" w:cs="Arial Narrow"/>
          <w:kern w:val="2"/>
        </w:rPr>
        <w:t>明确两部门职责</w:t>
      </w:r>
      <w:r>
        <w:rPr>
          <w:rFonts w:ascii="Arial Narrow" w:hAnsi="Arial Narrow" w:eastAsia="仿宋_GB2312" w:cs="Arial Narrow"/>
          <w:bCs/>
          <w:kern w:val="2"/>
        </w:rPr>
        <w:t>，</w:t>
      </w:r>
      <w:r>
        <w:rPr>
          <w:rFonts w:hint="eastAsia" w:ascii="Arial Narrow" w:hAnsi="Arial Narrow" w:eastAsia="仿宋_GB2312" w:cs="Arial Narrow"/>
        </w:rPr>
        <w:t>合理编制</w:t>
      </w:r>
      <w:r>
        <w:rPr>
          <w:rFonts w:ascii="Arial Narrow" w:hAnsi="Arial Narrow" w:eastAsia="仿宋_GB2312" w:cs="Arial Narrow"/>
          <w:kern w:val="2"/>
        </w:rPr>
        <w:t>预算。</w:t>
      </w:r>
      <w:r>
        <w:rPr>
          <w:rFonts w:ascii="Arial Narrow" w:hAnsi="Arial Narrow" w:eastAsia="仿宋_GB2312" w:cs="Arial Narrow"/>
        </w:rPr>
        <w:t>区招商局与投资服务中心应明确工作职责，</w:t>
      </w:r>
      <w:r>
        <w:rPr>
          <w:rFonts w:ascii="Arial Narrow" w:hAnsi="Arial Narrow" w:eastAsia="仿宋_GB2312" w:cs="Arial Narrow"/>
          <w:bCs/>
          <w:kern w:val="2"/>
        </w:rPr>
        <w:t>根据项目任务分工，结合</w:t>
      </w:r>
      <w:r>
        <w:rPr>
          <w:rFonts w:ascii="Arial Narrow" w:hAnsi="Arial Narrow" w:eastAsia="仿宋_GB2312" w:cs="Arial Narrow"/>
          <w:kern w:val="2"/>
        </w:rPr>
        <w:t>各招商小组往年上报的招商工作经费使用情况，</w:t>
      </w:r>
      <w:r>
        <w:rPr>
          <w:rFonts w:ascii="Arial Narrow" w:hAnsi="Arial Narrow" w:eastAsia="仿宋_GB2312" w:cs="Arial Narrow"/>
          <w:bCs/>
          <w:kern w:val="2"/>
        </w:rPr>
        <w:t>对当</w:t>
      </w:r>
      <w:r>
        <w:rPr>
          <w:rFonts w:hint="eastAsia" w:ascii="仿宋_GB2312" w:hAnsi="仿宋_GB2312" w:eastAsia="仿宋_GB2312" w:cs="仿宋_GB2312"/>
          <w:bCs/>
          <w:kern w:val="2"/>
        </w:rPr>
        <w:t>年“招商工作经费项目”开</w:t>
      </w:r>
      <w:r>
        <w:rPr>
          <w:rFonts w:ascii="Arial Narrow" w:hAnsi="Arial Narrow" w:eastAsia="仿宋_GB2312" w:cs="Arial Narrow"/>
          <w:bCs/>
          <w:kern w:val="2"/>
        </w:rPr>
        <w:t>展预算资金测算，合理安排项目预算，提高</w:t>
      </w:r>
      <w:r>
        <w:rPr>
          <w:rFonts w:ascii="Arial Narrow" w:hAnsi="Arial Narrow" w:eastAsia="仿宋_GB2312" w:cs="Arial Narrow"/>
          <w:kern w:val="2"/>
        </w:rPr>
        <w:t>预算编制准确性及</w:t>
      </w:r>
      <w:r>
        <w:rPr>
          <w:rFonts w:ascii="Arial Narrow" w:hAnsi="Arial Narrow" w:eastAsia="仿宋_GB2312" w:cs="Arial Narrow"/>
          <w:bCs/>
          <w:kern w:val="2"/>
        </w:rPr>
        <w:t>预算执行率。</w:t>
      </w:r>
    </w:p>
    <w:p w14:paraId="767C27A1">
      <w:pPr>
        <w:spacing w:line="360" w:lineRule="auto"/>
        <w:ind w:firstLine="480" w:firstLineChars="200"/>
        <w:rPr>
          <w:rFonts w:hint="eastAsia" w:ascii="Arial Narrow" w:hAnsi="Arial Narrow" w:eastAsia="仿宋_GB2312" w:cs="Arial Narrow"/>
          <w:kern w:val="2"/>
        </w:rPr>
      </w:pPr>
      <w:r>
        <w:rPr>
          <w:rFonts w:ascii="Arial Narrow" w:hAnsi="Arial Narrow" w:eastAsia="仿宋_GB2312" w:cs="Arial Narrow"/>
        </w:rPr>
        <w:t>（2）制定长期</w:t>
      </w:r>
      <w:r>
        <w:rPr>
          <w:rFonts w:ascii="Arial Narrow" w:hAnsi="Arial Narrow" w:eastAsia="仿宋_GB2312" w:cs="Arial Narrow"/>
          <w:kern w:val="2"/>
        </w:rPr>
        <w:t>工作计划将绩效指标内容细化，让绩效目标量化可测</w:t>
      </w:r>
      <w:r>
        <w:rPr>
          <w:rFonts w:ascii="Arial Narrow" w:hAnsi="Arial Narrow" w:eastAsia="仿宋_GB2312" w:cs="Arial Narrow"/>
        </w:rPr>
        <w:t>。区招商局与投资服务中心要加强重视，健全单位绩效目标与指标体系，根据年度工作计划、项目性质及往年实施情况制定当年绩效目标，并将绩效目标分解为清晰、可衡量的绩效指标。根据资金支出方向，建议在项目完成情况、实施效果方面设置</w:t>
      </w:r>
      <w:r>
        <w:rPr>
          <w:rFonts w:hint="eastAsia" w:ascii="Arial Narrow" w:hAnsi="Arial Narrow" w:eastAsia="仿宋_GB2312" w:cs="Arial Narrow"/>
        </w:rPr>
        <w:t>部分定量</w:t>
      </w:r>
      <w:r>
        <w:rPr>
          <w:rFonts w:ascii="Arial Narrow" w:hAnsi="Arial Narrow" w:eastAsia="仿宋_GB2312" w:cs="Arial Narrow"/>
        </w:rPr>
        <w:t>指标，例</w:t>
      </w:r>
      <w:r>
        <w:rPr>
          <w:rFonts w:hint="eastAsia" w:ascii="仿宋_GB2312" w:hAnsi="仿宋_GB2312" w:eastAsia="仿宋_GB2312" w:cs="仿宋_GB2312"/>
        </w:rPr>
        <w:t>如“经济增长率”、“招商引资园区覆盖率”等</w:t>
      </w:r>
      <w:r>
        <w:rPr>
          <w:rFonts w:ascii="Arial Narrow" w:hAnsi="Arial Narrow" w:eastAsia="仿宋_GB2312" w:cs="Arial Narrow"/>
        </w:rPr>
        <w:t>，并设置合理的指标值，从定性和定量两个方面</w:t>
      </w:r>
      <w:r>
        <w:rPr>
          <w:rFonts w:hint="eastAsia" w:ascii="Arial Narrow" w:hAnsi="Arial Narrow" w:eastAsia="仿宋_GB2312" w:cs="Arial Narrow"/>
        </w:rPr>
        <w:t>考核</w:t>
      </w:r>
      <w:r>
        <w:rPr>
          <w:rFonts w:ascii="Arial Narrow" w:hAnsi="Arial Narrow" w:eastAsia="仿宋_GB2312" w:cs="Arial Narrow"/>
        </w:rPr>
        <w:t>项目实施情况和资金使用效益</w:t>
      </w:r>
      <w:r>
        <w:rPr>
          <w:rFonts w:ascii="Arial Narrow" w:hAnsi="Arial Narrow" w:eastAsia="仿宋_GB2312" w:cs="Arial Narrow"/>
          <w:kern w:val="2"/>
        </w:rPr>
        <w:t>。</w:t>
      </w:r>
    </w:p>
    <w:p w14:paraId="58217FCB">
      <w:pPr>
        <w:pStyle w:val="3"/>
        <w:spacing w:before="0" w:after="0" w:line="360" w:lineRule="auto"/>
        <w:ind w:firstLine="482" w:firstLineChars="200"/>
        <w:rPr>
          <w:rFonts w:hint="eastAsia" w:ascii="Arial Narrow" w:hAnsi="Arial Narrow" w:eastAsia="仿宋_GB2312" w:cs="Arial Narrow"/>
          <w:bCs/>
        </w:rPr>
      </w:pPr>
      <w:bookmarkStart w:id="56" w:name="_Toc16149929"/>
      <w:r>
        <w:rPr>
          <w:rFonts w:ascii="Arial Narrow" w:hAnsi="Arial Narrow" w:eastAsia="仿宋_GB2312" w:cs="Arial Narrow"/>
          <w:bCs/>
        </w:rPr>
        <w:t>（五）其他需说明的问题</w:t>
      </w:r>
      <w:bookmarkEnd w:id="56"/>
    </w:p>
    <w:p w14:paraId="56377F88">
      <w:pPr>
        <w:pStyle w:val="4"/>
        <w:spacing w:before="0" w:after="0" w:line="360" w:lineRule="auto"/>
        <w:ind w:firstLine="480" w:firstLineChars="200"/>
        <w:rPr>
          <w:rFonts w:hint="eastAsia" w:ascii="Arial Narrow" w:hAnsi="Arial Narrow" w:eastAsia="仿宋_GB2312" w:cs="Arial Narrow"/>
          <w:b w:val="0"/>
        </w:rPr>
      </w:pPr>
      <w:bookmarkStart w:id="57" w:name="_Toc16149930"/>
      <w:r>
        <w:rPr>
          <w:rFonts w:ascii="Arial Narrow" w:hAnsi="Arial Narrow" w:eastAsia="仿宋_GB2312" w:cs="Arial Narrow"/>
          <w:b w:val="0"/>
        </w:rPr>
        <w:t>1、关于评价责任的说明</w:t>
      </w:r>
      <w:bookmarkEnd w:id="57"/>
    </w:p>
    <w:p w14:paraId="7E0E5C45">
      <w:pPr>
        <w:spacing w:line="360" w:lineRule="auto"/>
        <w:ind w:firstLine="480"/>
        <w:rPr>
          <w:rFonts w:hint="eastAsia" w:ascii="Arial Narrow" w:hAnsi="Arial Narrow" w:eastAsia="仿宋_GB2312" w:cs="Arial Narrow"/>
        </w:rPr>
      </w:pPr>
      <w:r>
        <w:rPr>
          <w:rFonts w:ascii="Arial Narrow" w:hAnsi="Arial Narrow" w:eastAsia="仿宋_GB2312" w:cs="Arial Narrow"/>
        </w:rPr>
        <w:t>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p>
    <w:p w14:paraId="129D6FD1">
      <w:pPr>
        <w:pStyle w:val="4"/>
        <w:spacing w:before="0" w:after="0" w:line="360" w:lineRule="auto"/>
        <w:ind w:firstLine="480" w:firstLineChars="200"/>
        <w:rPr>
          <w:rFonts w:hint="eastAsia" w:ascii="Arial Narrow" w:hAnsi="Arial Narrow" w:eastAsia="仿宋_GB2312" w:cs="Arial Narrow"/>
          <w:b w:val="0"/>
        </w:rPr>
      </w:pPr>
      <w:bookmarkStart w:id="58" w:name="_Toc16149931"/>
      <w:r>
        <w:rPr>
          <w:rFonts w:ascii="Arial Narrow" w:hAnsi="Arial Narrow" w:eastAsia="仿宋_GB2312" w:cs="Arial Narrow"/>
          <w:b w:val="0"/>
        </w:rPr>
        <w:t>2、关于本项目评价中局限性的说明</w:t>
      </w:r>
      <w:bookmarkEnd w:id="58"/>
    </w:p>
    <w:p w14:paraId="0D827712">
      <w:pPr>
        <w:spacing w:line="360" w:lineRule="auto"/>
        <w:ind w:firstLine="480"/>
        <w:rPr>
          <w:rFonts w:hint="eastAsia" w:ascii="Arial Narrow" w:hAnsi="Arial Narrow" w:eastAsia="仿宋_GB2312" w:cs="Arial Narrow"/>
        </w:rPr>
      </w:pPr>
      <w:r>
        <w:rPr>
          <w:rFonts w:ascii="Arial Narrow" w:hAnsi="Arial Narrow" w:eastAsia="仿宋_GB2312" w:cs="Arial Narrow"/>
        </w:rPr>
        <w:t>（1）本次评价项目数据是基于区招商局及投资服务中心相关资料，涉及范围较广、数据多，无法一一核实其真实性，因此可能对结果的准确性产生一定的影响。</w:t>
      </w:r>
    </w:p>
    <w:p w14:paraId="234EC4C7">
      <w:pPr>
        <w:snapToGrid w:val="0"/>
        <w:spacing w:line="360" w:lineRule="auto"/>
        <w:ind w:firstLine="480"/>
        <w:rPr>
          <w:rFonts w:hint="eastAsia" w:ascii="Arial Narrow" w:hAnsi="Arial Narrow" w:eastAsia="仿宋_GB2312" w:cs="Arial Narrow"/>
        </w:rPr>
      </w:pPr>
      <w:r>
        <w:rPr>
          <w:rFonts w:ascii="Arial Narrow" w:hAnsi="Arial Narrow" w:eastAsia="仿宋_GB2312" w:cs="Arial Narrow"/>
        </w:rPr>
        <w:t>（2）对于绩效评价框架中的部分定性指标，无法根据量化的数据评价并得出分数，评议结果主要依据评价人员的职业判断。</w:t>
      </w:r>
    </w:p>
    <w:p w14:paraId="623B749C">
      <w:pPr>
        <w:spacing w:line="360" w:lineRule="auto"/>
        <w:ind w:firstLine="480"/>
        <w:rPr>
          <w:rFonts w:hint="eastAsia" w:ascii="Arial Narrow" w:hAnsi="Arial Narrow" w:eastAsia="仿宋_GB2312" w:cs="Arial Narrow"/>
        </w:rPr>
      </w:pPr>
      <w:r>
        <w:rPr>
          <w:rFonts w:hint="eastAsia" w:ascii="Arial Narrow" w:hAnsi="Arial Narrow" w:eastAsia="仿宋_GB2312" w:cs="Arial Narrow"/>
        </w:rPr>
        <w:t>（3）由于</w:t>
      </w:r>
      <w:r>
        <w:rPr>
          <w:rFonts w:ascii="Arial Narrow" w:hAnsi="Arial Narrow" w:eastAsia="仿宋_GB2312" w:cs="Arial Narrow"/>
        </w:rPr>
        <w:t>项目投资协议书涉密，评价小组无法获得相关资料，</w:t>
      </w:r>
      <w:r>
        <w:rPr>
          <w:rFonts w:hint="eastAsia" w:ascii="Arial Narrow" w:hAnsi="Arial Narrow" w:eastAsia="仿宋_GB2312" w:cs="Arial Narrow"/>
        </w:rPr>
        <w:t>无法</w:t>
      </w:r>
      <w:r>
        <w:rPr>
          <w:rFonts w:ascii="Arial Narrow" w:hAnsi="Arial Narrow" w:eastAsia="仿宋_GB2312" w:cs="Arial Narrow"/>
        </w:rPr>
        <w:t>核实其真实性，因此可能对结果的准确性产生一定的影响。</w:t>
      </w:r>
    </w:p>
    <w:p w14:paraId="49D77AC7">
      <w:pPr>
        <w:snapToGrid w:val="0"/>
        <w:spacing w:line="360" w:lineRule="auto"/>
        <w:ind w:firstLine="480"/>
        <w:rPr>
          <w:rFonts w:hint="eastAsia" w:ascii="Arial Narrow" w:hAnsi="Arial Narrow" w:eastAsia="仿宋_GB2312" w:cs="Arial Narrow"/>
        </w:rPr>
      </w:pPr>
    </w:p>
    <w:p w14:paraId="4D074095">
      <w:pPr>
        <w:rPr>
          <w:rFonts w:hint="eastAsia" w:ascii="Arial Narrow" w:hAnsi="Arial Narrow" w:eastAsia="仿宋_GB2312" w:cs="Arial Narrow"/>
          <w:b/>
          <w:kern w:val="44"/>
        </w:rPr>
      </w:pPr>
    </w:p>
    <w:p w14:paraId="77F9B321">
      <w:pPr>
        <w:sectPr>
          <w:headerReference r:id="rId6" w:type="default"/>
          <w:footerReference r:id="rId7" w:type="default"/>
          <w:pgSz w:w="11906" w:h="16838"/>
          <w:pgMar w:top="2835" w:right="1418" w:bottom="1418" w:left="1985" w:header="851" w:footer="992" w:gutter="0"/>
          <w:cols w:space="720" w:num="1"/>
          <w:docGrid w:type="lines" w:linePitch="312" w:charSpace="0"/>
        </w:sectPr>
      </w:pPr>
    </w:p>
    <w:p w14:paraId="1EA26DB6">
      <w:pPr>
        <w:widowControl w:val="0"/>
        <w:spacing w:line="360" w:lineRule="auto"/>
        <w:jc w:val="center"/>
        <w:rPr>
          <w:rFonts w:hint="eastAsia" w:ascii="Arial Narrow" w:hAnsi="Arial Narrow" w:eastAsia="仿宋_GB2312" w:cs="Arial Narrow"/>
          <w:kern w:val="2"/>
        </w:rPr>
      </w:pPr>
      <w:r>
        <w:rPr>
          <w:rFonts w:ascii="Arial Narrow" w:hAnsi="Arial Narrow" w:eastAsia="仿宋_GB2312" w:cs="Arial Narrow"/>
          <w:kern w:val="2"/>
        </w:rPr>
        <w:t>【武汉经济技术开发区（汉南区）招商工作经费项目绩效评价报告（2018年度）】</w:t>
      </w:r>
    </w:p>
    <w:p w14:paraId="6B385446">
      <w:pPr>
        <w:rPr>
          <w:rFonts w:hint="eastAsia" w:ascii="Arial Narrow" w:hAnsi="Arial Narrow" w:eastAsia="仿宋_GB2312" w:cs="Arial Narrow"/>
        </w:rPr>
      </w:pPr>
    </w:p>
    <w:p w14:paraId="782F5CCA">
      <w:pPr>
        <w:pStyle w:val="2"/>
        <w:rPr>
          <w:rFonts w:hint="eastAsia" w:ascii="Arial Narrow" w:hAnsi="Arial Narrow" w:eastAsia="仿宋_GB2312" w:cs="Arial Narrow"/>
          <w:sz w:val="24"/>
        </w:rPr>
      </w:pPr>
      <w:bookmarkStart w:id="59" w:name="_Toc16149932"/>
      <w:r>
        <w:rPr>
          <w:rFonts w:ascii="Arial Narrow" w:hAnsi="Arial Narrow" w:eastAsia="仿宋_GB2312" w:cs="Arial Narrow"/>
          <w:sz w:val="24"/>
        </w:rPr>
        <w:t>附件：</w:t>
      </w:r>
      <w:bookmarkEnd w:id="55"/>
      <w:bookmarkEnd w:id="59"/>
    </w:p>
    <w:p w14:paraId="4FA88665">
      <w:pPr>
        <w:snapToGrid w:val="0"/>
        <w:spacing w:line="360" w:lineRule="auto"/>
        <w:ind w:firstLine="480"/>
        <w:rPr>
          <w:rFonts w:hint="eastAsia" w:ascii="Arial Narrow" w:hAnsi="Arial Narrow" w:eastAsia="仿宋_GB2312" w:cs="Arial Narrow"/>
        </w:rPr>
      </w:pPr>
      <w:r>
        <w:rPr>
          <w:rFonts w:ascii="Arial Narrow" w:hAnsi="Arial Narrow" w:eastAsia="仿宋_GB2312" w:cs="Arial Narrow"/>
        </w:rPr>
        <w:t>附件1：绩效评价评分表及说明</w:t>
      </w:r>
    </w:p>
    <w:p w14:paraId="696F78C4">
      <w:pPr>
        <w:snapToGrid w:val="0"/>
        <w:spacing w:line="360" w:lineRule="auto"/>
        <w:ind w:firstLine="480"/>
        <w:rPr>
          <w:rFonts w:hint="eastAsia" w:ascii="Arial Narrow" w:hAnsi="Arial Narrow" w:eastAsia="仿宋_GB2312" w:cs="Arial Narrow"/>
        </w:rPr>
      </w:pPr>
      <w:r>
        <w:rPr>
          <w:rFonts w:ascii="Arial Narrow" w:hAnsi="Arial Narrow" w:eastAsia="仿宋_GB2312" w:cs="Arial Narrow"/>
        </w:rPr>
        <w:t>附件2：绩效目标完成情况对比表</w:t>
      </w:r>
    </w:p>
    <w:p w14:paraId="4239A6A9">
      <w:pPr>
        <w:snapToGrid w:val="0"/>
        <w:spacing w:line="360" w:lineRule="auto"/>
        <w:ind w:firstLine="480"/>
        <w:rPr>
          <w:rFonts w:hint="eastAsia" w:ascii="Arial Narrow" w:hAnsi="Arial Narrow" w:eastAsia="仿宋_GB2312" w:cs="Arial Narrow"/>
        </w:rPr>
      </w:pPr>
      <w:r>
        <w:rPr>
          <w:rFonts w:ascii="Arial Narrow" w:hAnsi="Arial Narrow" w:eastAsia="仿宋_GB2312" w:cs="Arial Narrow"/>
        </w:rPr>
        <w:t>附件3：基础数据表</w:t>
      </w:r>
    </w:p>
    <w:p w14:paraId="3D8A7F8D">
      <w:pPr>
        <w:snapToGrid w:val="0"/>
        <w:spacing w:line="360" w:lineRule="auto"/>
        <w:ind w:firstLine="480"/>
        <w:rPr>
          <w:rFonts w:hint="eastAsia" w:ascii="Arial Narrow" w:hAnsi="Arial Narrow" w:eastAsia="仿宋_GB2312" w:cs="Arial Narrow"/>
        </w:rPr>
      </w:pPr>
      <w:r>
        <w:rPr>
          <w:rFonts w:ascii="Arial Narrow" w:hAnsi="Arial Narrow" w:eastAsia="仿宋_GB2312" w:cs="Arial Narrow"/>
        </w:rPr>
        <w:t>附件4：访谈提纲及主要信息记录汇总</w:t>
      </w:r>
    </w:p>
    <w:p w14:paraId="2EA553C8">
      <w:pPr>
        <w:snapToGrid w:val="0"/>
        <w:spacing w:line="360" w:lineRule="auto"/>
        <w:ind w:firstLine="480"/>
        <w:rPr>
          <w:rFonts w:hint="eastAsia" w:ascii="Arial Narrow" w:hAnsi="Arial Narrow" w:eastAsia="仿宋_GB2312" w:cs="Arial Narrow"/>
        </w:rPr>
      </w:pPr>
      <w:r>
        <w:rPr>
          <w:rFonts w:ascii="Arial Narrow" w:hAnsi="Arial Narrow" w:eastAsia="仿宋_GB2312" w:cs="Arial Narrow"/>
        </w:rPr>
        <w:t>附件5：评价依据目录</w:t>
      </w:r>
    </w:p>
    <w:p w14:paraId="26D07C41">
      <w:pPr>
        <w:snapToGrid w:val="0"/>
        <w:spacing w:line="360" w:lineRule="auto"/>
        <w:ind w:firstLine="480"/>
        <w:rPr>
          <w:rFonts w:hint="eastAsia" w:ascii="Arial Narrow" w:hAnsi="Arial Narrow" w:eastAsia="仿宋_GB2312" w:cs="Arial Narrow"/>
        </w:rPr>
      </w:pPr>
      <w:r>
        <w:rPr>
          <w:rFonts w:ascii="Arial Narrow" w:hAnsi="Arial Narrow" w:eastAsia="仿宋_GB2312" w:cs="Arial Narrow"/>
        </w:rPr>
        <w:t>附件6：评价现场照片</w:t>
      </w:r>
    </w:p>
    <w:p w14:paraId="0CDA0705">
      <w:pPr>
        <w:snapToGrid w:val="0"/>
        <w:spacing w:line="360" w:lineRule="auto"/>
        <w:ind w:firstLine="480"/>
        <w:rPr>
          <w:rStyle w:val="17"/>
          <w:rFonts w:hint="eastAsia" w:ascii="Arial Narrow" w:hAnsi="Arial Narrow" w:eastAsia="仿宋_GB2312" w:cs="Arial Narrow"/>
          <w:sz w:val="24"/>
          <w:szCs w:val="24"/>
        </w:rPr>
      </w:pPr>
      <w:r>
        <w:rPr>
          <w:rFonts w:ascii="Arial Narrow" w:hAnsi="Arial Narrow" w:eastAsia="仿宋_GB2312" w:cs="Arial Narrow"/>
        </w:rPr>
        <w:t>附件7：项目绩效评价实施方案</w:t>
      </w:r>
    </w:p>
    <w:p w14:paraId="530C85C5">
      <w:pPr>
        <w:snapToGrid w:val="0"/>
        <w:spacing w:line="360" w:lineRule="auto"/>
        <w:ind w:firstLine="480"/>
        <w:rPr>
          <w:rStyle w:val="17"/>
          <w:rFonts w:hint="eastAsia" w:ascii="Arial Narrow" w:hAnsi="Arial Narrow" w:eastAsia="仿宋_GB2312" w:cs="Arial Narrow"/>
          <w:sz w:val="24"/>
          <w:szCs w:val="24"/>
        </w:rPr>
      </w:pPr>
      <w:r>
        <w:rPr>
          <w:rFonts w:ascii="Arial Narrow" w:hAnsi="Arial Narrow" w:eastAsia="仿宋_GB2312" w:cs="Arial Narrow"/>
        </w:rPr>
        <w:t>附件8：绩效评价小组声明书</w:t>
      </w:r>
    </w:p>
    <w:p w14:paraId="641D3FFC">
      <w:pPr>
        <w:snapToGrid w:val="0"/>
        <w:spacing w:line="360" w:lineRule="auto"/>
        <w:ind w:firstLine="480"/>
        <w:rPr>
          <w:rFonts w:hint="eastAsia" w:ascii="Arial Narrow" w:hAnsi="Arial Narrow" w:eastAsia="仿宋_GB2312" w:cs="Arial Narrow"/>
        </w:rPr>
      </w:pPr>
      <w:r>
        <w:rPr>
          <w:rFonts w:ascii="Arial Narrow" w:hAnsi="Arial Narrow" w:eastAsia="仿宋_GB2312" w:cs="Arial Narrow"/>
        </w:rPr>
        <w:t>附件9：评价机构营业执照（复印件）</w:t>
      </w:r>
    </w:p>
    <w:p w14:paraId="4603A0E2">
      <w:pPr>
        <w:snapToGrid w:val="0"/>
        <w:spacing w:line="360" w:lineRule="auto"/>
        <w:ind w:firstLine="480"/>
        <w:rPr>
          <w:rFonts w:hint="eastAsia" w:ascii="Arial Narrow" w:hAnsi="Arial Narrow" w:eastAsia="仿宋_GB2312" w:cs="Arial Narrow"/>
        </w:rPr>
      </w:pPr>
      <w:r>
        <w:rPr>
          <w:rFonts w:ascii="Arial Narrow" w:hAnsi="Arial Narrow" w:eastAsia="仿宋_GB2312" w:cs="Arial Narrow"/>
        </w:rPr>
        <w:t>附件10：相关评价人员职业证明文件（复印件）</w:t>
      </w:r>
    </w:p>
    <w:p w14:paraId="730A3A81">
      <w:pPr>
        <w:snapToGrid w:val="0"/>
        <w:spacing w:line="360" w:lineRule="auto"/>
        <w:ind w:right="960"/>
        <w:rPr>
          <w:rFonts w:hint="eastAsia" w:ascii="Arial Narrow" w:hAnsi="Arial Narrow" w:eastAsia="仿宋_GB2312" w:cs="Arial Narrow"/>
        </w:rPr>
      </w:pPr>
    </w:p>
    <w:p w14:paraId="18236125">
      <w:pPr>
        <w:snapToGrid w:val="0"/>
        <w:spacing w:line="360" w:lineRule="auto"/>
        <w:ind w:right="960"/>
        <w:rPr>
          <w:rFonts w:hint="eastAsia" w:ascii="Arial Narrow" w:hAnsi="Arial Narrow" w:eastAsia="仿宋_GB2312" w:cs="Arial Narrow"/>
        </w:rPr>
      </w:pPr>
    </w:p>
    <w:p w14:paraId="7C532001">
      <w:pPr>
        <w:snapToGrid w:val="0"/>
        <w:spacing w:line="360" w:lineRule="auto"/>
        <w:ind w:firstLine="480"/>
        <w:jc w:val="right"/>
        <w:rPr>
          <w:rFonts w:hint="eastAsia" w:ascii="Arial Narrow" w:hAnsi="Arial Narrow" w:eastAsia="仿宋_GB2312" w:cs="Arial Narrow"/>
        </w:rPr>
      </w:pPr>
      <w:r>
        <w:rPr>
          <w:rFonts w:ascii="Arial Narrow" w:hAnsi="Arial Narrow" w:eastAsia="仿宋_GB2312" w:cs="Arial Narrow"/>
        </w:rPr>
        <w:t>致同会计师事务所（特殊普通合伙）</w:t>
      </w:r>
    </w:p>
    <w:p w14:paraId="5C88B058">
      <w:pPr>
        <w:snapToGrid w:val="0"/>
        <w:spacing w:line="360" w:lineRule="auto"/>
        <w:ind w:firstLine="480"/>
        <w:jc w:val="right"/>
        <w:rPr>
          <w:rFonts w:hint="eastAsia" w:ascii="Arial Narrow" w:hAnsi="Arial Narrow" w:eastAsia="仿宋_GB2312" w:cs="Arial Narrow"/>
        </w:rPr>
      </w:pPr>
      <w:r>
        <w:rPr>
          <w:rFonts w:ascii="Arial Narrow" w:hAnsi="Arial Narrow" w:eastAsia="仿宋_GB2312" w:cs="Arial Narrow"/>
        </w:rPr>
        <w:t>武汉分所</w:t>
      </w:r>
    </w:p>
    <w:p w14:paraId="2C96BE7E">
      <w:pPr>
        <w:ind w:firstLine="480"/>
        <w:jc w:val="right"/>
        <w:rPr>
          <w:rFonts w:hint="eastAsia" w:ascii="Arial Narrow" w:hAnsi="Arial Narrow" w:eastAsia="仿宋_GB2312" w:cs="Arial Narrow"/>
        </w:rPr>
      </w:pPr>
      <w:r>
        <w:rPr>
          <w:rFonts w:ascii="Arial Narrow" w:hAnsi="Arial Narrow" w:eastAsia="仿宋_GB2312" w:cs="Arial Narrow"/>
        </w:rPr>
        <w:t>2019年07月31日</w:t>
      </w:r>
    </w:p>
    <w:p w14:paraId="4B626541">
      <w:pPr>
        <w:rPr>
          <w:rFonts w:hint="eastAsia" w:ascii="Arial Narrow" w:hAnsi="Arial Narrow" w:eastAsia="仿宋_GB2312"/>
        </w:rPr>
      </w:pPr>
    </w:p>
    <w:sectPr>
      <w:pgSz w:w="11906" w:h="16838"/>
      <w:pgMar w:top="2835" w:right="1418" w:bottom="1418" w:left="19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36627">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53A7">
    <w:pPr>
      <w:pStyle w:val="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9947068"/>
    </w:sdtPr>
    <w:sdtContent>
      <w:p w14:paraId="7190A48C">
        <w:pPr>
          <w:pStyle w:val="9"/>
          <w:jc w:val="center"/>
        </w:pPr>
        <w:r>
          <w:fldChar w:fldCharType="begin"/>
        </w:r>
        <w:r>
          <w:instrText xml:space="preserve">PAGE   \* MERGEFORMAT</w:instrText>
        </w:r>
        <w:r>
          <w:fldChar w:fldCharType="separate"/>
        </w:r>
        <w:r>
          <w:rPr>
            <w:lang w:val="zh-CN"/>
          </w:rPr>
          <w:t>2</w:t>
        </w:r>
        <w:r>
          <w:fldChar w:fldCharType="end"/>
        </w:r>
      </w:p>
    </w:sdtContent>
  </w:sdt>
  <w:p w14:paraId="2912A45B">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D99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58283">
    <w:r>
      <w:drawing>
        <wp:anchor distT="0" distB="0" distL="114300" distR="114300" simplePos="0" relativeHeight="251659264" behindDoc="0" locked="0" layoutInCell="1" allowOverlap="1">
          <wp:simplePos x="0" y="0"/>
          <wp:positionH relativeFrom="margin">
            <wp:posOffset>0</wp:posOffset>
          </wp:positionH>
          <wp:positionV relativeFrom="page">
            <wp:posOffset>268605</wp:posOffset>
          </wp:positionV>
          <wp:extent cx="2203450" cy="636905"/>
          <wp:effectExtent l="0" t="0" r="6350" b="0"/>
          <wp:wrapNone/>
          <wp:docPr id="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03450" cy="636905"/>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margin">
                <wp:posOffset>3556000</wp:posOffset>
              </wp:positionH>
              <wp:positionV relativeFrom="paragraph">
                <wp:posOffset>84455</wp:posOffset>
              </wp:positionV>
              <wp:extent cx="1822450" cy="815340"/>
              <wp:effectExtent l="4445" t="5080" r="17145" b="17780"/>
              <wp:wrapNone/>
              <wp:docPr id="2"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2450" cy="815340"/>
                      </a:xfrm>
                      <a:prstGeom prst="rect">
                        <a:avLst/>
                      </a:prstGeom>
                      <a:solidFill>
                        <a:srgbClr val="FFFFFF"/>
                      </a:solidFill>
                      <a:ln w="9525">
                        <a:solidFill>
                          <a:srgbClr val="FFFFFF"/>
                        </a:solidFill>
                        <a:miter lim="800000"/>
                      </a:ln>
                    </wps:spPr>
                    <wps:txbx>
                      <w:txbxContent>
                        <w:p w14:paraId="334984A4">
                          <w:pPr>
                            <w:widowControl w:val="0"/>
                            <w:snapToGrid w:val="0"/>
                            <w:ind w:firstLine="281" w:firstLineChars="200"/>
                            <w:jc w:val="both"/>
                            <w:rPr>
                              <w:rFonts w:ascii="Times New Roman" w:hAnsi="Times New Roman" w:eastAsia="黑体" w:cs="Times New Roman"/>
                              <w:b/>
                              <w:kern w:val="2"/>
                              <w:sz w:val="14"/>
                              <w:szCs w:val="14"/>
                            </w:rPr>
                          </w:pPr>
                          <w:r>
                            <w:rPr>
                              <w:rFonts w:hint="eastAsia" w:ascii="黑体" w:eastAsia="黑体" w:cs="黑体"/>
                              <w:b/>
                              <w:kern w:val="2"/>
                              <w:sz w:val="14"/>
                              <w:szCs w:val="14"/>
                            </w:rPr>
                            <w:t>致同会计师事务所（特殊普通合伙）</w:t>
                          </w:r>
                        </w:p>
                        <w:p w14:paraId="650D8920">
                          <w:pPr>
                            <w:widowControl w:val="0"/>
                            <w:snapToGrid w:val="0"/>
                            <w:ind w:firstLine="281" w:firstLineChars="200"/>
                            <w:jc w:val="both"/>
                            <w:rPr>
                              <w:rFonts w:ascii="Times New Roman" w:hAnsi="Times New Roman" w:eastAsia="黑体" w:cs="Times New Roman"/>
                              <w:b/>
                              <w:kern w:val="2"/>
                              <w:sz w:val="14"/>
                              <w:szCs w:val="14"/>
                            </w:rPr>
                          </w:pPr>
                          <w:r>
                            <w:rPr>
                              <w:rFonts w:hint="eastAsia" w:ascii="黑体" w:eastAsia="黑体" w:cs="黑体"/>
                              <w:b/>
                              <w:kern w:val="2"/>
                              <w:sz w:val="14"/>
                              <w:szCs w:val="14"/>
                            </w:rPr>
                            <w:t>武汉分所</w:t>
                          </w:r>
                        </w:p>
                        <w:p w14:paraId="2C12AB2C">
                          <w:pPr>
                            <w:widowControl w:val="0"/>
                            <w:snapToGrid w:val="0"/>
                            <w:ind w:left="276" w:leftChars="113" w:hanging="5" w:hangingChars="4"/>
                            <w:jc w:val="both"/>
                            <w:rPr>
                              <w:rFonts w:ascii="黑体" w:eastAsia="黑体" w:cs="黑体"/>
                              <w:kern w:val="2"/>
                              <w:sz w:val="14"/>
                              <w:szCs w:val="14"/>
                            </w:rPr>
                          </w:pPr>
                          <w:r>
                            <w:rPr>
                              <w:rFonts w:hint="eastAsia" w:ascii="黑体" w:eastAsia="黑体" w:cs="黑体"/>
                              <w:kern w:val="2"/>
                              <w:sz w:val="14"/>
                              <w:szCs w:val="14"/>
                            </w:rPr>
                            <w:t>中国武汉武昌区中北路</w:t>
                          </w:r>
                          <w:r>
                            <w:rPr>
                              <w:rFonts w:ascii="Times New Roman" w:hAnsi="Times New Roman" w:eastAsia="黑体" w:cs="Times New Roman"/>
                              <w:kern w:val="2"/>
                              <w:sz w:val="14"/>
                              <w:szCs w:val="14"/>
                            </w:rPr>
                            <w:t>58</w:t>
                          </w:r>
                          <w:r>
                            <w:rPr>
                              <w:rFonts w:hint="eastAsia" w:ascii="黑体" w:eastAsia="黑体" w:cs="黑体"/>
                              <w:kern w:val="2"/>
                              <w:sz w:val="14"/>
                              <w:szCs w:val="14"/>
                            </w:rPr>
                            <w:t>号</w:t>
                          </w:r>
                        </w:p>
                        <w:p w14:paraId="7B29C7F7">
                          <w:pPr>
                            <w:widowControl w:val="0"/>
                            <w:snapToGrid w:val="0"/>
                            <w:ind w:left="276" w:leftChars="113" w:hanging="5" w:hangingChars="4"/>
                            <w:jc w:val="both"/>
                            <w:rPr>
                              <w:rFonts w:ascii="Times New Roman" w:hAnsi="Times New Roman" w:eastAsia="黑体" w:cs="Times New Roman"/>
                              <w:kern w:val="2"/>
                              <w:sz w:val="14"/>
                              <w:szCs w:val="14"/>
                            </w:rPr>
                          </w:pPr>
                          <w:r>
                            <w:rPr>
                              <w:rFonts w:hint="eastAsia" w:ascii="黑体" w:eastAsia="黑体" w:cs="黑体"/>
                              <w:kern w:val="2"/>
                              <w:sz w:val="14"/>
                              <w:szCs w:val="14"/>
                            </w:rPr>
                            <w:t>汉街总部国际</w:t>
                          </w:r>
                          <w:r>
                            <w:rPr>
                              <w:rFonts w:ascii="Times New Roman" w:hAnsi="Times New Roman" w:eastAsia="黑体" w:cs="Times New Roman"/>
                              <w:kern w:val="2"/>
                              <w:sz w:val="14"/>
                              <w:szCs w:val="14"/>
                            </w:rPr>
                            <w:t>E</w:t>
                          </w:r>
                          <w:r>
                            <w:rPr>
                              <w:rFonts w:hint="eastAsia" w:ascii="黑体" w:eastAsia="黑体" w:cs="黑体"/>
                              <w:kern w:val="2"/>
                              <w:sz w:val="14"/>
                              <w:szCs w:val="14"/>
                            </w:rPr>
                            <w:t>座</w:t>
                          </w:r>
                          <w:r>
                            <w:rPr>
                              <w:rFonts w:ascii="Times New Roman" w:hAnsi="Times New Roman" w:eastAsia="黑体" w:cs="Times New Roman"/>
                              <w:kern w:val="2"/>
                              <w:sz w:val="14"/>
                              <w:szCs w:val="14"/>
                            </w:rPr>
                            <w:t>29</w:t>
                          </w:r>
                          <w:r>
                            <w:rPr>
                              <w:rFonts w:hint="eastAsia" w:ascii="黑体" w:eastAsia="黑体" w:cs="黑体"/>
                              <w:kern w:val="2"/>
                              <w:sz w:val="14"/>
                              <w:szCs w:val="14"/>
                            </w:rPr>
                            <w:t>层邮编</w:t>
                          </w:r>
                          <w:r>
                            <w:rPr>
                              <w:rFonts w:ascii="Times New Roman" w:hAnsi="Times New Roman" w:eastAsia="黑体" w:cs="Times New Roman"/>
                              <w:kern w:val="2"/>
                              <w:sz w:val="14"/>
                              <w:szCs w:val="14"/>
                            </w:rPr>
                            <w:t>430071</w:t>
                          </w:r>
                        </w:p>
                        <w:p w14:paraId="7F318DB6">
                          <w:pPr>
                            <w:widowControl w:val="0"/>
                            <w:snapToGrid w:val="0"/>
                            <w:ind w:firstLine="280" w:firstLineChars="200"/>
                            <w:jc w:val="both"/>
                            <w:rPr>
                              <w:rFonts w:ascii="Times New Roman" w:hAnsi="Times New Roman" w:eastAsia="黑体" w:cs="Times New Roman"/>
                              <w:kern w:val="2"/>
                              <w:sz w:val="14"/>
                              <w:szCs w:val="14"/>
                            </w:rPr>
                          </w:pPr>
                          <w:r>
                            <w:rPr>
                              <w:rFonts w:hint="eastAsia" w:ascii="黑体" w:eastAsia="黑体" w:cs="黑体"/>
                              <w:kern w:val="2"/>
                              <w:sz w:val="14"/>
                              <w:szCs w:val="14"/>
                            </w:rPr>
                            <w:t>电话</w:t>
                          </w:r>
                          <w:r>
                            <w:rPr>
                              <w:rFonts w:ascii="Times New Roman" w:hAnsi="Times New Roman" w:eastAsia="黑体" w:cs="Times New Roman"/>
                              <w:kern w:val="2"/>
                              <w:sz w:val="14"/>
                              <w:szCs w:val="14"/>
                            </w:rPr>
                            <w:t xml:space="preserve"> +86 27 87819677</w:t>
                          </w:r>
                        </w:p>
                        <w:p w14:paraId="72092491">
                          <w:pPr>
                            <w:widowControl w:val="0"/>
                            <w:snapToGrid w:val="0"/>
                            <w:ind w:firstLine="280" w:firstLineChars="200"/>
                            <w:jc w:val="both"/>
                          </w:pPr>
                          <w:r>
                            <w:rPr>
                              <w:rFonts w:hint="eastAsia" w:ascii="黑体" w:eastAsia="黑体" w:cs="黑体"/>
                              <w:kern w:val="2"/>
                              <w:sz w:val="14"/>
                              <w:szCs w:val="14"/>
                            </w:rPr>
                            <w:t>传真</w:t>
                          </w:r>
                          <w:r>
                            <w:rPr>
                              <w:rFonts w:ascii="Times New Roman" w:hAnsi="Times New Roman" w:eastAsia="黑体" w:cs="Times New Roman"/>
                              <w:kern w:val="2"/>
                              <w:sz w:val="14"/>
                              <w:szCs w:val="14"/>
                            </w:rPr>
                            <w:t xml:space="preserve"> +86 27 87812377</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280pt;margin-top:6.65pt;height:64.2pt;width:143.5pt;mso-position-horizontal-relative:margin;z-index:251660288;mso-width-relative:page;mso-height-relative:page;" fillcolor="#FFFFFF" filled="t" stroked="t" coordsize="21600,21600" o:gfxdata="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ZAcfNgAAAAKAQAADwAAAAAAAAABACAAAAAiAAAAZHJz&#10;L2Rvd25yZXYueG1sUEsBAhQAFAAAAAgAh07iQPwDS549AgAAiAQAAA4AAAAAAAAAAQAgAAAAJwEA&#10;AGRycy9lMm9Eb2MueG1sUEsFBgAAAAAGAAYAWQEAANYFAAAAAA==&#10;">
              <v:fill on="t" focussize="0,0"/>
              <v:stroke color="#FFFFFF" miterlimit="8" joinstyle="miter"/>
              <v:imagedata o:title=""/>
              <o:lock v:ext="edit" aspectratio="f"/>
              <v:textbox>
                <w:txbxContent>
                  <w:p w14:paraId="334984A4">
                    <w:pPr>
                      <w:widowControl w:val="0"/>
                      <w:snapToGrid w:val="0"/>
                      <w:ind w:firstLine="281" w:firstLineChars="200"/>
                      <w:jc w:val="both"/>
                      <w:rPr>
                        <w:rFonts w:ascii="Times New Roman" w:hAnsi="Times New Roman" w:eastAsia="黑体" w:cs="Times New Roman"/>
                        <w:b/>
                        <w:kern w:val="2"/>
                        <w:sz w:val="14"/>
                        <w:szCs w:val="14"/>
                      </w:rPr>
                    </w:pPr>
                    <w:r>
                      <w:rPr>
                        <w:rFonts w:hint="eastAsia" w:ascii="黑体" w:eastAsia="黑体" w:cs="黑体"/>
                        <w:b/>
                        <w:kern w:val="2"/>
                        <w:sz w:val="14"/>
                        <w:szCs w:val="14"/>
                      </w:rPr>
                      <w:t>致同会计师事务所（特殊普通合伙）</w:t>
                    </w:r>
                  </w:p>
                  <w:p w14:paraId="650D8920">
                    <w:pPr>
                      <w:widowControl w:val="0"/>
                      <w:snapToGrid w:val="0"/>
                      <w:ind w:firstLine="281" w:firstLineChars="200"/>
                      <w:jc w:val="both"/>
                      <w:rPr>
                        <w:rFonts w:ascii="Times New Roman" w:hAnsi="Times New Roman" w:eastAsia="黑体" w:cs="Times New Roman"/>
                        <w:b/>
                        <w:kern w:val="2"/>
                        <w:sz w:val="14"/>
                        <w:szCs w:val="14"/>
                      </w:rPr>
                    </w:pPr>
                    <w:r>
                      <w:rPr>
                        <w:rFonts w:hint="eastAsia" w:ascii="黑体" w:eastAsia="黑体" w:cs="黑体"/>
                        <w:b/>
                        <w:kern w:val="2"/>
                        <w:sz w:val="14"/>
                        <w:szCs w:val="14"/>
                      </w:rPr>
                      <w:t>武汉分所</w:t>
                    </w:r>
                  </w:p>
                  <w:p w14:paraId="2C12AB2C">
                    <w:pPr>
                      <w:widowControl w:val="0"/>
                      <w:snapToGrid w:val="0"/>
                      <w:ind w:left="276" w:leftChars="113" w:hanging="5" w:hangingChars="4"/>
                      <w:jc w:val="both"/>
                      <w:rPr>
                        <w:rFonts w:ascii="黑体" w:eastAsia="黑体" w:cs="黑体"/>
                        <w:kern w:val="2"/>
                        <w:sz w:val="14"/>
                        <w:szCs w:val="14"/>
                      </w:rPr>
                    </w:pPr>
                    <w:r>
                      <w:rPr>
                        <w:rFonts w:hint="eastAsia" w:ascii="黑体" w:eastAsia="黑体" w:cs="黑体"/>
                        <w:kern w:val="2"/>
                        <w:sz w:val="14"/>
                        <w:szCs w:val="14"/>
                      </w:rPr>
                      <w:t>中国武汉武昌区中北路</w:t>
                    </w:r>
                    <w:r>
                      <w:rPr>
                        <w:rFonts w:ascii="Times New Roman" w:hAnsi="Times New Roman" w:eastAsia="黑体" w:cs="Times New Roman"/>
                        <w:kern w:val="2"/>
                        <w:sz w:val="14"/>
                        <w:szCs w:val="14"/>
                      </w:rPr>
                      <w:t>58</w:t>
                    </w:r>
                    <w:r>
                      <w:rPr>
                        <w:rFonts w:hint="eastAsia" w:ascii="黑体" w:eastAsia="黑体" w:cs="黑体"/>
                        <w:kern w:val="2"/>
                        <w:sz w:val="14"/>
                        <w:szCs w:val="14"/>
                      </w:rPr>
                      <w:t>号</w:t>
                    </w:r>
                  </w:p>
                  <w:p w14:paraId="7B29C7F7">
                    <w:pPr>
                      <w:widowControl w:val="0"/>
                      <w:snapToGrid w:val="0"/>
                      <w:ind w:left="276" w:leftChars="113" w:hanging="5" w:hangingChars="4"/>
                      <w:jc w:val="both"/>
                      <w:rPr>
                        <w:rFonts w:ascii="Times New Roman" w:hAnsi="Times New Roman" w:eastAsia="黑体" w:cs="Times New Roman"/>
                        <w:kern w:val="2"/>
                        <w:sz w:val="14"/>
                        <w:szCs w:val="14"/>
                      </w:rPr>
                    </w:pPr>
                    <w:r>
                      <w:rPr>
                        <w:rFonts w:hint="eastAsia" w:ascii="黑体" w:eastAsia="黑体" w:cs="黑体"/>
                        <w:kern w:val="2"/>
                        <w:sz w:val="14"/>
                        <w:szCs w:val="14"/>
                      </w:rPr>
                      <w:t>汉街总部国际</w:t>
                    </w:r>
                    <w:r>
                      <w:rPr>
                        <w:rFonts w:ascii="Times New Roman" w:hAnsi="Times New Roman" w:eastAsia="黑体" w:cs="Times New Roman"/>
                        <w:kern w:val="2"/>
                        <w:sz w:val="14"/>
                        <w:szCs w:val="14"/>
                      </w:rPr>
                      <w:t>E</w:t>
                    </w:r>
                    <w:r>
                      <w:rPr>
                        <w:rFonts w:hint="eastAsia" w:ascii="黑体" w:eastAsia="黑体" w:cs="黑体"/>
                        <w:kern w:val="2"/>
                        <w:sz w:val="14"/>
                        <w:szCs w:val="14"/>
                      </w:rPr>
                      <w:t>座</w:t>
                    </w:r>
                    <w:r>
                      <w:rPr>
                        <w:rFonts w:ascii="Times New Roman" w:hAnsi="Times New Roman" w:eastAsia="黑体" w:cs="Times New Roman"/>
                        <w:kern w:val="2"/>
                        <w:sz w:val="14"/>
                        <w:szCs w:val="14"/>
                      </w:rPr>
                      <w:t>29</w:t>
                    </w:r>
                    <w:r>
                      <w:rPr>
                        <w:rFonts w:hint="eastAsia" w:ascii="黑体" w:eastAsia="黑体" w:cs="黑体"/>
                        <w:kern w:val="2"/>
                        <w:sz w:val="14"/>
                        <w:szCs w:val="14"/>
                      </w:rPr>
                      <w:t>层邮编</w:t>
                    </w:r>
                    <w:r>
                      <w:rPr>
                        <w:rFonts w:ascii="Times New Roman" w:hAnsi="Times New Roman" w:eastAsia="黑体" w:cs="Times New Roman"/>
                        <w:kern w:val="2"/>
                        <w:sz w:val="14"/>
                        <w:szCs w:val="14"/>
                      </w:rPr>
                      <w:t>430071</w:t>
                    </w:r>
                  </w:p>
                  <w:p w14:paraId="7F318DB6">
                    <w:pPr>
                      <w:widowControl w:val="0"/>
                      <w:snapToGrid w:val="0"/>
                      <w:ind w:firstLine="280" w:firstLineChars="200"/>
                      <w:jc w:val="both"/>
                      <w:rPr>
                        <w:rFonts w:ascii="Times New Roman" w:hAnsi="Times New Roman" w:eastAsia="黑体" w:cs="Times New Roman"/>
                        <w:kern w:val="2"/>
                        <w:sz w:val="14"/>
                        <w:szCs w:val="14"/>
                      </w:rPr>
                    </w:pPr>
                    <w:r>
                      <w:rPr>
                        <w:rFonts w:hint="eastAsia" w:ascii="黑体" w:eastAsia="黑体" w:cs="黑体"/>
                        <w:kern w:val="2"/>
                        <w:sz w:val="14"/>
                        <w:szCs w:val="14"/>
                      </w:rPr>
                      <w:t>电话</w:t>
                    </w:r>
                    <w:r>
                      <w:rPr>
                        <w:rFonts w:ascii="Times New Roman" w:hAnsi="Times New Roman" w:eastAsia="黑体" w:cs="Times New Roman"/>
                        <w:kern w:val="2"/>
                        <w:sz w:val="14"/>
                        <w:szCs w:val="14"/>
                      </w:rPr>
                      <w:t xml:space="preserve"> +86 27 87819677</w:t>
                    </w:r>
                  </w:p>
                  <w:p w14:paraId="72092491">
                    <w:pPr>
                      <w:widowControl w:val="0"/>
                      <w:snapToGrid w:val="0"/>
                      <w:ind w:firstLine="280" w:firstLineChars="200"/>
                      <w:jc w:val="both"/>
                    </w:pPr>
                    <w:r>
                      <w:rPr>
                        <w:rFonts w:hint="eastAsia" w:ascii="黑体" w:eastAsia="黑体" w:cs="黑体"/>
                        <w:kern w:val="2"/>
                        <w:sz w:val="14"/>
                        <w:szCs w:val="14"/>
                      </w:rPr>
                      <w:t>传真</w:t>
                    </w:r>
                    <w:r>
                      <w:rPr>
                        <w:rFonts w:ascii="Times New Roman" w:hAnsi="Times New Roman" w:eastAsia="黑体" w:cs="Times New Roman"/>
                        <w:kern w:val="2"/>
                        <w:sz w:val="14"/>
                        <w:szCs w:val="14"/>
                      </w:rPr>
                      <w:t xml:space="preserve"> +86 27 87812377</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82D0B"/>
    <w:multiLevelType w:val="multilevel"/>
    <w:tmpl w:val="7E182D0B"/>
    <w:lvl w:ilvl="0" w:tentative="0">
      <w:start w:val="1"/>
      <w:numFmt w:val="decimalEnclosedCircle"/>
      <w:lvlText w:val="%1"/>
      <w:lvlJc w:val="left"/>
      <w:pPr>
        <w:ind w:left="840" w:hanging="360"/>
      </w:pPr>
      <w:rPr>
        <w:rFonts w:hint="default" w:ascii="仿宋" w:hAnsi="仿宋" w:eastAsia="仿宋"/>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MThkMmZmYWFjODllNGExMGM4NDc1YmM1NWFmZmUifQ=="/>
  </w:docVars>
  <w:rsids>
    <w:rsidRoot w:val="0055466F"/>
    <w:rsid w:val="0000239D"/>
    <w:rsid w:val="00005367"/>
    <w:rsid w:val="0000544B"/>
    <w:rsid w:val="00007E1C"/>
    <w:rsid w:val="00012020"/>
    <w:rsid w:val="000128C6"/>
    <w:rsid w:val="0001559A"/>
    <w:rsid w:val="00020FD2"/>
    <w:rsid w:val="00021122"/>
    <w:rsid w:val="0002252E"/>
    <w:rsid w:val="00024930"/>
    <w:rsid w:val="00025128"/>
    <w:rsid w:val="0002735A"/>
    <w:rsid w:val="000273D7"/>
    <w:rsid w:val="00033C2A"/>
    <w:rsid w:val="00035415"/>
    <w:rsid w:val="00036AF5"/>
    <w:rsid w:val="00036F52"/>
    <w:rsid w:val="00040877"/>
    <w:rsid w:val="0004092F"/>
    <w:rsid w:val="000418E7"/>
    <w:rsid w:val="0004236F"/>
    <w:rsid w:val="000426B1"/>
    <w:rsid w:val="0004271C"/>
    <w:rsid w:val="0005037D"/>
    <w:rsid w:val="00055E6D"/>
    <w:rsid w:val="000607FB"/>
    <w:rsid w:val="00062F07"/>
    <w:rsid w:val="00063689"/>
    <w:rsid w:val="000676B9"/>
    <w:rsid w:val="000701CF"/>
    <w:rsid w:val="00076645"/>
    <w:rsid w:val="00077530"/>
    <w:rsid w:val="00082058"/>
    <w:rsid w:val="00087776"/>
    <w:rsid w:val="00087975"/>
    <w:rsid w:val="0009552D"/>
    <w:rsid w:val="00097BF0"/>
    <w:rsid w:val="000A03AC"/>
    <w:rsid w:val="000A06BB"/>
    <w:rsid w:val="000A2865"/>
    <w:rsid w:val="000A2E31"/>
    <w:rsid w:val="000A4D87"/>
    <w:rsid w:val="000B15C2"/>
    <w:rsid w:val="000B4442"/>
    <w:rsid w:val="000B46C9"/>
    <w:rsid w:val="000B775B"/>
    <w:rsid w:val="000C16EA"/>
    <w:rsid w:val="000C75EA"/>
    <w:rsid w:val="000D3AE2"/>
    <w:rsid w:val="000D4BA5"/>
    <w:rsid w:val="000D7555"/>
    <w:rsid w:val="000E1A5B"/>
    <w:rsid w:val="000E5AA0"/>
    <w:rsid w:val="000F214F"/>
    <w:rsid w:val="000F5ED2"/>
    <w:rsid w:val="000F6808"/>
    <w:rsid w:val="00103488"/>
    <w:rsid w:val="001034C6"/>
    <w:rsid w:val="00112977"/>
    <w:rsid w:val="00114409"/>
    <w:rsid w:val="00115E68"/>
    <w:rsid w:val="00116776"/>
    <w:rsid w:val="001206FC"/>
    <w:rsid w:val="00120CF2"/>
    <w:rsid w:val="00121160"/>
    <w:rsid w:val="0012135D"/>
    <w:rsid w:val="00123F2C"/>
    <w:rsid w:val="001302E7"/>
    <w:rsid w:val="001321C3"/>
    <w:rsid w:val="00133A7D"/>
    <w:rsid w:val="00141B3A"/>
    <w:rsid w:val="00144A12"/>
    <w:rsid w:val="00145CC9"/>
    <w:rsid w:val="00153D97"/>
    <w:rsid w:val="00155D87"/>
    <w:rsid w:val="00157D9B"/>
    <w:rsid w:val="00161701"/>
    <w:rsid w:val="00164F81"/>
    <w:rsid w:val="0016730C"/>
    <w:rsid w:val="00167866"/>
    <w:rsid w:val="00172BE1"/>
    <w:rsid w:val="001772F6"/>
    <w:rsid w:val="00177652"/>
    <w:rsid w:val="00177D70"/>
    <w:rsid w:val="00177DFB"/>
    <w:rsid w:val="0018024F"/>
    <w:rsid w:val="00182938"/>
    <w:rsid w:val="00186A11"/>
    <w:rsid w:val="001872CD"/>
    <w:rsid w:val="001914C7"/>
    <w:rsid w:val="001A0892"/>
    <w:rsid w:val="001A14DB"/>
    <w:rsid w:val="001A28F4"/>
    <w:rsid w:val="001A2FE2"/>
    <w:rsid w:val="001A3CB2"/>
    <w:rsid w:val="001A477F"/>
    <w:rsid w:val="001B128D"/>
    <w:rsid w:val="001B2AD9"/>
    <w:rsid w:val="001B3087"/>
    <w:rsid w:val="001B39F4"/>
    <w:rsid w:val="001B6274"/>
    <w:rsid w:val="001C016A"/>
    <w:rsid w:val="001C07A7"/>
    <w:rsid w:val="001C1BC9"/>
    <w:rsid w:val="001C5441"/>
    <w:rsid w:val="001C6236"/>
    <w:rsid w:val="001C66C2"/>
    <w:rsid w:val="001D67D7"/>
    <w:rsid w:val="001E0D6B"/>
    <w:rsid w:val="001E0DD8"/>
    <w:rsid w:val="001E25EB"/>
    <w:rsid w:val="001E6641"/>
    <w:rsid w:val="001E7652"/>
    <w:rsid w:val="001F46A7"/>
    <w:rsid w:val="001F4877"/>
    <w:rsid w:val="001F6C79"/>
    <w:rsid w:val="0020135A"/>
    <w:rsid w:val="00201DAB"/>
    <w:rsid w:val="0020770F"/>
    <w:rsid w:val="0021367A"/>
    <w:rsid w:val="00213C89"/>
    <w:rsid w:val="00217254"/>
    <w:rsid w:val="00226969"/>
    <w:rsid w:val="00226ED6"/>
    <w:rsid w:val="002300C1"/>
    <w:rsid w:val="002319CB"/>
    <w:rsid w:val="00232A67"/>
    <w:rsid w:val="00236A76"/>
    <w:rsid w:val="00237E0C"/>
    <w:rsid w:val="002429B3"/>
    <w:rsid w:val="00255CFC"/>
    <w:rsid w:val="00261813"/>
    <w:rsid w:val="00262E66"/>
    <w:rsid w:val="00265932"/>
    <w:rsid w:val="00270B50"/>
    <w:rsid w:val="0027224D"/>
    <w:rsid w:val="002733B6"/>
    <w:rsid w:val="002740FA"/>
    <w:rsid w:val="002838F6"/>
    <w:rsid w:val="00287CB9"/>
    <w:rsid w:val="00290A6C"/>
    <w:rsid w:val="00290BB7"/>
    <w:rsid w:val="00290D2E"/>
    <w:rsid w:val="00290E60"/>
    <w:rsid w:val="00291893"/>
    <w:rsid w:val="00295524"/>
    <w:rsid w:val="0029595A"/>
    <w:rsid w:val="0029607E"/>
    <w:rsid w:val="002A1C45"/>
    <w:rsid w:val="002A2824"/>
    <w:rsid w:val="002A3431"/>
    <w:rsid w:val="002A3F21"/>
    <w:rsid w:val="002A6BC9"/>
    <w:rsid w:val="002A7A9C"/>
    <w:rsid w:val="002B06BF"/>
    <w:rsid w:val="002B1DC8"/>
    <w:rsid w:val="002B2594"/>
    <w:rsid w:val="002B7020"/>
    <w:rsid w:val="002B7EB5"/>
    <w:rsid w:val="002C1BF7"/>
    <w:rsid w:val="002C2B68"/>
    <w:rsid w:val="002C3686"/>
    <w:rsid w:val="002C5C93"/>
    <w:rsid w:val="002D471B"/>
    <w:rsid w:val="002D5479"/>
    <w:rsid w:val="002D55B9"/>
    <w:rsid w:val="002D5A21"/>
    <w:rsid w:val="002D7A04"/>
    <w:rsid w:val="002E78EC"/>
    <w:rsid w:val="002F1517"/>
    <w:rsid w:val="002F3994"/>
    <w:rsid w:val="002F4067"/>
    <w:rsid w:val="002F7722"/>
    <w:rsid w:val="00301AB9"/>
    <w:rsid w:val="00301EF0"/>
    <w:rsid w:val="003023A0"/>
    <w:rsid w:val="00303584"/>
    <w:rsid w:val="00303E08"/>
    <w:rsid w:val="003066CD"/>
    <w:rsid w:val="003108EB"/>
    <w:rsid w:val="00314203"/>
    <w:rsid w:val="0031575D"/>
    <w:rsid w:val="0031781A"/>
    <w:rsid w:val="00322D7D"/>
    <w:rsid w:val="003236AD"/>
    <w:rsid w:val="00323CE7"/>
    <w:rsid w:val="00325BEB"/>
    <w:rsid w:val="00325FDB"/>
    <w:rsid w:val="003279BF"/>
    <w:rsid w:val="00333C74"/>
    <w:rsid w:val="00335F35"/>
    <w:rsid w:val="003371C6"/>
    <w:rsid w:val="0034058E"/>
    <w:rsid w:val="00343A06"/>
    <w:rsid w:val="00345E8B"/>
    <w:rsid w:val="00350A54"/>
    <w:rsid w:val="00350F9B"/>
    <w:rsid w:val="0035269A"/>
    <w:rsid w:val="00355535"/>
    <w:rsid w:val="00355A80"/>
    <w:rsid w:val="0036496D"/>
    <w:rsid w:val="003660B2"/>
    <w:rsid w:val="00367157"/>
    <w:rsid w:val="00370F67"/>
    <w:rsid w:val="003722F5"/>
    <w:rsid w:val="0037314C"/>
    <w:rsid w:val="0037415E"/>
    <w:rsid w:val="0037533B"/>
    <w:rsid w:val="00377456"/>
    <w:rsid w:val="003814CD"/>
    <w:rsid w:val="00384804"/>
    <w:rsid w:val="003868B9"/>
    <w:rsid w:val="00387945"/>
    <w:rsid w:val="00393079"/>
    <w:rsid w:val="003942B7"/>
    <w:rsid w:val="003970F5"/>
    <w:rsid w:val="003A0B5A"/>
    <w:rsid w:val="003A2C4A"/>
    <w:rsid w:val="003A68DD"/>
    <w:rsid w:val="003B3921"/>
    <w:rsid w:val="003B5F4E"/>
    <w:rsid w:val="003C007D"/>
    <w:rsid w:val="003C1065"/>
    <w:rsid w:val="003C2862"/>
    <w:rsid w:val="003D5E48"/>
    <w:rsid w:val="003D7484"/>
    <w:rsid w:val="003D7DEC"/>
    <w:rsid w:val="003E2581"/>
    <w:rsid w:val="003E31D5"/>
    <w:rsid w:val="003E38CF"/>
    <w:rsid w:val="003F2319"/>
    <w:rsid w:val="003F292D"/>
    <w:rsid w:val="003F2BCD"/>
    <w:rsid w:val="003F3233"/>
    <w:rsid w:val="003F5BA6"/>
    <w:rsid w:val="0040000F"/>
    <w:rsid w:val="00403B2A"/>
    <w:rsid w:val="00405851"/>
    <w:rsid w:val="00406B00"/>
    <w:rsid w:val="004110FB"/>
    <w:rsid w:val="00414A43"/>
    <w:rsid w:val="0042033F"/>
    <w:rsid w:val="004213DA"/>
    <w:rsid w:val="00422BF2"/>
    <w:rsid w:val="00424A02"/>
    <w:rsid w:val="0042517D"/>
    <w:rsid w:val="00425CF7"/>
    <w:rsid w:val="00426551"/>
    <w:rsid w:val="0042748D"/>
    <w:rsid w:val="00427E4F"/>
    <w:rsid w:val="00432486"/>
    <w:rsid w:val="00432CC3"/>
    <w:rsid w:val="0043472D"/>
    <w:rsid w:val="004358B7"/>
    <w:rsid w:val="00435B9A"/>
    <w:rsid w:val="00440174"/>
    <w:rsid w:val="004434AB"/>
    <w:rsid w:val="00455988"/>
    <w:rsid w:val="00455B1E"/>
    <w:rsid w:val="004561A3"/>
    <w:rsid w:val="00461436"/>
    <w:rsid w:val="00462609"/>
    <w:rsid w:val="004639B5"/>
    <w:rsid w:val="0047379B"/>
    <w:rsid w:val="00474F07"/>
    <w:rsid w:val="004755BE"/>
    <w:rsid w:val="00476483"/>
    <w:rsid w:val="00482360"/>
    <w:rsid w:val="004828CC"/>
    <w:rsid w:val="00484D26"/>
    <w:rsid w:val="004867B7"/>
    <w:rsid w:val="00492384"/>
    <w:rsid w:val="004927A0"/>
    <w:rsid w:val="00492F37"/>
    <w:rsid w:val="004A0DA5"/>
    <w:rsid w:val="004A1730"/>
    <w:rsid w:val="004A3767"/>
    <w:rsid w:val="004A4690"/>
    <w:rsid w:val="004A619D"/>
    <w:rsid w:val="004B20C1"/>
    <w:rsid w:val="004B3D95"/>
    <w:rsid w:val="004C6496"/>
    <w:rsid w:val="004C674F"/>
    <w:rsid w:val="004C79DB"/>
    <w:rsid w:val="004D0F94"/>
    <w:rsid w:val="004D165F"/>
    <w:rsid w:val="004D6075"/>
    <w:rsid w:val="004D7763"/>
    <w:rsid w:val="004E2F18"/>
    <w:rsid w:val="004E42F2"/>
    <w:rsid w:val="004F0D65"/>
    <w:rsid w:val="004F17C8"/>
    <w:rsid w:val="004F3859"/>
    <w:rsid w:val="004F4473"/>
    <w:rsid w:val="00500B69"/>
    <w:rsid w:val="0050251C"/>
    <w:rsid w:val="00503537"/>
    <w:rsid w:val="00505227"/>
    <w:rsid w:val="005063F2"/>
    <w:rsid w:val="00507539"/>
    <w:rsid w:val="005156C6"/>
    <w:rsid w:val="00517794"/>
    <w:rsid w:val="00520A62"/>
    <w:rsid w:val="005223EB"/>
    <w:rsid w:val="00522494"/>
    <w:rsid w:val="00524762"/>
    <w:rsid w:val="0052489C"/>
    <w:rsid w:val="00525E66"/>
    <w:rsid w:val="00531BBB"/>
    <w:rsid w:val="00532A17"/>
    <w:rsid w:val="00533476"/>
    <w:rsid w:val="00534B10"/>
    <w:rsid w:val="00542D94"/>
    <w:rsid w:val="00543608"/>
    <w:rsid w:val="00544F4B"/>
    <w:rsid w:val="00547271"/>
    <w:rsid w:val="00550EF8"/>
    <w:rsid w:val="0055274B"/>
    <w:rsid w:val="005527F4"/>
    <w:rsid w:val="00552802"/>
    <w:rsid w:val="0055466F"/>
    <w:rsid w:val="00561789"/>
    <w:rsid w:val="00562154"/>
    <w:rsid w:val="005649E7"/>
    <w:rsid w:val="00571357"/>
    <w:rsid w:val="00573E79"/>
    <w:rsid w:val="00574C44"/>
    <w:rsid w:val="0058285D"/>
    <w:rsid w:val="00584205"/>
    <w:rsid w:val="00585D2B"/>
    <w:rsid w:val="00586EC9"/>
    <w:rsid w:val="00586FDE"/>
    <w:rsid w:val="00590551"/>
    <w:rsid w:val="005906F6"/>
    <w:rsid w:val="0059072E"/>
    <w:rsid w:val="0059091A"/>
    <w:rsid w:val="00591F6D"/>
    <w:rsid w:val="00591FC7"/>
    <w:rsid w:val="00593AFE"/>
    <w:rsid w:val="00596405"/>
    <w:rsid w:val="005A0490"/>
    <w:rsid w:val="005A0A9C"/>
    <w:rsid w:val="005A47DC"/>
    <w:rsid w:val="005A5F82"/>
    <w:rsid w:val="005B0B2C"/>
    <w:rsid w:val="005B0E48"/>
    <w:rsid w:val="005C1F07"/>
    <w:rsid w:val="005C5F65"/>
    <w:rsid w:val="005C6137"/>
    <w:rsid w:val="005C6461"/>
    <w:rsid w:val="005D2C47"/>
    <w:rsid w:val="005D717F"/>
    <w:rsid w:val="005E01B1"/>
    <w:rsid w:val="005E1467"/>
    <w:rsid w:val="005E28EF"/>
    <w:rsid w:val="005F0429"/>
    <w:rsid w:val="005F0BD6"/>
    <w:rsid w:val="005F0C55"/>
    <w:rsid w:val="005F0E29"/>
    <w:rsid w:val="005F1F55"/>
    <w:rsid w:val="005F2EF8"/>
    <w:rsid w:val="005F7817"/>
    <w:rsid w:val="006020FF"/>
    <w:rsid w:val="00603119"/>
    <w:rsid w:val="00605672"/>
    <w:rsid w:val="006062BA"/>
    <w:rsid w:val="00610C2D"/>
    <w:rsid w:val="00611D8C"/>
    <w:rsid w:val="00614968"/>
    <w:rsid w:val="006161A0"/>
    <w:rsid w:val="00622639"/>
    <w:rsid w:val="00623861"/>
    <w:rsid w:val="006251F7"/>
    <w:rsid w:val="00631755"/>
    <w:rsid w:val="006317C8"/>
    <w:rsid w:val="006334FB"/>
    <w:rsid w:val="006457E1"/>
    <w:rsid w:val="0064691D"/>
    <w:rsid w:val="00646F45"/>
    <w:rsid w:val="0065374D"/>
    <w:rsid w:val="00653E9E"/>
    <w:rsid w:val="00654C70"/>
    <w:rsid w:val="00656F38"/>
    <w:rsid w:val="0066039C"/>
    <w:rsid w:val="00662051"/>
    <w:rsid w:val="00662A6D"/>
    <w:rsid w:val="0066486B"/>
    <w:rsid w:val="006701F8"/>
    <w:rsid w:val="006711C9"/>
    <w:rsid w:val="00672FA5"/>
    <w:rsid w:val="00673F05"/>
    <w:rsid w:val="006750CD"/>
    <w:rsid w:val="00675907"/>
    <w:rsid w:val="00683EBF"/>
    <w:rsid w:val="00684250"/>
    <w:rsid w:val="00690D67"/>
    <w:rsid w:val="00691088"/>
    <w:rsid w:val="00694147"/>
    <w:rsid w:val="00696C2C"/>
    <w:rsid w:val="00696DD6"/>
    <w:rsid w:val="006976B8"/>
    <w:rsid w:val="006A043B"/>
    <w:rsid w:val="006A265F"/>
    <w:rsid w:val="006A2A15"/>
    <w:rsid w:val="006A4392"/>
    <w:rsid w:val="006B732D"/>
    <w:rsid w:val="006B76FF"/>
    <w:rsid w:val="006C444F"/>
    <w:rsid w:val="006C58DC"/>
    <w:rsid w:val="006D1A87"/>
    <w:rsid w:val="006D3637"/>
    <w:rsid w:val="006E013C"/>
    <w:rsid w:val="006E2660"/>
    <w:rsid w:val="006F1397"/>
    <w:rsid w:val="006F46F2"/>
    <w:rsid w:val="00702424"/>
    <w:rsid w:val="00705C7D"/>
    <w:rsid w:val="00706407"/>
    <w:rsid w:val="0070765D"/>
    <w:rsid w:val="00711426"/>
    <w:rsid w:val="0072030A"/>
    <w:rsid w:val="007219D1"/>
    <w:rsid w:val="00722AC5"/>
    <w:rsid w:val="007233C7"/>
    <w:rsid w:val="007242B7"/>
    <w:rsid w:val="0072665A"/>
    <w:rsid w:val="00726C23"/>
    <w:rsid w:val="007350C4"/>
    <w:rsid w:val="00735ECD"/>
    <w:rsid w:val="0073720F"/>
    <w:rsid w:val="0073725E"/>
    <w:rsid w:val="00740C55"/>
    <w:rsid w:val="00742C6F"/>
    <w:rsid w:val="007469BC"/>
    <w:rsid w:val="00753441"/>
    <w:rsid w:val="00761C3B"/>
    <w:rsid w:val="0076310D"/>
    <w:rsid w:val="007662F5"/>
    <w:rsid w:val="00774A01"/>
    <w:rsid w:val="00775721"/>
    <w:rsid w:val="00781F46"/>
    <w:rsid w:val="0078338C"/>
    <w:rsid w:val="00785AD1"/>
    <w:rsid w:val="00787E5A"/>
    <w:rsid w:val="007919FD"/>
    <w:rsid w:val="00796489"/>
    <w:rsid w:val="0079734E"/>
    <w:rsid w:val="0079752B"/>
    <w:rsid w:val="007A22A4"/>
    <w:rsid w:val="007A418D"/>
    <w:rsid w:val="007A68C5"/>
    <w:rsid w:val="007A715E"/>
    <w:rsid w:val="007B0EB2"/>
    <w:rsid w:val="007B1EEE"/>
    <w:rsid w:val="007B6E36"/>
    <w:rsid w:val="007B75D2"/>
    <w:rsid w:val="007B79E7"/>
    <w:rsid w:val="007C5419"/>
    <w:rsid w:val="007C5ECC"/>
    <w:rsid w:val="007C618E"/>
    <w:rsid w:val="007C775C"/>
    <w:rsid w:val="007D337B"/>
    <w:rsid w:val="007D60CA"/>
    <w:rsid w:val="007D67E1"/>
    <w:rsid w:val="007E0A89"/>
    <w:rsid w:val="007E132C"/>
    <w:rsid w:val="007E3502"/>
    <w:rsid w:val="007E3CBC"/>
    <w:rsid w:val="007F1900"/>
    <w:rsid w:val="007F3D27"/>
    <w:rsid w:val="007F450F"/>
    <w:rsid w:val="007F56AC"/>
    <w:rsid w:val="0080322D"/>
    <w:rsid w:val="00803709"/>
    <w:rsid w:val="00805D3B"/>
    <w:rsid w:val="0081097D"/>
    <w:rsid w:val="00811A7A"/>
    <w:rsid w:val="008137FC"/>
    <w:rsid w:val="00814538"/>
    <w:rsid w:val="00814D5D"/>
    <w:rsid w:val="008169BA"/>
    <w:rsid w:val="00817457"/>
    <w:rsid w:val="008227F9"/>
    <w:rsid w:val="00823157"/>
    <w:rsid w:val="00823B2D"/>
    <w:rsid w:val="008262E1"/>
    <w:rsid w:val="00830F9B"/>
    <w:rsid w:val="008310CC"/>
    <w:rsid w:val="0084051D"/>
    <w:rsid w:val="00844F44"/>
    <w:rsid w:val="0084568B"/>
    <w:rsid w:val="00846E0B"/>
    <w:rsid w:val="00857720"/>
    <w:rsid w:val="00862E03"/>
    <w:rsid w:val="00864259"/>
    <w:rsid w:val="00865947"/>
    <w:rsid w:val="0087227D"/>
    <w:rsid w:val="0087770B"/>
    <w:rsid w:val="00882C5A"/>
    <w:rsid w:val="00882D0F"/>
    <w:rsid w:val="00882DA0"/>
    <w:rsid w:val="00886B47"/>
    <w:rsid w:val="00890E4F"/>
    <w:rsid w:val="00891B99"/>
    <w:rsid w:val="00892376"/>
    <w:rsid w:val="008927D6"/>
    <w:rsid w:val="00895DB4"/>
    <w:rsid w:val="00895DE8"/>
    <w:rsid w:val="008A0155"/>
    <w:rsid w:val="008A1227"/>
    <w:rsid w:val="008A29A6"/>
    <w:rsid w:val="008A3466"/>
    <w:rsid w:val="008A7186"/>
    <w:rsid w:val="008B2B55"/>
    <w:rsid w:val="008B4916"/>
    <w:rsid w:val="008B52DE"/>
    <w:rsid w:val="008C17A8"/>
    <w:rsid w:val="008C3F2E"/>
    <w:rsid w:val="008C42D4"/>
    <w:rsid w:val="008D14E8"/>
    <w:rsid w:val="008E17F7"/>
    <w:rsid w:val="008E2A09"/>
    <w:rsid w:val="008E2FDF"/>
    <w:rsid w:val="008E3180"/>
    <w:rsid w:val="008E68DC"/>
    <w:rsid w:val="008E6B77"/>
    <w:rsid w:val="008E7EDB"/>
    <w:rsid w:val="008F2A3D"/>
    <w:rsid w:val="008F5E46"/>
    <w:rsid w:val="008F6840"/>
    <w:rsid w:val="008F68C0"/>
    <w:rsid w:val="00902FE4"/>
    <w:rsid w:val="00903A95"/>
    <w:rsid w:val="00906848"/>
    <w:rsid w:val="009108D3"/>
    <w:rsid w:val="0091404C"/>
    <w:rsid w:val="00917434"/>
    <w:rsid w:val="0092137D"/>
    <w:rsid w:val="0093160D"/>
    <w:rsid w:val="00931CC2"/>
    <w:rsid w:val="009324DF"/>
    <w:rsid w:val="00934254"/>
    <w:rsid w:val="00936A3A"/>
    <w:rsid w:val="00941E41"/>
    <w:rsid w:val="00951198"/>
    <w:rsid w:val="0095357F"/>
    <w:rsid w:val="0095754D"/>
    <w:rsid w:val="00957EA6"/>
    <w:rsid w:val="009614E0"/>
    <w:rsid w:val="00966C8D"/>
    <w:rsid w:val="009678D9"/>
    <w:rsid w:val="00973ECD"/>
    <w:rsid w:val="00974874"/>
    <w:rsid w:val="00974C88"/>
    <w:rsid w:val="009763A3"/>
    <w:rsid w:val="00976648"/>
    <w:rsid w:val="009826C4"/>
    <w:rsid w:val="0098324A"/>
    <w:rsid w:val="00984897"/>
    <w:rsid w:val="00986D7E"/>
    <w:rsid w:val="00990172"/>
    <w:rsid w:val="00992DEE"/>
    <w:rsid w:val="00994630"/>
    <w:rsid w:val="009954CB"/>
    <w:rsid w:val="00996488"/>
    <w:rsid w:val="009A1A73"/>
    <w:rsid w:val="009A2D53"/>
    <w:rsid w:val="009A47A9"/>
    <w:rsid w:val="009A70CF"/>
    <w:rsid w:val="009A737E"/>
    <w:rsid w:val="009B6E5E"/>
    <w:rsid w:val="009C55F3"/>
    <w:rsid w:val="009D0400"/>
    <w:rsid w:val="009D2C93"/>
    <w:rsid w:val="009D591A"/>
    <w:rsid w:val="009D604E"/>
    <w:rsid w:val="009E0F35"/>
    <w:rsid w:val="009E170D"/>
    <w:rsid w:val="009E2FA5"/>
    <w:rsid w:val="009E331F"/>
    <w:rsid w:val="009E4978"/>
    <w:rsid w:val="009E6646"/>
    <w:rsid w:val="009F26F5"/>
    <w:rsid w:val="009F43A8"/>
    <w:rsid w:val="009F4886"/>
    <w:rsid w:val="009F5922"/>
    <w:rsid w:val="009F7404"/>
    <w:rsid w:val="009F75CC"/>
    <w:rsid w:val="00A00EF8"/>
    <w:rsid w:val="00A03FDC"/>
    <w:rsid w:val="00A044AC"/>
    <w:rsid w:val="00A119D8"/>
    <w:rsid w:val="00A13165"/>
    <w:rsid w:val="00A15590"/>
    <w:rsid w:val="00A16060"/>
    <w:rsid w:val="00A212F4"/>
    <w:rsid w:val="00A22A7E"/>
    <w:rsid w:val="00A26BA5"/>
    <w:rsid w:val="00A30DBF"/>
    <w:rsid w:val="00A32A01"/>
    <w:rsid w:val="00A35497"/>
    <w:rsid w:val="00A367E0"/>
    <w:rsid w:val="00A415DF"/>
    <w:rsid w:val="00A425B7"/>
    <w:rsid w:val="00A42BE1"/>
    <w:rsid w:val="00A46F7B"/>
    <w:rsid w:val="00A47F2B"/>
    <w:rsid w:val="00A5127C"/>
    <w:rsid w:val="00A53589"/>
    <w:rsid w:val="00A53AC5"/>
    <w:rsid w:val="00A53F1D"/>
    <w:rsid w:val="00A5487F"/>
    <w:rsid w:val="00A55FA2"/>
    <w:rsid w:val="00A56E65"/>
    <w:rsid w:val="00A60E0F"/>
    <w:rsid w:val="00A6355C"/>
    <w:rsid w:val="00A666AE"/>
    <w:rsid w:val="00A71C5F"/>
    <w:rsid w:val="00A72213"/>
    <w:rsid w:val="00A7274C"/>
    <w:rsid w:val="00A75284"/>
    <w:rsid w:val="00A8022C"/>
    <w:rsid w:val="00A82B21"/>
    <w:rsid w:val="00A83B48"/>
    <w:rsid w:val="00A8488C"/>
    <w:rsid w:val="00A924E0"/>
    <w:rsid w:val="00AA113E"/>
    <w:rsid w:val="00AA3ABC"/>
    <w:rsid w:val="00AB2A57"/>
    <w:rsid w:val="00AB62AB"/>
    <w:rsid w:val="00AB6733"/>
    <w:rsid w:val="00AB7DB5"/>
    <w:rsid w:val="00AC33F5"/>
    <w:rsid w:val="00AC3B79"/>
    <w:rsid w:val="00AC6B01"/>
    <w:rsid w:val="00AD0005"/>
    <w:rsid w:val="00AD06F7"/>
    <w:rsid w:val="00AD5C6D"/>
    <w:rsid w:val="00AD6839"/>
    <w:rsid w:val="00AD696E"/>
    <w:rsid w:val="00AE0A54"/>
    <w:rsid w:val="00AE1B6C"/>
    <w:rsid w:val="00AE25F0"/>
    <w:rsid w:val="00AE4187"/>
    <w:rsid w:val="00AE49D6"/>
    <w:rsid w:val="00AE689E"/>
    <w:rsid w:val="00AF3D53"/>
    <w:rsid w:val="00AF6415"/>
    <w:rsid w:val="00AF6D33"/>
    <w:rsid w:val="00AF755C"/>
    <w:rsid w:val="00AF7E2D"/>
    <w:rsid w:val="00B001EE"/>
    <w:rsid w:val="00B01A9D"/>
    <w:rsid w:val="00B02353"/>
    <w:rsid w:val="00B0267F"/>
    <w:rsid w:val="00B049E6"/>
    <w:rsid w:val="00B06B4A"/>
    <w:rsid w:val="00B10BB9"/>
    <w:rsid w:val="00B121B2"/>
    <w:rsid w:val="00B14686"/>
    <w:rsid w:val="00B1529F"/>
    <w:rsid w:val="00B1571A"/>
    <w:rsid w:val="00B15A19"/>
    <w:rsid w:val="00B15E6C"/>
    <w:rsid w:val="00B20A00"/>
    <w:rsid w:val="00B20E73"/>
    <w:rsid w:val="00B20FDB"/>
    <w:rsid w:val="00B21C58"/>
    <w:rsid w:val="00B22FF7"/>
    <w:rsid w:val="00B23A1E"/>
    <w:rsid w:val="00B26317"/>
    <w:rsid w:val="00B32B97"/>
    <w:rsid w:val="00B34530"/>
    <w:rsid w:val="00B35064"/>
    <w:rsid w:val="00B3706B"/>
    <w:rsid w:val="00B4073E"/>
    <w:rsid w:val="00B41BA1"/>
    <w:rsid w:val="00B43B64"/>
    <w:rsid w:val="00B44386"/>
    <w:rsid w:val="00B44636"/>
    <w:rsid w:val="00B4512D"/>
    <w:rsid w:val="00B521EE"/>
    <w:rsid w:val="00B5282A"/>
    <w:rsid w:val="00B552C0"/>
    <w:rsid w:val="00B5672F"/>
    <w:rsid w:val="00B56DDD"/>
    <w:rsid w:val="00B573A3"/>
    <w:rsid w:val="00B63883"/>
    <w:rsid w:val="00B63D2C"/>
    <w:rsid w:val="00B655C3"/>
    <w:rsid w:val="00B74A23"/>
    <w:rsid w:val="00B83FF4"/>
    <w:rsid w:val="00B85E74"/>
    <w:rsid w:val="00B86259"/>
    <w:rsid w:val="00B877DB"/>
    <w:rsid w:val="00B91018"/>
    <w:rsid w:val="00B92A71"/>
    <w:rsid w:val="00B93CF4"/>
    <w:rsid w:val="00B947C6"/>
    <w:rsid w:val="00B973EC"/>
    <w:rsid w:val="00B9772E"/>
    <w:rsid w:val="00BA0575"/>
    <w:rsid w:val="00BA0BC1"/>
    <w:rsid w:val="00BA43D0"/>
    <w:rsid w:val="00BA5668"/>
    <w:rsid w:val="00BA7DB1"/>
    <w:rsid w:val="00BB1130"/>
    <w:rsid w:val="00BB4962"/>
    <w:rsid w:val="00BB65F4"/>
    <w:rsid w:val="00BB6E63"/>
    <w:rsid w:val="00BB7679"/>
    <w:rsid w:val="00BC12E7"/>
    <w:rsid w:val="00BC2B94"/>
    <w:rsid w:val="00BC4A43"/>
    <w:rsid w:val="00BC70D5"/>
    <w:rsid w:val="00BC739F"/>
    <w:rsid w:val="00BD0B4F"/>
    <w:rsid w:val="00BD1783"/>
    <w:rsid w:val="00BD3E73"/>
    <w:rsid w:val="00BE27D0"/>
    <w:rsid w:val="00BE2A06"/>
    <w:rsid w:val="00BE2EC6"/>
    <w:rsid w:val="00BE2EE2"/>
    <w:rsid w:val="00BE3CF4"/>
    <w:rsid w:val="00BE4125"/>
    <w:rsid w:val="00BE4F2A"/>
    <w:rsid w:val="00BE4FA5"/>
    <w:rsid w:val="00BE78DD"/>
    <w:rsid w:val="00BF28C5"/>
    <w:rsid w:val="00BF3AD5"/>
    <w:rsid w:val="00BF46F9"/>
    <w:rsid w:val="00BF7F0D"/>
    <w:rsid w:val="00C00FD0"/>
    <w:rsid w:val="00C01FB0"/>
    <w:rsid w:val="00C0361E"/>
    <w:rsid w:val="00C03D85"/>
    <w:rsid w:val="00C04642"/>
    <w:rsid w:val="00C05CE3"/>
    <w:rsid w:val="00C1349A"/>
    <w:rsid w:val="00C13DA6"/>
    <w:rsid w:val="00C1509B"/>
    <w:rsid w:val="00C20989"/>
    <w:rsid w:val="00C217B2"/>
    <w:rsid w:val="00C2443C"/>
    <w:rsid w:val="00C3068F"/>
    <w:rsid w:val="00C31D4C"/>
    <w:rsid w:val="00C3269D"/>
    <w:rsid w:val="00C356CC"/>
    <w:rsid w:val="00C36E83"/>
    <w:rsid w:val="00C37BFB"/>
    <w:rsid w:val="00C4048C"/>
    <w:rsid w:val="00C419A4"/>
    <w:rsid w:val="00C4308D"/>
    <w:rsid w:val="00C434F3"/>
    <w:rsid w:val="00C4444E"/>
    <w:rsid w:val="00C44849"/>
    <w:rsid w:val="00C45307"/>
    <w:rsid w:val="00C462E7"/>
    <w:rsid w:val="00C475AA"/>
    <w:rsid w:val="00C51671"/>
    <w:rsid w:val="00C52C5D"/>
    <w:rsid w:val="00C52C63"/>
    <w:rsid w:val="00C555B9"/>
    <w:rsid w:val="00C56A7B"/>
    <w:rsid w:val="00C666B7"/>
    <w:rsid w:val="00C71EE5"/>
    <w:rsid w:val="00C77CFA"/>
    <w:rsid w:val="00C8116B"/>
    <w:rsid w:val="00C82BAC"/>
    <w:rsid w:val="00CA52D9"/>
    <w:rsid w:val="00CA65E0"/>
    <w:rsid w:val="00CB4F9A"/>
    <w:rsid w:val="00CB53B7"/>
    <w:rsid w:val="00CB5906"/>
    <w:rsid w:val="00CB70BD"/>
    <w:rsid w:val="00CC5FFE"/>
    <w:rsid w:val="00CD0DB2"/>
    <w:rsid w:val="00CD3D42"/>
    <w:rsid w:val="00CD533D"/>
    <w:rsid w:val="00CD554B"/>
    <w:rsid w:val="00CD64F1"/>
    <w:rsid w:val="00CE0245"/>
    <w:rsid w:val="00CE2B2E"/>
    <w:rsid w:val="00CE3605"/>
    <w:rsid w:val="00CE5271"/>
    <w:rsid w:val="00CE5F60"/>
    <w:rsid w:val="00CE7D64"/>
    <w:rsid w:val="00CF1AF6"/>
    <w:rsid w:val="00CF2032"/>
    <w:rsid w:val="00D01136"/>
    <w:rsid w:val="00D01A1A"/>
    <w:rsid w:val="00D069EE"/>
    <w:rsid w:val="00D077A8"/>
    <w:rsid w:val="00D126C3"/>
    <w:rsid w:val="00D131CF"/>
    <w:rsid w:val="00D15164"/>
    <w:rsid w:val="00D172B8"/>
    <w:rsid w:val="00D17F07"/>
    <w:rsid w:val="00D20C10"/>
    <w:rsid w:val="00D2577B"/>
    <w:rsid w:val="00D26C16"/>
    <w:rsid w:val="00D30203"/>
    <w:rsid w:val="00D30750"/>
    <w:rsid w:val="00D30E1C"/>
    <w:rsid w:val="00D3386F"/>
    <w:rsid w:val="00D344AA"/>
    <w:rsid w:val="00D34B36"/>
    <w:rsid w:val="00D350F2"/>
    <w:rsid w:val="00D37337"/>
    <w:rsid w:val="00D41256"/>
    <w:rsid w:val="00D41522"/>
    <w:rsid w:val="00D42055"/>
    <w:rsid w:val="00D45EE3"/>
    <w:rsid w:val="00D53143"/>
    <w:rsid w:val="00D5373D"/>
    <w:rsid w:val="00D537B3"/>
    <w:rsid w:val="00D54869"/>
    <w:rsid w:val="00D603AF"/>
    <w:rsid w:val="00D61FD3"/>
    <w:rsid w:val="00D64A91"/>
    <w:rsid w:val="00D65C62"/>
    <w:rsid w:val="00D67002"/>
    <w:rsid w:val="00D70466"/>
    <w:rsid w:val="00D72C24"/>
    <w:rsid w:val="00D75D67"/>
    <w:rsid w:val="00D761D8"/>
    <w:rsid w:val="00D7704F"/>
    <w:rsid w:val="00D77A33"/>
    <w:rsid w:val="00D77C8B"/>
    <w:rsid w:val="00D807DF"/>
    <w:rsid w:val="00D867F2"/>
    <w:rsid w:val="00D87ABD"/>
    <w:rsid w:val="00D94AC3"/>
    <w:rsid w:val="00DA15E0"/>
    <w:rsid w:val="00DA4DF3"/>
    <w:rsid w:val="00DA57D2"/>
    <w:rsid w:val="00DA5BEB"/>
    <w:rsid w:val="00DA71CA"/>
    <w:rsid w:val="00DB063C"/>
    <w:rsid w:val="00DB0728"/>
    <w:rsid w:val="00DB2BE0"/>
    <w:rsid w:val="00DB2EFB"/>
    <w:rsid w:val="00DB3946"/>
    <w:rsid w:val="00DB6142"/>
    <w:rsid w:val="00DB7884"/>
    <w:rsid w:val="00DC07B9"/>
    <w:rsid w:val="00DC1606"/>
    <w:rsid w:val="00DC20CE"/>
    <w:rsid w:val="00DD196D"/>
    <w:rsid w:val="00DD4967"/>
    <w:rsid w:val="00DD5261"/>
    <w:rsid w:val="00DE0A44"/>
    <w:rsid w:val="00DE3DB6"/>
    <w:rsid w:val="00DE4773"/>
    <w:rsid w:val="00DE65A7"/>
    <w:rsid w:val="00DF4803"/>
    <w:rsid w:val="00E0098E"/>
    <w:rsid w:val="00E01F8D"/>
    <w:rsid w:val="00E01FBD"/>
    <w:rsid w:val="00E044D8"/>
    <w:rsid w:val="00E06692"/>
    <w:rsid w:val="00E15558"/>
    <w:rsid w:val="00E15A91"/>
    <w:rsid w:val="00E21BA5"/>
    <w:rsid w:val="00E22E35"/>
    <w:rsid w:val="00E24B47"/>
    <w:rsid w:val="00E25700"/>
    <w:rsid w:val="00E337E9"/>
    <w:rsid w:val="00E36872"/>
    <w:rsid w:val="00E37D9C"/>
    <w:rsid w:val="00E42CA5"/>
    <w:rsid w:val="00E4536B"/>
    <w:rsid w:val="00E4654F"/>
    <w:rsid w:val="00E553DB"/>
    <w:rsid w:val="00E55A82"/>
    <w:rsid w:val="00E55DE4"/>
    <w:rsid w:val="00E56558"/>
    <w:rsid w:val="00E565A0"/>
    <w:rsid w:val="00E63355"/>
    <w:rsid w:val="00E636E1"/>
    <w:rsid w:val="00E7579B"/>
    <w:rsid w:val="00E75A21"/>
    <w:rsid w:val="00E75F17"/>
    <w:rsid w:val="00E763B0"/>
    <w:rsid w:val="00E8165C"/>
    <w:rsid w:val="00E862EB"/>
    <w:rsid w:val="00E86794"/>
    <w:rsid w:val="00E87B38"/>
    <w:rsid w:val="00E92F39"/>
    <w:rsid w:val="00E93905"/>
    <w:rsid w:val="00E93C0F"/>
    <w:rsid w:val="00E97885"/>
    <w:rsid w:val="00EA2CFD"/>
    <w:rsid w:val="00EA42C5"/>
    <w:rsid w:val="00EA6446"/>
    <w:rsid w:val="00EA72B2"/>
    <w:rsid w:val="00EB3858"/>
    <w:rsid w:val="00EB45F4"/>
    <w:rsid w:val="00EC3989"/>
    <w:rsid w:val="00EC43F6"/>
    <w:rsid w:val="00EC5A25"/>
    <w:rsid w:val="00EC7E30"/>
    <w:rsid w:val="00ED7589"/>
    <w:rsid w:val="00EE74D8"/>
    <w:rsid w:val="00EE783F"/>
    <w:rsid w:val="00EF186E"/>
    <w:rsid w:val="00EF1EDA"/>
    <w:rsid w:val="00EF35A7"/>
    <w:rsid w:val="00EF3C06"/>
    <w:rsid w:val="00EF5656"/>
    <w:rsid w:val="00F0439D"/>
    <w:rsid w:val="00F10BAA"/>
    <w:rsid w:val="00F13EE3"/>
    <w:rsid w:val="00F211AC"/>
    <w:rsid w:val="00F27A34"/>
    <w:rsid w:val="00F30BD0"/>
    <w:rsid w:val="00F32506"/>
    <w:rsid w:val="00F35288"/>
    <w:rsid w:val="00F3637A"/>
    <w:rsid w:val="00F36A21"/>
    <w:rsid w:val="00F407CB"/>
    <w:rsid w:val="00F40D50"/>
    <w:rsid w:val="00F41202"/>
    <w:rsid w:val="00F4316B"/>
    <w:rsid w:val="00F44AB4"/>
    <w:rsid w:val="00F479FF"/>
    <w:rsid w:val="00F51470"/>
    <w:rsid w:val="00F54895"/>
    <w:rsid w:val="00F60763"/>
    <w:rsid w:val="00F612D1"/>
    <w:rsid w:val="00F63CD9"/>
    <w:rsid w:val="00F64055"/>
    <w:rsid w:val="00F64C7A"/>
    <w:rsid w:val="00F67498"/>
    <w:rsid w:val="00F677CD"/>
    <w:rsid w:val="00F71B71"/>
    <w:rsid w:val="00F725EB"/>
    <w:rsid w:val="00F87B8B"/>
    <w:rsid w:val="00F92593"/>
    <w:rsid w:val="00F92D1A"/>
    <w:rsid w:val="00F9347C"/>
    <w:rsid w:val="00F97A47"/>
    <w:rsid w:val="00FA0587"/>
    <w:rsid w:val="00FA0DA7"/>
    <w:rsid w:val="00FA5C2F"/>
    <w:rsid w:val="00FA66DF"/>
    <w:rsid w:val="00FB6264"/>
    <w:rsid w:val="00FB7A6D"/>
    <w:rsid w:val="00FC5728"/>
    <w:rsid w:val="00FC7B09"/>
    <w:rsid w:val="00FC7E0F"/>
    <w:rsid w:val="00FD10F0"/>
    <w:rsid w:val="00FD20CE"/>
    <w:rsid w:val="00FD2D0F"/>
    <w:rsid w:val="00FD3EEA"/>
    <w:rsid w:val="00FD4C12"/>
    <w:rsid w:val="00FD6918"/>
    <w:rsid w:val="00FD7AC9"/>
    <w:rsid w:val="00FD7F2D"/>
    <w:rsid w:val="00FE3FFF"/>
    <w:rsid w:val="00FE47E5"/>
    <w:rsid w:val="00FE6B37"/>
    <w:rsid w:val="00FE6FDA"/>
    <w:rsid w:val="00FE701C"/>
    <w:rsid w:val="00FE7838"/>
    <w:rsid w:val="00FE7D71"/>
    <w:rsid w:val="00FF4371"/>
    <w:rsid w:val="00FF5226"/>
    <w:rsid w:val="00FF7262"/>
    <w:rsid w:val="00FF781C"/>
    <w:rsid w:val="015A348A"/>
    <w:rsid w:val="01887F16"/>
    <w:rsid w:val="01E015F3"/>
    <w:rsid w:val="023D4343"/>
    <w:rsid w:val="02803F5C"/>
    <w:rsid w:val="045A49E3"/>
    <w:rsid w:val="067B07A5"/>
    <w:rsid w:val="071B28A0"/>
    <w:rsid w:val="08BA7DA5"/>
    <w:rsid w:val="08C43685"/>
    <w:rsid w:val="0972109E"/>
    <w:rsid w:val="09A23E0D"/>
    <w:rsid w:val="0A2552B4"/>
    <w:rsid w:val="0A567F18"/>
    <w:rsid w:val="0DF3209E"/>
    <w:rsid w:val="0E1C09FE"/>
    <w:rsid w:val="0F6F75A5"/>
    <w:rsid w:val="0FDC3057"/>
    <w:rsid w:val="112A435F"/>
    <w:rsid w:val="11AF207B"/>
    <w:rsid w:val="1324651F"/>
    <w:rsid w:val="13AE40DA"/>
    <w:rsid w:val="13C53FFC"/>
    <w:rsid w:val="164A782F"/>
    <w:rsid w:val="171A77AF"/>
    <w:rsid w:val="198A7FF5"/>
    <w:rsid w:val="1A0539D9"/>
    <w:rsid w:val="1A403AF6"/>
    <w:rsid w:val="1A984B1B"/>
    <w:rsid w:val="1B1A2112"/>
    <w:rsid w:val="1C426750"/>
    <w:rsid w:val="1DB83493"/>
    <w:rsid w:val="1E757928"/>
    <w:rsid w:val="2191322F"/>
    <w:rsid w:val="23387F61"/>
    <w:rsid w:val="23713AF0"/>
    <w:rsid w:val="23990C38"/>
    <w:rsid w:val="26AD4214"/>
    <w:rsid w:val="271E3DA1"/>
    <w:rsid w:val="27657022"/>
    <w:rsid w:val="27831F68"/>
    <w:rsid w:val="28926D97"/>
    <w:rsid w:val="28DD09CA"/>
    <w:rsid w:val="29585FEC"/>
    <w:rsid w:val="298E1EAD"/>
    <w:rsid w:val="2C406268"/>
    <w:rsid w:val="2E043E29"/>
    <w:rsid w:val="2F0C123B"/>
    <w:rsid w:val="2F357CE5"/>
    <w:rsid w:val="31732E60"/>
    <w:rsid w:val="317E445E"/>
    <w:rsid w:val="330A79DD"/>
    <w:rsid w:val="35123421"/>
    <w:rsid w:val="35DD55EA"/>
    <w:rsid w:val="36C312A2"/>
    <w:rsid w:val="37CD5185"/>
    <w:rsid w:val="39E462AA"/>
    <w:rsid w:val="3A3B3135"/>
    <w:rsid w:val="3A685E93"/>
    <w:rsid w:val="3A69701C"/>
    <w:rsid w:val="3B1768F9"/>
    <w:rsid w:val="3C030FB3"/>
    <w:rsid w:val="3CFB42C4"/>
    <w:rsid w:val="3E874995"/>
    <w:rsid w:val="40493537"/>
    <w:rsid w:val="423167A1"/>
    <w:rsid w:val="442F5E18"/>
    <w:rsid w:val="47586BF5"/>
    <w:rsid w:val="483D2051"/>
    <w:rsid w:val="49FB6D0A"/>
    <w:rsid w:val="4AA26580"/>
    <w:rsid w:val="4ADB5BD2"/>
    <w:rsid w:val="4BE00092"/>
    <w:rsid w:val="4CBC5169"/>
    <w:rsid w:val="4DEC0098"/>
    <w:rsid w:val="504D7FAA"/>
    <w:rsid w:val="50EC1FEA"/>
    <w:rsid w:val="51894AC8"/>
    <w:rsid w:val="5652405E"/>
    <w:rsid w:val="56867B8E"/>
    <w:rsid w:val="57F83475"/>
    <w:rsid w:val="58B46D05"/>
    <w:rsid w:val="59E71079"/>
    <w:rsid w:val="5A205495"/>
    <w:rsid w:val="5B305B8F"/>
    <w:rsid w:val="5C531F17"/>
    <w:rsid w:val="5D421F35"/>
    <w:rsid w:val="5DE604DA"/>
    <w:rsid w:val="5E463F36"/>
    <w:rsid w:val="5F090B17"/>
    <w:rsid w:val="63863C34"/>
    <w:rsid w:val="64B5621C"/>
    <w:rsid w:val="65257CAF"/>
    <w:rsid w:val="663E7128"/>
    <w:rsid w:val="68350422"/>
    <w:rsid w:val="6836666B"/>
    <w:rsid w:val="68C5548E"/>
    <w:rsid w:val="691C5693"/>
    <w:rsid w:val="6DE1155D"/>
    <w:rsid w:val="6DE245D2"/>
    <w:rsid w:val="6EFF64A0"/>
    <w:rsid w:val="6F453759"/>
    <w:rsid w:val="6FC67C2E"/>
    <w:rsid w:val="6FC85B74"/>
    <w:rsid w:val="70AE4DC8"/>
    <w:rsid w:val="70E413EB"/>
    <w:rsid w:val="712A5DCE"/>
    <w:rsid w:val="7513203A"/>
    <w:rsid w:val="751F7B8F"/>
    <w:rsid w:val="7596422A"/>
    <w:rsid w:val="75CF0B70"/>
    <w:rsid w:val="770853A5"/>
    <w:rsid w:val="78E12808"/>
    <w:rsid w:val="78F03661"/>
    <w:rsid w:val="79D15D16"/>
    <w:rsid w:val="7CCA2B6B"/>
    <w:rsid w:val="7D9A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rPr>
  </w:style>
  <w:style w:type="paragraph" w:styleId="4">
    <w:name w:val="heading 3"/>
    <w:basedOn w:val="1"/>
    <w:next w:val="1"/>
    <w:link w:val="34"/>
    <w:qFormat/>
    <w:uiPriority w:val="9"/>
    <w:pPr>
      <w:keepNext/>
      <w:keepLines/>
      <w:spacing w:before="260" w:after="260" w:line="413" w:lineRule="auto"/>
      <w:outlineLvl w:val="2"/>
    </w:pPr>
    <w:rPr>
      <w:b/>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4"/>
    <w:unhideWhenUsed/>
    <w:qFormat/>
    <w:uiPriority w:val="0"/>
    <w:rPr>
      <w:sz w:val="18"/>
      <w:szCs w:val="18"/>
    </w:rPr>
  </w:style>
  <w:style w:type="paragraph" w:styleId="6">
    <w:name w:val="annotation text"/>
    <w:basedOn w:val="1"/>
    <w:link w:val="20"/>
    <w:unhideWhenUsed/>
    <w:qFormat/>
    <w:uiPriority w:val="99"/>
    <w:rPr>
      <w:rFonts w:ascii="Times New Roman" w:hAnsi="Times New Roman" w:eastAsia="方正仿宋简体" w:cs="Times New Roman"/>
      <w:kern w:val="2"/>
      <w:sz w:val="32"/>
      <w:szCs w:val="32"/>
    </w:rPr>
  </w:style>
  <w:style w:type="paragraph" w:styleId="7">
    <w:name w:val="toc 3"/>
    <w:basedOn w:val="1"/>
    <w:next w:val="1"/>
    <w:unhideWhenUsed/>
    <w:qFormat/>
    <w:uiPriority w:val="39"/>
    <w:pPr>
      <w:ind w:left="840" w:leftChars="400"/>
    </w:pPr>
  </w:style>
  <w:style w:type="paragraph" w:styleId="8">
    <w:name w:val="Balloon Text"/>
    <w:basedOn w:val="1"/>
    <w:link w:val="25"/>
    <w:unhideWhenUsed/>
    <w:qFormat/>
    <w:uiPriority w:val="99"/>
    <w:rPr>
      <w:rFonts w:ascii="Times New Roman" w:hAnsi="Times New Roman" w:eastAsia="方正仿宋简体" w:cs="Times New Roman"/>
      <w:kern w:val="2"/>
      <w:sz w:val="18"/>
      <w:szCs w:val="18"/>
    </w:rPr>
  </w:style>
  <w:style w:type="paragraph" w:styleId="9">
    <w:name w:val="footer"/>
    <w:basedOn w:val="1"/>
    <w:link w:val="18"/>
    <w:unhideWhenUsed/>
    <w:qFormat/>
    <w:uiPriority w:val="99"/>
    <w:pPr>
      <w:tabs>
        <w:tab w:val="center" w:pos="4153"/>
        <w:tab w:val="right" w:pos="8306"/>
      </w:tabs>
      <w:snapToGrid w:val="0"/>
    </w:pPr>
    <w:rPr>
      <w:rFonts w:ascii="Times New Roman" w:hAnsi="Times New Roman" w:eastAsia="方正仿宋简体" w:cs="Times New Roman"/>
      <w:kern w:val="2"/>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rFonts w:ascii="Times New Roman" w:hAnsi="Times New Roman" w:eastAsia="方正仿宋简体" w:cs="Times New Roman"/>
      <w:kern w:val="2"/>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annotation subject"/>
    <w:basedOn w:val="6"/>
    <w:next w:val="6"/>
    <w:link w:val="21"/>
    <w:unhideWhenUsed/>
    <w:qFormat/>
    <w:uiPriority w:val="99"/>
    <w:rPr>
      <w:b/>
      <w:bCs/>
    </w:rPr>
  </w:style>
  <w:style w:type="character" w:styleId="16">
    <w:name w:val="Hyperlink"/>
    <w:unhideWhenUsed/>
    <w:qFormat/>
    <w:uiPriority w:val="99"/>
    <w:rPr>
      <w:color w:val="0000FF"/>
      <w:u w:val="single"/>
    </w:rPr>
  </w:style>
  <w:style w:type="character" w:styleId="17">
    <w:name w:val="annotation reference"/>
    <w:unhideWhenUsed/>
    <w:qFormat/>
    <w:uiPriority w:val="99"/>
    <w:rPr>
      <w:sz w:val="21"/>
      <w:szCs w:val="21"/>
    </w:rPr>
  </w:style>
  <w:style w:type="character" w:customStyle="1" w:styleId="18">
    <w:name w:val="页脚 Char"/>
    <w:link w:val="9"/>
    <w:qFormat/>
    <w:uiPriority w:val="99"/>
    <w:rPr>
      <w:rFonts w:ascii="Times New Roman" w:hAnsi="Times New Roman" w:eastAsia="方正仿宋简体"/>
      <w:kern w:val="2"/>
      <w:sz w:val="18"/>
      <w:szCs w:val="18"/>
    </w:rPr>
  </w:style>
  <w:style w:type="character" w:customStyle="1" w:styleId="19">
    <w:name w:val="页眉 Char"/>
    <w:link w:val="10"/>
    <w:qFormat/>
    <w:uiPriority w:val="99"/>
    <w:rPr>
      <w:rFonts w:ascii="Times New Roman" w:hAnsi="Times New Roman" w:eastAsia="方正仿宋简体"/>
      <w:kern w:val="2"/>
      <w:sz w:val="18"/>
      <w:szCs w:val="18"/>
    </w:rPr>
  </w:style>
  <w:style w:type="character" w:customStyle="1" w:styleId="20">
    <w:name w:val="批注文字 Char"/>
    <w:link w:val="6"/>
    <w:qFormat/>
    <w:uiPriority w:val="99"/>
    <w:rPr>
      <w:rFonts w:ascii="Times New Roman" w:hAnsi="Times New Roman" w:eastAsia="方正仿宋简体"/>
      <w:kern w:val="2"/>
      <w:sz w:val="32"/>
      <w:szCs w:val="32"/>
    </w:rPr>
  </w:style>
  <w:style w:type="character" w:customStyle="1" w:styleId="21">
    <w:name w:val="批注主题 Char"/>
    <w:link w:val="13"/>
    <w:semiHidden/>
    <w:qFormat/>
    <w:uiPriority w:val="99"/>
    <w:rPr>
      <w:rFonts w:ascii="Times New Roman" w:hAnsi="Times New Roman" w:eastAsia="方正仿宋简体"/>
      <w:b/>
      <w:bCs/>
      <w:kern w:val="2"/>
      <w:sz w:val="32"/>
      <w:szCs w:val="32"/>
    </w:rPr>
  </w:style>
  <w:style w:type="character" w:customStyle="1" w:styleId="22">
    <w:name w:val="无间隔 字符"/>
    <w:link w:val="23"/>
    <w:qFormat/>
    <w:uiPriority w:val="1"/>
    <w:rPr>
      <w:rFonts w:ascii="Calibri" w:hAnsi="Calibri"/>
      <w:sz w:val="22"/>
      <w:szCs w:val="22"/>
      <w:lang w:val="en-US" w:eastAsia="zh-CN" w:bidi="ar-SA"/>
    </w:rPr>
  </w:style>
  <w:style w:type="paragraph" w:customStyle="1" w:styleId="23">
    <w:name w:val="无间隔1"/>
    <w:link w:val="22"/>
    <w:qFormat/>
    <w:uiPriority w:val="1"/>
    <w:rPr>
      <w:rFonts w:ascii="Times New Roman" w:hAnsi="Times New Roman" w:eastAsia="宋体" w:cs="Times New Roman"/>
      <w:sz w:val="22"/>
      <w:szCs w:val="22"/>
      <w:lang w:val="en-US" w:eastAsia="zh-CN" w:bidi="ar-SA"/>
    </w:rPr>
  </w:style>
  <w:style w:type="character" w:customStyle="1" w:styleId="24">
    <w:name w:val="文档结构图 Char"/>
    <w:link w:val="5"/>
    <w:semiHidden/>
    <w:qFormat/>
    <w:uiPriority w:val="0"/>
    <w:rPr>
      <w:rFonts w:ascii="宋体" w:hAnsi="宋体" w:cs="宋体"/>
      <w:sz w:val="18"/>
      <w:szCs w:val="18"/>
    </w:rPr>
  </w:style>
  <w:style w:type="character" w:customStyle="1" w:styleId="25">
    <w:name w:val="批注框文本 Char"/>
    <w:link w:val="8"/>
    <w:semiHidden/>
    <w:qFormat/>
    <w:uiPriority w:val="99"/>
    <w:rPr>
      <w:rFonts w:ascii="Times New Roman" w:hAnsi="Times New Roman" w:eastAsia="方正仿宋简体"/>
      <w:kern w:val="2"/>
      <w:sz w:val="18"/>
      <w:szCs w:val="18"/>
    </w:rPr>
  </w:style>
  <w:style w:type="paragraph" w:customStyle="1" w:styleId="26">
    <w:name w:val="目录 21"/>
    <w:basedOn w:val="1"/>
    <w:next w:val="1"/>
    <w:unhideWhenUsed/>
    <w:qFormat/>
    <w:uiPriority w:val="39"/>
    <w:pPr>
      <w:ind w:left="420" w:leftChars="200"/>
    </w:pPr>
  </w:style>
  <w:style w:type="paragraph" w:customStyle="1" w:styleId="27">
    <w:name w:val="目录 11"/>
    <w:basedOn w:val="1"/>
    <w:next w:val="1"/>
    <w:unhideWhenUsed/>
    <w:qFormat/>
    <w:uiPriority w:val="39"/>
    <w:pPr>
      <w:tabs>
        <w:tab w:val="right" w:leader="dot" w:pos="8296"/>
      </w:tabs>
      <w:jc w:val="center"/>
    </w:pPr>
    <w:rPr>
      <w:rFonts w:ascii="仿宋_GB2312" w:eastAsia="仿宋_GB2312"/>
      <w:b/>
      <w:sz w:val="32"/>
      <w:szCs w:val="32"/>
    </w:rPr>
  </w:style>
  <w:style w:type="paragraph" w:customStyle="1" w:styleId="28">
    <w:name w:val="目录 31"/>
    <w:basedOn w:val="1"/>
    <w:next w:val="1"/>
    <w:unhideWhenUsed/>
    <w:qFormat/>
    <w:uiPriority w:val="39"/>
    <w:pPr>
      <w:ind w:left="840" w:leftChars="400"/>
    </w:pPr>
  </w:style>
  <w:style w:type="paragraph" w:customStyle="1" w:styleId="29">
    <w:name w:val="列出段落1"/>
    <w:basedOn w:val="1"/>
    <w:qFormat/>
    <w:uiPriority w:val="99"/>
    <w:pPr>
      <w:widowControl w:val="0"/>
      <w:ind w:firstLine="420" w:firstLineChars="200"/>
      <w:jc w:val="both"/>
    </w:pPr>
    <w:rPr>
      <w:rFonts w:ascii="Times New Roman" w:hAnsi="Times New Roman" w:eastAsia="方正仿宋简体" w:cs="Times New Roman"/>
      <w:kern w:val="2"/>
      <w:sz w:val="32"/>
      <w:szCs w:val="32"/>
    </w:rPr>
  </w:style>
  <w:style w:type="paragraph" w:customStyle="1" w:styleId="30">
    <w:name w:val="TOC 标题1"/>
    <w:basedOn w:val="2"/>
    <w:next w:val="1"/>
    <w:unhideWhenUsed/>
    <w:qFormat/>
    <w:uiPriority w:val="39"/>
    <w:pPr>
      <w:spacing w:before="480" w:after="0" w:line="276" w:lineRule="auto"/>
      <w:outlineLvl w:val="9"/>
    </w:pPr>
    <w:rPr>
      <w:rFonts w:ascii="Cambria" w:hAnsi="Cambria" w:cs="Times New Roman"/>
      <w:bCs/>
      <w:color w:val="365F91"/>
      <w:kern w:val="0"/>
      <w:sz w:val="28"/>
      <w:szCs w:val="28"/>
    </w:rPr>
  </w:style>
  <w:style w:type="paragraph" w:customStyle="1" w:styleId="31">
    <w:name w:val="列表段落1"/>
    <w:basedOn w:val="1"/>
    <w:qFormat/>
    <w:uiPriority w:val="34"/>
    <w:pPr>
      <w:ind w:firstLine="420" w:firstLineChars="200"/>
    </w:pPr>
  </w:style>
  <w:style w:type="paragraph" w:customStyle="1" w:styleId="32">
    <w:name w:val="修订2"/>
    <w:semiHidden/>
    <w:qFormat/>
    <w:uiPriority w:val="99"/>
    <w:rPr>
      <w:rFonts w:ascii="宋体" w:hAnsi="宋体" w:eastAsia="宋体" w:cs="宋体"/>
      <w:sz w:val="24"/>
      <w:szCs w:val="24"/>
      <w:lang w:val="en-US" w:eastAsia="zh-CN" w:bidi="ar-SA"/>
    </w:rPr>
  </w:style>
  <w:style w:type="paragraph" w:customStyle="1" w:styleId="33">
    <w:name w:val="修订1"/>
    <w:unhideWhenUsed/>
    <w:qFormat/>
    <w:uiPriority w:val="99"/>
    <w:rPr>
      <w:rFonts w:ascii="Times New Roman" w:hAnsi="Times New Roman" w:eastAsia="方正仿宋简体" w:cs="Times New Roman"/>
      <w:kern w:val="2"/>
      <w:sz w:val="32"/>
      <w:szCs w:val="32"/>
      <w:lang w:val="en-US" w:eastAsia="zh-CN" w:bidi="ar-SA"/>
    </w:rPr>
  </w:style>
  <w:style w:type="character" w:customStyle="1" w:styleId="34">
    <w:name w:val="标题 3 Char"/>
    <w:link w:val="4"/>
    <w:qFormat/>
    <w:uiPriority w:val="9"/>
    <w:rPr>
      <w:b/>
    </w:rPr>
  </w:style>
  <w:style w:type="paragraph" w:styleId="3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image" Target="media/image2.png"/><Relationship Id="rId10" Type="http://schemas.openxmlformats.org/officeDocument/2006/relationships/chart" Target="charts/chart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Microsoft%20Word%20&#20013;&#30340;&#22270;&#34920;"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K\AppData\Local\Temp\wps.yF1700\Chart%20in%20Wp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K\AppData\Local\Temp\wps.tY6796\Chart2%20in%20Wp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icrosoft%20Word%20&#20013;&#30340;&#22270;&#34920;"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K\AppData\Local\Temp\wps.Bn5596\Chart2%20in%20Wp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K\AppData\Local\Temp\wps.XF6796\Chart5%20in%20Wp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icrosoft%20Word%20&#20013;&#30340;&#22270;&#34920;"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800" b="0" i="0" baseline="0">
                <a:effectLst/>
              </a:rPr>
              <a:t>招商工作经费项目评分情况</a:t>
            </a:r>
            <a:endParaRPr lang="zh-CN" altLang="zh-CN">
              <a:effectLst/>
            </a:endParaRPr>
          </a:p>
        </c:rich>
      </c:tx>
      <c:layout>
        <c:manualLayout>
          <c:xMode val="edge"/>
          <c:yMode val="edge"/>
          <c:x val="0.192222222222222"/>
          <c:y val="0.0256944444444444"/>
        </c:manualLayout>
      </c:layout>
      <c:overlay val="0"/>
      <c:spPr>
        <a:noFill/>
        <a:ln>
          <a:noFill/>
        </a:ln>
        <a:effectLst/>
      </c:spPr>
    </c:title>
    <c:autoTitleDeleted val="0"/>
    <c:plotArea>
      <c:layout/>
      <c:barChart>
        <c:barDir val="col"/>
        <c:grouping val="clustered"/>
        <c:varyColors val="0"/>
        <c:ser>
          <c:idx val="0"/>
          <c:order val="0"/>
          <c:tx>
            <c:strRef>
              <c:f>'[Microsoft Word 中的图表]Sheet1'!$B$1</c:f>
              <c:strCache>
                <c:ptCount val="1"/>
                <c:pt idx="0">
                  <c:v>得分</c:v>
                </c:pt>
              </c:strCache>
            </c:strRef>
          </c:tx>
          <c:spPr>
            <a:solidFill>
              <a:schemeClr val="accent1"/>
            </a:solidFill>
            <a:ln>
              <a:noFill/>
            </a:ln>
            <a:effectLst/>
          </c:spPr>
          <c:invertIfNegative val="0"/>
          <c:dLbls>
            <c:delete val="1"/>
          </c:dLbls>
          <c:cat>
            <c:strRef>
              <c:f>'[Microsoft Word 中的图表]Sheet1'!$A$2:$A$6</c:f>
              <c:strCache>
                <c:ptCount val="5"/>
                <c:pt idx="0">
                  <c:v>投入</c:v>
                </c:pt>
                <c:pt idx="1">
                  <c:v>过程</c:v>
                </c:pt>
                <c:pt idx="2">
                  <c:v>产出</c:v>
                </c:pt>
                <c:pt idx="3">
                  <c:v>效果</c:v>
                </c:pt>
                <c:pt idx="4">
                  <c:v>综合绩效</c:v>
                </c:pt>
              </c:strCache>
            </c:strRef>
          </c:cat>
          <c:val>
            <c:numRef>
              <c:f>'[Microsoft Word 中的图表]Sheet1'!$B$2:$B$6</c:f>
              <c:numCache>
                <c:formatCode>General</c:formatCode>
                <c:ptCount val="5"/>
                <c:pt idx="0">
                  <c:v>13</c:v>
                </c:pt>
                <c:pt idx="1">
                  <c:v>24</c:v>
                </c:pt>
                <c:pt idx="2">
                  <c:v>27.8</c:v>
                </c:pt>
                <c:pt idx="3">
                  <c:v>25</c:v>
                </c:pt>
                <c:pt idx="4">
                  <c:v>89.8</c:v>
                </c:pt>
              </c:numCache>
            </c:numRef>
          </c:val>
        </c:ser>
        <c:ser>
          <c:idx val="1"/>
          <c:order val="1"/>
          <c:tx>
            <c:strRef>
              <c:f>'[Microsoft Word 中的图表]Sheet1'!$C$1</c:f>
              <c:strCache>
                <c:ptCount val="1"/>
                <c:pt idx="0">
                  <c:v>总分</c:v>
                </c:pt>
              </c:strCache>
            </c:strRef>
          </c:tx>
          <c:spPr>
            <a:solidFill>
              <a:schemeClr val="accent2"/>
            </a:solidFill>
            <a:ln>
              <a:noFill/>
            </a:ln>
            <a:effectLst/>
          </c:spPr>
          <c:invertIfNegative val="0"/>
          <c:dLbls>
            <c:delete val="1"/>
          </c:dLbls>
          <c:cat>
            <c:strRef>
              <c:f>'[Microsoft Word 中的图表]Sheet1'!$A$2:$A$6</c:f>
              <c:strCache>
                <c:ptCount val="5"/>
                <c:pt idx="0">
                  <c:v>投入</c:v>
                </c:pt>
                <c:pt idx="1">
                  <c:v>过程</c:v>
                </c:pt>
                <c:pt idx="2">
                  <c:v>产出</c:v>
                </c:pt>
                <c:pt idx="3">
                  <c:v>效果</c:v>
                </c:pt>
                <c:pt idx="4">
                  <c:v>综合绩效</c:v>
                </c:pt>
              </c:strCache>
            </c:strRef>
          </c:cat>
          <c:val>
            <c:numRef>
              <c:f>'[Microsoft Word 中的图表]Sheet1'!$C$2:$C$6</c:f>
              <c:numCache>
                <c:formatCode>General</c:formatCode>
                <c:ptCount val="5"/>
                <c:pt idx="0">
                  <c:v>16</c:v>
                </c:pt>
                <c:pt idx="1">
                  <c:v>24</c:v>
                </c:pt>
                <c:pt idx="2">
                  <c:v>33</c:v>
                </c:pt>
                <c:pt idx="3">
                  <c:v>27</c:v>
                </c:pt>
                <c:pt idx="4">
                  <c:v>100</c:v>
                </c:pt>
              </c:numCache>
            </c:numRef>
          </c:val>
        </c:ser>
        <c:dLbls>
          <c:showLegendKey val="0"/>
          <c:showVal val="0"/>
          <c:showCatName val="0"/>
          <c:showSerName val="0"/>
          <c:showPercent val="0"/>
          <c:showBubbleSize val="0"/>
        </c:dLbls>
        <c:gapWidth val="219"/>
        <c:overlap val="-27"/>
        <c:axId val="47744512"/>
        <c:axId val="137433472"/>
      </c:barChart>
      <c:catAx>
        <c:axId val="4774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433472"/>
        <c:crosses val="autoZero"/>
        <c:auto val="1"/>
        <c:lblAlgn val="ctr"/>
        <c:lblOffset val="100"/>
        <c:noMultiLvlLbl val="0"/>
      </c:catAx>
      <c:valAx>
        <c:axId val="1374334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47744512"/>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项目资金支出概况</a:t>
            </a:r>
            <a:endParaRPr lang="zh-CN" altLang="en-US"/>
          </a:p>
        </c:rich>
      </c:tx>
      <c:layout/>
      <c:overlay val="0"/>
      <c:spPr>
        <a:noFill/>
        <a:ln>
          <a:noFill/>
        </a:ln>
        <a:effectLst/>
      </c:spPr>
    </c:title>
    <c:autoTitleDeleted val="0"/>
    <c:plotArea>
      <c:layout/>
      <c:barChart>
        <c:barDir val="col"/>
        <c:grouping val="clustered"/>
        <c:varyColors val="0"/>
        <c:ser>
          <c:idx val="0"/>
          <c:order val="0"/>
          <c:tx>
            <c:strRef>
              <c:f>'[Chart in Wps.xlsx]Sheet1'!$F$7</c:f>
              <c:strCache>
                <c:ptCount val="1"/>
                <c:pt idx="0">
                  <c:v>实际支出</c:v>
                </c:pt>
              </c:strCache>
            </c:strRef>
          </c:tx>
          <c:spPr>
            <a:solidFill>
              <a:schemeClr val="accent1"/>
            </a:solidFill>
            <a:ln>
              <a:noFill/>
            </a:ln>
            <a:effectLst/>
          </c:spPr>
          <c:invertIfNegative val="0"/>
          <c:dLbls>
            <c:delete val="1"/>
          </c:dLbls>
          <c:cat>
            <c:strRef>
              <c:f>'[Chart in Wps.xlsx]Sheet1'!$G$6:$R$6</c:f>
              <c:strCache>
                <c:ptCount val="12"/>
                <c:pt idx="0">
                  <c:v>办公费</c:v>
                </c:pt>
                <c:pt idx="1">
                  <c:v>印刷费</c:v>
                </c:pt>
                <c:pt idx="2">
                  <c:v>咨询费</c:v>
                </c:pt>
                <c:pt idx="3">
                  <c:v>邮电费</c:v>
                </c:pt>
                <c:pt idx="4">
                  <c:v>差旅费</c:v>
                </c:pt>
                <c:pt idx="5">
                  <c:v>因公出国（境）费用</c:v>
                </c:pt>
                <c:pt idx="6">
                  <c:v>维修（护）费</c:v>
                </c:pt>
                <c:pt idx="7">
                  <c:v>公务接待费</c:v>
                </c:pt>
                <c:pt idx="8">
                  <c:v>劳务费</c:v>
                </c:pt>
                <c:pt idx="9">
                  <c:v>委托业务费</c:v>
                </c:pt>
                <c:pt idx="10">
                  <c:v>培训费</c:v>
                </c:pt>
                <c:pt idx="11">
                  <c:v>其他商品和服务支出</c:v>
                </c:pt>
              </c:strCache>
            </c:strRef>
          </c:cat>
          <c:val>
            <c:numRef>
              <c:f>'[Chart in Wps.xlsx]Sheet1'!$G$7:$R$7</c:f>
              <c:numCache>
                <c:formatCode>General</c:formatCode>
                <c:ptCount val="12"/>
                <c:pt idx="0">
                  <c:v>5.26</c:v>
                </c:pt>
                <c:pt idx="1">
                  <c:v>21.03</c:v>
                </c:pt>
                <c:pt idx="2">
                  <c:v>10.59</c:v>
                </c:pt>
                <c:pt idx="3">
                  <c:v>1.13</c:v>
                </c:pt>
                <c:pt idx="4">
                  <c:v>55.98</c:v>
                </c:pt>
                <c:pt idx="5">
                  <c:v>4.9</c:v>
                </c:pt>
                <c:pt idx="6">
                  <c:v>0.43</c:v>
                </c:pt>
                <c:pt idx="7">
                  <c:v>24.13</c:v>
                </c:pt>
                <c:pt idx="8">
                  <c:v>45.2295</c:v>
                </c:pt>
                <c:pt idx="9">
                  <c:v>27.05</c:v>
                </c:pt>
                <c:pt idx="10">
                  <c:v>1.4</c:v>
                </c:pt>
                <c:pt idx="11">
                  <c:v>22.08</c:v>
                </c:pt>
              </c:numCache>
            </c:numRef>
          </c:val>
        </c:ser>
        <c:dLbls>
          <c:showLegendKey val="0"/>
          <c:showVal val="0"/>
          <c:showCatName val="0"/>
          <c:showSerName val="0"/>
          <c:showPercent val="0"/>
          <c:showBubbleSize val="0"/>
        </c:dLbls>
        <c:gapWidth val="219"/>
        <c:overlap val="-27"/>
        <c:axId val="292140928"/>
        <c:axId val="44413312"/>
      </c:barChart>
      <c:catAx>
        <c:axId val="29214092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实际支出</a:t>
                </a:r>
                <a:endParaRPr lang="zh-CN" alt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413312"/>
        <c:crosses val="autoZero"/>
        <c:auto val="1"/>
        <c:lblAlgn val="ctr"/>
        <c:lblOffset val="100"/>
        <c:noMultiLvlLbl val="0"/>
      </c:catAx>
      <c:valAx>
        <c:axId val="444133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2140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项目投入</a:t>
            </a:r>
            <a:endParaRPr lang="zh-CN" altLang="en-US"/>
          </a:p>
        </c:rich>
      </c:tx>
      <c:layout>
        <c:manualLayout>
          <c:xMode val="edge"/>
          <c:yMode val="edge"/>
          <c:x val="0.412361111111111"/>
          <c:y val="0.0277777777777778"/>
        </c:manualLayout>
      </c:layout>
      <c:overlay val="0"/>
      <c:spPr>
        <a:noFill/>
        <a:ln>
          <a:noFill/>
        </a:ln>
        <a:effectLst/>
      </c:spPr>
    </c:title>
    <c:autoTitleDeleted val="0"/>
    <c:plotArea>
      <c:layout/>
      <c:barChart>
        <c:barDir val="col"/>
        <c:grouping val="clustered"/>
        <c:varyColors val="0"/>
        <c:ser>
          <c:idx val="1"/>
          <c:order val="1"/>
          <c:tx>
            <c:strRef>
              <c:f>'[Chart2 in Wps.xlsx]Sheet1'!$F$9</c:f>
              <c:strCache>
                <c:ptCount val="1"/>
                <c:pt idx="0">
                  <c:v>总分</c:v>
                </c:pt>
              </c:strCache>
            </c:strRef>
          </c:tx>
          <c:spPr>
            <a:solidFill>
              <a:schemeClr val="accent5">
                <a:tint val="76667"/>
              </a:schemeClr>
            </a:solidFill>
            <a:ln>
              <a:noFill/>
            </a:ln>
            <a:effectLst/>
          </c:spPr>
          <c:invertIfNegative val="0"/>
          <c:dLbls>
            <c:delete val="1"/>
          </c:dLbls>
          <c:cat>
            <c:strRef>
              <c:f>'[Chart2 in Wps.xlsx]Sheet1'!$G$7:$J$7</c:f>
              <c:strCache>
                <c:ptCount val="4"/>
                <c:pt idx="0">
                  <c:v>项目立项规范性</c:v>
                </c:pt>
                <c:pt idx="1">
                  <c:v>绩效目标合理性</c:v>
                </c:pt>
                <c:pt idx="2">
                  <c:v>资金到位率</c:v>
                </c:pt>
                <c:pt idx="3">
                  <c:v>到位及时率</c:v>
                </c:pt>
              </c:strCache>
            </c:strRef>
          </c:cat>
          <c:val>
            <c:numRef>
              <c:f>'[Chart2 in Wps.xlsx]Sheet1'!$G$9:$J$9</c:f>
              <c:numCache>
                <c:formatCode>General</c:formatCode>
                <c:ptCount val="4"/>
                <c:pt idx="0">
                  <c:v>5</c:v>
                </c:pt>
                <c:pt idx="1">
                  <c:v>3</c:v>
                </c:pt>
                <c:pt idx="2">
                  <c:v>4</c:v>
                </c:pt>
                <c:pt idx="3">
                  <c:v>4</c:v>
                </c:pt>
              </c:numCache>
            </c:numRef>
          </c:val>
        </c:ser>
        <c:dLbls>
          <c:showLegendKey val="0"/>
          <c:showVal val="0"/>
          <c:showCatName val="0"/>
          <c:showSerName val="0"/>
          <c:showPercent val="0"/>
          <c:showBubbleSize val="0"/>
        </c:dLbls>
        <c:gapWidth val="219"/>
        <c:overlap val="-27"/>
        <c:axId val="44426368"/>
        <c:axId val="44427904"/>
      </c:barChart>
      <c:lineChart>
        <c:grouping val="standard"/>
        <c:varyColors val="0"/>
        <c:ser>
          <c:idx val="0"/>
          <c:order val="0"/>
          <c:tx>
            <c:strRef>
              <c:f>'[Chart2 in Wps.xlsx]Sheet1'!$F$8</c:f>
              <c:strCache>
                <c:ptCount val="1"/>
                <c:pt idx="0">
                  <c:v>得分</c:v>
                </c:pt>
              </c:strCache>
            </c:strRef>
          </c:tx>
          <c:spPr>
            <a:ln w="28575" cap="rnd" cmpd="sng" algn="ctr">
              <a:solidFill>
                <a:schemeClr val="accent5">
                  <a:shade val="76667"/>
                </a:schemeClr>
              </a:solidFill>
              <a:prstDash val="solid"/>
              <a:round/>
            </a:ln>
            <a:effectLst/>
          </c:spPr>
          <c:marker>
            <c:symbol val="none"/>
          </c:marker>
          <c:dLbls>
            <c:delete val="1"/>
          </c:dLbls>
          <c:cat>
            <c:strRef>
              <c:f>'[Chart2 in Wps.xlsx]Sheet1'!$G$7:$J$7</c:f>
              <c:strCache>
                <c:ptCount val="4"/>
                <c:pt idx="0">
                  <c:v>项目立项规范性</c:v>
                </c:pt>
                <c:pt idx="1">
                  <c:v>绩效目标合理性</c:v>
                </c:pt>
                <c:pt idx="2">
                  <c:v>资金到位率</c:v>
                </c:pt>
                <c:pt idx="3">
                  <c:v>到位及时率</c:v>
                </c:pt>
              </c:strCache>
            </c:strRef>
          </c:cat>
          <c:val>
            <c:numRef>
              <c:f>'[Chart2 in Wps.xlsx]Sheet1'!$G$8:$J$8</c:f>
              <c:numCache>
                <c:formatCode>General</c:formatCode>
                <c:ptCount val="4"/>
                <c:pt idx="0">
                  <c:v>3</c:v>
                </c:pt>
                <c:pt idx="1">
                  <c:v>2</c:v>
                </c:pt>
                <c:pt idx="2">
                  <c:v>4</c:v>
                </c:pt>
                <c:pt idx="3">
                  <c:v>4</c:v>
                </c:pt>
              </c:numCache>
            </c:numRef>
          </c:val>
          <c:smooth val="0"/>
        </c:ser>
        <c:dLbls>
          <c:showLegendKey val="0"/>
          <c:showVal val="0"/>
          <c:showCatName val="0"/>
          <c:showSerName val="0"/>
          <c:showPercent val="0"/>
          <c:showBubbleSize val="0"/>
        </c:dLbls>
        <c:marker val="0"/>
        <c:smooth val="0"/>
        <c:axId val="44426368"/>
        <c:axId val="44427904"/>
      </c:lineChart>
      <c:catAx>
        <c:axId val="444263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427904"/>
        <c:crosses val="autoZero"/>
        <c:auto val="1"/>
        <c:lblAlgn val="ctr"/>
        <c:lblOffset val="100"/>
        <c:noMultiLvlLbl val="0"/>
      </c:catAx>
      <c:valAx>
        <c:axId val="444279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4263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项目过程</a:t>
            </a:r>
            <a:endParaRPr lang="zh-CN" altLang="en-US"/>
          </a:p>
        </c:rich>
      </c:tx>
      <c:layout/>
      <c:overlay val="0"/>
      <c:spPr>
        <a:noFill/>
        <a:ln>
          <a:noFill/>
        </a:ln>
        <a:effectLst/>
      </c:spPr>
    </c:title>
    <c:autoTitleDeleted val="0"/>
    <c:plotArea>
      <c:layout/>
      <c:barChart>
        <c:barDir val="col"/>
        <c:grouping val="clustered"/>
        <c:varyColors val="0"/>
        <c:ser>
          <c:idx val="0"/>
          <c:order val="0"/>
          <c:tx>
            <c:strRef>
              <c:f>'[Microsoft Word 中的图表]Sheet1'!$B$1</c:f>
              <c:strCache>
                <c:ptCount val="1"/>
                <c:pt idx="0">
                  <c:v>总分</c:v>
                </c:pt>
              </c:strCache>
            </c:strRef>
          </c:tx>
          <c:spPr>
            <a:solidFill>
              <a:schemeClr val="accent1"/>
            </a:solidFill>
            <a:ln>
              <a:noFill/>
            </a:ln>
            <a:effectLst/>
          </c:spPr>
          <c:invertIfNegative val="0"/>
          <c:dLbls>
            <c:delete val="1"/>
          </c:dLbls>
          <c:cat>
            <c:strRef>
              <c:f>'[Microsoft Word 中的图表]Sheet1'!$A$2:$A$7</c:f>
              <c:strCache>
                <c:ptCount val="6"/>
                <c:pt idx="0">
                  <c:v>管理制度健全性</c:v>
                </c:pt>
                <c:pt idx="1">
                  <c:v>制度执行有效性</c:v>
                </c:pt>
                <c:pt idx="2">
                  <c:v>项目质量可控性</c:v>
                </c:pt>
                <c:pt idx="3">
                  <c:v>财务制度健全性</c:v>
                </c:pt>
                <c:pt idx="4">
                  <c:v>资金使用合规性</c:v>
                </c:pt>
                <c:pt idx="5">
                  <c:v>财务监控有效性</c:v>
                </c:pt>
              </c:strCache>
            </c:strRef>
          </c:cat>
          <c:val>
            <c:numRef>
              <c:f>'[Microsoft Word 中的图表]Sheet1'!$B$2:$B$7</c:f>
              <c:numCache>
                <c:formatCode>General</c:formatCode>
                <c:ptCount val="6"/>
                <c:pt idx="0">
                  <c:v>4</c:v>
                </c:pt>
                <c:pt idx="1">
                  <c:v>4</c:v>
                </c:pt>
                <c:pt idx="2">
                  <c:v>4</c:v>
                </c:pt>
                <c:pt idx="3">
                  <c:v>4</c:v>
                </c:pt>
                <c:pt idx="4">
                  <c:v>4</c:v>
                </c:pt>
                <c:pt idx="5">
                  <c:v>4</c:v>
                </c:pt>
              </c:numCache>
            </c:numRef>
          </c:val>
        </c:ser>
        <c:dLbls>
          <c:showLegendKey val="0"/>
          <c:showVal val="0"/>
          <c:showCatName val="0"/>
          <c:showSerName val="0"/>
          <c:showPercent val="0"/>
          <c:showBubbleSize val="0"/>
        </c:dLbls>
        <c:gapWidth val="219"/>
        <c:overlap val="-27"/>
        <c:axId val="44990464"/>
        <c:axId val="44992000"/>
      </c:barChart>
      <c:lineChart>
        <c:grouping val="standard"/>
        <c:varyColors val="0"/>
        <c:ser>
          <c:idx val="1"/>
          <c:order val="1"/>
          <c:tx>
            <c:strRef>
              <c:f>'[Microsoft Word 中的图表]Sheet1'!$C$1</c:f>
              <c:strCache>
                <c:ptCount val="1"/>
                <c:pt idx="0">
                  <c:v>得分</c:v>
                </c:pt>
              </c:strCache>
            </c:strRef>
          </c:tx>
          <c:spPr>
            <a:ln w="28575" cap="rnd" cmpd="sng" algn="ctr">
              <a:solidFill>
                <a:schemeClr val="accent2"/>
              </a:solidFill>
              <a:prstDash val="solid"/>
              <a:round/>
            </a:ln>
            <a:effectLst/>
          </c:spPr>
          <c:marker>
            <c:symbol val="none"/>
          </c:marker>
          <c:dLbls>
            <c:delete val="1"/>
          </c:dLbls>
          <c:cat>
            <c:strRef>
              <c:f>'[Microsoft Word 中的图表]Sheet1'!$A$2:$A$7</c:f>
              <c:strCache>
                <c:ptCount val="6"/>
                <c:pt idx="0">
                  <c:v>管理制度健全性</c:v>
                </c:pt>
                <c:pt idx="1">
                  <c:v>制度执行有效性</c:v>
                </c:pt>
                <c:pt idx="2">
                  <c:v>项目质量可控性</c:v>
                </c:pt>
                <c:pt idx="3">
                  <c:v>财务制度健全性</c:v>
                </c:pt>
                <c:pt idx="4">
                  <c:v>资金使用合规性</c:v>
                </c:pt>
                <c:pt idx="5">
                  <c:v>财务监控有效性</c:v>
                </c:pt>
              </c:strCache>
            </c:strRef>
          </c:cat>
          <c:val>
            <c:numRef>
              <c:f>'[Microsoft Word 中的图表]Sheet1'!$C$2:$C$7</c:f>
              <c:numCache>
                <c:formatCode>General</c:formatCode>
                <c:ptCount val="6"/>
                <c:pt idx="0">
                  <c:v>4</c:v>
                </c:pt>
                <c:pt idx="1">
                  <c:v>4</c:v>
                </c:pt>
                <c:pt idx="2">
                  <c:v>4</c:v>
                </c:pt>
                <c:pt idx="3">
                  <c:v>4</c:v>
                </c:pt>
                <c:pt idx="4">
                  <c:v>4</c:v>
                </c:pt>
                <c:pt idx="5">
                  <c:v>4</c:v>
                </c:pt>
              </c:numCache>
            </c:numRef>
          </c:val>
          <c:smooth val="0"/>
        </c:ser>
        <c:dLbls>
          <c:showLegendKey val="0"/>
          <c:showVal val="0"/>
          <c:showCatName val="0"/>
          <c:showSerName val="0"/>
          <c:showPercent val="0"/>
          <c:showBubbleSize val="0"/>
        </c:dLbls>
        <c:marker val="0"/>
        <c:smooth val="0"/>
        <c:axId val="44990464"/>
        <c:axId val="44992000"/>
      </c:lineChart>
      <c:catAx>
        <c:axId val="4499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992000"/>
        <c:crosses val="autoZero"/>
        <c:auto val="1"/>
        <c:lblAlgn val="ctr"/>
        <c:lblOffset val="100"/>
        <c:noMultiLvlLbl val="0"/>
      </c:catAx>
      <c:valAx>
        <c:axId val="449920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990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项目产出</a:t>
            </a:r>
            <a:endParaRPr lang="zh-CN" altLang="en-US"/>
          </a:p>
        </c:rich>
      </c:tx>
      <c:layout/>
      <c:overlay val="0"/>
      <c:spPr>
        <a:noFill/>
        <a:ln>
          <a:noFill/>
        </a:ln>
        <a:effectLst/>
      </c:spPr>
    </c:title>
    <c:autoTitleDeleted val="0"/>
    <c:plotArea>
      <c:layout/>
      <c:barChart>
        <c:barDir val="col"/>
        <c:grouping val="clustered"/>
        <c:varyColors val="0"/>
        <c:ser>
          <c:idx val="1"/>
          <c:order val="1"/>
          <c:tx>
            <c:strRef>
              <c:f>'[Chart2 in Wps.xlsx]Sheet1'!$E$7</c:f>
              <c:strCache>
                <c:ptCount val="1"/>
                <c:pt idx="0">
                  <c:v>总分</c:v>
                </c:pt>
              </c:strCache>
            </c:strRef>
          </c:tx>
          <c:spPr>
            <a:solidFill>
              <a:schemeClr val="accent2"/>
            </a:solidFill>
            <a:ln>
              <a:noFill/>
            </a:ln>
            <a:effectLst/>
          </c:spPr>
          <c:invertIfNegative val="0"/>
          <c:dLbls>
            <c:delete val="1"/>
          </c:dLbls>
          <c:cat>
            <c:strRef>
              <c:f>'[Chart2 in Wps.xlsx]Sheet1'!$F$5:$K$5</c:f>
              <c:strCache>
                <c:ptCount val="6"/>
                <c:pt idx="0">
                  <c:v>项目引进数</c:v>
                </c:pt>
                <c:pt idx="1">
                  <c:v>招商引资到位资金达标率</c:v>
                </c:pt>
                <c:pt idx="2">
                  <c:v>实际利用外资</c:v>
                </c:pt>
                <c:pt idx="3">
                  <c:v>招商引资签约额</c:v>
                </c:pt>
                <c:pt idx="4">
                  <c:v>引进企业数</c:v>
                </c:pt>
                <c:pt idx="5">
                  <c:v>资金使用率</c:v>
                </c:pt>
              </c:strCache>
            </c:strRef>
          </c:cat>
          <c:val>
            <c:numRef>
              <c:f>'[Chart2 in Wps.xlsx]Sheet1'!$F$7:$K$7</c:f>
              <c:numCache>
                <c:formatCode>General</c:formatCode>
                <c:ptCount val="6"/>
                <c:pt idx="0">
                  <c:v>8</c:v>
                </c:pt>
                <c:pt idx="1">
                  <c:v>4</c:v>
                </c:pt>
                <c:pt idx="2">
                  <c:v>4</c:v>
                </c:pt>
                <c:pt idx="3">
                  <c:v>4</c:v>
                </c:pt>
                <c:pt idx="4">
                  <c:v>8</c:v>
                </c:pt>
                <c:pt idx="5">
                  <c:v>5</c:v>
                </c:pt>
              </c:numCache>
            </c:numRef>
          </c:val>
        </c:ser>
        <c:dLbls>
          <c:showLegendKey val="0"/>
          <c:showVal val="0"/>
          <c:showCatName val="0"/>
          <c:showSerName val="0"/>
          <c:showPercent val="0"/>
          <c:showBubbleSize val="0"/>
        </c:dLbls>
        <c:gapWidth val="219"/>
        <c:overlap val="-27"/>
        <c:axId val="45013632"/>
        <c:axId val="45019520"/>
      </c:barChart>
      <c:lineChart>
        <c:grouping val="standard"/>
        <c:varyColors val="0"/>
        <c:ser>
          <c:idx val="0"/>
          <c:order val="0"/>
          <c:tx>
            <c:strRef>
              <c:f>'[Chart2 in Wps.xlsx]Sheet1'!$E$6</c:f>
              <c:strCache>
                <c:ptCount val="1"/>
                <c:pt idx="0">
                  <c:v>得分</c:v>
                </c:pt>
              </c:strCache>
            </c:strRef>
          </c:tx>
          <c:spPr>
            <a:ln w="28575" cap="rnd" cmpd="sng" algn="ctr">
              <a:solidFill>
                <a:schemeClr val="accent1"/>
              </a:solidFill>
              <a:prstDash val="solid"/>
              <a:round/>
            </a:ln>
            <a:effectLst/>
          </c:spPr>
          <c:marker>
            <c:symbol val="none"/>
          </c:marker>
          <c:dLbls>
            <c:delete val="1"/>
          </c:dLbls>
          <c:cat>
            <c:strRef>
              <c:f>'[Chart2 in Wps.xlsx]Sheet1'!$F$5:$K$5</c:f>
              <c:strCache>
                <c:ptCount val="6"/>
                <c:pt idx="0">
                  <c:v>项目引进数</c:v>
                </c:pt>
                <c:pt idx="1">
                  <c:v>招商引资到位资金达标率</c:v>
                </c:pt>
                <c:pt idx="2">
                  <c:v>实际利用外资</c:v>
                </c:pt>
                <c:pt idx="3">
                  <c:v>招商引资签约额</c:v>
                </c:pt>
                <c:pt idx="4">
                  <c:v>引进企业数</c:v>
                </c:pt>
                <c:pt idx="5">
                  <c:v>资金使用率</c:v>
                </c:pt>
              </c:strCache>
            </c:strRef>
          </c:cat>
          <c:val>
            <c:numRef>
              <c:f>'[Chart2 in Wps.xlsx]Sheet1'!$F$6:$K$6</c:f>
              <c:numCache>
                <c:formatCode>General</c:formatCode>
                <c:ptCount val="6"/>
                <c:pt idx="0">
                  <c:v>7.8</c:v>
                </c:pt>
                <c:pt idx="1">
                  <c:v>4</c:v>
                </c:pt>
                <c:pt idx="2">
                  <c:v>4</c:v>
                </c:pt>
                <c:pt idx="3">
                  <c:v>4</c:v>
                </c:pt>
                <c:pt idx="4">
                  <c:v>8</c:v>
                </c:pt>
                <c:pt idx="5">
                  <c:v>0</c:v>
                </c:pt>
              </c:numCache>
            </c:numRef>
          </c:val>
          <c:smooth val="0"/>
        </c:ser>
        <c:dLbls>
          <c:showLegendKey val="0"/>
          <c:showVal val="0"/>
          <c:showCatName val="0"/>
          <c:showSerName val="0"/>
          <c:showPercent val="0"/>
          <c:showBubbleSize val="0"/>
        </c:dLbls>
        <c:marker val="0"/>
        <c:smooth val="0"/>
        <c:axId val="45013632"/>
        <c:axId val="45019520"/>
      </c:lineChart>
      <c:catAx>
        <c:axId val="450136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019520"/>
        <c:crosses val="autoZero"/>
        <c:auto val="1"/>
        <c:lblAlgn val="ctr"/>
        <c:lblOffset val="100"/>
        <c:noMultiLvlLbl val="0"/>
      </c:catAx>
      <c:valAx>
        <c:axId val="450195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0136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项目效果</a:t>
            </a:r>
            <a:endParaRPr lang="zh-CN" altLang="en-US"/>
          </a:p>
        </c:rich>
      </c:tx>
      <c:layout/>
      <c:overlay val="0"/>
      <c:spPr>
        <a:noFill/>
        <a:ln>
          <a:noFill/>
        </a:ln>
        <a:effectLst/>
      </c:spPr>
    </c:title>
    <c:autoTitleDeleted val="0"/>
    <c:plotArea>
      <c:layout/>
      <c:barChart>
        <c:barDir val="col"/>
        <c:grouping val="clustered"/>
        <c:varyColors val="0"/>
        <c:ser>
          <c:idx val="1"/>
          <c:order val="1"/>
          <c:tx>
            <c:strRef>
              <c:f>'[Chart5 in Wps.xlsx]Sheet1'!$H$9</c:f>
              <c:strCache>
                <c:ptCount val="1"/>
                <c:pt idx="0">
                  <c:v>总分</c:v>
                </c:pt>
              </c:strCache>
            </c:strRef>
          </c:tx>
          <c:spPr>
            <a:solidFill>
              <a:schemeClr val="accent1">
                <a:tint val="76667"/>
              </a:schemeClr>
            </a:solidFill>
            <a:ln>
              <a:noFill/>
            </a:ln>
            <a:effectLst/>
          </c:spPr>
          <c:invertIfNegative val="0"/>
          <c:dLbls>
            <c:delete val="1"/>
          </c:dLbls>
          <c:cat>
            <c:strRef>
              <c:f>'[Chart5 in Wps.xlsx]Sheet1'!$I$7:$N$7</c:f>
              <c:strCache>
                <c:ptCount val="6"/>
                <c:pt idx="0">
                  <c:v>经济增长率</c:v>
                </c:pt>
                <c:pt idx="1">
                  <c:v>社零额同比增长率</c:v>
                </c:pt>
                <c:pt idx="2">
                  <c:v>宣传多样性</c:v>
                </c:pt>
                <c:pt idx="3">
                  <c:v>产业结构多样性</c:v>
                </c:pt>
                <c:pt idx="4">
                  <c:v>招商引资园区覆盖率</c:v>
                </c:pt>
                <c:pt idx="5">
                  <c:v>可持续影响</c:v>
                </c:pt>
              </c:strCache>
            </c:strRef>
          </c:cat>
          <c:val>
            <c:numRef>
              <c:f>'[Chart5 in Wps.xlsx]Sheet1'!$I$9:$N$9</c:f>
              <c:numCache>
                <c:formatCode>General</c:formatCode>
                <c:ptCount val="6"/>
                <c:pt idx="0">
                  <c:v>4</c:v>
                </c:pt>
                <c:pt idx="1">
                  <c:v>5</c:v>
                </c:pt>
                <c:pt idx="2">
                  <c:v>5</c:v>
                </c:pt>
                <c:pt idx="3">
                  <c:v>4</c:v>
                </c:pt>
                <c:pt idx="4">
                  <c:v>4</c:v>
                </c:pt>
                <c:pt idx="5">
                  <c:v>5</c:v>
                </c:pt>
              </c:numCache>
            </c:numRef>
          </c:val>
        </c:ser>
        <c:dLbls>
          <c:showLegendKey val="0"/>
          <c:showVal val="0"/>
          <c:showCatName val="0"/>
          <c:showSerName val="0"/>
          <c:showPercent val="0"/>
          <c:showBubbleSize val="0"/>
        </c:dLbls>
        <c:gapWidth val="219"/>
        <c:overlap val="-27"/>
        <c:axId val="46409216"/>
        <c:axId val="46410752"/>
      </c:barChart>
      <c:lineChart>
        <c:grouping val="standard"/>
        <c:varyColors val="0"/>
        <c:ser>
          <c:idx val="0"/>
          <c:order val="0"/>
          <c:tx>
            <c:strRef>
              <c:f>'[Chart5 in Wps.xlsx]Sheet1'!$H$8</c:f>
              <c:strCache>
                <c:ptCount val="1"/>
                <c:pt idx="0">
                  <c:v>得分</c:v>
                </c:pt>
              </c:strCache>
            </c:strRef>
          </c:tx>
          <c:spPr>
            <a:ln w="28575" cap="rnd" cmpd="sng" algn="ctr">
              <a:solidFill>
                <a:schemeClr val="accent1">
                  <a:shade val="76667"/>
                </a:schemeClr>
              </a:solidFill>
              <a:prstDash val="solid"/>
              <a:round/>
            </a:ln>
            <a:effectLst/>
          </c:spPr>
          <c:marker>
            <c:symbol val="none"/>
          </c:marker>
          <c:dLbls>
            <c:delete val="1"/>
          </c:dLbls>
          <c:cat>
            <c:strRef>
              <c:f>'[Chart5 in Wps.xlsx]Sheet1'!$I$7:$N$7</c:f>
              <c:strCache>
                <c:ptCount val="6"/>
                <c:pt idx="0">
                  <c:v>经济增长率</c:v>
                </c:pt>
                <c:pt idx="1">
                  <c:v>社零额同比增长率</c:v>
                </c:pt>
                <c:pt idx="2">
                  <c:v>宣传多样性</c:v>
                </c:pt>
                <c:pt idx="3">
                  <c:v>产业结构多样性</c:v>
                </c:pt>
                <c:pt idx="4">
                  <c:v>招商引资园区覆盖率</c:v>
                </c:pt>
                <c:pt idx="5">
                  <c:v>可持续影响</c:v>
                </c:pt>
              </c:strCache>
            </c:strRef>
          </c:cat>
          <c:val>
            <c:numRef>
              <c:f>'[Chart5 in Wps.xlsx]Sheet1'!$I$8:$N$8</c:f>
              <c:numCache>
                <c:formatCode>General</c:formatCode>
                <c:ptCount val="6"/>
                <c:pt idx="0">
                  <c:v>4</c:v>
                </c:pt>
                <c:pt idx="1">
                  <c:v>5</c:v>
                </c:pt>
                <c:pt idx="2">
                  <c:v>5</c:v>
                </c:pt>
                <c:pt idx="3">
                  <c:v>4</c:v>
                </c:pt>
                <c:pt idx="4">
                  <c:v>4</c:v>
                </c:pt>
                <c:pt idx="5">
                  <c:v>3</c:v>
                </c:pt>
              </c:numCache>
            </c:numRef>
          </c:val>
          <c:smooth val="0"/>
        </c:ser>
        <c:dLbls>
          <c:showLegendKey val="0"/>
          <c:showVal val="0"/>
          <c:showCatName val="0"/>
          <c:showSerName val="0"/>
          <c:showPercent val="0"/>
          <c:showBubbleSize val="0"/>
        </c:dLbls>
        <c:marker val="0"/>
        <c:smooth val="0"/>
        <c:axId val="46409216"/>
        <c:axId val="46410752"/>
      </c:lineChart>
      <c:catAx>
        <c:axId val="464092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410752"/>
        <c:crosses val="autoZero"/>
        <c:auto val="1"/>
        <c:lblAlgn val="ctr"/>
        <c:lblOffset val="100"/>
        <c:noMultiLvlLbl val="0"/>
      </c:catAx>
      <c:valAx>
        <c:axId val="464107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4092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800" b="0" i="0" baseline="0">
                <a:effectLst/>
              </a:rPr>
              <a:t>招商工作经费项目评分情况</a:t>
            </a:r>
            <a:endParaRPr lang="zh-CN" altLang="zh-CN">
              <a:effectLst/>
            </a:endParaRPr>
          </a:p>
        </c:rich>
      </c:tx>
      <c:layout/>
      <c:overlay val="0"/>
      <c:spPr>
        <a:noFill/>
        <a:ln>
          <a:noFill/>
        </a:ln>
        <a:effectLst/>
      </c:spPr>
    </c:title>
    <c:autoTitleDeleted val="0"/>
    <c:plotArea>
      <c:layout/>
      <c:barChart>
        <c:barDir val="col"/>
        <c:grouping val="clustered"/>
        <c:varyColors val="0"/>
        <c:ser>
          <c:idx val="0"/>
          <c:order val="0"/>
          <c:tx>
            <c:strRef>
              <c:f>'[Microsoft Word 中的图表]Sheet1'!$B$1</c:f>
              <c:strCache>
                <c:ptCount val="1"/>
                <c:pt idx="0">
                  <c:v>得分</c:v>
                </c:pt>
              </c:strCache>
            </c:strRef>
          </c:tx>
          <c:spPr>
            <a:solidFill>
              <a:schemeClr val="accent1"/>
            </a:solidFill>
            <a:ln>
              <a:noFill/>
            </a:ln>
            <a:effectLst/>
          </c:spPr>
          <c:invertIfNegative val="0"/>
          <c:dLbls>
            <c:delete val="1"/>
          </c:dLbls>
          <c:cat>
            <c:strRef>
              <c:f>'[Microsoft Word 中的图表]Sheet1'!$A$2:$A$6</c:f>
              <c:strCache>
                <c:ptCount val="5"/>
                <c:pt idx="0">
                  <c:v>投入</c:v>
                </c:pt>
                <c:pt idx="1">
                  <c:v>过程</c:v>
                </c:pt>
                <c:pt idx="2">
                  <c:v>产出</c:v>
                </c:pt>
                <c:pt idx="3">
                  <c:v>效果</c:v>
                </c:pt>
                <c:pt idx="4">
                  <c:v>综合绩效</c:v>
                </c:pt>
              </c:strCache>
            </c:strRef>
          </c:cat>
          <c:val>
            <c:numRef>
              <c:f>'[Microsoft Word 中的图表]Sheet1'!$B$2:$B$6</c:f>
              <c:numCache>
                <c:formatCode>General</c:formatCode>
                <c:ptCount val="5"/>
                <c:pt idx="0">
                  <c:v>13</c:v>
                </c:pt>
                <c:pt idx="1">
                  <c:v>24</c:v>
                </c:pt>
                <c:pt idx="2">
                  <c:v>27.8</c:v>
                </c:pt>
                <c:pt idx="3">
                  <c:v>25</c:v>
                </c:pt>
                <c:pt idx="4">
                  <c:v>89.8</c:v>
                </c:pt>
              </c:numCache>
            </c:numRef>
          </c:val>
        </c:ser>
        <c:ser>
          <c:idx val="1"/>
          <c:order val="1"/>
          <c:tx>
            <c:strRef>
              <c:f>'[Microsoft Word 中的图表]Sheet1'!$C$1</c:f>
              <c:strCache>
                <c:ptCount val="1"/>
                <c:pt idx="0">
                  <c:v>总分</c:v>
                </c:pt>
              </c:strCache>
            </c:strRef>
          </c:tx>
          <c:spPr>
            <a:solidFill>
              <a:schemeClr val="accent2"/>
            </a:solidFill>
            <a:ln>
              <a:noFill/>
            </a:ln>
            <a:effectLst/>
          </c:spPr>
          <c:invertIfNegative val="0"/>
          <c:dLbls>
            <c:delete val="1"/>
          </c:dLbls>
          <c:cat>
            <c:strRef>
              <c:f>'[Microsoft Word 中的图表]Sheet1'!$A$2:$A$6</c:f>
              <c:strCache>
                <c:ptCount val="5"/>
                <c:pt idx="0">
                  <c:v>投入</c:v>
                </c:pt>
                <c:pt idx="1">
                  <c:v>过程</c:v>
                </c:pt>
                <c:pt idx="2">
                  <c:v>产出</c:v>
                </c:pt>
                <c:pt idx="3">
                  <c:v>效果</c:v>
                </c:pt>
                <c:pt idx="4">
                  <c:v>综合绩效</c:v>
                </c:pt>
              </c:strCache>
            </c:strRef>
          </c:cat>
          <c:val>
            <c:numRef>
              <c:f>'[Microsoft Word 中的图表]Sheet1'!$C$2:$C$6</c:f>
              <c:numCache>
                <c:formatCode>General</c:formatCode>
                <c:ptCount val="5"/>
                <c:pt idx="0">
                  <c:v>16</c:v>
                </c:pt>
                <c:pt idx="1">
                  <c:v>24</c:v>
                </c:pt>
                <c:pt idx="2">
                  <c:v>33</c:v>
                </c:pt>
                <c:pt idx="3">
                  <c:v>27</c:v>
                </c:pt>
                <c:pt idx="4">
                  <c:v>100</c:v>
                </c:pt>
              </c:numCache>
            </c:numRef>
          </c:val>
        </c:ser>
        <c:dLbls>
          <c:showLegendKey val="0"/>
          <c:showVal val="0"/>
          <c:showCatName val="0"/>
          <c:showSerName val="0"/>
          <c:showPercent val="0"/>
          <c:showBubbleSize val="0"/>
        </c:dLbls>
        <c:gapWidth val="219"/>
        <c:overlap val="-27"/>
        <c:axId val="46432256"/>
        <c:axId val="46433792"/>
      </c:barChart>
      <c:catAx>
        <c:axId val="4643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433792"/>
        <c:crosses val="autoZero"/>
        <c:auto val="1"/>
        <c:lblAlgn val="ctr"/>
        <c:lblOffset val="100"/>
        <c:noMultiLvlLbl val="0"/>
      </c:catAx>
      <c:valAx>
        <c:axId val="464337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432256"/>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extobjs>
    <extobj name="C9F754DE-2CAD-44b6-B708-469DEB6407EB-1">
      <extobjdata type="C9F754DE-2CAD-44b6-B708-469DEB6407EB" data="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"/>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2E7FDD-401C-40CC-8D27-4A7384982EA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33</Pages>
  <Words>18116</Words>
  <Characters>19111</Characters>
  <Lines>152</Lines>
  <Paragraphs>42</Paragraphs>
  <TotalTime>7</TotalTime>
  <ScaleCrop>false</ScaleCrop>
  <LinksUpToDate>false</LinksUpToDate>
  <CharactersWithSpaces>19248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2019-07-31T09:25:00Z</dcterms:created>
  <dc:creator>echo sun</dc:creator>
  <cp:lastModifiedBy>无所谓</cp:lastModifiedBy>
  <cp:lastPrinted>2019-07-31T01:12:00Z</cp:lastPrinted>
  <dcterms:modified xsi:type="dcterms:W3CDTF">2024-09-13T01:43:31Z</dcterms:modified>
  <dc:title>二、正文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6B9A4F557F2E4C88A115074A021E7467_12</vt:lpwstr>
  </property>
</Properties>
</file>