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ind w:firstLine="883"/>
        <w:jc w:val="center"/>
        <w:rPr>
          <w:rFonts w:ascii="宋体" w:hAnsi="宋体" w:eastAsia="宋体"/>
          <w:b/>
          <w:color w:val="000000"/>
          <w:sz w:val="44"/>
          <w:szCs w:val="44"/>
          <w:highlight w:val="none"/>
        </w:rPr>
      </w:pPr>
    </w:p>
    <w:p>
      <w:pPr>
        <w:shd w:val="clear"/>
        <w:ind w:firstLine="883"/>
        <w:jc w:val="center"/>
        <w:rPr>
          <w:rFonts w:ascii="宋体" w:hAnsi="宋体" w:eastAsia="宋体"/>
          <w:b/>
          <w:color w:val="000000"/>
          <w:sz w:val="44"/>
          <w:szCs w:val="44"/>
          <w:highlight w:val="none"/>
        </w:rPr>
      </w:pPr>
    </w:p>
    <w:p>
      <w:pPr>
        <w:shd w:val="clear"/>
        <w:ind w:firstLine="0" w:firstLineChars="0"/>
        <w:jc w:val="center"/>
        <w:rPr>
          <w:rFonts w:hint="eastAsia" w:ascii="仿宋" w:hAnsi="仿宋" w:eastAsia="仿宋"/>
          <w:b/>
          <w:color w:val="000000"/>
          <w:sz w:val="44"/>
          <w:szCs w:val="44"/>
          <w:highlight w:val="none"/>
          <w:lang w:eastAsia="zh-CN"/>
        </w:rPr>
      </w:pPr>
      <w:r>
        <w:rPr>
          <w:rFonts w:hint="eastAsia" w:ascii="仿宋" w:hAnsi="仿宋" w:eastAsia="仿宋"/>
          <w:b/>
          <w:color w:val="000000"/>
          <w:sz w:val="40"/>
          <w:szCs w:val="40"/>
          <w:highlight w:val="none"/>
          <w:lang w:eastAsia="zh-CN"/>
        </w:rPr>
        <w:t>武汉经济技术开发区（汉南区）退役军人事务局</w:t>
      </w:r>
    </w:p>
    <w:p>
      <w:pPr>
        <w:shd w:val="clear"/>
        <w:ind w:firstLine="0" w:firstLineChars="0"/>
        <w:jc w:val="center"/>
        <w:rPr>
          <w:rFonts w:hint="default" w:ascii="仿宋" w:hAnsi="仿宋" w:eastAsia="仿宋"/>
          <w:b/>
          <w:bCs/>
          <w:color w:val="000000"/>
          <w:sz w:val="44"/>
          <w:szCs w:val="44"/>
          <w:highlight w:val="none"/>
          <w:lang w:val="en-US" w:eastAsia="zh-CN"/>
        </w:rPr>
      </w:pPr>
      <w:r>
        <w:rPr>
          <w:rFonts w:hint="eastAsia" w:ascii="仿宋" w:hAnsi="仿宋" w:eastAsia="仿宋"/>
          <w:b/>
          <w:bCs/>
          <w:color w:val="000000"/>
          <w:sz w:val="44"/>
          <w:szCs w:val="44"/>
          <w:highlight w:val="none"/>
          <w:lang w:val="en-US" w:eastAsia="zh-CN"/>
        </w:rPr>
        <w:t>退役安置经费</w:t>
      </w:r>
    </w:p>
    <w:p>
      <w:pPr>
        <w:shd w:val="clear"/>
        <w:ind w:firstLine="0" w:firstLineChars="0"/>
        <w:jc w:val="center"/>
        <w:rPr>
          <w:rFonts w:ascii="仿宋" w:hAnsi="仿宋" w:eastAsia="仿宋"/>
          <w:b/>
          <w:bCs/>
          <w:color w:val="000000"/>
          <w:sz w:val="44"/>
          <w:szCs w:val="44"/>
          <w:highlight w:val="none"/>
        </w:rPr>
      </w:pPr>
      <w:r>
        <w:rPr>
          <w:rFonts w:hint="eastAsia" w:ascii="仿宋" w:hAnsi="仿宋" w:eastAsia="仿宋"/>
          <w:b/>
          <w:bCs/>
          <w:color w:val="000000"/>
          <w:sz w:val="44"/>
          <w:szCs w:val="44"/>
          <w:highlight w:val="none"/>
        </w:rPr>
        <w:t>201</w:t>
      </w:r>
      <w:r>
        <w:rPr>
          <w:rFonts w:hint="eastAsia" w:ascii="仿宋" w:hAnsi="仿宋" w:eastAsia="仿宋"/>
          <w:b/>
          <w:bCs/>
          <w:color w:val="000000"/>
          <w:sz w:val="44"/>
          <w:szCs w:val="44"/>
          <w:highlight w:val="none"/>
          <w:lang w:val="en-US" w:eastAsia="zh-CN"/>
        </w:rPr>
        <w:t>9</w:t>
      </w:r>
      <w:r>
        <w:rPr>
          <w:rFonts w:hint="eastAsia" w:ascii="仿宋" w:hAnsi="仿宋" w:eastAsia="仿宋"/>
          <w:b/>
          <w:bCs/>
          <w:color w:val="000000"/>
          <w:sz w:val="44"/>
          <w:szCs w:val="44"/>
          <w:highlight w:val="none"/>
        </w:rPr>
        <w:t>年度绩效评价报告</w:t>
      </w:r>
    </w:p>
    <w:p>
      <w:pPr>
        <w:shd w:val="clear"/>
        <w:ind w:firstLine="480"/>
        <w:rPr>
          <w:highlight w:val="none"/>
        </w:rPr>
      </w:pPr>
    </w:p>
    <w:p>
      <w:pPr>
        <w:shd w:val="clear"/>
        <w:ind w:firstLine="480"/>
        <w:rPr>
          <w:highlight w:val="none"/>
        </w:rPr>
      </w:pPr>
    </w:p>
    <w:p>
      <w:pPr>
        <w:shd w:val="clear"/>
        <w:ind w:firstLine="480"/>
        <w:rPr>
          <w:highlight w:val="none"/>
        </w:rPr>
      </w:pPr>
    </w:p>
    <w:p>
      <w:pPr>
        <w:widowControl/>
        <w:shd w:val="clear"/>
        <w:spacing w:line="800" w:lineRule="exact"/>
        <w:ind w:firstLine="790" w:firstLineChars="246"/>
        <w:jc w:val="left"/>
        <w:rPr>
          <w:b/>
          <w:bCs/>
          <w:kern w:val="32"/>
          <w:sz w:val="32"/>
          <w:highlight w:val="none"/>
          <w:lang w:bidi="he-IL"/>
        </w:rPr>
      </w:pPr>
    </w:p>
    <w:p>
      <w:pPr>
        <w:widowControl/>
        <w:shd w:val="clear"/>
        <w:spacing w:line="800" w:lineRule="exact"/>
        <w:ind w:firstLine="790" w:firstLineChars="246"/>
        <w:jc w:val="left"/>
        <w:rPr>
          <w:b/>
          <w:bCs/>
          <w:kern w:val="32"/>
          <w:sz w:val="32"/>
          <w:highlight w:val="none"/>
          <w:lang w:bidi="he-IL"/>
        </w:rPr>
      </w:pPr>
    </w:p>
    <w:p>
      <w:pPr>
        <w:keepNext w:val="0"/>
        <w:keepLines w:val="0"/>
        <w:pageBreakBefore w:val="0"/>
        <w:widowControl/>
        <w:shd w:val="clear"/>
        <w:kinsoku/>
        <w:wordWrap/>
        <w:overflowPunct/>
        <w:topLinePunct w:val="0"/>
        <w:autoSpaceDE/>
        <w:autoSpaceDN/>
        <w:bidi w:val="0"/>
        <w:adjustRightInd/>
        <w:snapToGrid/>
        <w:spacing w:line="480" w:lineRule="auto"/>
        <w:ind w:right="-192" w:rightChars="-80" w:firstLine="643" w:firstLineChars="200"/>
        <w:jc w:val="left"/>
        <w:textAlignment w:val="auto"/>
        <w:rPr>
          <w:rFonts w:hint="default" w:eastAsia="仿宋_GB2312"/>
          <w:b/>
          <w:bCs/>
          <w:sz w:val="32"/>
          <w:szCs w:val="32"/>
          <w:highlight w:val="none"/>
          <w:lang w:val="en-US" w:eastAsia="zh-CN"/>
        </w:rPr>
      </w:pPr>
      <w:r>
        <w:rPr>
          <w:b/>
          <w:bCs/>
          <w:kern w:val="32"/>
          <w:sz w:val="32"/>
          <w:highlight w:val="none"/>
          <w:lang w:bidi="he-IL"/>
        </w:rPr>
        <w:t>项目名称：</w:t>
      </w:r>
      <w:r>
        <w:rPr>
          <w:rFonts w:hint="eastAsia"/>
          <w:b/>
          <w:bCs/>
          <w:sz w:val="32"/>
          <w:szCs w:val="32"/>
          <w:highlight w:val="none"/>
          <w:lang w:val="en-US" w:eastAsia="zh-CN"/>
        </w:rPr>
        <w:t>退役安置经费</w:t>
      </w:r>
    </w:p>
    <w:p>
      <w:pPr>
        <w:keepNext w:val="0"/>
        <w:keepLines w:val="0"/>
        <w:pageBreakBefore w:val="0"/>
        <w:widowControl/>
        <w:shd w:val="clear"/>
        <w:kinsoku/>
        <w:wordWrap/>
        <w:overflowPunct/>
        <w:topLinePunct w:val="0"/>
        <w:autoSpaceDE/>
        <w:autoSpaceDN/>
        <w:bidi w:val="0"/>
        <w:adjustRightInd/>
        <w:snapToGrid/>
        <w:spacing w:line="480" w:lineRule="auto"/>
        <w:ind w:right="-192" w:rightChars="-80" w:firstLine="643" w:firstLineChars="200"/>
        <w:jc w:val="left"/>
        <w:textAlignment w:val="auto"/>
        <w:rPr>
          <w:rFonts w:hint="eastAsia" w:eastAsia="仿宋_GB2312"/>
          <w:b/>
          <w:bCs/>
          <w:sz w:val="32"/>
          <w:szCs w:val="32"/>
          <w:highlight w:val="none"/>
          <w:lang w:eastAsia="zh-CN"/>
        </w:rPr>
      </w:pPr>
      <w:r>
        <w:rPr>
          <w:b/>
          <w:bCs/>
          <w:kern w:val="32"/>
          <w:sz w:val="32"/>
          <w:highlight w:val="none"/>
          <w:lang w:bidi="he-IL"/>
        </w:rPr>
        <w:t>项目单位：</w:t>
      </w:r>
      <w:r>
        <w:rPr>
          <w:rFonts w:hint="eastAsia"/>
          <w:b/>
          <w:bCs/>
          <w:kern w:val="32"/>
          <w:sz w:val="32"/>
          <w:highlight w:val="none"/>
          <w:lang w:eastAsia="zh-CN" w:bidi="he-IL"/>
        </w:rPr>
        <w:t>武汉经济技术开发区（汉南区）退役军人事务局</w:t>
      </w:r>
    </w:p>
    <w:p>
      <w:pPr>
        <w:keepNext w:val="0"/>
        <w:keepLines w:val="0"/>
        <w:pageBreakBefore w:val="0"/>
        <w:widowControl/>
        <w:shd w:val="clear"/>
        <w:kinsoku/>
        <w:wordWrap/>
        <w:overflowPunct/>
        <w:topLinePunct w:val="0"/>
        <w:autoSpaceDE/>
        <w:autoSpaceDN/>
        <w:bidi w:val="0"/>
        <w:adjustRightInd/>
        <w:snapToGrid/>
        <w:spacing w:line="480" w:lineRule="auto"/>
        <w:ind w:right="-192" w:rightChars="-80" w:firstLine="643" w:firstLineChars="200"/>
        <w:jc w:val="left"/>
        <w:textAlignment w:val="auto"/>
        <w:rPr>
          <w:rFonts w:hint="eastAsia"/>
          <w:b/>
          <w:bCs/>
          <w:kern w:val="32"/>
          <w:sz w:val="32"/>
          <w:highlight w:val="none"/>
          <w:lang w:eastAsia="zh-CN" w:bidi="he-IL"/>
        </w:rPr>
      </w:pPr>
      <w:r>
        <w:rPr>
          <w:b/>
          <w:bCs/>
          <w:kern w:val="32"/>
          <w:sz w:val="32"/>
          <w:highlight w:val="none"/>
          <w:lang w:bidi="he-IL"/>
        </w:rPr>
        <w:t>主管部门：</w:t>
      </w:r>
      <w:r>
        <w:rPr>
          <w:rFonts w:hint="eastAsia"/>
          <w:b/>
          <w:bCs/>
          <w:kern w:val="32"/>
          <w:sz w:val="32"/>
          <w:highlight w:val="none"/>
          <w:lang w:eastAsia="zh-CN" w:bidi="he-IL"/>
        </w:rPr>
        <w:t>武汉经济技术开发区（汉南区）退役军人事务局</w:t>
      </w:r>
    </w:p>
    <w:p>
      <w:pPr>
        <w:keepNext w:val="0"/>
        <w:keepLines w:val="0"/>
        <w:pageBreakBefore w:val="0"/>
        <w:widowControl/>
        <w:shd w:val="clear"/>
        <w:kinsoku/>
        <w:wordWrap/>
        <w:overflowPunct/>
        <w:topLinePunct w:val="0"/>
        <w:autoSpaceDE/>
        <w:autoSpaceDN/>
        <w:bidi w:val="0"/>
        <w:adjustRightInd/>
        <w:snapToGrid/>
        <w:spacing w:line="480" w:lineRule="auto"/>
        <w:ind w:firstLine="643" w:firstLineChars="200"/>
        <w:jc w:val="left"/>
        <w:textAlignment w:val="auto"/>
        <w:rPr>
          <w:rFonts w:hint="eastAsia" w:eastAsia="仿宋_GB2312"/>
          <w:b/>
          <w:bCs/>
          <w:sz w:val="32"/>
          <w:szCs w:val="32"/>
          <w:highlight w:val="none"/>
          <w:lang w:eastAsia="zh-CN"/>
        </w:rPr>
      </w:pPr>
      <w:r>
        <w:rPr>
          <w:b/>
          <w:bCs/>
          <w:kern w:val="32"/>
          <w:sz w:val="32"/>
          <w:highlight w:val="none"/>
          <w:lang w:bidi="he-IL"/>
        </w:rPr>
        <w:t>评价机构：</w:t>
      </w:r>
      <w:r>
        <w:rPr>
          <w:rFonts w:hint="eastAsia"/>
          <w:b/>
          <w:bCs/>
          <w:sz w:val="32"/>
          <w:szCs w:val="32"/>
          <w:highlight w:val="none"/>
          <w:lang w:eastAsia="zh-CN"/>
        </w:rPr>
        <w:t>湖北开元会计师事务有限公司</w:t>
      </w:r>
    </w:p>
    <w:p>
      <w:pPr>
        <w:shd w:val="clear"/>
        <w:spacing w:line="800" w:lineRule="exact"/>
        <w:ind w:firstLine="0" w:firstLineChars="0"/>
        <w:rPr>
          <w:b/>
          <w:bCs/>
          <w:sz w:val="32"/>
          <w:szCs w:val="32"/>
          <w:highlight w:val="none"/>
        </w:rPr>
      </w:pPr>
    </w:p>
    <w:p>
      <w:pPr>
        <w:shd w:val="clear"/>
        <w:spacing w:line="800" w:lineRule="exact"/>
        <w:ind w:firstLine="0" w:firstLineChars="0"/>
        <w:rPr>
          <w:b/>
          <w:bCs/>
          <w:sz w:val="32"/>
          <w:szCs w:val="32"/>
          <w:highlight w:val="none"/>
        </w:rPr>
      </w:pPr>
    </w:p>
    <w:p>
      <w:pPr>
        <w:shd w:val="clear"/>
        <w:spacing w:line="800" w:lineRule="exact"/>
        <w:ind w:firstLine="0" w:firstLineChars="0"/>
        <w:jc w:val="center"/>
        <w:rPr>
          <w:b/>
          <w:bCs/>
          <w:sz w:val="32"/>
          <w:szCs w:val="32"/>
          <w:highlight w:val="none"/>
        </w:rPr>
      </w:pPr>
      <w:r>
        <w:rPr>
          <w:b/>
          <w:bCs/>
          <w:sz w:val="32"/>
          <w:szCs w:val="32"/>
          <w:highlight w:val="none"/>
        </w:rPr>
        <w:t>二〇二〇年</w:t>
      </w:r>
      <w:r>
        <w:rPr>
          <w:rFonts w:hint="eastAsia"/>
          <w:b/>
          <w:bCs/>
          <w:sz w:val="32"/>
          <w:szCs w:val="32"/>
          <w:highlight w:val="none"/>
          <w:lang w:val="en-US" w:eastAsia="zh-CN"/>
        </w:rPr>
        <w:t>六</w:t>
      </w:r>
      <w:r>
        <w:rPr>
          <w:b/>
          <w:bCs/>
          <w:sz w:val="32"/>
          <w:szCs w:val="32"/>
          <w:highlight w:val="none"/>
        </w:rPr>
        <w:t>月</w:t>
      </w:r>
    </w:p>
    <w:p>
      <w:pPr>
        <w:pStyle w:val="15"/>
        <w:shd w:val="clear"/>
        <w:tabs>
          <w:tab w:val="right" w:leader="dot" w:pos="8693"/>
        </w:tabs>
        <w:ind w:firstLine="0" w:firstLineChars="0"/>
        <w:rPr>
          <w:rFonts w:ascii="Arial Narrow" w:hAnsi="Arial Narrow" w:cs="Arial Narrow"/>
          <w:bCs w:val="0"/>
          <w:caps w:val="0"/>
          <w:sz w:val="32"/>
          <w:szCs w:val="32"/>
          <w:highlight w:val="none"/>
        </w:rPr>
      </w:pPr>
    </w:p>
    <w:sdt>
      <w:sdtPr>
        <w:rPr>
          <w:rFonts w:ascii="Times New Roman" w:hAnsi="Times New Roman" w:eastAsia="仿宋_GB2312"/>
          <w:b w:val="0"/>
          <w:bCs w:val="0"/>
          <w:color w:val="auto"/>
          <w:kern w:val="2"/>
          <w:sz w:val="24"/>
          <w:szCs w:val="24"/>
          <w:highlight w:val="none"/>
          <w:lang w:val="zh-CN"/>
        </w:rPr>
        <w:id w:val="-1191839909"/>
        <w:docPartObj>
          <w:docPartGallery w:val="Table of Contents"/>
          <w:docPartUnique/>
        </w:docPartObj>
      </w:sdtPr>
      <w:sdtEndPr>
        <w:rPr>
          <w:rFonts w:ascii="Times New Roman" w:hAnsi="Times New Roman" w:eastAsia="仿宋_GB2312"/>
          <w:b w:val="0"/>
          <w:bCs w:val="0"/>
          <w:color w:val="auto"/>
          <w:kern w:val="2"/>
          <w:sz w:val="24"/>
          <w:szCs w:val="24"/>
          <w:highlight w:val="none"/>
          <w:lang w:val="zh-CN"/>
        </w:rPr>
      </w:sdtEndPr>
      <w:sdtContent>
        <w:p>
          <w:pPr>
            <w:keepNext w:val="0"/>
            <w:keepLines w:val="0"/>
            <w:pageBreakBefore w:val="0"/>
            <w:widowControl w:val="0"/>
            <w:shd w:val="clear"/>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ascii="宋体" w:hAnsi="宋体" w:eastAsia="宋体"/>
              <w:b/>
              <w:bCs/>
              <w:sz w:val="32"/>
              <w:szCs w:val="40"/>
              <w:highlight w:val="none"/>
            </w:rPr>
          </w:pPr>
          <w:r>
            <w:rPr>
              <w:rFonts w:ascii="宋体" w:hAnsi="宋体" w:eastAsia="宋体"/>
              <w:b/>
              <w:bCs/>
              <w:sz w:val="32"/>
              <w:szCs w:val="40"/>
              <w:highlight w:val="none"/>
            </w:rPr>
            <w:t>目录</w:t>
          </w:r>
          <w:bookmarkStart w:id="99" w:name="_GoBack"/>
          <w:bookmarkEnd w:id="99"/>
        </w:p>
        <w:p>
          <w:pPr>
            <w:keepNext w:val="0"/>
            <w:keepLines w:val="0"/>
            <w:pageBreakBefore w:val="0"/>
            <w:widowControl w:val="0"/>
            <w:shd w:val="clear"/>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ascii="宋体" w:hAnsi="宋体" w:eastAsia="宋体"/>
              <w:b/>
              <w:bCs/>
              <w:sz w:val="32"/>
              <w:szCs w:val="40"/>
              <w:highlight w:val="none"/>
            </w:rPr>
          </w:pP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before="0" w:after="0" w:line="240" w:lineRule="auto"/>
            <w:textAlignment w:val="auto"/>
            <w:rPr>
              <w:highlight w:val="none"/>
            </w:rPr>
          </w:pPr>
          <w:r>
            <w:rPr>
              <w:rFonts w:ascii="仿宋" w:hAnsi="仿宋" w:eastAsia="仿宋"/>
              <w:sz w:val="24"/>
              <w:szCs w:val="24"/>
              <w:highlight w:val="none"/>
            </w:rPr>
            <w:fldChar w:fldCharType="begin"/>
          </w:r>
          <w:r>
            <w:rPr>
              <w:rFonts w:ascii="仿宋" w:hAnsi="仿宋" w:eastAsia="仿宋"/>
              <w:sz w:val="24"/>
              <w:szCs w:val="24"/>
              <w:highlight w:val="none"/>
            </w:rPr>
            <w:instrText xml:space="preserve"> TOC \o "1-3" \h \z \u </w:instrText>
          </w:r>
          <w:r>
            <w:rPr>
              <w:rFonts w:ascii="仿宋" w:hAnsi="仿宋" w:eastAsia="仿宋"/>
              <w:sz w:val="24"/>
              <w:szCs w:val="24"/>
              <w:highlight w:val="none"/>
            </w:rPr>
            <w:fldChar w:fldCharType="separate"/>
          </w:r>
          <w:r>
            <w:rPr>
              <w:rFonts w:ascii="仿宋" w:hAnsi="仿宋" w:eastAsia="仿宋"/>
              <w:szCs w:val="24"/>
              <w:highlight w:val="none"/>
            </w:rPr>
            <w:fldChar w:fldCharType="begin"/>
          </w:r>
          <w:r>
            <w:rPr>
              <w:rFonts w:ascii="仿宋" w:hAnsi="仿宋" w:eastAsia="仿宋"/>
              <w:szCs w:val="24"/>
              <w:highlight w:val="none"/>
            </w:rPr>
            <w:instrText xml:space="preserve"> HYPERLINK \l _Toc16034 </w:instrText>
          </w:r>
          <w:r>
            <w:rPr>
              <w:rFonts w:ascii="仿宋" w:hAnsi="仿宋" w:eastAsia="仿宋"/>
              <w:szCs w:val="24"/>
              <w:highlight w:val="none"/>
            </w:rPr>
            <w:fldChar w:fldCharType="separate"/>
          </w:r>
          <w:r>
            <w:rPr>
              <w:rFonts w:hint="eastAsia" w:ascii="仿宋" w:hAnsi="仿宋" w:eastAsia="仿宋" w:cs="仿宋"/>
              <w:szCs w:val="32"/>
              <w:highlight w:val="none"/>
              <w:lang w:val="en-US" w:eastAsia="zh-CN"/>
            </w:rPr>
            <w:t>一、</w:t>
          </w:r>
          <w:r>
            <w:rPr>
              <w:rFonts w:hint="eastAsia" w:ascii="仿宋" w:hAnsi="仿宋" w:eastAsia="仿宋" w:cs="仿宋"/>
              <w:szCs w:val="32"/>
              <w:highlight w:val="none"/>
            </w:rPr>
            <w:t>摘要</w:t>
          </w:r>
          <w:r>
            <w:rPr>
              <w:highlight w:val="none"/>
            </w:rPr>
            <w:tab/>
          </w:r>
          <w:r>
            <w:rPr>
              <w:highlight w:val="none"/>
            </w:rPr>
            <w:fldChar w:fldCharType="begin"/>
          </w:r>
          <w:r>
            <w:rPr>
              <w:highlight w:val="none"/>
            </w:rPr>
            <w:instrText xml:space="preserve"> PAGEREF _Toc16034 </w:instrText>
          </w:r>
          <w:r>
            <w:rPr>
              <w:highlight w:val="none"/>
            </w:rPr>
            <w:fldChar w:fldCharType="separate"/>
          </w:r>
          <w:r>
            <w:rPr>
              <w:highlight w:val="none"/>
            </w:rPr>
            <w:t>1</w:t>
          </w:r>
          <w:r>
            <w:rPr>
              <w:highlight w:val="none"/>
            </w:rPr>
            <w:fldChar w:fldCharType="end"/>
          </w:r>
          <w:r>
            <w:rPr>
              <w:rFonts w:ascii="仿宋" w:hAnsi="仿宋" w:eastAsia="仿宋"/>
              <w:szCs w:val="24"/>
              <w:highlight w:val="none"/>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_Toc23780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24"/>
              <w:highlight w:val="none"/>
              <w:lang w:val="en-US" w:eastAsia="zh-CN"/>
            </w:rPr>
            <w:t>（一）</w:t>
          </w:r>
          <w:r>
            <w:rPr>
              <w:rFonts w:hint="eastAsia" w:ascii="仿宋" w:hAnsi="仿宋" w:eastAsia="仿宋" w:cs="Arial Narrow"/>
              <w:sz w:val="24"/>
              <w:szCs w:val="24"/>
              <w:highlight w:val="none"/>
            </w:rPr>
            <w:t>基本情况</w:t>
          </w:r>
          <w:r>
            <w:rPr>
              <w:sz w:val="24"/>
              <w:szCs w:val="18"/>
              <w:highlight w:val="none"/>
            </w:rPr>
            <w:tab/>
          </w:r>
          <w:r>
            <w:rPr>
              <w:sz w:val="24"/>
              <w:szCs w:val="18"/>
              <w:highlight w:val="none"/>
            </w:rPr>
            <w:fldChar w:fldCharType="begin"/>
          </w:r>
          <w:r>
            <w:rPr>
              <w:sz w:val="24"/>
              <w:szCs w:val="18"/>
              <w:highlight w:val="none"/>
            </w:rPr>
            <w:instrText xml:space="preserve"> PAGEREF _Toc23780 </w:instrText>
          </w:r>
          <w:r>
            <w:rPr>
              <w:sz w:val="24"/>
              <w:szCs w:val="18"/>
              <w:highlight w:val="none"/>
            </w:rPr>
            <w:fldChar w:fldCharType="separate"/>
          </w:r>
          <w:r>
            <w:rPr>
              <w:sz w:val="24"/>
              <w:szCs w:val="18"/>
              <w:highlight w:val="none"/>
            </w:rPr>
            <w:t>1</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_Toc28699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1、项目基本情况</w:t>
          </w:r>
          <w:r>
            <w:rPr>
              <w:sz w:val="24"/>
              <w:szCs w:val="18"/>
              <w:highlight w:val="none"/>
            </w:rPr>
            <w:tab/>
          </w:r>
          <w:r>
            <w:rPr>
              <w:sz w:val="24"/>
              <w:szCs w:val="18"/>
              <w:highlight w:val="none"/>
            </w:rPr>
            <w:fldChar w:fldCharType="begin"/>
          </w:r>
          <w:r>
            <w:rPr>
              <w:sz w:val="24"/>
              <w:szCs w:val="18"/>
              <w:highlight w:val="none"/>
            </w:rPr>
            <w:instrText xml:space="preserve"> PAGEREF _Toc28699 </w:instrText>
          </w:r>
          <w:r>
            <w:rPr>
              <w:sz w:val="24"/>
              <w:szCs w:val="18"/>
              <w:highlight w:val="none"/>
            </w:rPr>
            <w:fldChar w:fldCharType="separate"/>
          </w:r>
          <w:r>
            <w:rPr>
              <w:sz w:val="24"/>
              <w:szCs w:val="18"/>
              <w:highlight w:val="none"/>
            </w:rPr>
            <w:t>1</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_Toc3634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2、绩效评价工作情况</w:t>
          </w:r>
          <w:r>
            <w:rPr>
              <w:sz w:val="24"/>
              <w:szCs w:val="18"/>
              <w:highlight w:val="none"/>
            </w:rPr>
            <w:tab/>
          </w:r>
          <w:r>
            <w:rPr>
              <w:sz w:val="24"/>
              <w:szCs w:val="18"/>
              <w:highlight w:val="none"/>
            </w:rPr>
            <w:fldChar w:fldCharType="begin"/>
          </w:r>
          <w:r>
            <w:rPr>
              <w:sz w:val="24"/>
              <w:szCs w:val="18"/>
              <w:highlight w:val="none"/>
            </w:rPr>
            <w:instrText xml:space="preserve"> PAGEREF _Toc3634 </w:instrText>
          </w:r>
          <w:r>
            <w:rPr>
              <w:sz w:val="24"/>
              <w:szCs w:val="18"/>
              <w:highlight w:val="none"/>
            </w:rPr>
            <w:fldChar w:fldCharType="separate"/>
          </w:r>
          <w:r>
            <w:rPr>
              <w:sz w:val="24"/>
              <w:szCs w:val="18"/>
              <w:highlight w:val="none"/>
            </w:rPr>
            <w:t>1</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_Toc1966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24"/>
              <w:highlight w:val="none"/>
              <w:lang w:val="en-US" w:eastAsia="zh-CN"/>
            </w:rPr>
            <w:t>（二）绩效评价结论</w:t>
          </w:r>
          <w:r>
            <w:rPr>
              <w:sz w:val="24"/>
              <w:szCs w:val="18"/>
              <w:highlight w:val="none"/>
            </w:rPr>
            <w:tab/>
          </w:r>
          <w:r>
            <w:rPr>
              <w:sz w:val="24"/>
              <w:szCs w:val="18"/>
              <w:highlight w:val="none"/>
            </w:rPr>
            <w:fldChar w:fldCharType="begin"/>
          </w:r>
          <w:r>
            <w:rPr>
              <w:sz w:val="24"/>
              <w:szCs w:val="18"/>
              <w:highlight w:val="none"/>
            </w:rPr>
            <w:instrText xml:space="preserve"> PAGEREF _Toc1966 </w:instrText>
          </w:r>
          <w:r>
            <w:rPr>
              <w:sz w:val="24"/>
              <w:szCs w:val="18"/>
              <w:highlight w:val="none"/>
            </w:rPr>
            <w:fldChar w:fldCharType="separate"/>
          </w:r>
          <w:r>
            <w:rPr>
              <w:sz w:val="24"/>
              <w:szCs w:val="18"/>
              <w:highlight w:val="none"/>
            </w:rPr>
            <w:t>1</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_Toc20258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24"/>
              <w:highlight w:val="none"/>
              <w:lang w:val="en-US" w:eastAsia="zh-CN"/>
            </w:rPr>
            <w:t>（三）项目经验与问题</w:t>
          </w:r>
          <w:r>
            <w:rPr>
              <w:sz w:val="24"/>
              <w:szCs w:val="18"/>
              <w:highlight w:val="none"/>
            </w:rPr>
            <w:tab/>
          </w:r>
          <w:r>
            <w:rPr>
              <w:sz w:val="24"/>
              <w:szCs w:val="18"/>
              <w:highlight w:val="none"/>
            </w:rPr>
            <w:fldChar w:fldCharType="begin"/>
          </w:r>
          <w:r>
            <w:rPr>
              <w:sz w:val="24"/>
              <w:szCs w:val="18"/>
              <w:highlight w:val="none"/>
            </w:rPr>
            <w:instrText xml:space="preserve"> PAGEREF _Toc20258 </w:instrText>
          </w:r>
          <w:r>
            <w:rPr>
              <w:sz w:val="24"/>
              <w:szCs w:val="18"/>
              <w:highlight w:val="none"/>
            </w:rPr>
            <w:fldChar w:fldCharType="separate"/>
          </w:r>
          <w:r>
            <w:rPr>
              <w:sz w:val="24"/>
              <w:szCs w:val="18"/>
              <w:highlight w:val="none"/>
            </w:rPr>
            <w:t>2</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_Toc3962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24"/>
              <w:highlight w:val="none"/>
              <w:lang w:val="en-US" w:eastAsia="zh-CN"/>
            </w:rPr>
            <w:t>（四）建议</w:t>
          </w:r>
          <w:r>
            <w:rPr>
              <w:sz w:val="24"/>
              <w:szCs w:val="18"/>
              <w:highlight w:val="none"/>
            </w:rPr>
            <w:tab/>
          </w:r>
          <w:r>
            <w:rPr>
              <w:sz w:val="24"/>
              <w:szCs w:val="18"/>
              <w:highlight w:val="none"/>
            </w:rPr>
            <w:fldChar w:fldCharType="begin"/>
          </w:r>
          <w:r>
            <w:rPr>
              <w:sz w:val="24"/>
              <w:szCs w:val="18"/>
              <w:highlight w:val="none"/>
            </w:rPr>
            <w:instrText xml:space="preserve"> PAGEREF _Toc3962 </w:instrText>
          </w:r>
          <w:r>
            <w:rPr>
              <w:sz w:val="24"/>
              <w:szCs w:val="18"/>
              <w:highlight w:val="none"/>
            </w:rPr>
            <w:fldChar w:fldCharType="separate"/>
          </w:r>
          <w:r>
            <w:rPr>
              <w:sz w:val="24"/>
              <w:szCs w:val="18"/>
              <w:highlight w:val="none"/>
            </w:rPr>
            <w:t>2</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highlight w:val="none"/>
            </w:rPr>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_Toc13066 </w:instrText>
          </w:r>
          <w:r>
            <w:rPr>
              <w:rFonts w:ascii="仿宋" w:hAnsi="仿宋" w:eastAsia="仿宋"/>
              <w:bCs/>
              <w:highlight w:val="none"/>
              <w:lang w:val="zh-CN"/>
            </w:rPr>
            <w:fldChar w:fldCharType="separate"/>
          </w:r>
          <w:r>
            <w:rPr>
              <w:rFonts w:hint="eastAsia" w:ascii="仿宋" w:hAnsi="仿宋" w:eastAsia="仿宋" w:cs="仿宋"/>
              <w:szCs w:val="32"/>
              <w:highlight w:val="none"/>
              <w:lang w:val="en-US" w:eastAsia="zh-CN"/>
            </w:rPr>
            <w:t>二、正文</w:t>
          </w:r>
          <w:r>
            <w:rPr>
              <w:highlight w:val="none"/>
            </w:rPr>
            <w:tab/>
          </w:r>
          <w:r>
            <w:rPr>
              <w:highlight w:val="none"/>
            </w:rPr>
            <w:fldChar w:fldCharType="begin"/>
          </w:r>
          <w:r>
            <w:rPr>
              <w:highlight w:val="none"/>
            </w:rPr>
            <w:instrText xml:space="preserve"> PAGEREF _Toc13066 </w:instrText>
          </w:r>
          <w:r>
            <w:rPr>
              <w:highlight w:val="none"/>
            </w:rPr>
            <w:fldChar w:fldCharType="separate"/>
          </w:r>
          <w:r>
            <w:rPr>
              <w:highlight w:val="none"/>
            </w:rPr>
            <w:t>2</w:t>
          </w:r>
          <w:r>
            <w:rPr>
              <w:highlight w:val="none"/>
            </w:rP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_Toc24705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24"/>
              <w:highlight w:val="none"/>
              <w:lang w:val="en-US" w:eastAsia="zh-CN"/>
            </w:rPr>
            <w:t>（一）项目基本情况</w:t>
          </w:r>
          <w:r>
            <w:rPr>
              <w:sz w:val="24"/>
              <w:szCs w:val="18"/>
              <w:highlight w:val="none"/>
            </w:rPr>
            <w:tab/>
          </w:r>
          <w:r>
            <w:rPr>
              <w:sz w:val="24"/>
              <w:szCs w:val="18"/>
              <w:highlight w:val="none"/>
            </w:rPr>
            <w:fldChar w:fldCharType="begin"/>
          </w:r>
          <w:r>
            <w:rPr>
              <w:sz w:val="24"/>
              <w:szCs w:val="18"/>
              <w:highlight w:val="none"/>
            </w:rPr>
            <w:instrText xml:space="preserve"> PAGEREF _Toc24705 </w:instrText>
          </w:r>
          <w:r>
            <w:rPr>
              <w:sz w:val="24"/>
              <w:szCs w:val="18"/>
              <w:highlight w:val="none"/>
            </w:rPr>
            <w:fldChar w:fldCharType="separate"/>
          </w:r>
          <w:r>
            <w:rPr>
              <w:sz w:val="24"/>
              <w:szCs w:val="18"/>
              <w:highlight w:val="none"/>
            </w:rPr>
            <w:t>2</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before="0" w:after="0"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_Toc32217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1、</w:t>
          </w:r>
          <w:r>
            <w:rPr>
              <w:rFonts w:hint="eastAsia" w:ascii="仿宋" w:hAnsi="仿宋" w:eastAsia="仿宋" w:cs="Arial Narrow"/>
              <w:sz w:val="24"/>
              <w:szCs w:val="18"/>
              <w:highlight w:val="none"/>
            </w:rPr>
            <w:t>项目立项背景和依据</w:t>
          </w:r>
          <w:r>
            <w:rPr>
              <w:sz w:val="24"/>
              <w:szCs w:val="18"/>
              <w:highlight w:val="none"/>
            </w:rPr>
            <w:tab/>
          </w:r>
          <w:r>
            <w:rPr>
              <w:sz w:val="24"/>
              <w:szCs w:val="18"/>
              <w:highlight w:val="none"/>
            </w:rPr>
            <w:fldChar w:fldCharType="begin"/>
          </w:r>
          <w:r>
            <w:rPr>
              <w:sz w:val="24"/>
              <w:szCs w:val="18"/>
              <w:highlight w:val="none"/>
            </w:rPr>
            <w:instrText xml:space="preserve"> PAGEREF _Toc32217 </w:instrText>
          </w:r>
          <w:r>
            <w:rPr>
              <w:sz w:val="24"/>
              <w:szCs w:val="18"/>
              <w:highlight w:val="none"/>
            </w:rPr>
            <w:fldChar w:fldCharType="separate"/>
          </w:r>
          <w:r>
            <w:rPr>
              <w:sz w:val="24"/>
              <w:szCs w:val="18"/>
              <w:highlight w:val="none"/>
            </w:rPr>
            <w:t>2</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_Toc10759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2、</w:t>
          </w:r>
          <w:r>
            <w:rPr>
              <w:rFonts w:hint="eastAsia" w:ascii="仿宋" w:hAnsi="仿宋" w:eastAsia="仿宋" w:cs="Arial Narrow"/>
              <w:sz w:val="24"/>
              <w:szCs w:val="18"/>
              <w:highlight w:val="none"/>
            </w:rPr>
            <w:t>项目绩效目标</w:t>
          </w:r>
          <w:r>
            <w:rPr>
              <w:sz w:val="24"/>
              <w:szCs w:val="18"/>
              <w:highlight w:val="none"/>
            </w:rPr>
            <w:tab/>
          </w:r>
          <w:r>
            <w:rPr>
              <w:sz w:val="24"/>
              <w:szCs w:val="18"/>
              <w:highlight w:val="none"/>
            </w:rPr>
            <w:fldChar w:fldCharType="begin"/>
          </w:r>
          <w:r>
            <w:rPr>
              <w:sz w:val="24"/>
              <w:szCs w:val="18"/>
              <w:highlight w:val="none"/>
            </w:rPr>
            <w:instrText xml:space="preserve"> PAGEREF _Toc10759 </w:instrText>
          </w:r>
          <w:r>
            <w:rPr>
              <w:sz w:val="24"/>
              <w:szCs w:val="18"/>
              <w:highlight w:val="none"/>
            </w:rPr>
            <w:fldChar w:fldCharType="separate"/>
          </w:r>
          <w:r>
            <w:rPr>
              <w:sz w:val="24"/>
              <w:szCs w:val="18"/>
              <w:highlight w:val="none"/>
            </w:rPr>
            <w:t>3</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_Toc30863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3、</w:t>
          </w:r>
          <w:r>
            <w:rPr>
              <w:rFonts w:hint="eastAsia" w:ascii="仿宋" w:hAnsi="仿宋" w:eastAsia="仿宋" w:cs="Arial Narrow"/>
              <w:sz w:val="24"/>
              <w:szCs w:val="18"/>
              <w:highlight w:val="none"/>
            </w:rPr>
            <w:t>项目经费来源和使用情况</w:t>
          </w:r>
          <w:r>
            <w:rPr>
              <w:sz w:val="24"/>
              <w:szCs w:val="18"/>
              <w:highlight w:val="none"/>
            </w:rPr>
            <w:tab/>
          </w:r>
          <w:r>
            <w:rPr>
              <w:sz w:val="24"/>
              <w:szCs w:val="18"/>
              <w:highlight w:val="none"/>
            </w:rPr>
            <w:fldChar w:fldCharType="begin"/>
          </w:r>
          <w:r>
            <w:rPr>
              <w:sz w:val="24"/>
              <w:szCs w:val="18"/>
              <w:highlight w:val="none"/>
            </w:rPr>
            <w:instrText xml:space="preserve"> PAGEREF _Toc30863 </w:instrText>
          </w:r>
          <w:r>
            <w:rPr>
              <w:sz w:val="24"/>
              <w:szCs w:val="18"/>
              <w:highlight w:val="none"/>
            </w:rPr>
            <w:fldChar w:fldCharType="separate"/>
          </w:r>
          <w:r>
            <w:rPr>
              <w:sz w:val="24"/>
              <w:szCs w:val="18"/>
              <w:highlight w:val="none"/>
            </w:rPr>
            <w:t>3</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_Toc13484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4、</w:t>
          </w:r>
          <w:r>
            <w:rPr>
              <w:rFonts w:hint="eastAsia" w:ascii="仿宋" w:hAnsi="仿宋" w:eastAsia="仿宋" w:cs="Arial Narrow"/>
              <w:sz w:val="24"/>
              <w:szCs w:val="18"/>
              <w:highlight w:val="none"/>
            </w:rPr>
            <w:t>项目实施情况</w:t>
          </w:r>
          <w:r>
            <w:rPr>
              <w:sz w:val="24"/>
              <w:szCs w:val="18"/>
              <w:highlight w:val="none"/>
            </w:rPr>
            <w:tab/>
          </w:r>
          <w:r>
            <w:rPr>
              <w:sz w:val="24"/>
              <w:szCs w:val="18"/>
              <w:highlight w:val="none"/>
            </w:rPr>
            <w:fldChar w:fldCharType="begin"/>
          </w:r>
          <w:r>
            <w:rPr>
              <w:sz w:val="24"/>
              <w:szCs w:val="18"/>
              <w:highlight w:val="none"/>
            </w:rPr>
            <w:instrText xml:space="preserve"> PAGEREF _Toc13484 </w:instrText>
          </w:r>
          <w:r>
            <w:rPr>
              <w:sz w:val="24"/>
              <w:szCs w:val="18"/>
              <w:highlight w:val="none"/>
            </w:rPr>
            <w:fldChar w:fldCharType="separate"/>
          </w:r>
          <w:r>
            <w:rPr>
              <w:sz w:val="24"/>
              <w:szCs w:val="18"/>
              <w:highlight w:val="none"/>
            </w:rPr>
            <w:t>3</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_Toc26215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24"/>
              <w:highlight w:val="none"/>
              <w:lang w:val="en-US" w:eastAsia="zh-CN"/>
            </w:rPr>
            <w:t>（二）绩效评价工作情况</w:t>
          </w:r>
          <w:r>
            <w:rPr>
              <w:sz w:val="24"/>
              <w:szCs w:val="18"/>
              <w:highlight w:val="none"/>
            </w:rPr>
            <w:tab/>
          </w:r>
          <w:r>
            <w:rPr>
              <w:sz w:val="24"/>
              <w:szCs w:val="18"/>
              <w:highlight w:val="none"/>
            </w:rPr>
            <w:fldChar w:fldCharType="begin"/>
          </w:r>
          <w:r>
            <w:rPr>
              <w:sz w:val="24"/>
              <w:szCs w:val="18"/>
              <w:highlight w:val="none"/>
            </w:rPr>
            <w:instrText xml:space="preserve"> PAGEREF _Toc26215 </w:instrText>
          </w:r>
          <w:r>
            <w:rPr>
              <w:sz w:val="24"/>
              <w:szCs w:val="18"/>
              <w:highlight w:val="none"/>
            </w:rPr>
            <w:fldChar w:fldCharType="separate"/>
          </w:r>
          <w:r>
            <w:rPr>
              <w:sz w:val="24"/>
              <w:szCs w:val="18"/>
              <w:highlight w:val="none"/>
            </w:rPr>
            <w:t>4</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_Toc18296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1、</w:t>
          </w:r>
          <w:r>
            <w:rPr>
              <w:rFonts w:hint="eastAsia" w:ascii="仿宋" w:hAnsi="仿宋" w:eastAsia="仿宋" w:cs="Arial Narrow"/>
              <w:sz w:val="24"/>
              <w:szCs w:val="18"/>
              <w:highlight w:val="none"/>
            </w:rPr>
            <w:t>绩效评价目的</w:t>
          </w:r>
          <w:r>
            <w:rPr>
              <w:sz w:val="24"/>
              <w:szCs w:val="18"/>
              <w:highlight w:val="none"/>
            </w:rPr>
            <w:tab/>
          </w:r>
          <w:r>
            <w:rPr>
              <w:sz w:val="24"/>
              <w:szCs w:val="18"/>
              <w:highlight w:val="none"/>
            </w:rPr>
            <w:fldChar w:fldCharType="begin"/>
          </w:r>
          <w:r>
            <w:rPr>
              <w:sz w:val="24"/>
              <w:szCs w:val="18"/>
              <w:highlight w:val="none"/>
            </w:rPr>
            <w:instrText xml:space="preserve"> PAGEREF _Toc18296 </w:instrText>
          </w:r>
          <w:r>
            <w:rPr>
              <w:sz w:val="24"/>
              <w:szCs w:val="18"/>
              <w:highlight w:val="none"/>
            </w:rPr>
            <w:fldChar w:fldCharType="separate"/>
          </w:r>
          <w:r>
            <w:rPr>
              <w:sz w:val="24"/>
              <w:szCs w:val="18"/>
              <w:highlight w:val="none"/>
            </w:rPr>
            <w:t>4</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_Toc2095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2、</w:t>
          </w:r>
          <w:r>
            <w:rPr>
              <w:rFonts w:hint="eastAsia" w:ascii="仿宋" w:hAnsi="仿宋" w:eastAsia="仿宋" w:cs="Arial Narrow"/>
              <w:sz w:val="24"/>
              <w:szCs w:val="18"/>
              <w:highlight w:val="none"/>
            </w:rPr>
            <w:t>绩效评价工作过程</w:t>
          </w:r>
          <w:r>
            <w:rPr>
              <w:sz w:val="24"/>
              <w:szCs w:val="18"/>
              <w:highlight w:val="none"/>
            </w:rPr>
            <w:tab/>
          </w:r>
          <w:r>
            <w:rPr>
              <w:sz w:val="24"/>
              <w:szCs w:val="18"/>
              <w:highlight w:val="none"/>
            </w:rPr>
            <w:fldChar w:fldCharType="begin"/>
          </w:r>
          <w:r>
            <w:rPr>
              <w:sz w:val="24"/>
              <w:szCs w:val="18"/>
              <w:highlight w:val="none"/>
            </w:rPr>
            <w:instrText xml:space="preserve"> PAGEREF _Toc2095 </w:instrText>
          </w:r>
          <w:r>
            <w:rPr>
              <w:sz w:val="24"/>
              <w:szCs w:val="18"/>
              <w:highlight w:val="none"/>
            </w:rPr>
            <w:fldChar w:fldCharType="separate"/>
          </w:r>
          <w:r>
            <w:rPr>
              <w:sz w:val="24"/>
              <w:szCs w:val="18"/>
              <w:highlight w:val="none"/>
            </w:rPr>
            <w:t>4</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_Toc1595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3、</w:t>
          </w:r>
          <w:r>
            <w:rPr>
              <w:rFonts w:hint="eastAsia" w:ascii="仿宋" w:hAnsi="仿宋" w:eastAsia="仿宋" w:cs="Arial Narrow"/>
              <w:sz w:val="24"/>
              <w:szCs w:val="18"/>
              <w:highlight w:val="none"/>
            </w:rPr>
            <w:t>绩效评价框架</w:t>
          </w:r>
          <w:r>
            <w:rPr>
              <w:sz w:val="24"/>
              <w:szCs w:val="18"/>
              <w:highlight w:val="none"/>
            </w:rPr>
            <w:tab/>
          </w:r>
          <w:r>
            <w:rPr>
              <w:sz w:val="24"/>
              <w:szCs w:val="18"/>
              <w:highlight w:val="none"/>
            </w:rPr>
            <w:fldChar w:fldCharType="begin"/>
          </w:r>
          <w:r>
            <w:rPr>
              <w:sz w:val="24"/>
              <w:szCs w:val="18"/>
              <w:highlight w:val="none"/>
            </w:rPr>
            <w:instrText xml:space="preserve"> PAGEREF _Toc1595 </w:instrText>
          </w:r>
          <w:r>
            <w:rPr>
              <w:sz w:val="24"/>
              <w:szCs w:val="18"/>
              <w:highlight w:val="none"/>
            </w:rPr>
            <w:fldChar w:fldCharType="separate"/>
          </w:r>
          <w:r>
            <w:rPr>
              <w:sz w:val="24"/>
              <w:szCs w:val="18"/>
              <w:highlight w:val="none"/>
            </w:rPr>
            <w:t>4</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_Toc18353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4、</w:t>
          </w:r>
          <w:r>
            <w:rPr>
              <w:rFonts w:hint="eastAsia" w:ascii="仿宋" w:hAnsi="仿宋" w:eastAsia="仿宋" w:cs="Arial Narrow"/>
              <w:sz w:val="24"/>
              <w:szCs w:val="18"/>
              <w:highlight w:val="none"/>
            </w:rPr>
            <w:t>评价抽样情况概述</w:t>
          </w:r>
          <w:r>
            <w:rPr>
              <w:sz w:val="24"/>
              <w:szCs w:val="18"/>
              <w:highlight w:val="none"/>
            </w:rPr>
            <w:tab/>
          </w:r>
          <w:r>
            <w:rPr>
              <w:sz w:val="24"/>
              <w:szCs w:val="18"/>
              <w:highlight w:val="none"/>
            </w:rPr>
            <w:fldChar w:fldCharType="begin"/>
          </w:r>
          <w:r>
            <w:rPr>
              <w:sz w:val="24"/>
              <w:szCs w:val="18"/>
              <w:highlight w:val="none"/>
            </w:rPr>
            <w:instrText xml:space="preserve"> PAGEREF _Toc18353 </w:instrText>
          </w:r>
          <w:r>
            <w:rPr>
              <w:sz w:val="24"/>
              <w:szCs w:val="18"/>
              <w:highlight w:val="none"/>
            </w:rPr>
            <w:fldChar w:fldCharType="separate"/>
          </w:r>
          <w:r>
            <w:rPr>
              <w:sz w:val="24"/>
              <w:szCs w:val="18"/>
              <w:highlight w:val="none"/>
            </w:rPr>
            <w:t>5</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_Toc7146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24"/>
              <w:highlight w:val="none"/>
              <w:lang w:val="en-US" w:eastAsia="zh-CN"/>
            </w:rPr>
            <w:t>（三）绩效分析及评价结论</w:t>
          </w:r>
          <w:r>
            <w:rPr>
              <w:sz w:val="24"/>
              <w:szCs w:val="18"/>
              <w:highlight w:val="none"/>
            </w:rPr>
            <w:tab/>
          </w:r>
          <w:r>
            <w:rPr>
              <w:sz w:val="24"/>
              <w:szCs w:val="18"/>
              <w:highlight w:val="none"/>
            </w:rPr>
            <w:fldChar w:fldCharType="begin"/>
          </w:r>
          <w:r>
            <w:rPr>
              <w:sz w:val="24"/>
              <w:szCs w:val="18"/>
              <w:highlight w:val="none"/>
            </w:rPr>
            <w:instrText xml:space="preserve"> PAGEREF _Toc7146 </w:instrText>
          </w:r>
          <w:r>
            <w:rPr>
              <w:sz w:val="24"/>
              <w:szCs w:val="18"/>
              <w:highlight w:val="none"/>
            </w:rPr>
            <w:fldChar w:fldCharType="separate"/>
          </w:r>
          <w:r>
            <w:rPr>
              <w:sz w:val="24"/>
              <w:szCs w:val="18"/>
              <w:highlight w:val="none"/>
            </w:rPr>
            <w:t>6</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_Toc13084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1、</w:t>
          </w:r>
          <w:r>
            <w:rPr>
              <w:rFonts w:hint="eastAsia" w:ascii="仿宋" w:hAnsi="仿宋" w:eastAsia="仿宋" w:cs="Arial Narrow"/>
              <w:sz w:val="24"/>
              <w:szCs w:val="18"/>
              <w:highlight w:val="none"/>
            </w:rPr>
            <w:t>绩效分析</w:t>
          </w:r>
          <w:r>
            <w:rPr>
              <w:sz w:val="24"/>
              <w:szCs w:val="18"/>
              <w:highlight w:val="none"/>
            </w:rPr>
            <w:tab/>
          </w:r>
          <w:r>
            <w:rPr>
              <w:sz w:val="24"/>
              <w:szCs w:val="18"/>
              <w:highlight w:val="none"/>
            </w:rPr>
            <w:fldChar w:fldCharType="begin"/>
          </w:r>
          <w:r>
            <w:rPr>
              <w:sz w:val="24"/>
              <w:szCs w:val="18"/>
              <w:highlight w:val="none"/>
            </w:rPr>
            <w:instrText xml:space="preserve"> PAGEREF _Toc13084 </w:instrText>
          </w:r>
          <w:r>
            <w:rPr>
              <w:sz w:val="24"/>
              <w:szCs w:val="18"/>
              <w:highlight w:val="none"/>
            </w:rPr>
            <w:fldChar w:fldCharType="separate"/>
          </w:r>
          <w:r>
            <w:rPr>
              <w:sz w:val="24"/>
              <w:szCs w:val="18"/>
              <w:highlight w:val="none"/>
            </w:rPr>
            <w:t>6</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_Toc22751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2、</w:t>
          </w:r>
          <w:r>
            <w:rPr>
              <w:rFonts w:hint="eastAsia" w:ascii="仿宋" w:hAnsi="仿宋" w:eastAsia="仿宋" w:cs="Arial Narrow"/>
              <w:sz w:val="24"/>
              <w:szCs w:val="18"/>
              <w:highlight w:val="none"/>
            </w:rPr>
            <w:t>评价结论</w:t>
          </w:r>
          <w:r>
            <w:rPr>
              <w:sz w:val="24"/>
              <w:szCs w:val="18"/>
              <w:highlight w:val="none"/>
            </w:rPr>
            <w:tab/>
          </w:r>
          <w:r>
            <w:rPr>
              <w:sz w:val="24"/>
              <w:szCs w:val="18"/>
              <w:highlight w:val="none"/>
            </w:rPr>
            <w:fldChar w:fldCharType="begin"/>
          </w:r>
          <w:r>
            <w:rPr>
              <w:sz w:val="24"/>
              <w:szCs w:val="18"/>
              <w:highlight w:val="none"/>
            </w:rPr>
            <w:instrText xml:space="preserve"> PAGEREF _Toc22751 </w:instrText>
          </w:r>
          <w:r>
            <w:rPr>
              <w:sz w:val="24"/>
              <w:szCs w:val="18"/>
              <w:highlight w:val="none"/>
            </w:rPr>
            <w:fldChar w:fldCharType="separate"/>
          </w:r>
          <w:r>
            <w:rPr>
              <w:sz w:val="24"/>
              <w:szCs w:val="18"/>
              <w:highlight w:val="none"/>
            </w:rPr>
            <w:t>7</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_Toc28859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24"/>
              <w:highlight w:val="none"/>
              <w:lang w:val="en-US" w:eastAsia="zh-CN"/>
            </w:rPr>
            <w:t>（四）存在的问题和改进措施</w:t>
          </w:r>
          <w:r>
            <w:rPr>
              <w:sz w:val="24"/>
              <w:szCs w:val="18"/>
              <w:highlight w:val="none"/>
            </w:rPr>
            <w:tab/>
          </w:r>
          <w:r>
            <w:rPr>
              <w:sz w:val="24"/>
              <w:szCs w:val="18"/>
              <w:highlight w:val="none"/>
            </w:rPr>
            <w:fldChar w:fldCharType="begin"/>
          </w:r>
          <w:r>
            <w:rPr>
              <w:sz w:val="24"/>
              <w:szCs w:val="18"/>
              <w:highlight w:val="none"/>
            </w:rPr>
            <w:instrText xml:space="preserve"> PAGEREF _Toc28859 </w:instrText>
          </w:r>
          <w:r>
            <w:rPr>
              <w:sz w:val="24"/>
              <w:szCs w:val="18"/>
              <w:highlight w:val="none"/>
            </w:rPr>
            <w:fldChar w:fldCharType="separate"/>
          </w:r>
          <w:r>
            <w:rPr>
              <w:sz w:val="24"/>
              <w:szCs w:val="18"/>
              <w:highlight w:val="none"/>
            </w:rPr>
            <w:t>7</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sz w:val="24"/>
              <w:szCs w:val="18"/>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_Toc27689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1、存在的问题</w:t>
          </w:r>
          <w:r>
            <w:rPr>
              <w:sz w:val="24"/>
              <w:szCs w:val="18"/>
              <w:highlight w:val="none"/>
            </w:rPr>
            <w:tab/>
          </w:r>
          <w:r>
            <w:rPr>
              <w:sz w:val="24"/>
              <w:szCs w:val="18"/>
              <w:highlight w:val="none"/>
            </w:rPr>
            <w:fldChar w:fldCharType="begin"/>
          </w:r>
          <w:r>
            <w:rPr>
              <w:sz w:val="24"/>
              <w:szCs w:val="18"/>
              <w:highlight w:val="none"/>
            </w:rPr>
            <w:instrText xml:space="preserve"> PAGEREF _Toc27689 </w:instrText>
          </w:r>
          <w:r>
            <w:rPr>
              <w:sz w:val="24"/>
              <w:szCs w:val="18"/>
              <w:highlight w:val="none"/>
            </w:rPr>
            <w:fldChar w:fldCharType="separate"/>
          </w:r>
          <w:r>
            <w:rPr>
              <w:sz w:val="24"/>
              <w:szCs w:val="18"/>
              <w:highlight w:val="none"/>
            </w:rPr>
            <w:t>7</w:t>
          </w:r>
          <w:r>
            <w:rPr>
              <w:sz w:val="24"/>
              <w:szCs w:val="18"/>
              <w:highlight w:val="none"/>
            </w:rPr>
            <w:fldChar w:fldCharType="end"/>
          </w:r>
          <w:r>
            <w:rPr>
              <w:rFonts w:ascii="仿宋" w:hAnsi="仿宋" w:eastAsia="仿宋"/>
              <w:bCs/>
              <w:sz w:val="24"/>
              <w:szCs w:val="18"/>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highlight w:val="none"/>
            </w:rPr>
          </w:pPr>
          <w:r>
            <w:rPr>
              <w:rFonts w:ascii="仿宋" w:hAnsi="仿宋" w:eastAsia="仿宋"/>
              <w:bCs/>
              <w:sz w:val="24"/>
              <w:szCs w:val="18"/>
              <w:highlight w:val="none"/>
              <w:lang w:val="zh-CN"/>
            </w:rPr>
            <w:fldChar w:fldCharType="begin"/>
          </w:r>
          <w:r>
            <w:rPr>
              <w:rFonts w:ascii="仿宋" w:hAnsi="仿宋" w:eastAsia="仿宋"/>
              <w:bCs/>
              <w:sz w:val="24"/>
              <w:szCs w:val="18"/>
              <w:highlight w:val="none"/>
              <w:lang w:val="zh-CN"/>
            </w:rPr>
            <w:instrText xml:space="preserve"> HYPERLINK \l _Toc21901 </w:instrText>
          </w:r>
          <w:r>
            <w:rPr>
              <w:rFonts w:ascii="仿宋" w:hAnsi="仿宋" w:eastAsia="仿宋"/>
              <w:bCs/>
              <w:sz w:val="24"/>
              <w:szCs w:val="18"/>
              <w:highlight w:val="none"/>
              <w:lang w:val="zh-CN"/>
            </w:rPr>
            <w:fldChar w:fldCharType="separate"/>
          </w:r>
          <w:r>
            <w:rPr>
              <w:rFonts w:hint="eastAsia" w:ascii="仿宋" w:hAnsi="仿宋" w:eastAsia="仿宋" w:cs="Arial Narrow"/>
              <w:sz w:val="24"/>
              <w:szCs w:val="18"/>
              <w:highlight w:val="none"/>
              <w:lang w:val="en-US" w:eastAsia="zh-CN"/>
            </w:rPr>
            <w:t>2、改进措施</w:t>
          </w:r>
          <w:r>
            <w:rPr>
              <w:sz w:val="24"/>
              <w:szCs w:val="18"/>
              <w:highlight w:val="none"/>
            </w:rPr>
            <w:tab/>
          </w:r>
          <w:r>
            <w:rPr>
              <w:sz w:val="24"/>
              <w:szCs w:val="18"/>
              <w:highlight w:val="none"/>
            </w:rPr>
            <w:fldChar w:fldCharType="begin"/>
          </w:r>
          <w:r>
            <w:rPr>
              <w:sz w:val="24"/>
              <w:szCs w:val="18"/>
              <w:highlight w:val="none"/>
            </w:rPr>
            <w:instrText xml:space="preserve"> PAGEREF _Toc21901 </w:instrText>
          </w:r>
          <w:r>
            <w:rPr>
              <w:sz w:val="24"/>
              <w:szCs w:val="18"/>
              <w:highlight w:val="none"/>
            </w:rPr>
            <w:fldChar w:fldCharType="separate"/>
          </w:r>
          <w:r>
            <w:rPr>
              <w:sz w:val="24"/>
              <w:szCs w:val="18"/>
              <w:highlight w:val="none"/>
            </w:rPr>
            <w:t>8</w:t>
          </w:r>
          <w:r>
            <w:rPr>
              <w:sz w:val="24"/>
              <w:szCs w:val="18"/>
              <w:highlight w:val="none"/>
            </w:rPr>
            <w:fldChar w:fldCharType="end"/>
          </w:r>
          <w:r>
            <w:rPr>
              <w:rFonts w:ascii="仿宋" w:hAnsi="仿宋" w:eastAsia="仿宋"/>
              <w:bCs/>
              <w:sz w:val="24"/>
              <w:szCs w:val="18"/>
              <w:highlight w:val="none"/>
              <w:lang w:val="zh-CN"/>
            </w:rPr>
            <w:fldChar w:fldCharType="end"/>
          </w:r>
        </w:p>
        <w:p>
          <w:pPr>
            <w:keepNext w:val="0"/>
            <w:keepLines w:val="0"/>
            <w:pageBreakBefore w:val="0"/>
            <w:widowControl w:val="0"/>
            <w:shd w:val="clear"/>
            <w:kinsoku/>
            <w:wordWrap/>
            <w:overflowPunct/>
            <w:topLinePunct w:val="0"/>
            <w:autoSpaceDE/>
            <w:autoSpaceDN/>
            <w:bidi w:val="0"/>
            <w:adjustRightInd/>
            <w:snapToGrid/>
            <w:spacing w:line="240" w:lineRule="auto"/>
            <w:ind w:firstLine="482"/>
            <w:textAlignment w:val="auto"/>
            <w:rPr>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361" w:right="1406" w:bottom="1089" w:left="1797" w:header="1361" w:footer="992" w:gutter="0"/>
              <w:pgNumType w:start="0"/>
              <w:cols w:space="720" w:num="1"/>
              <w:docGrid w:type="lines" w:linePitch="408" w:charSpace="0"/>
            </w:sectPr>
          </w:pPr>
          <w:r>
            <w:rPr>
              <w:rFonts w:ascii="仿宋" w:hAnsi="仿宋" w:eastAsia="仿宋"/>
              <w:bCs/>
              <w:highlight w:val="none"/>
              <w:lang w:val="zh-CN"/>
            </w:rPr>
            <w:fldChar w:fldCharType="end"/>
          </w:r>
        </w:p>
      </w:sdtContent>
    </w:sdt>
    <w:p>
      <w:pPr>
        <w:pStyle w:val="2"/>
        <w:keepNext/>
        <w:keepLines/>
        <w:pageBreakBefore w:val="0"/>
        <w:widowControl w:val="0"/>
        <w:shd w:val="clear"/>
        <w:kinsoku/>
        <w:wordWrap/>
        <w:overflowPunct/>
        <w:topLinePunct w:val="0"/>
        <w:autoSpaceDE/>
        <w:autoSpaceDN/>
        <w:bidi w:val="0"/>
        <w:adjustRightInd/>
        <w:snapToGrid/>
        <w:jc w:val="left"/>
        <w:textAlignment w:val="auto"/>
        <w:rPr>
          <w:rFonts w:hint="eastAsia" w:ascii="仿宋" w:hAnsi="仿宋" w:eastAsia="仿宋" w:cs="仿宋"/>
          <w:b w:val="0"/>
          <w:sz w:val="32"/>
          <w:szCs w:val="32"/>
          <w:highlight w:val="none"/>
        </w:rPr>
      </w:pPr>
      <w:bookmarkStart w:id="0" w:name="_Toc16034"/>
      <w:bookmarkStart w:id="1" w:name="_Toc14165722"/>
      <w:bookmarkStart w:id="2" w:name="_Toc406666351"/>
      <w:bookmarkStart w:id="3" w:name="_Toc406668024"/>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摘要</w:t>
      </w:r>
      <w:bookmarkEnd w:id="0"/>
      <w:bookmarkEnd w:id="1"/>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rPr>
      </w:pPr>
      <w:bookmarkStart w:id="4" w:name="_Toc23780"/>
      <w:r>
        <w:rPr>
          <w:rFonts w:hint="eastAsia" w:ascii="仿宋" w:hAnsi="仿宋" w:eastAsia="仿宋" w:cs="Arial Narrow"/>
          <w:sz w:val="28"/>
          <w:szCs w:val="28"/>
          <w:highlight w:val="none"/>
          <w:lang w:val="en-US" w:eastAsia="zh-CN"/>
        </w:rPr>
        <w:t>（一）</w:t>
      </w:r>
      <w:r>
        <w:rPr>
          <w:rFonts w:hint="eastAsia" w:ascii="仿宋" w:hAnsi="仿宋" w:eastAsia="仿宋" w:cs="Arial Narrow"/>
          <w:sz w:val="28"/>
          <w:szCs w:val="28"/>
          <w:highlight w:val="none"/>
        </w:rPr>
        <w:t>基本情况</w:t>
      </w:r>
      <w:bookmarkEnd w:id="4"/>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5" w:name="_Toc28699"/>
      <w:r>
        <w:rPr>
          <w:rFonts w:hint="eastAsia" w:ascii="仿宋" w:hAnsi="仿宋" w:eastAsia="仿宋" w:cs="Arial Narrow"/>
          <w:sz w:val="24"/>
          <w:highlight w:val="none"/>
          <w:lang w:val="en-US" w:eastAsia="zh-CN"/>
        </w:rPr>
        <w:t>1、项目基本情况</w:t>
      </w:r>
      <w:bookmarkEnd w:id="5"/>
      <w:r>
        <w:rPr>
          <w:rFonts w:hint="eastAsia" w:ascii="仿宋" w:hAnsi="仿宋" w:eastAsia="仿宋" w:cs="Arial Narrow"/>
          <w:sz w:val="24"/>
          <w:highlight w:val="none"/>
          <w:lang w:val="en-US" w:eastAsia="zh-CN"/>
        </w:rPr>
        <w:t xml:space="preserve">  </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（1）项目名称：退役安置经费</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（2）项目预算金额：年初预算金额为1,264.43万元，调整后预算金额为1,498.66万元</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（3）项目明细：</w:t>
      </w:r>
    </w:p>
    <w:p>
      <w:pPr>
        <w:shd w:val="clear"/>
        <w:snapToGrid w:val="0"/>
        <w:ind w:firstLine="480"/>
        <w:jc w:val="right"/>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单位：万元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3"/>
        <w:gridCol w:w="1727"/>
        <w:gridCol w:w="1727"/>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项目</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年初预算数</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预算调整数</w:t>
            </w:r>
          </w:p>
        </w:tc>
        <w:tc>
          <w:tcPr>
            <w:tcW w:w="1729"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全年预算数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default" w:ascii="仿宋" w:hAnsi="仿宋" w:eastAsia="仿宋" w:cs="Arial Narrow"/>
                <w:highlight w:val="none"/>
                <w:vertAlign w:val="baseline"/>
                <w:lang w:val="en-US" w:eastAsia="zh-CN"/>
              </w:rPr>
            </w:pPr>
            <w:r>
              <w:rPr>
                <w:rFonts w:hint="default" w:ascii="仿宋" w:hAnsi="仿宋" w:eastAsia="仿宋" w:cs="Arial Narrow"/>
                <w:highlight w:val="none"/>
                <w:vertAlign w:val="baseline"/>
                <w:lang w:val="en-US" w:eastAsia="zh-CN"/>
              </w:rPr>
              <w:t>退役士兵安置</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571.98</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p>
        </w:tc>
        <w:tc>
          <w:tcPr>
            <w:tcW w:w="1729"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right"/>
              <w:textAlignment w:val="auto"/>
              <w:rPr>
                <w:rFonts w:hint="default" w:ascii="仿宋" w:hAnsi="仿宋" w:eastAsia="仿宋" w:cs="Arial Narrow"/>
                <w:kern w:val="2"/>
                <w:sz w:val="24"/>
                <w:szCs w:val="24"/>
                <w:highlight w:val="none"/>
                <w:vertAlign w:val="baseline"/>
                <w:lang w:val="en-US" w:eastAsia="zh-CN" w:bidi="ar-SA"/>
              </w:rPr>
            </w:pPr>
            <w:r>
              <w:rPr>
                <w:rFonts w:hint="eastAsia" w:ascii="仿宋" w:hAnsi="仿宋" w:eastAsia="仿宋" w:cs="Arial Narrow"/>
                <w:kern w:val="2"/>
                <w:sz w:val="24"/>
                <w:szCs w:val="24"/>
                <w:highlight w:val="none"/>
                <w:vertAlign w:val="baseline"/>
                <w:lang w:val="en-US" w:eastAsia="zh-CN" w:bidi="ar-SA"/>
              </w:rPr>
              <w:t>571.98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default" w:ascii="仿宋" w:hAnsi="仿宋" w:eastAsia="仿宋" w:cs="Arial Narrow"/>
                <w:highlight w:val="none"/>
                <w:vertAlign w:val="baseline"/>
                <w:lang w:val="en-US" w:eastAsia="zh-CN"/>
              </w:rPr>
            </w:pPr>
            <w:r>
              <w:rPr>
                <w:rFonts w:hint="default" w:ascii="仿宋" w:hAnsi="仿宋" w:eastAsia="仿宋" w:cs="Arial Narrow"/>
                <w:highlight w:val="none"/>
                <w:vertAlign w:val="baseline"/>
                <w:lang w:val="en-US" w:eastAsia="zh-CN"/>
              </w:rPr>
              <w:t>军队移交政府的离退休人员安置</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27.31</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9.33</w:t>
            </w:r>
          </w:p>
        </w:tc>
        <w:tc>
          <w:tcPr>
            <w:tcW w:w="1729"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firstLine="480" w:firstLineChars="200"/>
              <w:jc w:val="right"/>
              <w:textAlignment w:val="auto"/>
              <w:rPr>
                <w:rFonts w:hint="default" w:ascii="仿宋" w:hAnsi="仿宋" w:eastAsia="仿宋" w:cs="Arial Narrow"/>
                <w:kern w:val="2"/>
                <w:sz w:val="24"/>
                <w:szCs w:val="24"/>
                <w:highlight w:val="none"/>
                <w:vertAlign w:val="baseline"/>
                <w:lang w:val="en-US" w:eastAsia="zh-CN" w:bidi="ar-SA"/>
              </w:rPr>
            </w:pPr>
            <w:r>
              <w:rPr>
                <w:rFonts w:hint="eastAsia" w:ascii="仿宋" w:hAnsi="仿宋" w:eastAsia="仿宋" w:cs="Arial Narrow"/>
                <w:kern w:val="2"/>
                <w:sz w:val="24"/>
                <w:szCs w:val="24"/>
                <w:highlight w:val="none"/>
                <w:vertAlign w:val="baseline"/>
                <w:lang w:val="en-US" w:eastAsia="zh-CN" w:bidi="ar-SA"/>
              </w:rPr>
              <w:t>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退役士兵管理教育</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125.14</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p>
        </w:tc>
        <w:tc>
          <w:tcPr>
            <w:tcW w:w="1729"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125.14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其他退役安置支出-社保接续</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459.27</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199.13</w:t>
            </w:r>
          </w:p>
        </w:tc>
        <w:tc>
          <w:tcPr>
            <w:tcW w:w="1729"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658.40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军转干部经费</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80.73</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25.77</w:t>
            </w:r>
          </w:p>
        </w:tc>
        <w:tc>
          <w:tcPr>
            <w:tcW w:w="1729"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106.50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合  计</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1,264.43</w:t>
            </w:r>
          </w:p>
        </w:tc>
        <w:tc>
          <w:tcPr>
            <w:tcW w:w="1727"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234.23</w:t>
            </w:r>
          </w:p>
        </w:tc>
        <w:tc>
          <w:tcPr>
            <w:tcW w:w="1729"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1,498.66</w:t>
            </w:r>
          </w:p>
        </w:tc>
      </w:tr>
    </w:tbl>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6" w:name="_Toc3634"/>
      <w:r>
        <w:rPr>
          <w:rFonts w:hint="eastAsia" w:ascii="仿宋" w:hAnsi="仿宋" w:eastAsia="仿宋" w:cs="Arial Narrow"/>
          <w:sz w:val="24"/>
          <w:highlight w:val="none"/>
          <w:lang w:val="en-US" w:eastAsia="zh-CN"/>
        </w:rPr>
        <w:t>2、绩效评价工作情况</w:t>
      </w:r>
      <w:bookmarkEnd w:id="6"/>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比较法、因素分析法、最低成本法、公评判法及其他评价方法等。</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7" w:name="_Toc1966"/>
      <w:r>
        <w:rPr>
          <w:rFonts w:hint="eastAsia" w:ascii="仿宋" w:hAnsi="仿宋" w:eastAsia="仿宋" w:cs="Arial Narrow"/>
          <w:sz w:val="28"/>
          <w:szCs w:val="28"/>
          <w:highlight w:val="none"/>
          <w:lang w:val="en-US" w:eastAsia="zh-CN"/>
        </w:rPr>
        <w:t>（二）绩效评价结论</w:t>
      </w:r>
      <w:bookmarkEnd w:id="7"/>
    </w:p>
    <w:tbl>
      <w:tblPr>
        <w:tblStyle w:val="23"/>
        <w:tblW w:w="8363"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79"/>
        <w:gridCol w:w="2132"/>
        <w:gridCol w:w="2126"/>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1979" w:type="dxa"/>
            <w:vAlign w:val="top"/>
          </w:tcPr>
          <w:p>
            <w:pPr>
              <w:shd w:val="clear"/>
              <w:ind w:firstLine="0" w:firstLineChars="0"/>
              <w:jc w:val="center"/>
              <w:rPr>
                <w:rFonts w:ascii="仿宋" w:hAnsi="仿宋" w:eastAsia="仿宋" w:cs="Arial Narrow"/>
                <w:b/>
                <w:bCs/>
                <w:highlight w:val="none"/>
              </w:rPr>
            </w:pPr>
            <w:r>
              <w:rPr>
                <w:rFonts w:hint="eastAsia" w:ascii="仿宋" w:hAnsi="仿宋" w:eastAsia="仿宋" w:cs="Arial Narrow"/>
                <w:b/>
                <w:bCs/>
                <w:highlight w:val="none"/>
              </w:rPr>
              <w:t>评价准则</w:t>
            </w:r>
          </w:p>
        </w:tc>
        <w:tc>
          <w:tcPr>
            <w:tcW w:w="2132" w:type="dxa"/>
            <w:vAlign w:val="top"/>
          </w:tcPr>
          <w:p>
            <w:pPr>
              <w:shd w:val="clear"/>
              <w:ind w:firstLine="0" w:firstLineChars="0"/>
              <w:jc w:val="center"/>
              <w:rPr>
                <w:rFonts w:ascii="仿宋" w:hAnsi="仿宋" w:eastAsia="仿宋" w:cs="Arial Narrow"/>
                <w:b/>
                <w:bCs/>
                <w:highlight w:val="none"/>
              </w:rPr>
            </w:pPr>
            <w:r>
              <w:rPr>
                <w:rFonts w:hint="eastAsia" w:ascii="仿宋" w:hAnsi="仿宋" w:eastAsia="仿宋" w:cs="Arial Narrow"/>
                <w:b/>
                <w:bCs/>
                <w:highlight w:val="none"/>
              </w:rPr>
              <w:t>准则分值</w:t>
            </w:r>
          </w:p>
        </w:tc>
        <w:tc>
          <w:tcPr>
            <w:tcW w:w="2126" w:type="dxa"/>
            <w:vAlign w:val="top"/>
          </w:tcPr>
          <w:p>
            <w:pPr>
              <w:shd w:val="clear"/>
              <w:ind w:firstLine="0" w:firstLineChars="0"/>
              <w:jc w:val="center"/>
              <w:rPr>
                <w:rFonts w:ascii="仿宋" w:hAnsi="仿宋" w:eastAsia="仿宋" w:cs="Arial Narrow"/>
                <w:b/>
                <w:bCs/>
                <w:highlight w:val="none"/>
              </w:rPr>
            </w:pPr>
            <w:r>
              <w:rPr>
                <w:rFonts w:hint="eastAsia" w:ascii="仿宋" w:hAnsi="仿宋" w:eastAsia="仿宋" w:cs="Arial Narrow"/>
                <w:b/>
                <w:bCs/>
                <w:highlight w:val="none"/>
              </w:rPr>
              <w:t>评价得分</w:t>
            </w:r>
          </w:p>
        </w:tc>
        <w:tc>
          <w:tcPr>
            <w:tcW w:w="2126" w:type="dxa"/>
            <w:vAlign w:val="top"/>
          </w:tcPr>
          <w:p>
            <w:pPr>
              <w:shd w:val="clear"/>
              <w:ind w:firstLine="0" w:firstLineChars="0"/>
              <w:jc w:val="center"/>
              <w:rPr>
                <w:rFonts w:ascii="仿宋" w:hAnsi="仿宋" w:eastAsia="仿宋" w:cs="Arial Narrow"/>
                <w:b/>
                <w:bCs/>
                <w:highlight w:val="none"/>
              </w:rPr>
            </w:pPr>
            <w:r>
              <w:rPr>
                <w:rFonts w:hint="eastAsia" w:ascii="仿宋" w:hAnsi="仿宋" w:eastAsia="仿宋" w:cs="Arial Narrow"/>
                <w:b/>
                <w:bCs/>
                <w:highlight w:val="none"/>
              </w:rPr>
              <w:t>评价等级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eastAsia="zh-CN"/>
              </w:rPr>
            </w:pPr>
            <w:r>
              <w:rPr>
                <w:rFonts w:hint="eastAsia" w:ascii="仿宋" w:hAnsi="仿宋" w:eastAsia="仿宋" w:cs="Arial Narrow"/>
                <w:highlight w:val="none"/>
                <w:lang w:val="en-US" w:eastAsia="zh-CN"/>
              </w:rPr>
              <w:t>投入</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10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5.67</w:t>
            </w:r>
            <w:r>
              <w:rPr>
                <w:rFonts w:hint="eastAsia" w:ascii="仿宋" w:hAnsi="仿宋" w:eastAsia="仿宋" w:cs="Arial Narrow"/>
                <w:highlight w:val="none"/>
              </w:rPr>
              <w:t>分</w:t>
            </w:r>
          </w:p>
        </w:tc>
        <w:tc>
          <w:tcPr>
            <w:tcW w:w="2126" w:type="dxa"/>
          </w:tcPr>
          <w:p>
            <w:pPr>
              <w:shd w:val="clear"/>
              <w:ind w:firstLine="0" w:firstLineChars="0"/>
              <w:jc w:val="center"/>
              <w:rPr>
                <w:rFonts w:hint="default" w:ascii="仿宋" w:hAnsi="仿宋" w:eastAsia="仿宋" w:cs="Arial Narrow"/>
                <w:highlight w:val="none"/>
                <w:lang w:val="en-US"/>
              </w:rPr>
            </w:pPr>
            <w:r>
              <w:rPr>
                <w:rFonts w:hint="eastAsia" w:ascii="仿宋" w:hAnsi="仿宋" w:eastAsia="仿宋" w:cs="Arial Narrow"/>
                <w:highlight w:val="none"/>
                <w:lang w:val="en-US" w:eastAsia="zh-CN"/>
              </w:rPr>
              <w:t>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rPr>
              <w:t>产出</w:t>
            </w:r>
          </w:p>
        </w:tc>
        <w:tc>
          <w:tcPr>
            <w:tcW w:w="2132"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50</w:t>
            </w:r>
            <w:r>
              <w:rPr>
                <w:rFonts w:hint="eastAsia" w:ascii="仿宋" w:hAnsi="仿宋" w:eastAsia="仿宋" w:cs="Arial Narrow"/>
                <w:highlight w:val="none"/>
              </w:rPr>
              <w:t>分</w:t>
            </w:r>
          </w:p>
        </w:tc>
        <w:tc>
          <w:tcPr>
            <w:tcW w:w="2126"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50</w:t>
            </w:r>
            <w:r>
              <w:rPr>
                <w:rFonts w:hint="eastAsia" w:ascii="仿宋" w:hAnsi="仿宋" w:eastAsia="仿宋" w:cs="Arial Narrow"/>
                <w:highlight w:val="none"/>
              </w:rPr>
              <w:t>分</w:t>
            </w:r>
          </w:p>
        </w:tc>
        <w:tc>
          <w:tcPr>
            <w:tcW w:w="2126" w:type="dxa"/>
            <w:vAlign w:val="top"/>
          </w:tcPr>
          <w:p>
            <w:pPr>
              <w:shd w:val="clear"/>
              <w:ind w:firstLine="0" w:firstLineChars="0"/>
              <w:jc w:val="center"/>
              <w:rPr>
                <w:rFonts w:ascii="仿宋" w:hAnsi="仿宋" w:eastAsia="仿宋" w:cs="Arial Narrow"/>
                <w:kern w:val="2"/>
                <w:sz w:val="24"/>
                <w:szCs w:val="24"/>
                <w:highlight w:val="none"/>
                <w:lang w:val="en-US" w:eastAsia="zh-CN" w:bidi="ar-SA"/>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eastAsia="zh-CN"/>
              </w:rPr>
            </w:pPr>
            <w:r>
              <w:rPr>
                <w:rFonts w:hint="eastAsia" w:ascii="仿宋" w:hAnsi="仿宋" w:eastAsia="仿宋" w:cs="Arial Narrow"/>
                <w:highlight w:val="none"/>
                <w:lang w:val="en-US" w:eastAsia="zh-CN"/>
              </w:rPr>
              <w:t>效益</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30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30</w:t>
            </w:r>
            <w:r>
              <w:rPr>
                <w:rFonts w:hint="eastAsia" w:ascii="仿宋" w:hAnsi="仿宋" w:eastAsia="仿宋" w:cs="Arial Narrow"/>
                <w:highlight w:val="none"/>
              </w:rPr>
              <w:t>分</w:t>
            </w:r>
          </w:p>
        </w:tc>
        <w:tc>
          <w:tcPr>
            <w:tcW w:w="2126" w:type="dxa"/>
          </w:tcPr>
          <w:p>
            <w:pPr>
              <w:shd w:val="clear"/>
              <w:ind w:firstLine="0" w:firstLineChars="0"/>
              <w:jc w:val="center"/>
              <w:rPr>
                <w:rFonts w:hint="eastAsia" w:ascii="仿宋" w:hAnsi="仿宋" w:eastAsia="仿宋" w:cs="Arial Narrow"/>
                <w:highlight w:val="none"/>
                <w:lang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满意度</w:t>
            </w:r>
          </w:p>
        </w:tc>
        <w:tc>
          <w:tcPr>
            <w:tcW w:w="2132" w:type="dxa"/>
          </w:tcPr>
          <w:p>
            <w:pPr>
              <w:shd w:val="clear"/>
              <w:ind w:firstLine="0" w:firstLineChars="0"/>
              <w:jc w:val="center"/>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10分</w:t>
            </w:r>
          </w:p>
        </w:tc>
        <w:tc>
          <w:tcPr>
            <w:tcW w:w="2126" w:type="dxa"/>
          </w:tcPr>
          <w:p>
            <w:pPr>
              <w:shd w:val="clear"/>
              <w:ind w:firstLine="0" w:firstLineChars="0"/>
              <w:jc w:val="center"/>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10分</w:t>
            </w:r>
          </w:p>
        </w:tc>
        <w:tc>
          <w:tcPr>
            <w:tcW w:w="2126" w:type="dxa"/>
          </w:tcPr>
          <w:p>
            <w:pPr>
              <w:shd w:val="clear"/>
              <w:ind w:firstLine="0" w:firstLineChars="0"/>
              <w:jc w:val="center"/>
              <w:rPr>
                <w:rFonts w:hint="eastAsia" w:ascii="仿宋" w:hAnsi="仿宋" w:eastAsia="仿宋" w:cs="Arial Narrow"/>
                <w:highlight w:val="none"/>
                <w:lang w:val="en-US"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综合绩效</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100分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95.67</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ascii="仿宋" w:hAnsi="仿宋" w:eastAsia="仿宋" w:cs="Arial Narrow"/>
                <w:highlight w:val="none"/>
              </w:rPr>
              <w:t>优</w:t>
            </w:r>
          </w:p>
        </w:tc>
      </w:tr>
    </w:tbl>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8" w:name="_Toc20258"/>
      <w:r>
        <w:rPr>
          <w:rFonts w:hint="eastAsia" w:ascii="仿宋" w:hAnsi="仿宋" w:eastAsia="仿宋" w:cs="Arial Narrow"/>
          <w:sz w:val="28"/>
          <w:szCs w:val="28"/>
          <w:highlight w:val="none"/>
          <w:lang w:val="en-US" w:eastAsia="zh-CN"/>
        </w:rPr>
        <w:t>（三）项目经验与问题</w:t>
      </w:r>
      <w:bookmarkEnd w:id="8"/>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1、经验</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一是集中做好岗前培训，大部分退役士兵在部队的专业与地方接收单位的岗位需求存在较大差距，很多退役士兵基本的电脑知识缺乏，社会适应性能力不足，对政策不熟悉。应制定具体的培训计划，进一步提升能力。</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二是提前做好区与计划企业的对接，有针对性的做好直通车式的安置，要尽早下达中央、省市的安置计划，开展前期的对接，是双方有一个明确的目标。</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2、问题</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项目预算执行率未达到100%。</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9" w:name="_Toc3962"/>
      <w:r>
        <w:rPr>
          <w:rFonts w:hint="eastAsia" w:ascii="仿宋" w:hAnsi="仿宋" w:eastAsia="仿宋" w:cs="Arial Narrow"/>
          <w:sz w:val="28"/>
          <w:szCs w:val="28"/>
          <w:highlight w:val="none"/>
          <w:lang w:val="en-US" w:eastAsia="zh-CN"/>
        </w:rPr>
        <w:t>（四）建议</w:t>
      </w:r>
      <w:bookmarkEnd w:id="9"/>
    </w:p>
    <w:bookmarkEnd w:id="2"/>
    <w:bookmarkEnd w:id="3"/>
    <w:p>
      <w:pPr>
        <w:shd w:val="clear"/>
        <w:snapToGrid w:val="0"/>
        <w:ind w:firstLine="480"/>
        <w:jc w:val="left"/>
        <w:rPr>
          <w:rFonts w:ascii="仿宋_GB2312" w:hAnsi="Arial Narrow" w:cs="Arial Narrow"/>
          <w:highlight w:val="none"/>
        </w:rPr>
      </w:pPr>
      <w:r>
        <w:rPr>
          <w:rFonts w:hint="eastAsia" w:ascii="仿宋" w:hAnsi="仿宋" w:eastAsia="仿宋" w:cs="Arial Narrow"/>
          <w:highlight w:val="none"/>
          <w:lang w:val="en-US" w:eastAsia="zh-CN"/>
        </w:rPr>
        <w:t>加强预算管理，提高预算编制准确性。在年初编制预算时应结合历年资金使用情况和项目执行情况，充分掌握项目的实际资金需求，并积极与相关业务部门进行充分沟通，制定出符合实际情况的预算申报文本。从而提高资金利用率，实现项目长期、稳定、可持续发展。</w:t>
      </w:r>
    </w:p>
    <w:p>
      <w:pPr>
        <w:pStyle w:val="2"/>
        <w:keepNext/>
        <w:keepLines/>
        <w:pageBreakBefore w:val="0"/>
        <w:widowControl w:val="0"/>
        <w:shd w:val="clear"/>
        <w:kinsoku/>
        <w:wordWrap/>
        <w:overflowPunct/>
        <w:topLinePunct w:val="0"/>
        <w:autoSpaceDE/>
        <w:autoSpaceDN/>
        <w:bidi w:val="0"/>
        <w:adjustRightInd/>
        <w:snapToGrid/>
        <w:jc w:val="left"/>
        <w:textAlignment w:val="auto"/>
        <w:rPr>
          <w:rFonts w:hint="eastAsia" w:ascii="仿宋" w:hAnsi="仿宋" w:eastAsia="仿宋" w:cs="仿宋"/>
          <w:sz w:val="32"/>
          <w:szCs w:val="32"/>
          <w:highlight w:val="none"/>
          <w:lang w:val="en-US" w:eastAsia="zh-CN"/>
        </w:rPr>
      </w:pPr>
      <w:bookmarkStart w:id="10" w:name="_Toc13066"/>
      <w:bookmarkStart w:id="11" w:name="_Toc14165723"/>
      <w:bookmarkStart w:id="12" w:name="_Toc387957799"/>
      <w:bookmarkStart w:id="13" w:name="_Toc361304672"/>
      <w:bookmarkStart w:id="14" w:name="_Toc387957800"/>
      <w:bookmarkStart w:id="15" w:name="_Toc361304673"/>
      <w:r>
        <w:rPr>
          <w:rFonts w:hint="eastAsia" w:ascii="仿宋" w:hAnsi="仿宋" w:eastAsia="仿宋" w:cs="仿宋"/>
          <w:sz w:val="32"/>
          <w:szCs w:val="32"/>
          <w:highlight w:val="none"/>
          <w:lang w:val="en-US" w:eastAsia="zh-CN"/>
        </w:rPr>
        <w:t>二、正文</w:t>
      </w:r>
      <w:bookmarkEnd w:id="10"/>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16" w:name="_Toc24705"/>
      <w:r>
        <w:rPr>
          <w:rFonts w:hint="eastAsia" w:ascii="仿宋" w:hAnsi="仿宋" w:eastAsia="仿宋" w:cs="Arial Narrow"/>
          <w:sz w:val="28"/>
          <w:szCs w:val="28"/>
          <w:highlight w:val="none"/>
          <w:lang w:val="en-US" w:eastAsia="zh-CN"/>
        </w:rPr>
        <w:t>（一）项目基本情况</w:t>
      </w:r>
      <w:bookmarkEnd w:id="11"/>
      <w:bookmarkEnd w:id="16"/>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17" w:name="_Toc32217"/>
      <w:bookmarkStart w:id="18" w:name="_Toc14165724"/>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项目立项背景和依据</w:t>
      </w:r>
      <w:bookmarkEnd w:id="17"/>
      <w:bookmarkEnd w:id="18"/>
    </w:p>
    <w:bookmarkEnd w:id="12"/>
    <w:bookmarkEnd w:id="13"/>
    <w:p>
      <w:pPr>
        <w:keepNext w:val="0"/>
        <w:keepLines w:val="0"/>
        <w:pageBreakBefore w:val="0"/>
        <w:widowControl w:val="0"/>
        <w:shd w:val="clear"/>
        <w:kinsoku/>
        <w:wordWrap/>
        <w:overflowPunct/>
        <w:topLinePunct w:val="0"/>
        <w:autoSpaceDE/>
        <w:autoSpaceDN/>
        <w:bidi w:val="0"/>
        <w:adjustRightInd/>
        <w:snapToGrid w:val="0"/>
        <w:ind w:left="0" w:leftChars="0" w:firstLine="480" w:firstLineChars="200"/>
        <w:textAlignment w:val="auto"/>
        <w:rPr>
          <w:rFonts w:ascii="仿宋" w:hAnsi="仿宋" w:eastAsia="仿宋" w:cs="Arial Narrow"/>
          <w:highlight w:val="none"/>
        </w:rPr>
      </w:pPr>
      <w:bookmarkStart w:id="19" w:name="_Toc14165725"/>
      <w:bookmarkStart w:id="20" w:name="_Toc406666356"/>
      <w:bookmarkStart w:id="21" w:name="_Toc16351"/>
      <w:bookmarkStart w:id="22" w:name="_Toc406668030"/>
      <w:bookmarkStart w:id="23" w:name="_Toc361304680"/>
      <w:r>
        <w:rPr>
          <w:rFonts w:hint="eastAsia" w:ascii="仿宋" w:hAnsi="仿宋" w:eastAsia="仿宋" w:cs="Arial Narrow"/>
          <w:highlight w:val="none"/>
          <w:lang w:val="en-US" w:eastAsia="zh-CN"/>
        </w:rPr>
        <w:t>区退役军人事务局自组建以来，深入贯彻落实习近平总书记关于退役军人工作重要论述精神，切实做好退役军人服务管理工作，落实贯彻优抚安置政策，全力维护退役军人合法权益，用实际行动让军人成为全社会尊崇的职业。项目实施单位根据省民政厅、省财政厅、省教育厅、省军区政治部《关于进一步规范义务兵家庭优待金发放工作的通知》（鄂民政发[2014]49号）、市退役军人事务局《关于做好2019年度义务兵家庭优待金发放工作的通知》（武退役军人文[2019]4号）、《民政部办公厅关于落实给部分农村籍退役士兵发放老年生活补助政策措施的通知》、《市退役军人事务局关于落实为全市烈属、军属和退役军人等家庭悬挂光荣牌工作的通知》、《关于做好城镇有工作单位的参战参试退役人员工资补齐平均工资工作的通知》（武民政[2012]87号）、《军人抚恤优待条例》、《关于对自主就业退役士兵实行一次性经济补助的通知》（鄂民阵发[2012]98号）等文件精神，认真贯彻落实各项优抚安置政策，全力维护优抚对象的切身利益</w:t>
      </w:r>
      <w:r>
        <w:rPr>
          <w:rFonts w:hint="eastAsia" w:ascii="仿宋" w:hAnsi="仿宋" w:eastAsia="仿宋" w:cs="Arial Narrow"/>
          <w:highlight w:val="none"/>
        </w:rPr>
        <w:t>。</w:t>
      </w:r>
      <w:r>
        <w:rPr>
          <w:rFonts w:hint="eastAsia" w:ascii="仿宋" w:hAnsi="仿宋" w:eastAsia="仿宋" w:cs="Arial Narrow"/>
          <w:highlight w:val="none"/>
        </w:rPr>
        <w:tab/>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4" w:name="_Toc10759"/>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项目绩效目标</w:t>
      </w:r>
      <w:bookmarkEnd w:id="19"/>
      <w:bookmarkEnd w:id="24"/>
    </w:p>
    <w:bookmarkEnd w:id="20"/>
    <w:bookmarkEnd w:id="21"/>
    <w:bookmarkEnd w:id="22"/>
    <w:bookmarkEnd w:id="23"/>
    <w:p>
      <w:pPr>
        <w:shd w:val="clear"/>
        <w:snapToGrid w:val="0"/>
        <w:ind w:firstLine="480"/>
        <w:rPr>
          <w:rFonts w:hint="default" w:ascii="仿宋" w:hAnsi="仿宋" w:eastAsia="仿宋" w:cs="Arial Narrow"/>
          <w:highlight w:val="none"/>
          <w:lang w:val="en-US" w:eastAsia="zh-CN"/>
        </w:rPr>
      </w:pPr>
      <w:bookmarkStart w:id="25" w:name="_Toc14165726"/>
      <w:r>
        <w:rPr>
          <w:rFonts w:hint="eastAsia" w:ascii="仿宋" w:hAnsi="仿宋" w:eastAsia="仿宋" w:cs="Arial Narrow"/>
          <w:highlight w:val="none"/>
          <w:lang w:val="en-US" w:eastAsia="zh-CN"/>
        </w:rPr>
        <w:t>绩效目标：全年预算总费用1,498.66万元，主要用于退役士兵安置、军队移交政府的离退休人员安置、退役士兵管理教育、其他退役安置支出-社保接续、军转干部经费等经费支出。</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6" w:name="_Toc30863"/>
      <w:r>
        <w:rPr>
          <w:rFonts w:hint="eastAsia" w:ascii="仿宋" w:hAnsi="仿宋" w:eastAsia="仿宋" w:cs="Arial Narrow"/>
          <w:sz w:val="24"/>
          <w:highlight w:val="none"/>
          <w:lang w:val="en-US" w:eastAsia="zh-CN"/>
        </w:rPr>
        <w:t>3、</w:t>
      </w:r>
      <w:r>
        <w:rPr>
          <w:rFonts w:hint="eastAsia" w:ascii="仿宋" w:hAnsi="仿宋" w:eastAsia="仿宋" w:cs="Arial Narrow"/>
          <w:sz w:val="24"/>
          <w:highlight w:val="none"/>
        </w:rPr>
        <w:t>项目经费来源和使用情况</w:t>
      </w:r>
      <w:bookmarkEnd w:id="25"/>
      <w:bookmarkEnd w:id="26"/>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eastAsia="zh-CN"/>
        </w:rPr>
        <w:t>（</w:t>
      </w:r>
      <w:r>
        <w:rPr>
          <w:rFonts w:hint="eastAsia" w:ascii="仿宋" w:hAnsi="仿宋" w:eastAsia="仿宋" w:cs="Arial Narrow"/>
          <w:highlight w:val="none"/>
        </w:rPr>
        <w:t>1</w:t>
      </w:r>
      <w:r>
        <w:rPr>
          <w:rFonts w:hint="eastAsia" w:ascii="仿宋" w:hAnsi="仿宋" w:eastAsia="仿宋" w:cs="Arial Narrow"/>
          <w:highlight w:val="none"/>
          <w:lang w:eastAsia="zh-CN"/>
        </w:rPr>
        <w:t>）</w:t>
      </w:r>
      <w:r>
        <w:rPr>
          <w:rFonts w:hint="eastAsia" w:ascii="仿宋" w:hAnsi="仿宋" w:eastAsia="仿宋" w:cs="Arial Narrow"/>
          <w:highlight w:val="none"/>
        </w:rPr>
        <w:t>项目资金来源</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武汉经济技术开发区（汉南区）退役军人事务局“退役安置经费”</w:t>
      </w:r>
      <w:r>
        <w:rPr>
          <w:rFonts w:hint="eastAsia" w:ascii="仿宋" w:hAnsi="仿宋" w:eastAsia="仿宋" w:cs="Arial Narrow"/>
          <w:highlight w:val="none"/>
        </w:rPr>
        <w:t>项目</w:t>
      </w:r>
      <w:r>
        <w:rPr>
          <w:rFonts w:hint="eastAsia" w:ascii="仿宋" w:hAnsi="仿宋" w:eastAsia="仿宋" w:cs="Arial Narrow"/>
          <w:highlight w:val="none"/>
          <w:lang w:val="en-US" w:eastAsia="zh-CN"/>
        </w:rPr>
        <w:t>支出全年</w:t>
      </w:r>
      <w:r>
        <w:rPr>
          <w:rFonts w:hint="eastAsia" w:ascii="仿宋" w:hAnsi="仿宋" w:eastAsia="仿宋" w:cs="Arial Narrow"/>
          <w:highlight w:val="none"/>
        </w:rPr>
        <w:t>预算</w:t>
      </w:r>
      <w:r>
        <w:rPr>
          <w:rFonts w:hint="eastAsia" w:ascii="仿宋" w:hAnsi="仿宋" w:eastAsia="仿宋" w:cs="Arial Narrow"/>
          <w:highlight w:val="none"/>
          <w:lang w:val="en-US" w:eastAsia="zh-CN"/>
        </w:rPr>
        <w:t>数为1,498.66万元</w:t>
      </w:r>
      <w:r>
        <w:rPr>
          <w:rFonts w:hint="eastAsia" w:ascii="仿宋" w:hAnsi="仿宋" w:eastAsia="仿宋" w:cs="Arial Narrow"/>
          <w:highlight w:val="none"/>
        </w:rPr>
        <w:t>，均系财政拨款。</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eastAsia="zh-CN"/>
        </w:rPr>
        <w:t>（</w:t>
      </w:r>
      <w:r>
        <w:rPr>
          <w:rFonts w:hint="eastAsia" w:ascii="仿宋" w:hAnsi="仿宋" w:eastAsia="仿宋" w:cs="Arial Narrow"/>
          <w:highlight w:val="none"/>
        </w:rPr>
        <w:t>2</w:t>
      </w:r>
      <w:r>
        <w:rPr>
          <w:rFonts w:hint="eastAsia" w:ascii="仿宋" w:hAnsi="仿宋" w:eastAsia="仿宋" w:cs="Arial Narrow"/>
          <w:highlight w:val="none"/>
          <w:lang w:eastAsia="zh-CN"/>
        </w:rPr>
        <w:t>）</w:t>
      </w:r>
      <w:r>
        <w:rPr>
          <w:rFonts w:hint="eastAsia" w:ascii="仿宋" w:hAnsi="仿宋" w:eastAsia="仿宋" w:cs="Arial Narrow"/>
          <w:highlight w:val="none"/>
        </w:rPr>
        <w:t>项目资金使用概况</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2019年“退役安置经费”</w:t>
      </w:r>
      <w:r>
        <w:rPr>
          <w:rFonts w:hint="eastAsia" w:ascii="仿宋" w:hAnsi="仿宋" w:eastAsia="仿宋" w:cs="Arial Narrow"/>
          <w:highlight w:val="none"/>
        </w:rPr>
        <w:t>项目计划支出</w:t>
      </w:r>
      <w:r>
        <w:rPr>
          <w:rFonts w:hint="eastAsia" w:ascii="仿宋" w:hAnsi="仿宋" w:eastAsia="仿宋" w:cs="Arial Narrow"/>
          <w:highlight w:val="none"/>
          <w:lang w:val="en-US" w:eastAsia="zh-CN"/>
        </w:rPr>
        <w:t>1,498.66万元</w:t>
      </w:r>
      <w:r>
        <w:rPr>
          <w:rFonts w:hint="eastAsia" w:ascii="仿宋" w:hAnsi="仿宋" w:eastAsia="仿宋" w:cs="Arial Narrow"/>
          <w:highlight w:val="none"/>
        </w:rPr>
        <w:t>，实际支出为</w:t>
      </w:r>
      <w:r>
        <w:rPr>
          <w:rFonts w:hint="eastAsia" w:ascii="仿宋" w:hAnsi="仿宋" w:eastAsia="仿宋" w:cs="Arial Narrow"/>
          <w:highlight w:val="none"/>
          <w:lang w:val="en-US" w:eastAsia="zh-CN"/>
        </w:rPr>
        <w:t>849.26万元</w:t>
      </w:r>
      <w:r>
        <w:rPr>
          <w:rFonts w:hint="eastAsia" w:ascii="仿宋" w:hAnsi="仿宋" w:eastAsia="仿宋" w:cs="Arial Narrow"/>
          <w:highlight w:val="none"/>
        </w:rPr>
        <w:t>。资金使用率为</w:t>
      </w:r>
      <w:r>
        <w:rPr>
          <w:rFonts w:hint="eastAsia" w:ascii="仿宋" w:hAnsi="仿宋" w:eastAsia="仿宋" w:cs="Arial Narrow"/>
          <w:highlight w:val="none"/>
          <w:lang w:val="en-US" w:eastAsia="zh-CN"/>
        </w:rPr>
        <w:t>56.67</w:t>
      </w:r>
      <w:r>
        <w:rPr>
          <w:rFonts w:hint="eastAsia" w:ascii="仿宋" w:hAnsi="仿宋" w:eastAsia="仿宋" w:cs="Arial Narrow"/>
          <w:highlight w:val="none"/>
        </w:rPr>
        <w:t>%。</w:t>
      </w:r>
    </w:p>
    <w:bookmarkEnd w:id="14"/>
    <w:bookmarkEnd w:id="15"/>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7" w:name="_Toc13484"/>
      <w:bookmarkStart w:id="28" w:name="_Toc14165727"/>
      <w:r>
        <w:rPr>
          <w:rFonts w:hint="eastAsia" w:ascii="仿宋" w:hAnsi="仿宋" w:eastAsia="仿宋" w:cs="Arial Narrow"/>
          <w:sz w:val="24"/>
          <w:highlight w:val="none"/>
          <w:lang w:val="en-US" w:eastAsia="zh-CN"/>
        </w:rPr>
        <w:t>4、</w:t>
      </w:r>
      <w:r>
        <w:rPr>
          <w:rFonts w:hint="eastAsia" w:ascii="仿宋" w:hAnsi="仿宋" w:eastAsia="仿宋" w:cs="Arial Narrow"/>
          <w:sz w:val="24"/>
          <w:highlight w:val="none"/>
        </w:rPr>
        <w:t>项目实施情况</w:t>
      </w:r>
      <w:bookmarkEnd w:id="27"/>
      <w:bookmarkEnd w:id="28"/>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（1）党委（政府）高度重视统筹</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根据市局下达的任务计划和市政府召开的安置工作会议，统筹纳入区主要领导一把手工程，召开全区退役军人事务工作领导小组和涉区安置单位工作会议，下达区级安置计划，确定均衡负担的企业安置。把市区两级安置计划目标按照职级属地管理的原则召开安置工作会议，下达区级安置文件。</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（2）采取量化积分，阳关安置</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采取“量化打分、积分选岗”方式组织岗位分配。由区退役军人事务局(安置办)联合组织部(编办)、纪委(监委)、人资局集中组织符合岗位安置条件的退役士兵进行量化考评打分，张榜公布、公示考评成绩和安置岗位，退役士兵根据积分排名由高到低选岗，确保退役士兵岗位安置每个环节都在阳光下运行。</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（3）主动作为，跟踪问效</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自选岗确定后，我们主动对接每一个选择的安置接收单位，采取宣讲提高政治站位和安置政策，如何确保涉军群体稳定，确保及时上岗，落实好岗位待遇等方面进行一对一的衔接、沟通，在确保双方都满意的情况下开具介绍信，及时发放相关补助，接续基本保险，坚持公平公正。</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（4）妥善安置，人性化对待</w:t>
      </w:r>
    </w:p>
    <w:p>
      <w:pPr>
        <w:shd w:val="clear"/>
        <w:snapToGrid w:val="0"/>
        <w:ind w:firstLine="480"/>
        <w:rPr>
          <w:rFonts w:hint="default" w:ascii="仿宋" w:hAnsi="仿宋" w:eastAsia="仿宋" w:cs="Arial Narrow"/>
          <w:highlight w:val="none"/>
          <w:lang w:val="en-US"/>
        </w:rPr>
      </w:pPr>
      <w:r>
        <w:rPr>
          <w:rFonts w:hint="eastAsia" w:ascii="仿宋" w:hAnsi="仿宋" w:eastAsia="仿宋" w:cs="Arial Narrow"/>
          <w:highlight w:val="none"/>
          <w:lang w:val="en-US" w:eastAsia="zh-CN"/>
        </w:rPr>
        <w:t>针对个别退役士兵对选择的岗位双向选择时出现的不满意，及时与接收单位对接，在完善手续的同时，采取各个击破的方式逐一化解，坚持一定要把我区的符合政府安置的退役士兵安置好的原则。</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29" w:name="_Toc387957806"/>
      <w:bookmarkStart w:id="30" w:name="_Toc26215"/>
      <w:bookmarkStart w:id="31" w:name="_Toc14165728"/>
      <w:bookmarkStart w:id="32" w:name="_Toc14372"/>
      <w:bookmarkStart w:id="33" w:name="_Toc406668031"/>
      <w:bookmarkStart w:id="34" w:name="_Toc361304681"/>
      <w:bookmarkStart w:id="35" w:name="_Toc406666357"/>
      <w:r>
        <w:rPr>
          <w:rFonts w:hint="eastAsia" w:ascii="仿宋" w:hAnsi="仿宋" w:eastAsia="仿宋" w:cs="Arial Narrow"/>
          <w:sz w:val="28"/>
          <w:szCs w:val="28"/>
          <w:highlight w:val="none"/>
          <w:lang w:val="en-US" w:eastAsia="zh-CN"/>
        </w:rPr>
        <w:t>（二）绩效评价工作情况</w:t>
      </w:r>
      <w:bookmarkEnd w:id="29"/>
      <w:bookmarkEnd w:id="30"/>
      <w:bookmarkEnd w:id="31"/>
      <w:bookmarkEnd w:id="32"/>
      <w:bookmarkEnd w:id="33"/>
      <w:bookmarkEnd w:id="34"/>
      <w:bookmarkEnd w:id="35"/>
      <w:bookmarkStart w:id="36" w:name="_Toc361304682"/>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37" w:name="_Toc387957807"/>
      <w:bookmarkStart w:id="38" w:name="_Toc406668032"/>
      <w:bookmarkStart w:id="39" w:name="_Toc406666358"/>
      <w:bookmarkStart w:id="40" w:name="_Toc18296"/>
      <w:bookmarkStart w:id="41" w:name="_Toc29064"/>
      <w:bookmarkStart w:id="42" w:name="_Toc14165729"/>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绩效评价目</w:t>
      </w:r>
      <w:bookmarkEnd w:id="36"/>
      <w:bookmarkEnd w:id="37"/>
      <w:r>
        <w:rPr>
          <w:rFonts w:hint="eastAsia" w:ascii="仿宋" w:hAnsi="仿宋" w:eastAsia="仿宋" w:cs="Arial Narrow"/>
          <w:sz w:val="24"/>
          <w:highlight w:val="none"/>
        </w:rPr>
        <w:t>的</w:t>
      </w:r>
      <w:bookmarkEnd w:id="38"/>
      <w:bookmarkEnd w:id="39"/>
      <w:bookmarkEnd w:id="40"/>
      <w:bookmarkEnd w:id="41"/>
      <w:bookmarkEnd w:id="42"/>
    </w:p>
    <w:p>
      <w:pPr>
        <w:shd w:val="clear"/>
        <w:snapToGrid w:val="0"/>
        <w:ind w:firstLine="480"/>
        <w:rPr>
          <w:rFonts w:hint="eastAsia" w:ascii="仿宋" w:hAnsi="仿宋" w:eastAsia="仿宋" w:cs="Arial Narrow"/>
          <w:bCs/>
          <w:highlight w:val="none"/>
        </w:rPr>
      </w:pPr>
      <w:r>
        <w:rPr>
          <w:rFonts w:hint="eastAsia" w:ascii="仿宋" w:hAnsi="仿宋" w:eastAsia="仿宋" w:cs="Arial Narrow"/>
          <w:bCs/>
          <w:highlight w:val="none"/>
        </w:rPr>
        <w:t>本次绩效评价的主要目的是加强项目资金管理，提高“</w:t>
      </w:r>
      <w:r>
        <w:rPr>
          <w:rFonts w:hint="eastAsia" w:ascii="仿宋" w:hAnsi="仿宋" w:eastAsia="仿宋" w:cs="Arial Narrow"/>
          <w:bCs/>
          <w:highlight w:val="none"/>
          <w:lang w:eastAsia="zh-CN"/>
        </w:rPr>
        <w:t>退役安置经费</w:t>
      </w:r>
      <w:r>
        <w:rPr>
          <w:rFonts w:hint="eastAsia" w:ascii="仿宋" w:hAnsi="仿宋" w:eastAsia="仿宋" w:cs="Arial Narrow"/>
          <w:bCs/>
          <w:highlight w:val="none"/>
        </w:rPr>
        <w:t>”</w:t>
      </w:r>
      <w:r>
        <w:rPr>
          <w:rFonts w:hint="eastAsia" w:ascii="仿宋" w:hAnsi="仿宋" w:eastAsia="仿宋" w:cs="Arial Narrow"/>
          <w:bCs/>
          <w:highlight w:val="none"/>
          <w:lang w:val="en-US" w:eastAsia="zh-CN"/>
        </w:rPr>
        <w:t>财政资金使用效益</w:t>
      </w:r>
      <w:r>
        <w:rPr>
          <w:rFonts w:hint="eastAsia" w:ascii="仿宋" w:hAnsi="仿宋" w:eastAsia="仿宋" w:cs="Arial Narrow"/>
          <w:bCs/>
          <w:highlight w:val="none"/>
        </w:rPr>
        <w:t>。</w:t>
      </w:r>
    </w:p>
    <w:p>
      <w:pPr>
        <w:shd w:val="clear"/>
        <w:snapToGrid w:val="0"/>
        <w:ind w:firstLine="480"/>
        <w:rPr>
          <w:rFonts w:ascii="仿宋" w:hAnsi="仿宋" w:eastAsia="仿宋" w:cs="Arial Narrow"/>
          <w:bCs/>
          <w:highlight w:val="none"/>
        </w:rPr>
      </w:pPr>
      <w:r>
        <w:rPr>
          <w:rFonts w:hint="eastAsia" w:ascii="仿宋" w:hAnsi="仿宋" w:eastAsia="仿宋" w:cs="Arial Narrow"/>
          <w:bCs/>
          <w:highlight w:val="none"/>
        </w:rPr>
        <w:t>通过绩效评价，能够核查201</w:t>
      </w:r>
      <w:r>
        <w:rPr>
          <w:rFonts w:hint="eastAsia" w:ascii="仿宋" w:hAnsi="仿宋" w:eastAsia="仿宋" w:cs="Arial Narrow"/>
          <w:bCs/>
          <w:highlight w:val="none"/>
          <w:lang w:val="en-US" w:eastAsia="zh-CN"/>
        </w:rPr>
        <w:t>9</w:t>
      </w:r>
      <w:r>
        <w:rPr>
          <w:rFonts w:hint="eastAsia" w:ascii="仿宋" w:hAnsi="仿宋" w:eastAsia="仿宋" w:cs="Arial Narrow"/>
          <w:bCs/>
          <w:highlight w:val="none"/>
        </w:rPr>
        <w:t>年度</w:t>
      </w:r>
      <w:r>
        <w:rPr>
          <w:rFonts w:hint="eastAsia" w:ascii="仿宋" w:hAnsi="仿宋" w:eastAsia="仿宋" w:cs="Arial Narrow"/>
          <w:bCs/>
          <w:highlight w:val="none"/>
          <w:lang w:val="en-US" w:eastAsia="zh-CN"/>
        </w:rPr>
        <w:t>退役军人事务局</w:t>
      </w:r>
      <w:r>
        <w:rPr>
          <w:rFonts w:hint="eastAsia" w:ascii="仿宋" w:hAnsi="仿宋" w:eastAsia="仿宋" w:cs="Arial Narrow"/>
          <w:bCs/>
          <w:highlight w:val="none"/>
        </w:rPr>
        <w:t>项目绩效目标、指标的实现程度，考核资金使用效率和综合绩效，总结项目管理与执行经验，管理部门决策、管理提供参考依据；推动建立以绩效评价结果为导向的财政资金分配与管理制度，提升财政资金科学化、精细化管理水平。</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43" w:name="_Toc14165730"/>
      <w:bookmarkStart w:id="44" w:name="_Toc32197"/>
      <w:bookmarkStart w:id="45" w:name="_Toc2095"/>
      <w:bookmarkStart w:id="46" w:name="_Toc361302025"/>
      <w:bookmarkStart w:id="47" w:name="_Toc406666359"/>
      <w:bookmarkStart w:id="48" w:name="_Toc406668033"/>
      <w:bookmarkStart w:id="49" w:name="_Toc361304684"/>
      <w:bookmarkStart w:id="50" w:name="_Toc387957809"/>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绩效评价工作过程</w:t>
      </w:r>
      <w:bookmarkEnd w:id="43"/>
      <w:bookmarkEnd w:id="44"/>
      <w:bookmarkEnd w:id="45"/>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rPr>
        <w:t>1</w:t>
      </w:r>
      <w:r>
        <w:rPr>
          <w:rFonts w:hint="eastAsia" w:ascii="仿宋" w:hAnsi="仿宋" w:eastAsia="仿宋" w:cs="Arial Narrow"/>
          <w:bCs/>
          <w:highlight w:val="none"/>
          <w:lang w:eastAsia="zh-CN"/>
        </w:rPr>
        <w:t>）</w:t>
      </w:r>
      <w:r>
        <w:rPr>
          <w:rFonts w:hint="eastAsia" w:ascii="仿宋" w:hAnsi="仿宋" w:eastAsia="仿宋" w:cs="Arial Narrow"/>
          <w:bCs/>
          <w:highlight w:val="none"/>
        </w:rPr>
        <w:t>绩效评价准备阶段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rPr>
        <w:t>确定评价对象。根据下达的绩效评价通知书，制订绩效评价工作方案。</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rPr>
        <w:t>2</w:t>
      </w:r>
      <w:r>
        <w:rPr>
          <w:rFonts w:hint="eastAsia" w:ascii="仿宋" w:hAnsi="仿宋" w:eastAsia="仿宋" w:cs="Arial Narrow"/>
          <w:bCs/>
          <w:highlight w:val="none"/>
          <w:lang w:eastAsia="zh-CN"/>
        </w:rPr>
        <w:t>）</w:t>
      </w:r>
      <w:r>
        <w:rPr>
          <w:rFonts w:hint="eastAsia" w:ascii="仿宋" w:hAnsi="仿宋" w:eastAsia="仿宋" w:cs="Arial Narrow"/>
          <w:bCs/>
          <w:highlight w:val="none"/>
        </w:rPr>
        <w:t>绩效评价实施阶段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①</w:t>
      </w:r>
      <w:r>
        <w:rPr>
          <w:rFonts w:hint="eastAsia" w:ascii="仿宋" w:hAnsi="仿宋" w:eastAsia="仿宋" w:cs="Arial Narrow"/>
          <w:bCs/>
          <w:highlight w:val="none"/>
        </w:rPr>
        <w:t>拟定评价工作方案；</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②</w:t>
      </w:r>
      <w:r>
        <w:rPr>
          <w:rFonts w:hint="eastAsia" w:ascii="仿宋" w:hAnsi="仿宋" w:eastAsia="仿宋" w:cs="Arial Narrow"/>
          <w:bCs/>
          <w:highlight w:val="none"/>
        </w:rPr>
        <w:t>资料审核；</w:t>
      </w:r>
    </w:p>
    <w:p>
      <w:pPr>
        <w:shd w:val="clear"/>
        <w:snapToGrid w:val="0"/>
        <w:ind w:firstLine="480"/>
        <w:jc w:val="left"/>
        <w:rPr>
          <w:rFonts w:ascii="仿宋" w:hAnsi="仿宋" w:eastAsia="仿宋" w:cs="Arial Narrow"/>
          <w:bCs/>
          <w:highlight w:val="none"/>
        </w:rPr>
      </w:pPr>
      <w:r>
        <w:rPr>
          <w:rFonts w:hint="eastAsia" w:ascii="宋体" w:hAnsi="宋体" w:eastAsia="宋体" w:cs="宋体"/>
          <w:bCs/>
          <w:highlight w:val="none"/>
          <w:lang w:val="en-US" w:eastAsia="zh-CN"/>
        </w:rPr>
        <w:t>③</w:t>
      </w:r>
      <w:r>
        <w:rPr>
          <w:rFonts w:hint="eastAsia" w:ascii="仿宋" w:hAnsi="仿宋" w:eastAsia="仿宋" w:cs="Arial Narrow"/>
          <w:bCs/>
          <w:highlight w:val="none"/>
        </w:rPr>
        <w:t>撰写绩效报告；</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④</w:t>
      </w:r>
      <w:r>
        <w:rPr>
          <w:rFonts w:hint="eastAsia" w:ascii="仿宋" w:hAnsi="仿宋" w:eastAsia="仿宋" w:cs="Arial Narrow"/>
          <w:bCs/>
          <w:highlight w:val="none"/>
        </w:rPr>
        <w:t>实施绩效评价。</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lang w:val="en-US" w:eastAsia="zh-CN"/>
        </w:rPr>
        <w:t>3）</w:t>
      </w:r>
      <w:r>
        <w:rPr>
          <w:rFonts w:hint="eastAsia" w:ascii="仿宋" w:hAnsi="仿宋" w:eastAsia="仿宋" w:cs="Arial Narrow"/>
          <w:bCs/>
          <w:highlight w:val="none"/>
        </w:rPr>
        <w:t>绩效评价总结阶段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①</w:t>
      </w:r>
      <w:r>
        <w:rPr>
          <w:rFonts w:hint="eastAsia" w:ascii="仿宋" w:hAnsi="仿宋" w:eastAsia="仿宋" w:cs="Arial Narrow"/>
          <w:bCs/>
          <w:highlight w:val="none"/>
        </w:rPr>
        <w:t>撰写报告；</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②</w:t>
      </w:r>
      <w:r>
        <w:rPr>
          <w:rFonts w:hint="eastAsia" w:ascii="仿宋" w:hAnsi="仿宋" w:eastAsia="仿宋" w:cs="Arial Narrow"/>
          <w:bCs/>
          <w:highlight w:val="none"/>
        </w:rPr>
        <w:t>提交报告。</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51" w:name="_Toc14165731"/>
      <w:bookmarkStart w:id="52" w:name="_Toc1595"/>
      <w:r>
        <w:rPr>
          <w:rFonts w:hint="eastAsia" w:ascii="仿宋" w:hAnsi="仿宋" w:eastAsia="仿宋" w:cs="Arial Narrow"/>
          <w:sz w:val="24"/>
          <w:highlight w:val="none"/>
          <w:lang w:val="en-US" w:eastAsia="zh-CN"/>
        </w:rPr>
        <w:t>3、</w:t>
      </w:r>
      <w:r>
        <w:rPr>
          <w:rFonts w:hint="eastAsia" w:ascii="仿宋" w:hAnsi="仿宋" w:eastAsia="仿宋" w:cs="Arial Narrow"/>
          <w:sz w:val="24"/>
          <w:highlight w:val="none"/>
        </w:rPr>
        <w:t>绩效评价框架</w:t>
      </w:r>
      <w:bookmarkEnd w:id="51"/>
      <w:bookmarkEnd w:id="52"/>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评价原则</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评价依据</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①</w:t>
      </w:r>
      <w:r>
        <w:rPr>
          <w:rFonts w:hint="eastAsia" w:ascii="仿宋" w:hAnsi="仿宋" w:eastAsia="仿宋" w:cs="Arial Narrow"/>
          <w:highlight w:val="none"/>
        </w:rPr>
        <w:t>《中华人民共和国预算法》；</w:t>
      </w:r>
    </w:p>
    <w:p>
      <w:pPr>
        <w:shd w:val="clear"/>
        <w:snapToGrid w:val="0"/>
        <w:ind w:firstLine="480"/>
        <w:jc w:val="left"/>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②《财政支出绩效评价管理暂行办法》（财预[2011]285号）；</w:t>
      </w:r>
    </w:p>
    <w:p>
      <w:pPr>
        <w:shd w:val="clear"/>
        <w:snapToGrid w:val="0"/>
        <w:ind w:firstLine="480"/>
        <w:jc w:val="left"/>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③《财政部关于推进预算绩效管理的指导意见》（财预[2011]416号）；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④</w:t>
      </w:r>
      <w:r>
        <w:rPr>
          <w:rFonts w:hint="eastAsia" w:ascii="仿宋" w:hAnsi="仿宋" w:eastAsia="仿宋" w:cs="Arial Narrow"/>
          <w:highlight w:val="none"/>
          <w:lang w:eastAsia="zh-CN"/>
        </w:rPr>
        <w:t>《</w:t>
      </w:r>
      <w:r>
        <w:rPr>
          <w:rFonts w:hint="eastAsia" w:ascii="仿宋" w:hAnsi="仿宋" w:eastAsia="仿宋" w:cs="Arial Narrow"/>
          <w:highlight w:val="none"/>
        </w:rPr>
        <w:t>湖北省省级财政项目资金绩效评价实施暂行办法》（鄂财绩发[2012]5号）；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⑤</w:t>
      </w:r>
      <w:r>
        <w:rPr>
          <w:rFonts w:hint="eastAsia" w:ascii="仿宋" w:hAnsi="仿宋" w:eastAsia="仿宋" w:cs="Arial Narrow"/>
          <w:highlight w:val="none"/>
        </w:rPr>
        <w:t>《关于推进预算绩效管理的意见》(武政[2013]95号)；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⑥</w:t>
      </w:r>
      <w:r>
        <w:rPr>
          <w:rFonts w:hint="eastAsia" w:ascii="仿宋" w:hAnsi="仿宋" w:eastAsia="仿宋" w:cs="Arial Narrow"/>
          <w:highlight w:val="none"/>
        </w:rPr>
        <w:t>武汉市财政局《关于进一步推进预算绩效管理改革工作的通知》；</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⑦</w:t>
      </w:r>
      <w:r>
        <w:rPr>
          <w:rFonts w:hint="eastAsia" w:ascii="仿宋" w:hAnsi="仿宋" w:eastAsia="仿宋" w:cs="Arial Narrow"/>
          <w:highlight w:val="none"/>
        </w:rPr>
        <w:t>《武汉经济技术开发区（汉南区）预算绩效评价管理暂行办法》；</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⑧</w:t>
      </w:r>
      <w:r>
        <w:rPr>
          <w:rFonts w:hint="eastAsia" w:ascii="仿宋" w:hAnsi="仿宋" w:eastAsia="仿宋" w:cs="Arial Narrow"/>
          <w:highlight w:val="none"/>
        </w:rPr>
        <w:t>《区财政局关于开展2019年度预算绩效自评工作的通知》 武经开财〔20</w:t>
      </w:r>
      <w:r>
        <w:rPr>
          <w:rFonts w:hint="eastAsia" w:ascii="仿宋" w:hAnsi="仿宋" w:eastAsia="仿宋" w:cs="Arial Narrow"/>
          <w:highlight w:val="none"/>
          <w:lang w:val="en-US" w:eastAsia="zh-CN"/>
        </w:rPr>
        <w:t>20</w:t>
      </w:r>
      <w:r>
        <w:rPr>
          <w:rFonts w:hint="eastAsia" w:ascii="仿宋" w:hAnsi="仿宋" w:eastAsia="仿宋" w:cs="Arial Narrow"/>
          <w:highlight w:val="none"/>
        </w:rPr>
        <w:t>〕</w:t>
      </w:r>
      <w:r>
        <w:rPr>
          <w:rFonts w:hint="eastAsia" w:ascii="仿宋" w:hAnsi="仿宋" w:eastAsia="仿宋" w:cs="Arial Narrow"/>
          <w:highlight w:val="none"/>
          <w:lang w:val="en-US" w:eastAsia="zh-CN"/>
        </w:rPr>
        <w:t>10</w:t>
      </w:r>
      <w:r>
        <w:rPr>
          <w:rFonts w:hint="eastAsia" w:ascii="仿宋" w:hAnsi="仿宋" w:eastAsia="仿宋" w:cs="Arial Narrow"/>
          <w:highlight w:val="none"/>
        </w:rPr>
        <w:t>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⑨</w:t>
      </w:r>
      <w:r>
        <w:rPr>
          <w:rFonts w:hint="eastAsia" w:ascii="仿宋" w:hAnsi="仿宋" w:eastAsia="仿宋" w:cs="Arial Narrow"/>
          <w:highlight w:val="none"/>
        </w:rPr>
        <w:t>项目资金使用明细表、与项目相关的财务账等资料；</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⑩</w:t>
      </w:r>
      <w:r>
        <w:rPr>
          <w:rFonts w:hint="eastAsia" w:ascii="仿宋" w:hAnsi="仿宋" w:eastAsia="仿宋" w:cs="Arial Narrow"/>
          <w:highlight w:val="none"/>
        </w:rPr>
        <w:t>其他与项目评价相关的资料。</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3</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评价方法</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主要采用成本效益分析法、比较法、因素分析法、最低成本法、公众评判法等。</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①</w:t>
      </w:r>
      <w:r>
        <w:rPr>
          <w:rFonts w:hint="eastAsia" w:ascii="仿宋" w:hAnsi="仿宋" w:eastAsia="仿宋" w:cs="Arial Narrow"/>
          <w:highlight w:val="none"/>
        </w:rPr>
        <w:t>成本效益分析法。是指将一定时期内的支出与效益进行对比分析，以评价绩效目标实现程度。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②</w:t>
      </w:r>
      <w:r>
        <w:rPr>
          <w:rFonts w:hint="eastAsia" w:ascii="仿宋" w:hAnsi="仿宋" w:eastAsia="仿宋" w:cs="Arial Narrow"/>
          <w:highlight w:val="none"/>
        </w:rPr>
        <w:t>比较法。是指通过对绩效目标与实施效果、历史与当期情况、不同部门和地区同类支出的比较，综合分析绩效目标实现程度。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③</w:t>
      </w:r>
      <w:r>
        <w:rPr>
          <w:rFonts w:hint="eastAsia" w:ascii="仿宋" w:hAnsi="仿宋" w:eastAsia="仿宋" w:cs="Arial Narrow"/>
          <w:highlight w:val="none"/>
        </w:rPr>
        <w:t>因素分析法。是指通过综合分析影响绩效目标实现、实施效果的内外因素，评价绩效目标实现程度。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④</w:t>
      </w:r>
      <w:r>
        <w:rPr>
          <w:rFonts w:hint="eastAsia" w:ascii="仿宋" w:hAnsi="仿宋" w:eastAsia="仿宋" w:cs="Arial Narrow"/>
          <w:highlight w:val="none"/>
        </w:rPr>
        <w:t>最低成本法。是指对效益确定却不易计量的多个同类对象的实施成本进行比较，评价绩效目标实现程度。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⑤</w:t>
      </w:r>
      <w:r>
        <w:rPr>
          <w:rFonts w:hint="eastAsia" w:ascii="仿宋" w:hAnsi="仿宋" w:eastAsia="仿宋" w:cs="Arial Narrow"/>
          <w:highlight w:val="none"/>
        </w:rPr>
        <w:t>公众评判法。是指通过专家评估、公众问卷及抽样调查等对财政支出效果进行评判，评价绩效目标实现程度。</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53" w:name="_Toc14165732"/>
      <w:bookmarkStart w:id="54" w:name="_Toc18353"/>
      <w:r>
        <w:rPr>
          <w:rFonts w:hint="eastAsia" w:ascii="仿宋" w:hAnsi="仿宋" w:eastAsia="仿宋" w:cs="Arial Narrow"/>
          <w:sz w:val="24"/>
          <w:highlight w:val="none"/>
          <w:lang w:val="en-US" w:eastAsia="zh-CN"/>
        </w:rPr>
        <w:t>4、</w:t>
      </w:r>
      <w:r>
        <w:rPr>
          <w:rFonts w:hint="eastAsia" w:ascii="仿宋" w:hAnsi="仿宋" w:eastAsia="仿宋" w:cs="Arial Narrow"/>
          <w:sz w:val="24"/>
          <w:highlight w:val="none"/>
        </w:rPr>
        <w:t>评价抽样情况概述</w:t>
      </w:r>
      <w:bookmarkEnd w:id="46"/>
      <w:bookmarkEnd w:id="47"/>
      <w:bookmarkEnd w:id="48"/>
      <w:bookmarkEnd w:id="49"/>
      <w:bookmarkEnd w:id="50"/>
      <w:bookmarkEnd w:id="53"/>
      <w:bookmarkEnd w:id="54"/>
      <w:bookmarkStart w:id="55" w:name="_Toc387957819"/>
      <w:bookmarkStart w:id="56" w:name="_Toc406666370"/>
      <w:bookmarkStart w:id="57" w:name="_Toc361304693"/>
      <w:bookmarkStart w:id="58" w:name="_Toc406668044"/>
      <w:bookmarkStart w:id="59" w:name="_Toc18443"/>
      <w:bookmarkStart w:id="60" w:name="_Toc14165733"/>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绩效评价小组遵循代表性原则、独立性原则和方便性原则，根据项目属性、区域分布、资金规模进行抽样调查。抽样调查项目个数及总金额可以代表项目实施的总体情况。对被抽样单位进行实地抽查，了解项目的具体实施情况，在反复沟通中了解被抽样单位项目资金的使用情况、项目资金的到位情况及产生的效益，使绩效评价量化指标更加充分，也确保绩效评价与项目的衔接度更高。</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61" w:name="_Toc7146"/>
      <w:r>
        <w:rPr>
          <w:rFonts w:hint="eastAsia" w:ascii="仿宋" w:hAnsi="仿宋" w:eastAsia="仿宋" w:cs="Arial Narrow"/>
          <w:sz w:val="28"/>
          <w:szCs w:val="28"/>
          <w:highlight w:val="none"/>
          <w:lang w:val="en-US" w:eastAsia="zh-CN"/>
        </w:rPr>
        <w:t>（三）绩效分析</w:t>
      </w:r>
      <w:bookmarkEnd w:id="55"/>
      <w:bookmarkEnd w:id="56"/>
      <w:bookmarkEnd w:id="57"/>
      <w:bookmarkEnd w:id="58"/>
      <w:bookmarkEnd w:id="59"/>
      <w:r>
        <w:rPr>
          <w:rFonts w:hint="eastAsia" w:ascii="仿宋" w:hAnsi="仿宋" w:eastAsia="仿宋" w:cs="Arial Narrow"/>
          <w:sz w:val="28"/>
          <w:szCs w:val="28"/>
          <w:highlight w:val="none"/>
          <w:lang w:val="en-US" w:eastAsia="zh-CN"/>
        </w:rPr>
        <w:t>及评价结论</w:t>
      </w:r>
      <w:bookmarkEnd w:id="60"/>
      <w:bookmarkEnd w:id="61"/>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62" w:name="_Toc13084"/>
      <w:bookmarkStart w:id="63" w:name="_Toc14165734"/>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绩效分析</w:t>
      </w:r>
      <w:bookmarkEnd w:id="62"/>
      <w:bookmarkEnd w:id="63"/>
    </w:p>
    <w:p>
      <w:pPr>
        <w:shd w:val="clear"/>
        <w:snapToGrid w:val="0"/>
        <w:ind w:firstLine="480"/>
        <w:jc w:val="left"/>
        <w:rPr>
          <w:rFonts w:hint="eastAsia" w:ascii="仿宋" w:hAnsi="仿宋" w:eastAsia="仿宋" w:cs="Arial Narrow"/>
          <w:b/>
          <w:bCs/>
          <w:sz w:val="24"/>
          <w:highlight w:val="none"/>
        </w:rPr>
      </w:pPr>
      <w:bookmarkStart w:id="64" w:name="_Toc14165735"/>
      <w:bookmarkStart w:id="65" w:name="_Toc2992"/>
      <w:bookmarkStart w:id="66" w:name="_Toc406666373"/>
      <w:bookmarkStart w:id="67" w:name="_Toc387957822"/>
      <w:bookmarkStart w:id="68" w:name="_Toc361302034"/>
      <w:bookmarkStart w:id="69" w:name="_Toc406668047"/>
      <w:bookmarkStart w:id="70" w:name="_Toc361304697"/>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w:t>
      </w:r>
      <w:bookmarkStart w:id="71" w:name="_Toc394181010"/>
      <w:r>
        <w:rPr>
          <w:rFonts w:hint="eastAsia" w:ascii="仿宋" w:hAnsi="仿宋" w:eastAsia="仿宋" w:cs="Arial Narrow"/>
          <w:b/>
          <w:bCs/>
          <w:sz w:val="24"/>
          <w:highlight w:val="none"/>
        </w:rPr>
        <w:t>投入</w:t>
      </w:r>
      <w:r>
        <w:rPr>
          <w:rFonts w:hint="eastAsia" w:ascii="仿宋" w:hAnsi="仿宋" w:eastAsia="仿宋" w:cs="Arial Narrow"/>
          <w:b/>
          <w:bCs/>
          <w:sz w:val="24"/>
          <w:highlight w:val="none"/>
          <w:lang w:val="en-US" w:eastAsia="zh-CN"/>
        </w:rPr>
        <w:t>-资金落实</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10</w:t>
      </w:r>
      <w:r>
        <w:rPr>
          <w:rFonts w:hint="eastAsia" w:ascii="仿宋" w:hAnsi="仿宋" w:eastAsia="仿宋" w:cs="Arial Narrow"/>
          <w:b/>
          <w:bCs/>
          <w:sz w:val="24"/>
          <w:highlight w:val="none"/>
        </w:rPr>
        <w:t>分）</w:t>
      </w:r>
      <w:bookmarkEnd w:id="64"/>
      <w:bookmarkEnd w:id="65"/>
      <w:bookmarkEnd w:id="71"/>
    </w:p>
    <w:p>
      <w:pPr>
        <w:shd w:val="clear"/>
        <w:snapToGrid w:val="0"/>
        <w:ind w:firstLine="480"/>
        <w:rPr>
          <w:rFonts w:hint="eastAsia" w:ascii="仿宋" w:hAnsi="仿宋" w:eastAsia="仿宋" w:cs="Arial Narrow"/>
          <w:highlight w:val="none"/>
        </w:rPr>
      </w:pPr>
      <w:r>
        <w:rPr>
          <w:rFonts w:hint="eastAsia" w:ascii="仿宋" w:hAnsi="仿宋" w:eastAsia="仿宋" w:cs="Arial Narrow"/>
          <w:highlight w:val="none"/>
        </w:rPr>
        <w:t>资金落实主要评价财政预算资金是否全额发放、资金到位</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是否及时。该情况主要是通过资金到位率和到位及时率两个指标来反映。指标评价得分为</w:t>
      </w:r>
      <w:r>
        <w:rPr>
          <w:rFonts w:hint="eastAsia" w:ascii="仿宋" w:hAnsi="仿宋" w:eastAsia="仿宋" w:cs="Arial Narrow"/>
          <w:highlight w:val="none"/>
          <w:lang w:val="en-US" w:eastAsia="zh-CN"/>
        </w:rPr>
        <w:t>5.67</w:t>
      </w:r>
      <w:r>
        <w:rPr>
          <w:rFonts w:hint="eastAsia" w:ascii="仿宋" w:hAnsi="仿宋" w:eastAsia="仿宋" w:cs="Arial Narrow"/>
          <w:highlight w:val="none"/>
        </w:rPr>
        <w:t>分，评价等级为</w:t>
      </w:r>
      <w:r>
        <w:rPr>
          <w:rFonts w:hint="eastAsia" w:ascii="仿宋" w:hAnsi="仿宋" w:eastAsia="仿宋" w:cs="Arial Narrow"/>
          <w:highlight w:val="none"/>
          <w:lang w:val="en-US" w:eastAsia="zh-CN"/>
        </w:rPr>
        <w:t>差</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a.</w:t>
      </w:r>
      <w:r>
        <w:rPr>
          <w:rFonts w:hint="eastAsia" w:ascii="仿宋" w:hAnsi="仿宋" w:eastAsia="仿宋" w:cs="Arial Narrow"/>
          <w:highlight w:val="none"/>
        </w:rPr>
        <w:tab/>
      </w:r>
      <w:r>
        <w:rPr>
          <w:rFonts w:hint="eastAsia" w:ascii="仿宋" w:hAnsi="仿宋" w:eastAsia="仿宋" w:cs="Arial Narrow"/>
          <w:highlight w:val="none"/>
        </w:rPr>
        <w:t>资金到位率，是指实际到位资金与计划投入资金的比率，用以反映和考核资金落实情况对项目实施的总体保障程度。201</w:t>
      </w:r>
      <w:r>
        <w:rPr>
          <w:rFonts w:hint="eastAsia" w:ascii="仿宋" w:hAnsi="仿宋" w:eastAsia="仿宋" w:cs="Arial Narrow"/>
          <w:highlight w:val="none"/>
          <w:lang w:val="en-US" w:eastAsia="zh-CN"/>
        </w:rPr>
        <w:t>9</w:t>
      </w:r>
      <w:r>
        <w:rPr>
          <w:rFonts w:hint="eastAsia" w:ascii="仿宋" w:hAnsi="仿宋" w:eastAsia="仿宋" w:cs="Arial Narrow"/>
          <w:highlight w:val="none"/>
        </w:rPr>
        <w:t>年该项目计划投入资金</w:t>
      </w:r>
      <w:r>
        <w:rPr>
          <w:rFonts w:hint="eastAsia" w:ascii="仿宋" w:hAnsi="仿宋" w:eastAsia="仿宋" w:cs="Arial Narrow"/>
          <w:highlight w:val="none"/>
          <w:lang w:val="en-US" w:eastAsia="zh-CN"/>
        </w:rPr>
        <w:t>1,498.66</w:t>
      </w:r>
      <w:r>
        <w:rPr>
          <w:rFonts w:hint="eastAsia" w:ascii="仿宋" w:hAnsi="仿宋" w:eastAsia="仿宋" w:cs="Arial Narrow"/>
          <w:highlight w:val="none"/>
        </w:rPr>
        <w:t>万元，实际到位资金共</w:t>
      </w:r>
      <w:r>
        <w:rPr>
          <w:rFonts w:hint="eastAsia" w:ascii="仿宋" w:hAnsi="仿宋" w:eastAsia="仿宋" w:cs="Arial Narrow"/>
          <w:highlight w:val="none"/>
          <w:lang w:val="en-US" w:eastAsia="zh-CN"/>
        </w:rPr>
        <w:t>849.26</w:t>
      </w:r>
      <w:r>
        <w:rPr>
          <w:rFonts w:hint="eastAsia" w:ascii="仿宋" w:hAnsi="仿宋" w:eastAsia="仿宋" w:cs="Arial Narrow"/>
          <w:highlight w:val="none"/>
        </w:rPr>
        <w:t>万元，资金到位率</w:t>
      </w:r>
      <w:r>
        <w:rPr>
          <w:rFonts w:hint="eastAsia" w:ascii="仿宋" w:hAnsi="仿宋" w:eastAsia="仿宋" w:cs="Arial Narrow"/>
          <w:highlight w:val="none"/>
          <w:lang w:val="en-US" w:eastAsia="zh-CN"/>
        </w:rPr>
        <w:t>56.67</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b.</w:t>
      </w:r>
      <w:r>
        <w:rPr>
          <w:rFonts w:hint="eastAsia" w:ascii="仿宋" w:hAnsi="仿宋" w:eastAsia="仿宋" w:cs="Arial Narrow"/>
          <w:highlight w:val="none"/>
        </w:rPr>
        <w:tab/>
      </w:r>
      <w:r>
        <w:rPr>
          <w:rFonts w:hint="eastAsia" w:ascii="仿宋" w:hAnsi="仿宋" w:eastAsia="仿宋" w:cs="Arial Narrow"/>
          <w:highlight w:val="none"/>
        </w:rPr>
        <w:t>到位及时率，是指项目及时到位资金与应到位资金的比率，用以反映和考核项目资金落实的及时性程度。武汉经济技术开发区（汉南区）财政局下达项目申报资金及时，到位及时率100%。</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项目产出（</w:t>
      </w:r>
      <w:r>
        <w:rPr>
          <w:rFonts w:hint="eastAsia" w:ascii="仿宋" w:hAnsi="仿宋" w:eastAsia="仿宋" w:cs="Arial Narrow"/>
          <w:b/>
          <w:bCs/>
          <w:sz w:val="24"/>
          <w:highlight w:val="none"/>
          <w:lang w:val="en-US" w:eastAsia="zh-CN"/>
        </w:rPr>
        <w:t>50</w:t>
      </w:r>
      <w:r>
        <w:rPr>
          <w:rFonts w:hint="eastAsia" w:ascii="仿宋" w:hAnsi="仿宋" w:eastAsia="仿宋" w:cs="Arial Narrow"/>
          <w:b/>
          <w:bCs/>
          <w:sz w:val="24"/>
          <w:highlight w:val="none"/>
        </w:rPr>
        <w:t>分）</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项目产出方面主要评价项目实施内容的完成情况，包括完成数量、质量</w:t>
      </w:r>
      <w:r>
        <w:rPr>
          <w:rFonts w:hint="eastAsia" w:ascii="仿宋" w:hAnsi="仿宋" w:eastAsia="仿宋" w:cs="Arial Narrow"/>
          <w:highlight w:val="none"/>
          <w:lang w:eastAsia="zh-CN"/>
        </w:rPr>
        <w:t>、</w:t>
      </w:r>
      <w:r>
        <w:rPr>
          <w:rFonts w:hint="eastAsia" w:ascii="仿宋" w:hAnsi="仿宋" w:eastAsia="仿宋" w:cs="Arial Narrow"/>
          <w:highlight w:val="none"/>
        </w:rPr>
        <w:t>时效</w:t>
      </w:r>
      <w:r>
        <w:rPr>
          <w:rFonts w:hint="eastAsia" w:ascii="仿宋" w:hAnsi="仿宋" w:eastAsia="仿宋" w:cs="Arial Narrow"/>
          <w:highlight w:val="none"/>
          <w:lang w:val="en-US" w:eastAsia="zh-CN"/>
        </w:rPr>
        <w:t>以及成本</w:t>
      </w:r>
      <w:r>
        <w:rPr>
          <w:rFonts w:hint="eastAsia" w:ascii="仿宋" w:hAnsi="仿宋" w:eastAsia="仿宋" w:cs="Arial Narrow"/>
          <w:highlight w:val="none"/>
        </w:rPr>
        <w:t>。对于该项的评价，绩效评价工作小组主要采取了卷宗研究、现场访谈等方式进行资料收集、整理和分析，对项目产出涉及的指标进行打分和评价。经过综合计分，该指标得分为</w:t>
      </w:r>
      <w:r>
        <w:rPr>
          <w:rFonts w:hint="eastAsia" w:ascii="仿宋" w:hAnsi="仿宋" w:eastAsia="仿宋" w:cs="Arial Narrow"/>
          <w:highlight w:val="none"/>
          <w:lang w:val="en-US" w:eastAsia="zh-CN"/>
        </w:rPr>
        <w:t>50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①数量指标，是指退役士兵安置、军队移交政府的离退休人员安置、退役士兵管理教育、其他退役安置支出-社保接续、军转干部经费等</w:t>
      </w:r>
      <w:r>
        <w:rPr>
          <w:rFonts w:hint="eastAsia" w:ascii="仿宋" w:hAnsi="仿宋" w:eastAsia="仿宋" w:cs="Arial Narrow"/>
          <w:highlight w:val="none"/>
          <w:lang w:val="en-US" w:eastAsia="zh-CN"/>
        </w:rPr>
        <w:t>各项退役安置经费下拨率、离退休人员安置人数、自主就业退役士兵培训率、享受政策对象覆盖率等</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②质量指标，是指退役士兵安置、军队移交政府的离退休人员安置、退役士兵管理教育、其他退役安置支出-社保接续、军转干部经费等各项</w:t>
      </w:r>
      <w:r>
        <w:rPr>
          <w:rFonts w:hint="eastAsia" w:ascii="仿宋" w:hAnsi="仿宋" w:eastAsia="仿宋" w:cs="Arial Narrow"/>
          <w:highlight w:val="none"/>
          <w:lang w:eastAsia="zh-CN"/>
        </w:rPr>
        <w:t>退役安置经费</w:t>
      </w:r>
      <w:r>
        <w:rPr>
          <w:rFonts w:hint="eastAsia" w:ascii="仿宋" w:hAnsi="仿宋" w:eastAsia="仿宋" w:cs="Arial Narrow"/>
          <w:highlight w:val="none"/>
        </w:rPr>
        <w:t>按规定</w:t>
      </w:r>
      <w:r>
        <w:rPr>
          <w:rFonts w:hint="eastAsia" w:ascii="仿宋" w:hAnsi="仿宋" w:eastAsia="仿宋" w:cs="Arial Narrow"/>
          <w:highlight w:val="none"/>
          <w:lang w:val="en-US" w:eastAsia="zh-CN"/>
        </w:rPr>
        <w:t>标准</w:t>
      </w:r>
      <w:r>
        <w:rPr>
          <w:rFonts w:hint="eastAsia" w:ascii="仿宋" w:hAnsi="仿宋" w:eastAsia="仿宋" w:cs="Arial Narrow"/>
          <w:highlight w:val="none"/>
        </w:rPr>
        <w:t>执行率。</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③时效指标，是指退役士兵安置、军队移交政府的离退休人员安置、退役士兵管理教育、其他退役安置支出-社保接续、军转干部经费等各项</w:t>
      </w:r>
      <w:r>
        <w:rPr>
          <w:rFonts w:hint="eastAsia" w:ascii="仿宋" w:hAnsi="仿宋" w:eastAsia="仿宋" w:cs="Arial Narrow"/>
          <w:highlight w:val="none"/>
          <w:lang w:eastAsia="zh-CN"/>
        </w:rPr>
        <w:t>退役安置经费</w:t>
      </w:r>
      <w:r>
        <w:rPr>
          <w:rFonts w:hint="eastAsia" w:ascii="仿宋" w:hAnsi="仿宋" w:eastAsia="仿宋" w:cs="Arial Narrow"/>
          <w:highlight w:val="none"/>
        </w:rPr>
        <w:t>下拨及时率。</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④成本指标，是指项目完成时成本不高于计划支出。通过查看项目预算批复文件和支出明细表以及记账凭证得知，该项目项目到位资金为</w:t>
      </w:r>
      <w:r>
        <w:rPr>
          <w:rFonts w:hint="eastAsia" w:ascii="仿宋" w:hAnsi="仿宋" w:eastAsia="仿宋" w:cs="Arial Narrow"/>
          <w:highlight w:val="none"/>
          <w:lang w:val="en-US" w:eastAsia="zh-CN"/>
        </w:rPr>
        <w:t>1,498.66万</w:t>
      </w:r>
      <w:r>
        <w:rPr>
          <w:rFonts w:hint="eastAsia" w:ascii="仿宋" w:hAnsi="仿宋" w:eastAsia="仿宋" w:cs="Arial Narrow"/>
          <w:highlight w:val="none"/>
        </w:rPr>
        <w:t>元，实际支出为</w:t>
      </w:r>
      <w:r>
        <w:rPr>
          <w:rFonts w:hint="eastAsia" w:ascii="仿宋" w:hAnsi="仿宋" w:eastAsia="仿宋" w:cs="Arial Narrow"/>
          <w:highlight w:val="none"/>
          <w:lang w:val="en-US" w:eastAsia="zh-CN"/>
        </w:rPr>
        <w:t>849.26万</w:t>
      </w:r>
      <w:r>
        <w:rPr>
          <w:rFonts w:hint="eastAsia" w:ascii="仿宋" w:hAnsi="仿宋" w:eastAsia="仿宋" w:cs="Arial Narrow"/>
          <w:highlight w:val="none"/>
        </w:rPr>
        <w:t>元，资金使用率为</w:t>
      </w:r>
      <w:r>
        <w:rPr>
          <w:rFonts w:hint="eastAsia" w:ascii="仿宋" w:hAnsi="仿宋" w:eastAsia="仿宋" w:cs="Arial Narrow"/>
          <w:highlight w:val="none"/>
          <w:lang w:val="en-US" w:eastAsia="zh-CN"/>
        </w:rPr>
        <w:t>56.67%</w:t>
      </w:r>
      <w:r>
        <w:rPr>
          <w:rFonts w:hint="eastAsia" w:ascii="仿宋" w:hAnsi="仿宋" w:eastAsia="仿宋" w:cs="Arial Narrow"/>
          <w:highlight w:val="none"/>
        </w:rPr>
        <w:t>。</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3</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w:t>
      </w:r>
      <w:r>
        <w:rPr>
          <w:rFonts w:hint="eastAsia" w:ascii="仿宋" w:hAnsi="仿宋" w:eastAsia="仿宋" w:cs="Arial Narrow"/>
          <w:b/>
          <w:bCs/>
          <w:sz w:val="24"/>
          <w:highlight w:val="none"/>
          <w:lang w:val="en-US" w:eastAsia="zh-CN"/>
        </w:rPr>
        <w:t>效益</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30</w:t>
      </w:r>
      <w:r>
        <w:rPr>
          <w:rFonts w:hint="eastAsia" w:ascii="仿宋" w:hAnsi="仿宋" w:eastAsia="仿宋" w:cs="Arial Narrow"/>
          <w:b/>
          <w:bCs/>
          <w:sz w:val="24"/>
          <w:highlight w:val="none"/>
        </w:rPr>
        <w:t>分）</w:t>
      </w:r>
    </w:p>
    <w:bookmarkEnd w:id="66"/>
    <w:bookmarkEnd w:id="67"/>
    <w:bookmarkEnd w:id="68"/>
    <w:bookmarkEnd w:id="69"/>
    <w:bookmarkEnd w:id="70"/>
    <w:p>
      <w:pPr>
        <w:shd w:val="clear"/>
        <w:snapToGrid w:val="0"/>
        <w:ind w:firstLine="480"/>
        <w:rPr>
          <w:rFonts w:ascii="仿宋" w:hAnsi="仿宋" w:eastAsia="仿宋" w:cs="Arial Narrow"/>
          <w:highlight w:val="none"/>
        </w:rPr>
      </w:pPr>
      <w:bookmarkStart w:id="72" w:name="_Toc361304701"/>
      <w:bookmarkStart w:id="73" w:name="_Toc14165738"/>
      <w:bookmarkStart w:id="74" w:name="_Toc387957826"/>
      <w:bookmarkStart w:id="75" w:name="_Toc406668051"/>
      <w:bookmarkStart w:id="76" w:name="_Toc361302038"/>
      <w:bookmarkStart w:id="77" w:name="_Toc406666377"/>
      <w:bookmarkStart w:id="78" w:name="_Toc17932"/>
      <w:r>
        <w:rPr>
          <w:rFonts w:hint="eastAsia" w:ascii="仿宋" w:hAnsi="仿宋" w:eastAsia="仿宋" w:cs="Arial Narrow"/>
          <w:highlight w:val="none"/>
        </w:rPr>
        <w:t>项目效益方面主要评价项目实施所产生的</w:t>
      </w:r>
      <w:r>
        <w:rPr>
          <w:rFonts w:hint="eastAsia" w:ascii="仿宋" w:hAnsi="仿宋" w:eastAsia="仿宋" w:cs="Arial Narrow"/>
          <w:highlight w:val="none"/>
          <w:lang w:val="en-US" w:eastAsia="zh-CN"/>
        </w:rPr>
        <w:t>社会</w:t>
      </w:r>
      <w:r>
        <w:rPr>
          <w:rFonts w:hint="eastAsia" w:ascii="仿宋" w:hAnsi="仿宋" w:eastAsia="仿宋" w:cs="Arial Narrow"/>
          <w:highlight w:val="none"/>
        </w:rPr>
        <w:t>效益，以及对社会的需求和发展所带来的直接或间接影响，反映项目后续运行及成效发挥的可持续影响情况。对于该项的评价，绩效评价工作小组主要采取了卷宗研究、现场访谈等方式进行资料收集、整理和分析，采集相关信息，对项目效益涉及的指标进行打分和评价。满分</w:t>
      </w:r>
      <w:r>
        <w:rPr>
          <w:rFonts w:hint="eastAsia" w:ascii="仿宋" w:hAnsi="仿宋" w:eastAsia="仿宋" w:cs="Arial Narrow"/>
          <w:highlight w:val="none"/>
          <w:lang w:val="en-US" w:eastAsia="zh-CN"/>
        </w:rPr>
        <w:t>30</w:t>
      </w:r>
      <w:r>
        <w:rPr>
          <w:rFonts w:hint="eastAsia" w:ascii="仿宋" w:hAnsi="仿宋" w:eastAsia="仿宋" w:cs="Arial Narrow"/>
          <w:highlight w:val="none"/>
        </w:rPr>
        <w:t>分，最后得分</w:t>
      </w:r>
      <w:r>
        <w:rPr>
          <w:rFonts w:hint="eastAsia" w:ascii="仿宋" w:hAnsi="仿宋" w:eastAsia="仿宋" w:cs="Arial Narrow"/>
          <w:highlight w:val="none"/>
          <w:lang w:val="en-US" w:eastAsia="zh-CN"/>
        </w:rPr>
        <w:t>30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rPr>
        <w:t>①社会效益指标</w:t>
      </w:r>
      <w:r>
        <w:rPr>
          <w:rFonts w:hint="eastAsia" w:ascii="仿宋" w:hAnsi="仿宋" w:eastAsia="仿宋" w:cs="Arial Narrow"/>
          <w:highlight w:val="none"/>
          <w:lang w:eastAsia="zh-CN"/>
        </w:rPr>
        <w:t>，</w:t>
      </w:r>
      <w:r>
        <w:rPr>
          <w:rFonts w:hint="eastAsia" w:ascii="仿宋" w:hAnsi="仿宋" w:eastAsia="仿宋" w:cs="Arial Narrow"/>
          <w:highlight w:val="none"/>
          <w:lang w:val="en-US" w:eastAsia="zh-CN"/>
        </w:rPr>
        <w:t>是指维护退役军人、离退休人员、军转干部合法权益，保持社会和谐稳定等。</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rPr>
        <w:t>②可持续影响指标</w:t>
      </w:r>
      <w:r>
        <w:rPr>
          <w:rFonts w:hint="eastAsia" w:ascii="仿宋" w:hAnsi="仿宋" w:eastAsia="仿宋" w:cs="Arial Narrow"/>
          <w:highlight w:val="none"/>
          <w:lang w:eastAsia="zh-CN"/>
        </w:rPr>
        <w:t>，</w:t>
      </w:r>
      <w:r>
        <w:rPr>
          <w:rFonts w:hint="eastAsia" w:ascii="仿宋" w:hAnsi="仿宋" w:eastAsia="仿宋" w:cs="Arial Narrow"/>
          <w:highlight w:val="none"/>
          <w:lang w:val="en-US" w:eastAsia="zh-CN"/>
        </w:rPr>
        <w:t>是指机构、人员、制度满足需要，项目经费有保障。</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4</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服务对象满意度</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10</w:t>
      </w:r>
      <w:r>
        <w:rPr>
          <w:rFonts w:hint="eastAsia" w:ascii="仿宋" w:hAnsi="仿宋" w:eastAsia="仿宋" w:cs="Arial Narrow"/>
          <w:b/>
          <w:bCs/>
          <w:sz w:val="24"/>
          <w:highlight w:val="none"/>
        </w:rPr>
        <w:t>分）</w:t>
      </w:r>
    </w:p>
    <w:p>
      <w:pPr>
        <w:shd w:val="clear"/>
        <w:snapToGrid w:val="0"/>
        <w:rPr>
          <w:rFonts w:hint="eastAsia" w:ascii="仿宋" w:hAnsi="仿宋" w:eastAsia="仿宋" w:cs="Arial Narrow"/>
          <w:highlight w:val="none"/>
          <w:lang w:eastAsia="zh-CN"/>
        </w:rPr>
      </w:pPr>
      <w:r>
        <w:rPr>
          <w:rFonts w:hint="eastAsia" w:ascii="仿宋" w:hAnsi="仿宋" w:eastAsia="仿宋" w:cs="Arial Narrow"/>
          <w:highlight w:val="none"/>
          <w:lang w:eastAsia="zh-CN"/>
        </w:rPr>
        <w:t>服务对象满意度</w:t>
      </w:r>
      <w:r>
        <w:rPr>
          <w:rFonts w:hint="eastAsia" w:ascii="仿宋" w:hAnsi="仿宋" w:eastAsia="仿宋" w:cs="Arial Narrow"/>
          <w:highlight w:val="none"/>
        </w:rPr>
        <w:t>主要评价社会公众或服务对象</w:t>
      </w:r>
      <w:r>
        <w:rPr>
          <w:rFonts w:hint="eastAsia" w:ascii="仿宋" w:hAnsi="仿宋" w:eastAsia="仿宋" w:cs="Arial Narrow"/>
          <w:highlight w:val="none"/>
          <w:lang w:val="en-US" w:eastAsia="zh-CN"/>
        </w:rPr>
        <w:t>对</w:t>
      </w:r>
      <w:r>
        <w:rPr>
          <w:rFonts w:hint="eastAsia" w:ascii="仿宋" w:hAnsi="仿宋" w:eastAsia="仿宋" w:cs="Arial Narrow"/>
          <w:highlight w:val="none"/>
        </w:rPr>
        <w:t>项目实施</w:t>
      </w:r>
      <w:r>
        <w:rPr>
          <w:rFonts w:hint="eastAsia" w:ascii="仿宋" w:hAnsi="仿宋" w:eastAsia="仿宋" w:cs="Arial Narrow"/>
          <w:highlight w:val="none"/>
          <w:lang w:val="en-US" w:eastAsia="zh-CN"/>
        </w:rPr>
        <w:t>的</w:t>
      </w:r>
      <w:r>
        <w:rPr>
          <w:rFonts w:hint="eastAsia" w:ascii="仿宋" w:hAnsi="仿宋" w:eastAsia="仿宋" w:cs="Arial Narrow"/>
          <w:highlight w:val="none"/>
        </w:rPr>
        <w:t>满意</w:t>
      </w:r>
      <w:r>
        <w:rPr>
          <w:rFonts w:hint="eastAsia" w:ascii="仿宋" w:hAnsi="仿宋" w:eastAsia="仿宋" w:cs="Arial Narrow"/>
          <w:highlight w:val="none"/>
          <w:lang w:val="en-US" w:eastAsia="zh-CN"/>
        </w:rPr>
        <w:t>程度。</w:t>
      </w:r>
      <w:r>
        <w:rPr>
          <w:rFonts w:hint="eastAsia" w:ascii="仿宋" w:hAnsi="仿宋" w:eastAsia="仿宋" w:cs="Arial Narrow"/>
          <w:highlight w:val="none"/>
        </w:rPr>
        <w:t>对于该项的评价，绩效评价工作小组主要采取了卷宗研究、现场访谈等方式进行资料收集、整理和分析，采集相关信息，对服务对象满意度涉及的指标进行打分和评价。满分</w:t>
      </w:r>
      <w:r>
        <w:rPr>
          <w:rFonts w:hint="eastAsia" w:ascii="仿宋" w:hAnsi="仿宋" w:eastAsia="仿宋" w:cs="Arial Narrow"/>
          <w:highlight w:val="none"/>
          <w:lang w:val="en-US" w:eastAsia="zh-CN"/>
        </w:rPr>
        <w:t>10</w:t>
      </w:r>
      <w:r>
        <w:rPr>
          <w:rFonts w:hint="eastAsia" w:ascii="仿宋" w:hAnsi="仿宋" w:eastAsia="仿宋" w:cs="Arial Narrow"/>
          <w:highlight w:val="none"/>
        </w:rPr>
        <w:t>分，最后得分</w:t>
      </w:r>
      <w:r>
        <w:rPr>
          <w:rFonts w:hint="eastAsia" w:ascii="仿宋" w:hAnsi="仿宋" w:eastAsia="仿宋" w:cs="Arial Narrow"/>
          <w:highlight w:val="none"/>
          <w:lang w:val="en-US" w:eastAsia="zh-CN"/>
        </w:rPr>
        <w:t>10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79" w:name="_Toc22751"/>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评价结论</w:t>
      </w:r>
      <w:bookmarkEnd w:id="72"/>
      <w:bookmarkEnd w:id="73"/>
      <w:bookmarkEnd w:id="74"/>
      <w:bookmarkEnd w:id="75"/>
      <w:bookmarkEnd w:id="76"/>
      <w:bookmarkEnd w:id="77"/>
      <w:bookmarkEnd w:id="78"/>
      <w:bookmarkEnd w:id="79"/>
      <w:bookmarkStart w:id="80" w:name="_Toc361302039"/>
      <w:bookmarkStart w:id="81" w:name="_Toc361304702"/>
    </w:p>
    <w:bookmarkEnd w:id="80"/>
    <w:bookmarkEnd w:id="81"/>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评分结果</w:t>
      </w:r>
    </w:p>
    <w:p>
      <w:pPr>
        <w:shd w:val="clear"/>
        <w:snapToGrid w:val="0"/>
        <w:ind w:firstLine="480"/>
        <w:rPr>
          <w:rFonts w:ascii="仿宋" w:hAnsi="仿宋" w:eastAsia="仿宋" w:cs="Arial Narrow"/>
          <w:highlight w:val="none"/>
        </w:rPr>
      </w:pPr>
      <w:bookmarkStart w:id="82" w:name="_Toc361304705"/>
      <w:bookmarkStart w:id="83" w:name="_Toc406668054"/>
      <w:bookmarkStart w:id="84" w:name="_Toc387957829"/>
      <w:bookmarkStart w:id="85" w:name="_Toc406666380"/>
      <w:r>
        <w:rPr>
          <w:rFonts w:hint="eastAsia" w:ascii="仿宋" w:hAnsi="仿宋" w:eastAsia="仿宋" w:cs="Arial Narrow"/>
          <w:highlight w:val="none"/>
          <w:lang w:eastAsia="zh-CN"/>
        </w:rPr>
        <w:t>武汉经济技术开发区（汉南区）退役军人事务局</w:t>
      </w:r>
      <w:r>
        <w:rPr>
          <w:rFonts w:hint="eastAsia" w:ascii="仿宋" w:hAnsi="仿宋" w:eastAsia="仿宋" w:cs="Arial Narrow"/>
          <w:highlight w:val="none"/>
        </w:rPr>
        <w:t>“</w:t>
      </w:r>
      <w:r>
        <w:rPr>
          <w:rFonts w:hint="eastAsia" w:ascii="仿宋" w:hAnsi="仿宋" w:eastAsia="仿宋" w:cs="Arial Narrow"/>
          <w:highlight w:val="none"/>
          <w:lang w:eastAsia="zh-CN"/>
        </w:rPr>
        <w:t>退役安置经费</w:t>
      </w:r>
      <w:r>
        <w:rPr>
          <w:rFonts w:hint="eastAsia" w:ascii="仿宋" w:hAnsi="仿宋" w:eastAsia="仿宋" w:cs="Arial Narrow"/>
          <w:highlight w:val="none"/>
        </w:rPr>
        <w:t>”项目绩效评价综合得分为</w:t>
      </w:r>
      <w:r>
        <w:rPr>
          <w:rFonts w:hint="eastAsia" w:ascii="仿宋" w:hAnsi="仿宋" w:eastAsia="仿宋" w:cs="Arial Narrow"/>
          <w:highlight w:val="none"/>
          <w:lang w:val="en-US" w:eastAsia="zh-CN"/>
        </w:rPr>
        <w:t>95.67</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详见《退役士兵安置经费项目支出绩效自评表》（附件1-7）、《军队移交政府的离退休人员安置经费项目支出绩效自评表》（附件1-8）、《退役士兵管理教育经费项目支出绩效自评表》（附件1-9）、《其他退役安置支出-社保接续经费项目支出绩效自评表》（附件1-10）、《军转干部经费经费项目支出绩效自评表》（附件1-11）。</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主要结论</w:t>
      </w:r>
    </w:p>
    <w:p>
      <w:pPr>
        <w:shd w:val="clear"/>
        <w:snapToGrid w:val="0"/>
        <w:ind w:firstLine="480"/>
        <w:rPr>
          <w:rFonts w:ascii="仿宋" w:hAnsi="仿宋" w:eastAsia="仿宋" w:cs="Arial Narrow"/>
          <w:bCs/>
          <w:highlight w:val="none"/>
        </w:rPr>
      </w:pPr>
      <w:bookmarkStart w:id="86" w:name="_Toc14165739"/>
      <w:bookmarkStart w:id="87" w:name="_Toc14373"/>
      <w:r>
        <w:rPr>
          <w:rFonts w:hint="eastAsia" w:ascii="仿宋" w:hAnsi="仿宋" w:eastAsia="仿宋" w:cs="Arial Narrow"/>
          <w:bCs/>
          <w:highlight w:val="none"/>
        </w:rPr>
        <w:t>201</w:t>
      </w:r>
      <w:r>
        <w:rPr>
          <w:rFonts w:hint="eastAsia" w:ascii="仿宋" w:hAnsi="仿宋" w:eastAsia="仿宋" w:cs="Arial Narrow"/>
          <w:bCs/>
          <w:highlight w:val="none"/>
          <w:lang w:val="en-US" w:eastAsia="zh-CN"/>
        </w:rPr>
        <w:t>9</w:t>
      </w:r>
      <w:r>
        <w:rPr>
          <w:rFonts w:hint="eastAsia" w:ascii="仿宋" w:hAnsi="仿宋" w:eastAsia="仿宋" w:cs="Arial Narrow"/>
          <w:bCs/>
          <w:highlight w:val="none"/>
        </w:rPr>
        <w:t>年</w:t>
      </w:r>
      <w:r>
        <w:rPr>
          <w:rFonts w:hint="eastAsia" w:ascii="仿宋" w:hAnsi="仿宋" w:eastAsia="仿宋" w:cs="Arial Narrow"/>
          <w:bCs/>
          <w:highlight w:val="none"/>
          <w:lang w:val="en-US" w:eastAsia="zh-CN"/>
        </w:rPr>
        <w:t>退役军人事务局</w:t>
      </w:r>
      <w:r>
        <w:rPr>
          <w:rFonts w:hint="eastAsia" w:ascii="仿宋" w:hAnsi="仿宋" w:eastAsia="仿宋" w:cs="Arial Narrow"/>
          <w:bCs/>
          <w:highlight w:val="none"/>
        </w:rPr>
        <w:t>“</w:t>
      </w:r>
      <w:r>
        <w:rPr>
          <w:rFonts w:hint="eastAsia" w:ascii="仿宋" w:hAnsi="仿宋" w:eastAsia="仿宋" w:cs="Arial Narrow"/>
          <w:bCs/>
          <w:highlight w:val="none"/>
          <w:lang w:eastAsia="zh-CN"/>
        </w:rPr>
        <w:t>退役安置经费</w:t>
      </w:r>
      <w:r>
        <w:rPr>
          <w:rFonts w:hint="eastAsia" w:ascii="仿宋" w:hAnsi="仿宋" w:eastAsia="仿宋" w:cs="Arial Narrow"/>
          <w:bCs/>
          <w:highlight w:val="none"/>
        </w:rPr>
        <w:t>”项目绩效指标评分结果</w:t>
      </w:r>
      <w:r>
        <w:rPr>
          <w:rFonts w:hint="eastAsia" w:ascii="仿宋" w:hAnsi="仿宋" w:eastAsia="仿宋" w:cs="Arial Narrow"/>
          <w:bCs/>
          <w:highlight w:val="none"/>
          <w:lang w:val="en-US" w:eastAsia="zh-CN"/>
        </w:rPr>
        <w:t>为</w:t>
      </w:r>
      <w:r>
        <w:rPr>
          <w:rFonts w:hint="eastAsia" w:ascii="仿宋" w:hAnsi="仿宋" w:eastAsia="仿宋" w:cs="Arial Narrow"/>
          <w:highlight w:val="none"/>
          <w:lang w:val="en-US" w:eastAsia="zh-CN"/>
        </w:rPr>
        <w:t>优</w:t>
      </w:r>
      <w:r>
        <w:rPr>
          <w:rFonts w:hint="eastAsia" w:ascii="仿宋" w:hAnsi="仿宋" w:eastAsia="仿宋" w:cs="Arial Narrow"/>
          <w:bCs/>
          <w:highlight w:val="none"/>
        </w:rPr>
        <w:t>。</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88" w:name="_Toc28859"/>
      <w:r>
        <w:rPr>
          <w:rFonts w:hint="eastAsia" w:ascii="仿宋" w:hAnsi="仿宋" w:eastAsia="仿宋" w:cs="Arial Narrow"/>
          <w:sz w:val="28"/>
          <w:szCs w:val="28"/>
          <w:highlight w:val="none"/>
          <w:lang w:val="en-US" w:eastAsia="zh-CN"/>
        </w:rPr>
        <w:t>（四</w:t>
      </w:r>
      <w:bookmarkEnd w:id="82"/>
      <w:bookmarkEnd w:id="83"/>
      <w:bookmarkEnd w:id="84"/>
      <w:bookmarkEnd w:id="85"/>
      <w:r>
        <w:rPr>
          <w:rFonts w:hint="eastAsia" w:ascii="仿宋" w:hAnsi="仿宋" w:eastAsia="仿宋" w:cs="Arial Narrow"/>
          <w:sz w:val="28"/>
          <w:szCs w:val="28"/>
          <w:highlight w:val="none"/>
          <w:lang w:val="en-US" w:eastAsia="zh-CN"/>
        </w:rPr>
        <w:t>）存在的问题和</w:t>
      </w:r>
      <w:bookmarkEnd w:id="86"/>
      <w:bookmarkEnd w:id="87"/>
      <w:r>
        <w:rPr>
          <w:rFonts w:hint="eastAsia" w:ascii="仿宋" w:hAnsi="仿宋" w:eastAsia="仿宋" w:cs="Arial Narrow"/>
          <w:sz w:val="28"/>
          <w:szCs w:val="28"/>
          <w:highlight w:val="none"/>
          <w:lang w:val="en-US" w:eastAsia="zh-CN"/>
        </w:rPr>
        <w:t>改进措施</w:t>
      </w:r>
      <w:bookmarkEnd w:id="88"/>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default" w:ascii="仿宋" w:hAnsi="仿宋" w:eastAsia="仿宋" w:cs="Arial Narrow"/>
          <w:sz w:val="24"/>
          <w:highlight w:val="none"/>
          <w:lang w:val="en-US" w:eastAsia="zh-CN"/>
        </w:rPr>
      </w:pPr>
      <w:bookmarkStart w:id="89" w:name="_Toc406666382"/>
      <w:bookmarkStart w:id="90" w:name="_Toc14165741"/>
      <w:bookmarkStart w:id="91" w:name="_Toc27689"/>
      <w:bookmarkStart w:id="92" w:name="_Toc406668056"/>
      <w:bookmarkStart w:id="93" w:name="_Toc16696"/>
      <w:bookmarkStart w:id="94" w:name="_Toc387957833"/>
      <w:r>
        <w:rPr>
          <w:rFonts w:hint="eastAsia" w:ascii="仿宋" w:hAnsi="仿宋" w:eastAsia="仿宋" w:cs="Arial Narrow"/>
          <w:sz w:val="24"/>
          <w:highlight w:val="none"/>
          <w:lang w:val="en-US" w:eastAsia="zh-CN"/>
        </w:rPr>
        <w:t>1、存在的问题</w:t>
      </w:r>
      <w:bookmarkEnd w:id="89"/>
      <w:bookmarkEnd w:id="90"/>
      <w:bookmarkEnd w:id="91"/>
      <w:bookmarkEnd w:id="92"/>
      <w:bookmarkEnd w:id="93"/>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预算执行率未达到100%，项目全年预算数为1,498.66万元，全年执行数为849.26万元，执行率为56.67%，预算编制准确性有待提高</w:t>
      </w:r>
      <w:r>
        <w:rPr>
          <w:rFonts w:hint="eastAsia" w:ascii="仿宋" w:hAnsi="仿宋" w:eastAsia="仿宋" w:cs="Arial Narrow"/>
          <w:highlight w:val="none"/>
        </w:rPr>
        <w:t>。</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95" w:name="_Toc14165742"/>
      <w:bookmarkStart w:id="96" w:name="_Toc28128"/>
      <w:bookmarkStart w:id="97" w:name="_Toc21901"/>
      <w:r>
        <w:rPr>
          <w:rFonts w:hint="eastAsia" w:ascii="仿宋" w:hAnsi="仿宋" w:eastAsia="仿宋" w:cs="Arial Narrow"/>
          <w:sz w:val="24"/>
          <w:highlight w:val="none"/>
          <w:lang w:val="en-US" w:eastAsia="zh-CN"/>
        </w:rPr>
        <w:t>2、</w:t>
      </w:r>
      <w:bookmarkEnd w:id="94"/>
      <w:bookmarkEnd w:id="95"/>
      <w:bookmarkEnd w:id="96"/>
      <w:bookmarkStart w:id="98" w:name="_Toc387957834"/>
      <w:r>
        <w:rPr>
          <w:rFonts w:hint="eastAsia" w:ascii="仿宋" w:hAnsi="仿宋" w:eastAsia="仿宋" w:cs="Arial Narrow"/>
          <w:sz w:val="24"/>
          <w:highlight w:val="none"/>
          <w:lang w:val="en-US" w:eastAsia="zh-CN"/>
        </w:rPr>
        <w:t>改进措施</w:t>
      </w:r>
      <w:bookmarkEnd w:id="97"/>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加强预算执行力度；根据项目的特点及实际预算支出情况，更加合理科学地确定项目预算明细分类，提高年初预算编制准确性</w:t>
      </w:r>
      <w:r>
        <w:rPr>
          <w:rFonts w:hint="eastAsia" w:ascii="仿宋" w:hAnsi="仿宋" w:eastAsia="仿宋" w:cs="Arial Narrow"/>
          <w:highlight w:val="none"/>
        </w:rPr>
        <w:t>。</w:t>
      </w:r>
    </w:p>
    <w:bookmarkEnd w:id="98"/>
    <w:p>
      <w:pPr>
        <w:shd w:val="clear"/>
        <w:snapToGrid w:val="0"/>
        <w:ind w:firstLine="480"/>
        <w:jc w:val="right"/>
        <w:rPr>
          <w:rFonts w:ascii="仿宋" w:hAnsi="仿宋" w:eastAsia="仿宋" w:cs="Arial Narrow"/>
          <w:highlight w:val="none"/>
        </w:rPr>
      </w:pPr>
    </w:p>
    <w:sectPr>
      <w:headerReference r:id="rId9" w:type="default"/>
      <w:footerReference r:id="rId10" w:type="default"/>
      <w:pgSz w:w="11906" w:h="16838"/>
      <w:pgMar w:top="1440" w:right="1406" w:bottom="1089" w:left="1800" w:header="1134" w:footer="567"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210" w:firstLineChars="100"/>
      <w:jc w:val="center"/>
      <w:rPr>
        <w:rStyle w:val="25"/>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9</w:t>
    </w:r>
    <w:r>
      <w:rPr>
        <w:rFonts w:ascii="Arial Narrow" w:hAnsi="Arial Narrow"/>
        <w:sz w:val="21"/>
        <w:szCs w:val="21"/>
      </w:rPr>
      <w:fldChar w:fldCharType="end"/>
    </w:r>
  </w:p>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w:rPr>
        <w:rFonts w:ascii="Calibri" w:hAnsi="Calibri" w:eastAsia="黑体" w:cs="黑体"/>
        <w:b/>
        <w:sz w:val="14"/>
        <w:szCs w:val="14"/>
      </w:rPr>
      <w:pict>
        <v:rect id="文本框 26" o:spid="_x0000_s4097" o:spt="1" style="position:absolute;left:0pt;margin-left:359.05pt;margin-top:39.95pt;height:74.45pt;width:150.15pt;mso-position-horizontal-relative:page;mso-position-vertical-relative:page;z-index:251658240;mso-width-relative:page;mso-height-relative:page;" filled="f" stroked="f" coordsize="21600,21600">
          <v:path/>
          <v:fill on="f" focussize="0,0"/>
          <v:stroke on="f"/>
          <v:imagedata o:title=""/>
          <o:lock v:ext="edit"/>
          <v:textbox>
            <w:txbxContent>
              <w:p>
                <w:pPr>
                  <w:ind w:firstLine="280"/>
                  <w:rPr>
                    <w:rFonts w:ascii="Arial Narrow" w:hAnsi="Arial Narrow" w:eastAsia="黑体" w:cs="Arial Narrow"/>
                    <w:sz w:val="14"/>
                    <w:szCs w:val="14"/>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A69"/>
    <w:rsid w:val="000107B2"/>
    <w:rsid w:val="00011E0B"/>
    <w:rsid w:val="00012B09"/>
    <w:rsid w:val="00012B47"/>
    <w:rsid w:val="000153F5"/>
    <w:rsid w:val="00016011"/>
    <w:rsid w:val="000225A4"/>
    <w:rsid w:val="000231B2"/>
    <w:rsid w:val="000235EA"/>
    <w:rsid w:val="0002369C"/>
    <w:rsid w:val="00027617"/>
    <w:rsid w:val="00030459"/>
    <w:rsid w:val="00034CB1"/>
    <w:rsid w:val="00037160"/>
    <w:rsid w:val="00037FDA"/>
    <w:rsid w:val="00041931"/>
    <w:rsid w:val="000435FD"/>
    <w:rsid w:val="00051092"/>
    <w:rsid w:val="0005129C"/>
    <w:rsid w:val="0005263F"/>
    <w:rsid w:val="000578E1"/>
    <w:rsid w:val="00057BBE"/>
    <w:rsid w:val="00060B99"/>
    <w:rsid w:val="000647BB"/>
    <w:rsid w:val="00065443"/>
    <w:rsid w:val="00070099"/>
    <w:rsid w:val="0007044D"/>
    <w:rsid w:val="00071B04"/>
    <w:rsid w:val="00071C74"/>
    <w:rsid w:val="00082AA1"/>
    <w:rsid w:val="000839C4"/>
    <w:rsid w:val="00083F0C"/>
    <w:rsid w:val="000850E9"/>
    <w:rsid w:val="0008556C"/>
    <w:rsid w:val="00086B6B"/>
    <w:rsid w:val="00092652"/>
    <w:rsid w:val="00092834"/>
    <w:rsid w:val="00095860"/>
    <w:rsid w:val="00097F61"/>
    <w:rsid w:val="000A2B58"/>
    <w:rsid w:val="000A38CF"/>
    <w:rsid w:val="000B0707"/>
    <w:rsid w:val="000B351B"/>
    <w:rsid w:val="000C0AC8"/>
    <w:rsid w:val="000C2C67"/>
    <w:rsid w:val="000C4653"/>
    <w:rsid w:val="000C4C40"/>
    <w:rsid w:val="000C7932"/>
    <w:rsid w:val="000C793B"/>
    <w:rsid w:val="000D124B"/>
    <w:rsid w:val="000D1F28"/>
    <w:rsid w:val="000D264B"/>
    <w:rsid w:val="000D32E5"/>
    <w:rsid w:val="000D34A6"/>
    <w:rsid w:val="000D353C"/>
    <w:rsid w:val="000D37BE"/>
    <w:rsid w:val="000D50DC"/>
    <w:rsid w:val="000D5CCA"/>
    <w:rsid w:val="000D7608"/>
    <w:rsid w:val="000E16BD"/>
    <w:rsid w:val="000E1A4F"/>
    <w:rsid w:val="000E3E46"/>
    <w:rsid w:val="000E5026"/>
    <w:rsid w:val="000E5B9F"/>
    <w:rsid w:val="000F1F5E"/>
    <w:rsid w:val="000F2AE1"/>
    <w:rsid w:val="000F482F"/>
    <w:rsid w:val="00101AA1"/>
    <w:rsid w:val="0010488B"/>
    <w:rsid w:val="00107C77"/>
    <w:rsid w:val="00107E2F"/>
    <w:rsid w:val="00115891"/>
    <w:rsid w:val="00117519"/>
    <w:rsid w:val="001247D7"/>
    <w:rsid w:val="001315B8"/>
    <w:rsid w:val="001346FF"/>
    <w:rsid w:val="00134F95"/>
    <w:rsid w:val="001373D3"/>
    <w:rsid w:val="001405F7"/>
    <w:rsid w:val="00142BA0"/>
    <w:rsid w:val="00143DA4"/>
    <w:rsid w:val="001441F8"/>
    <w:rsid w:val="00144210"/>
    <w:rsid w:val="0014542F"/>
    <w:rsid w:val="00146219"/>
    <w:rsid w:val="00147E31"/>
    <w:rsid w:val="00152FB6"/>
    <w:rsid w:val="001542F3"/>
    <w:rsid w:val="001548CF"/>
    <w:rsid w:val="00156601"/>
    <w:rsid w:val="00157614"/>
    <w:rsid w:val="0016074D"/>
    <w:rsid w:val="00164900"/>
    <w:rsid w:val="001676D8"/>
    <w:rsid w:val="00172A27"/>
    <w:rsid w:val="00173694"/>
    <w:rsid w:val="0017597C"/>
    <w:rsid w:val="0018053D"/>
    <w:rsid w:val="00180C97"/>
    <w:rsid w:val="00180E5E"/>
    <w:rsid w:val="00182EEA"/>
    <w:rsid w:val="0018363A"/>
    <w:rsid w:val="001871E1"/>
    <w:rsid w:val="001907A0"/>
    <w:rsid w:val="001907BC"/>
    <w:rsid w:val="0019172C"/>
    <w:rsid w:val="00191C51"/>
    <w:rsid w:val="00191FE0"/>
    <w:rsid w:val="00197977"/>
    <w:rsid w:val="001A02C6"/>
    <w:rsid w:val="001A4611"/>
    <w:rsid w:val="001A6E1D"/>
    <w:rsid w:val="001A7035"/>
    <w:rsid w:val="001A71D3"/>
    <w:rsid w:val="001A7BCC"/>
    <w:rsid w:val="001B156C"/>
    <w:rsid w:val="001B206F"/>
    <w:rsid w:val="001B2C2B"/>
    <w:rsid w:val="001B564E"/>
    <w:rsid w:val="001C1AB0"/>
    <w:rsid w:val="001C4A11"/>
    <w:rsid w:val="001C6498"/>
    <w:rsid w:val="001C7FC5"/>
    <w:rsid w:val="001D2B8D"/>
    <w:rsid w:val="001D4085"/>
    <w:rsid w:val="001D50A9"/>
    <w:rsid w:val="001E1192"/>
    <w:rsid w:val="001E3766"/>
    <w:rsid w:val="001E4DD7"/>
    <w:rsid w:val="001E57AC"/>
    <w:rsid w:val="001E63EB"/>
    <w:rsid w:val="001E73FF"/>
    <w:rsid w:val="001F0DE7"/>
    <w:rsid w:val="001F3D0C"/>
    <w:rsid w:val="001F50AE"/>
    <w:rsid w:val="00203E55"/>
    <w:rsid w:val="00205C9D"/>
    <w:rsid w:val="002060DB"/>
    <w:rsid w:val="00206B01"/>
    <w:rsid w:val="00206B46"/>
    <w:rsid w:val="0020706B"/>
    <w:rsid w:val="00214270"/>
    <w:rsid w:val="00214BA4"/>
    <w:rsid w:val="00217BE1"/>
    <w:rsid w:val="00220AE1"/>
    <w:rsid w:val="00226CA1"/>
    <w:rsid w:val="00227F82"/>
    <w:rsid w:val="00232250"/>
    <w:rsid w:val="002331CD"/>
    <w:rsid w:val="00242395"/>
    <w:rsid w:val="00242589"/>
    <w:rsid w:val="00243172"/>
    <w:rsid w:val="00243D70"/>
    <w:rsid w:val="00244813"/>
    <w:rsid w:val="0024753B"/>
    <w:rsid w:val="0024762E"/>
    <w:rsid w:val="00247BA5"/>
    <w:rsid w:val="00251B7B"/>
    <w:rsid w:val="002520DB"/>
    <w:rsid w:val="002604FB"/>
    <w:rsid w:val="002612E9"/>
    <w:rsid w:val="00263172"/>
    <w:rsid w:val="00263E33"/>
    <w:rsid w:val="00263E5D"/>
    <w:rsid w:val="00264E80"/>
    <w:rsid w:val="00267DA6"/>
    <w:rsid w:val="002706C6"/>
    <w:rsid w:val="00272407"/>
    <w:rsid w:val="00273665"/>
    <w:rsid w:val="0027412C"/>
    <w:rsid w:val="00275D0D"/>
    <w:rsid w:val="00280B02"/>
    <w:rsid w:val="0028633D"/>
    <w:rsid w:val="0028764F"/>
    <w:rsid w:val="00287DEB"/>
    <w:rsid w:val="0029106A"/>
    <w:rsid w:val="002911A7"/>
    <w:rsid w:val="00291951"/>
    <w:rsid w:val="002933BC"/>
    <w:rsid w:val="002953EE"/>
    <w:rsid w:val="002A0822"/>
    <w:rsid w:val="002A0862"/>
    <w:rsid w:val="002A3B59"/>
    <w:rsid w:val="002A731C"/>
    <w:rsid w:val="002A7693"/>
    <w:rsid w:val="002B49DE"/>
    <w:rsid w:val="002B55AD"/>
    <w:rsid w:val="002B60B2"/>
    <w:rsid w:val="002C012C"/>
    <w:rsid w:val="002C05DC"/>
    <w:rsid w:val="002C21EB"/>
    <w:rsid w:val="002C439E"/>
    <w:rsid w:val="002C5757"/>
    <w:rsid w:val="002C5D77"/>
    <w:rsid w:val="002D1D84"/>
    <w:rsid w:val="002E11FA"/>
    <w:rsid w:val="002E21D6"/>
    <w:rsid w:val="002F1C3F"/>
    <w:rsid w:val="002F44AB"/>
    <w:rsid w:val="002F7973"/>
    <w:rsid w:val="00307693"/>
    <w:rsid w:val="0031024E"/>
    <w:rsid w:val="00312F11"/>
    <w:rsid w:val="003132F6"/>
    <w:rsid w:val="00315407"/>
    <w:rsid w:val="0031645A"/>
    <w:rsid w:val="00322C3A"/>
    <w:rsid w:val="0032760C"/>
    <w:rsid w:val="003313C3"/>
    <w:rsid w:val="00333EE7"/>
    <w:rsid w:val="003363C3"/>
    <w:rsid w:val="0034018A"/>
    <w:rsid w:val="00343216"/>
    <w:rsid w:val="00344CC3"/>
    <w:rsid w:val="0034515E"/>
    <w:rsid w:val="00347FD1"/>
    <w:rsid w:val="003506E6"/>
    <w:rsid w:val="00352DF8"/>
    <w:rsid w:val="00356E00"/>
    <w:rsid w:val="0036466F"/>
    <w:rsid w:val="0036740B"/>
    <w:rsid w:val="003712A9"/>
    <w:rsid w:val="00372944"/>
    <w:rsid w:val="00374FFF"/>
    <w:rsid w:val="003750CC"/>
    <w:rsid w:val="0037593E"/>
    <w:rsid w:val="00376DC7"/>
    <w:rsid w:val="0038083D"/>
    <w:rsid w:val="00384B54"/>
    <w:rsid w:val="00387964"/>
    <w:rsid w:val="0039007B"/>
    <w:rsid w:val="00390399"/>
    <w:rsid w:val="0039079D"/>
    <w:rsid w:val="003919EC"/>
    <w:rsid w:val="003920BE"/>
    <w:rsid w:val="0039236F"/>
    <w:rsid w:val="00392AA2"/>
    <w:rsid w:val="00392F5E"/>
    <w:rsid w:val="00394FAF"/>
    <w:rsid w:val="0039690B"/>
    <w:rsid w:val="003A377A"/>
    <w:rsid w:val="003B1278"/>
    <w:rsid w:val="003C00A3"/>
    <w:rsid w:val="003C047C"/>
    <w:rsid w:val="003C0622"/>
    <w:rsid w:val="003C10E7"/>
    <w:rsid w:val="003C49E8"/>
    <w:rsid w:val="003C5736"/>
    <w:rsid w:val="003D37E8"/>
    <w:rsid w:val="003D3CD8"/>
    <w:rsid w:val="003D5E40"/>
    <w:rsid w:val="003D6BE5"/>
    <w:rsid w:val="003D7EF3"/>
    <w:rsid w:val="003D7FF0"/>
    <w:rsid w:val="003E16C4"/>
    <w:rsid w:val="003E2919"/>
    <w:rsid w:val="003E3C53"/>
    <w:rsid w:val="003E6369"/>
    <w:rsid w:val="003E68B6"/>
    <w:rsid w:val="003F0641"/>
    <w:rsid w:val="003F0EE2"/>
    <w:rsid w:val="003F2581"/>
    <w:rsid w:val="003F3003"/>
    <w:rsid w:val="003F4A08"/>
    <w:rsid w:val="003F640B"/>
    <w:rsid w:val="003F78E3"/>
    <w:rsid w:val="004016BF"/>
    <w:rsid w:val="00402380"/>
    <w:rsid w:val="0040727E"/>
    <w:rsid w:val="00407F86"/>
    <w:rsid w:val="004102C2"/>
    <w:rsid w:val="00412C52"/>
    <w:rsid w:val="0041356F"/>
    <w:rsid w:val="00414470"/>
    <w:rsid w:val="004156F2"/>
    <w:rsid w:val="0041689F"/>
    <w:rsid w:val="00417F32"/>
    <w:rsid w:val="0042114C"/>
    <w:rsid w:val="0042187B"/>
    <w:rsid w:val="00424A8D"/>
    <w:rsid w:val="004250AA"/>
    <w:rsid w:val="004251FE"/>
    <w:rsid w:val="00432769"/>
    <w:rsid w:val="00436630"/>
    <w:rsid w:val="00436685"/>
    <w:rsid w:val="00436978"/>
    <w:rsid w:val="00437ABF"/>
    <w:rsid w:val="004406CE"/>
    <w:rsid w:val="004416B6"/>
    <w:rsid w:val="00444C92"/>
    <w:rsid w:val="00444F7A"/>
    <w:rsid w:val="00446C56"/>
    <w:rsid w:val="00446E9B"/>
    <w:rsid w:val="00447CE1"/>
    <w:rsid w:val="00461176"/>
    <w:rsid w:val="00461419"/>
    <w:rsid w:val="004637D6"/>
    <w:rsid w:val="00465728"/>
    <w:rsid w:val="004720AA"/>
    <w:rsid w:val="0047247F"/>
    <w:rsid w:val="00473A77"/>
    <w:rsid w:val="00475D0F"/>
    <w:rsid w:val="00477022"/>
    <w:rsid w:val="0049123B"/>
    <w:rsid w:val="00496736"/>
    <w:rsid w:val="00497DCD"/>
    <w:rsid w:val="004A4024"/>
    <w:rsid w:val="004A4C34"/>
    <w:rsid w:val="004A5982"/>
    <w:rsid w:val="004A5CFE"/>
    <w:rsid w:val="004A5E6A"/>
    <w:rsid w:val="004B0A18"/>
    <w:rsid w:val="004B2A1B"/>
    <w:rsid w:val="004B2DE5"/>
    <w:rsid w:val="004B331B"/>
    <w:rsid w:val="004B6F1C"/>
    <w:rsid w:val="004C2F4D"/>
    <w:rsid w:val="004C3638"/>
    <w:rsid w:val="004C39A4"/>
    <w:rsid w:val="004C52FF"/>
    <w:rsid w:val="004D070B"/>
    <w:rsid w:val="004D33DF"/>
    <w:rsid w:val="004D58C6"/>
    <w:rsid w:val="004D749D"/>
    <w:rsid w:val="004D7DEA"/>
    <w:rsid w:val="004E04DA"/>
    <w:rsid w:val="004E1D06"/>
    <w:rsid w:val="004E1FA4"/>
    <w:rsid w:val="004E20B1"/>
    <w:rsid w:val="004E3DAA"/>
    <w:rsid w:val="004E4EB8"/>
    <w:rsid w:val="004E6203"/>
    <w:rsid w:val="004F42A1"/>
    <w:rsid w:val="004F5FA6"/>
    <w:rsid w:val="00500581"/>
    <w:rsid w:val="005041BE"/>
    <w:rsid w:val="00505635"/>
    <w:rsid w:val="00507805"/>
    <w:rsid w:val="005134B0"/>
    <w:rsid w:val="0051441E"/>
    <w:rsid w:val="005155D3"/>
    <w:rsid w:val="005204D6"/>
    <w:rsid w:val="00525692"/>
    <w:rsid w:val="00527E66"/>
    <w:rsid w:val="00534945"/>
    <w:rsid w:val="005360A1"/>
    <w:rsid w:val="00537C3E"/>
    <w:rsid w:val="00543555"/>
    <w:rsid w:val="0054431F"/>
    <w:rsid w:val="00544890"/>
    <w:rsid w:val="00547FC6"/>
    <w:rsid w:val="00552615"/>
    <w:rsid w:val="005567B3"/>
    <w:rsid w:val="00560EED"/>
    <w:rsid w:val="005632D3"/>
    <w:rsid w:val="005655D1"/>
    <w:rsid w:val="005658C9"/>
    <w:rsid w:val="00565929"/>
    <w:rsid w:val="005659EE"/>
    <w:rsid w:val="00565D9A"/>
    <w:rsid w:val="00566498"/>
    <w:rsid w:val="005708E6"/>
    <w:rsid w:val="005812C2"/>
    <w:rsid w:val="00583F95"/>
    <w:rsid w:val="00596AF0"/>
    <w:rsid w:val="00597947"/>
    <w:rsid w:val="005A0AF1"/>
    <w:rsid w:val="005A21FC"/>
    <w:rsid w:val="005B1178"/>
    <w:rsid w:val="005B159F"/>
    <w:rsid w:val="005C7BB8"/>
    <w:rsid w:val="005D0FBF"/>
    <w:rsid w:val="005D24E1"/>
    <w:rsid w:val="005D7826"/>
    <w:rsid w:val="005E016C"/>
    <w:rsid w:val="005E07E1"/>
    <w:rsid w:val="005E0E0C"/>
    <w:rsid w:val="005E1EC1"/>
    <w:rsid w:val="005E31A5"/>
    <w:rsid w:val="005E38D2"/>
    <w:rsid w:val="005E4DF6"/>
    <w:rsid w:val="005E6A5B"/>
    <w:rsid w:val="005E7290"/>
    <w:rsid w:val="005E7431"/>
    <w:rsid w:val="005F072F"/>
    <w:rsid w:val="005F0A83"/>
    <w:rsid w:val="005F0D41"/>
    <w:rsid w:val="005F234F"/>
    <w:rsid w:val="005F3C50"/>
    <w:rsid w:val="00601607"/>
    <w:rsid w:val="006047F8"/>
    <w:rsid w:val="006066A6"/>
    <w:rsid w:val="00606CC4"/>
    <w:rsid w:val="006138EE"/>
    <w:rsid w:val="0061452E"/>
    <w:rsid w:val="00614B06"/>
    <w:rsid w:val="00615D9E"/>
    <w:rsid w:val="00621643"/>
    <w:rsid w:val="00624274"/>
    <w:rsid w:val="00626CD9"/>
    <w:rsid w:val="00630956"/>
    <w:rsid w:val="00636115"/>
    <w:rsid w:val="00640016"/>
    <w:rsid w:val="00641EED"/>
    <w:rsid w:val="00642106"/>
    <w:rsid w:val="00644429"/>
    <w:rsid w:val="00646876"/>
    <w:rsid w:val="00647079"/>
    <w:rsid w:val="00647F6C"/>
    <w:rsid w:val="00650DEF"/>
    <w:rsid w:val="00651741"/>
    <w:rsid w:val="00656BC8"/>
    <w:rsid w:val="0066273D"/>
    <w:rsid w:val="00662D0D"/>
    <w:rsid w:val="006642D3"/>
    <w:rsid w:val="006711A5"/>
    <w:rsid w:val="00676441"/>
    <w:rsid w:val="00677567"/>
    <w:rsid w:val="00682BA7"/>
    <w:rsid w:val="00687B7B"/>
    <w:rsid w:val="00691499"/>
    <w:rsid w:val="00692356"/>
    <w:rsid w:val="0069340D"/>
    <w:rsid w:val="006A71EF"/>
    <w:rsid w:val="006A769A"/>
    <w:rsid w:val="006A7A55"/>
    <w:rsid w:val="006B2DDC"/>
    <w:rsid w:val="006B5939"/>
    <w:rsid w:val="006B6D45"/>
    <w:rsid w:val="006B776D"/>
    <w:rsid w:val="006C0C87"/>
    <w:rsid w:val="006C2D83"/>
    <w:rsid w:val="006C3F2E"/>
    <w:rsid w:val="006C4D9E"/>
    <w:rsid w:val="006D10DC"/>
    <w:rsid w:val="006D22CB"/>
    <w:rsid w:val="006D281E"/>
    <w:rsid w:val="006D3823"/>
    <w:rsid w:val="006D3E5C"/>
    <w:rsid w:val="006D41F1"/>
    <w:rsid w:val="006D431A"/>
    <w:rsid w:val="006D6DB9"/>
    <w:rsid w:val="006E149F"/>
    <w:rsid w:val="006E4514"/>
    <w:rsid w:val="006E5C42"/>
    <w:rsid w:val="006F2B5C"/>
    <w:rsid w:val="006F581B"/>
    <w:rsid w:val="006F74F7"/>
    <w:rsid w:val="006F7E68"/>
    <w:rsid w:val="00702AE3"/>
    <w:rsid w:val="0070567E"/>
    <w:rsid w:val="00705ADC"/>
    <w:rsid w:val="0070659F"/>
    <w:rsid w:val="007078C7"/>
    <w:rsid w:val="00713989"/>
    <w:rsid w:val="007148E9"/>
    <w:rsid w:val="00715EA4"/>
    <w:rsid w:val="007165EC"/>
    <w:rsid w:val="0072189F"/>
    <w:rsid w:val="00721C9B"/>
    <w:rsid w:val="0072285B"/>
    <w:rsid w:val="00722909"/>
    <w:rsid w:val="00723249"/>
    <w:rsid w:val="007260DC"/>
    <w:rsid w:val="00726E74"/>
    <w:rsid w:val="00727EF2"/>
    <w:rsid w:val="007309B9"/>
    <w:rsid w:val="00731661"/>
    <w:rsid w:val="00733038"/>
    <w:rsid w:val="0073421A"/>
    <w:rsid w:val="00737E3E"/>
    <w:rsid w:val="00744BE7"/>
    <w:rsid w:val="007455A5"/>
    <w:rsid w:val="00747C3E"/>
    <w:rsid w:val="00750C7B"/>
    <w:rsid w:val="00751783"/>
    <w:rsid w:val="00753FB8"/>
    <w:rsid w:val="00756213"/>
    <w:rsid w:val="00757369"/>
    <w:rsid w:val="00760264"/>
    <w:rsid w:val="0076125E"/>
    <w:rsid w:val="007614A0"/>
    <w:rsid w:val="00766CC5"/>
    <w:rsid w:val="0076789B"/>
    <w:rsid w:val="00771519"/>
    <w:rsid w:val="0077612D"/>
    <w:rsid w:val="0078403F"/>
    <w:rsid w:val="00784977"/>
    <w:rsid w:val="007857C2"/>
    <w:rsid w:val="007951AE"/>
    <w:rsid w:val="007960FC"/>
    <w:rsid w:val="007A1325"/>
    <w:rsid w:val="007A260C"/>
    <w:rsid w:val="007A3D65"/>
    <w:rsid w:val="007A4561"/>
    <w:rsid w:val="007A7FFA"/>
    <w:rsid w:val="007B096A"/>
    <w:rsid w:val="007B5BCC"/>
    <w:rsid w:val="007B63BA"/>
    <w:rsid w:val="007C0582"/>
    <w:rsid w:val="007C2929"/>
    <w:rsid w:val="007C5815"/>
    <w:rsid w:val="007C5A97"/>
    <w:rsid w:val="007D0A9C"/>
    <w:rsid w:val="007D12ED"/>
    <w:rsid w:val="007D518A"/>
    <w:rsid w:val="007D6002"/>
    <w:rsid w:val="007D6F8A"/>
    <w:rsid w:val="007E062F"/>
    <w:rsid w:val="007E5FF6"/>
    <w:rsid w:val="007F0CD4"/>
    <w:rsid w:val="007F15F0"/>
    <w:rsid w:val="007F3EA6"/>
    <w:rsid w:val="007F581B"/>
    <w:rsid w:val="007F6A15"/>
    <w:rsid w:val="00800E4A"/>
    <w:rsid w:val="008015DF"/>
    <w:rsid w:val="00801640"/>
    <w:rsid w:val="0080288E"/>
    <w:rsid w:val="008053EB"/>
    <w:rsid w:val="00805A0A"/>
    <w:rsid w:val="0081201D"/>
    <w:rsid w:val="00812ECD"/>
    <w:rsid w:val="0081473D"/>
    <w:rsid w:val="008157AE"/>
    <w:rsid w:val="008167AB"/>
    <w:rsid w:val="00820A25"/>
    <w:rsid w:val="0082440D"/>
    <w:rsid w:val="00825D97"/>
    <w:rsid w:val="008325FA"/>
    <w:rsid w:val="00833B9B"/>
    <w:rsid w:val="00835356"/>
    <w:rsid w:val="00844F4F"/>
    <w:rsid w:val="008453B8"/>
    <w:rsid w:val="0084547F"/>
    <w:rsid w:val="00845BD8"/>
    <w:rsid w:val="00845CE4"/>
    <w:rsid w:val="008468CD"/>
    <w:rsid w:val="00847827"/>
    <w:rsid w:val="0085148F"/>
    <w:rsid w:val="008526D0"/>
    <w:rsid w:val="00852C63"/>
    <w:rsid w:val="00854541"/>
    <w:rsid w:val="008567A5"/>
    <w:rsid w:val="008616A6"/>
    <w:rsid w:val="00862075"/>
    <w:rsid w:val="008642C8"/>
    <w:rsid w:val="008662A2"/>
    <w:rsid w:val="0087108E"/>
    <w:rsid w:val="00871DE9"/>
    <w:rsid w:val="00880CA7"/>
    <w:rsid w:val="00885CF7"/>
    <w:rsid w:val="00886E69"/>
    <w:rsid w:val="008934FA"/>
    <w:rsid w:val="008A0F83"/>
    <w:rsid w:val="008A175E"/>
    <w:rsid w:val="008A2E40"/>
    <w:rsid w:val="008B0C24"/>
    <w:rsid w:val="008B15BE"/>
    <w:rsid w:val="008B7645"/>
    <w:rsid w:val="008B77E1"/>
    <w:rsid w:val="008C1976"/>
    <w:rsid w:val="008C5857"/>
    <w:rsid w:val="008C771D"/>
    <w:rsid w:val="008D0512"/>
    <w:rsid w:val="008D1468"/>
    <w:rsid w:val="008D28B0"/>
    <w:rsid w:val="008D33D6"/>
    <w:rsid w:val="008D5A00"/>
    <w:rsid w:val="008E0EA8"/>
    <w:rsid w:val="008E573D"/>
    <w:rsid w:val="008E5FB9"/>
    <w:rsid w:val="008F5689"/>
    <w:rsid w:val="008F69BF"/>
    <w:rsid w:val="009003B0"/>
    <w:rsid w:val="009015AD"/>
    <w:rsid w:val="009036DE"/>
    <w:rsid w:val="00903AAF"/>
    <w:rsid w:val="0090416C"/>
    <w:rsid w:val="009043EF"/>
    <w:rsid w:val="00907956"/>
    <w:rsid w:val="0091079F"/>
    <w:rsid w:val="00911F9D"/>
    <w:rsid w:val="00913B55"/>
    <w:rsid w:val="009153E3"/>
    <w:rsid w:val="0091597F"/>
    <w:rsid w:val="009177D8"/>
    <w:rsid w:val="00921DCF"/>
    <w:rsid w:val="00923D59"/>
    <w:rsid w:val="0092464E"/>
    <w:rsid w:val="00924F4C"/>
    <w:rsid w:val="009337F2"/>
    <w:rsid w:val="00934B5A"/>
    <w:rsid w:val="0094138A"/>
    <w:rsid w:val="00946554"/>
    <w:rsid w:val="00953385"/>
    <w:rsid w:val="009536E4"/>
    <w:rsid w:val="009553EB"/>
    <w:rsid w:val="009556E8"/>
    <w:rsid w:val="00960332"/>
    <w:rsid w:val="00963C82"/>
    <w:rsid w:val="0097102B"/>
    <w:rsid w:val="009754A1"/>
    <w:rsid w:val="00975F8C"/>
    <w:rsid w:val="00977A2D"/>
    <w:rsid w:val="00977B6C"/>
    <w:rsid w:val="00977E58"/>
    <w:rsid w:val="00981B94"/>
    <w:rsid w:val="009850DD"/>
    <w:rsid w:val="009852EE"/>
    <w:rsid w:val="009918A8"/>
    <w:rsid w:val="00995CC6"/>
    <w:rsid w:val="009964F7"/>
    <w:rsid w:val="009A07B6"/>
    <w:rsid w:val="009A2934"/>
    <w:rsid w:val="009A3167"/>
    <w:rsid w:val="009A488C"/>
    <w:rsid w:val="009A6B01"/>
    <w:rsid w:val="009B0E77"/>
    <w:rsid w:val="009B7C3D"/>
    <w:rsid w:val="009C21D3"/>
    <w:rsid w:val="009C3BDF"/>
    <w:rsid w:val="009C6399"/>
    <w:rsid w:val="009C700D"/>
    <w:rsid w:val="009D117E"/>
    <w:rsid w:val="009D2C81"/>
    <w:rsid w:val="009D3BCE"/>
    <w:rsid w:val="009D4762"/>
    <w:rsid w:val="009D61D3"/>
    <w:rsid w:val="009D63C3"/>
    <w:rsid w:val="009D6FD8"/>
    <w:rsid w:val="009D7E0C"/>
    <w:rsid w:val="009E0181"/>
    <w:rsid w:val="009E1ED3"/>
    <w:rsid w:val="009E4A95"/>
    <w:rsid w:val="009E6004"/>
    <w:rsid w:val="009F0897"/>
    <w:rsid w:val="009F5345"/>
    <w:rsid w:val="009F53C2"/>
    <w:rsid w:val="009F58A2"/>
    <w:rsid w:val="009F6F50"/>
    <w:rsid w:val="009F7EAE"/>
    <w:rsid w:val="00A00406"/>
    <w:rsid w:val="00A0057C"/>
    <w:rsid w:val="00A016BF"/>
    <w:rsid w:val="00A0210F"/>
    <w:rsid w:val="00A058CF"/>
    <w:rsid w:val="00A072FE"/>
    <w:rsid w:val="00A07475"/>
    <w:rsid w:val="00A07496"/>
    <w:rsid w:val="00A10865"/>
    <w:rsid w:val="00A11537"/>
    <w:rsid w:val="00A11A7A"/>
    <w:rsid w:val="00A128C5"/>
    <w:rsid w:val="00A20055"/>
    <w:rsid w:val="00A210A1"/>
    <w:rsid w:val="00A22D6C"/>
    <w:rsid w:val="00A231F8"/>
    <w:rsid w:val="00A24CA1"/>
    <w:rsid w:val="00A269A7"/>
    <w:rsid w:val="00A31277"/>
    <w:rsid w:val="00A33350"/>
    <w:rsid w:val="00A34428"/>
    <w:rsid w:val="00A44C1F"/>
    <w:rsid w:val="00A452F5"/>
    <w:rsid w:val="00A46DAF"/>
    <w:rsid w:val="00A47C58"/>
    <w:rsid w:val="00A529A1"/>
    <w:rsid w:val="00A52BA6"/>
    <w:rsid w:val="00A52F2C"/>
    <w:rsid w:val="00A54B3F"/>
    <w:rsid w:val="00A60500"/>
    <w:rsid w:val="00A61261"/>
    <w:rsid w:val="00A61FD4"/>
    <w:rsid w:val="00A63AA9"/>
    <w:rsid w:val="00A669E9"/>
    <w:rsid w:val="00A67D0F"/>
    <w:rsid w:val="00A8609D"/>
    <w:rsid w:val="00A86542"/>
    <w:rsid w:val="00A87F7C"/>
    <w:rsid w:val="00A908A5"/>
    <w:rsid w:val="00A91DAE"/>
    <w:rsid w:val="00A9633A"/>
    <w:rsid w:val="00AA46EA"/>
    <w:rsid w:val="00AA559B"/>
    <w:rsid w:val="00AA6EA4"/>
    <w:rsid w:val="00AB29C4"/>
    <w:rsid w:val="00AB60C4"/>
    <w:rsid w:val="00AC14F0"/>
    <w:rsid w:val="00AC2DF7"/>
    <w:rsid w:val="00AC548A"/>
    <w:rsid w:val="00AD5C59"/>
    <w:rsid w:val="00AE270B"/>
    <w:rsid w:val="00AE5064"/>
    <w:rsid w:val="00AE5365"/>
    <w:rsid w:val="00AE55CB"/>
    <w:rsid w:val="00AE71DB"/>
    <w:rsid w:val="00AF3FDF"/>
    <w:rsid w:val="00AF5069"/>
    <w:rsid w:val="00AF564E"/>
    <w:rsid w:val="00B01326"/>
    <w:rsid w:val="00B0164D"/>
    <w:rsid w:val="00B019F5"/>
    <w:rsid w:val="00B02152"/>
    <w:rsid w:val="00B04CC4"/>
    <w:rsid w:val="00B04F4E"/>
    <w:rsid w:val="00B052BC"/>
    <w:rsid w:val="00B05BCA"/>
    <w:rsid w:val="00B05CB2"/>
    <w:rsid w:val="00B05F14"/>
    <w:rsid w:val="00B146C7"/>
    <w:rsid w:val="00B222AE"/>
    <w:rsid w:val="00B22D6C"/>
    <w:rsid w:val="00B31B65"/>
    <w:rsid w:val="00B33B98"/>
    <w:rsid w:val="00B349F7"/>
    <w:rsid w:val="00B3578A"/>
    <w:rsid w:val="00B422E2"/>
    <w:rsid w:val="00B431EF"/>
    <w:rsid w:val="00B51ADD"/>
    <w:rsid w:val="00B553D8"/>
    <w:rsid w:val="00B569AD"/>
    <w:rsid w:val="00B56E34"/>
    <w:rsid w:val="00B57039"/>
    <w:rsid w:val="00B57263"/>
    <w:rsid w:val="00B6093A"/>
    <w:rsid w:val="00B62EAA"/>
    <w:rsid w:val="00B668D2"/>
    <w:rsid w:val="00B72C1F"/>
    <w:rsid w:val="00B73C5F"/>
    <w:rsid w:val="00B74177"/>
    <w:rsid w:val="00B76D53"/>
    <w:rsid w:val="00B82656"/>
    <w:rsid w:val="00B83704"/>
    <w:rsid w:val="00B90CC2"/>
    <w:rsid w:val="00B93330"/>
    <w:rsid w:val="00B96017"/>
    <w:rsid w:val="00B96778"/>
    <w:rsid w:val="00BA0EB4"/>
    <w:rsid w:val="00BA2BEC"/>
    <w:rsid w:val="00BA498C"/>
    <w:rsid w:val="00BA4E80"/>
    <w:rsid w:val="00BA56B6"/>
    <w:rsid w:val="00BB60A8"/>
    <w:rsid w:val="00BC2BF8"/>
    <w:rsid w:val="00BC3E88"/>
    <w:rsid w:val="00BC7EFD"/>
    <w:rsid w:val="00BD0BA4"/>
    <w:rsid w:val="00BD15B8"/>
    <w:rsid w:val="00BD1F78"/>
    <w:rsid w:val="00BD1FC3"/>
    <w:rsid w:val="00BE1259"/>
    <w:rsid w:val="00BE73A7"/>
    <w:rsid w:val="00BF0647"/>
    <w:rsid w:val="00BF0E5F"/>
    <w:rsid w:val="00BF33D3"/>
    <w:rsid w:val="00C00CEE"/>
    <w:rsid w:val="00C06624"/>
    <w:rsid w:val="00C10B17"/>
    <w:rsid w:val="00C117C2"/>
    <w:rsid w:val="00C11868"/>
    <w:rsid w:val="00C16188"/>
    <w:rsid w:val="00C22374"/>
    <w:rsid w:val="00C2276F"/>
    <w:rsid w:val="00C23FFB"/>
    <w:rsid w:val="00C2698A"/>
    <w:rsid w:val="00C308CC"/>
    <w:rsid w:val="00C30A7C"/>
    <w:rsid w:val="00C30E54"/>
    <w:rsid w:val="00C32BC8"/>
    <w:rsid w:val="00C34157"/>
    <w:rsid w:val="00C348C3"/>
    <w:rsid w:val="00C41CE3"/>
    <w:rsid w:val="00C41EAE"/>
    <w:rsid w:val="00C44CDE"/>
    <w:rsid w:val="00C515F8"/>
    <w:rsid w:val="00C5195C"/>
    <w:rsid w:val="00C52063"/>
    <w:rsid w:val="00C60D35"/>
    <w:rsid w:val="00C61427"/>
    <w:rsid w:val="00C62122"/>
    <w:rsid w:val="00C6411B"/>
    <w:rsid w:val="00C66CD2"/>
    <w:rsid w:val="00C72429"/>
    <w:rsid w:val="00C75D95"/>
    <w:rsid w:val="00C76049"/>
    <w:rsid w:val="00C770CC"/>
    <w:rsid w:val="00C770DB"/>
    <w:rsid w:val="00C80786"/>
    <w:rsid w:val="00C807F9"/>
    <w:rsid w:val="00C81852"/>
    <w:rsid w:val="00C81D03"/>
    <w:rsid w:val="00C830AA"/>
    <w:rsid w:val="00C83E2E"/>
    <w:rsid w:val="00C853F1"/>
    <w:rsid w:val="00C8640F"/>
    <w:rsid w:val="00C90C57"/>
    <w:rsid w:val="00C927C0"/>
    <w:rsid w:val="00C92A41"/>
    <w:rsid w:val="00CA629B"/>
    <w:rsid w:val="00CA67FB"/>
    <w:rsid w:val="00CA77CE"/>
    <w:rsid w:val="00CB0887"/>
    <w:rsid w:val="00CC1988"/>
    <w:rsid w:val="00CC19AA"/>
    <w:rsid w:val="00CC3865"/>
    <w:rsid w:val="00CC5C28"/>
    <w:rsid w:val="00CC6A6D"/>
    <w:rsid w:val="00CD01A6"/>
    <w:rsid w:val="00CD314C"/>
    <w:rsid w:val="00CD4E1A"/>
    <w:rsid w:val="00CD5D7A"/>
    <w:rsid w:val="00CD740C"/>
    <w:rsid w:val="00CE1BE6"/>
    <w:rsid w:val="00CE36B8"/>
    <w:rsid w:val="00CE4D5D"/>
    <w:rsid w:val="00CE6E37"/>
    <w:rsid w:val="00CE7334"/>
    <w:rsid w:val="00CF161B"/>
    <w:rsid w:val="00CF21E2"/>
    <w:rsid w:val="00CF4907"/>
    <w:rsid w:val="00CF7BA7"/>
    <w:rsid w:val="00D00EA8"/>
    <w:rsid w:val="00D01135"/>
    <w:rsid w:val="00D015C5"/>
    <w:rsid w:val="00D03455"/>
    <w:rsid w:val="00D05BF5"/>
    <w:rsid w:val="00D0705D"/>
    <w:rsid w:val="00D10173"/>
    <w:rsid w:val="00D14C73"/>
    <w:rsid w:val="00D21760"/>
    <w:rsid w:val="00D23BBE"/>
    <w:rsid w:val="00D27AF2"/>
    <w:rsid w:val="00D27DC8"/>
    <w:rsid w:val="00D32D8D"/>
    <w:rsid w:val="00D33266"/>
    <w:rsid w:val="00D33644"/>
    <w:rsid w:val="00D413DB"/>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4B69"/>
    <w:rsid w:val="00D554CB"/>
    <w:rsid w:val="00D564B6"/>
    <w:rsid w:val="00D60680"/>
    <w:rsid w:val="00D61B4E"/>
    <w:rsid w:val="00D726C9"/>
    <w:rsid w:val="00D740C4"/>
    <w:rsid w:val="00D77B55"/>
    <w:rsid w:val="00D77F22"/>
    <w:rsid w:val="00D800EA"/>
    <w:rsid w:val="00D83991"/>
    <w:rsid w:val="00D83A75"/>
    <w:rsid w:val="00D848FF"/>
    <w:rsid w:val="00D86515"/>
    <w:rsid w:val="00D92DBF"/>
    <w:rsid w:val="00D942F0"/>
    <w:rsid w:val="00D95DA1"/>
    <w:rsid w:val="00D9704A"/>
    <w:rsid w:val="00DA2837"/>
    <w:rsid w:val="00DA2C69"/>
    <w:rsid w:val="00DA3DE8"/>
    <w:rsid w:val="00DA4A1F"/>
    <w:rsid w:val="00DB0341"/>
    <w:rsid w:val="00DB1144"/>
    <w:rsid w:val="00DB1A6E"/>
    <w:rsid w:val="00DB3373"/>
    <w:rsid w:val="00DB3ACE"/>
    <w:rsid w:val="00DB4415"/>
    <w:rsid w:val="00DB662D"/>
    <w:rsid w:val="00DB6793"/>
    <w:rsid w:val="00DC4310"/>
    <w:rsid w:val="00DC69A7"/>
    <w:rsid w:val="00DC7E56"/>
    <w:rsid w:val="00DD027C"/>
    <w:rsid w:val="00DD07D3"/>
    <w:rsid w:val="00DD19A1"/>
    <w:rsid w:val="00DD1ADD"/>
    <w:rsid w:val="00DD2557"/>
    <w:rsid w:val="00DE0934"/>
    <w:rsid w:val="00DE105F"/>
    <w:rsid w:val="00DE2090"/>
    <w:rsid w:val="00DE658A"/>
    <w:rsid w:val="00DE6720"/>
    <w:rsid w:val="00DF0BEC"/>
    <w:rsid w:val="00DF47DD"/>
    <w:rsid w:val="00DF6599"/>
    <w:rsid w:val="00DF73FE"/>
    <w:rsid w:val="00DF7AC0"/>
    <w:rsid w:val="00E01478"/>
    <w:rsid w:val="00E01655"/>
    <w:rsid w:val="00E01E5D"/>
    <w:rsid w:val="00E04274"/>
    <w:rsid w:val="00E11DC5"/>
    <w:rsid w:val="00E12295"/>
    <w:rsid w:val="00E20C05"/>
    <w:rsid w:val="00E22B62"/>
    <w:rsid w:val="00E2632C"/>
    <w:rsid w:val="00E31C4A"/>
    <w:rsid w:val="00E377AB"/>
    <w:rsid w:val="00E40AE7"/>
    <w:rsid w:val="00E41741"/>
    <w:rsid w:val="00E42612"/>
    <w:rsid w:val="00E458D6"/>
    <w:rsid w:val="00E53A1D"/>
    <w:rsid w:val="00E560DE"/>
    <w:rsid w:val="00E56786"/>
    <w:rsid w:val="00E63C72"/>
    <w:rsid w:val="00E66114"/>
    <w:rsid w:val="00E67CC2"/>
    <w:rsid w:val="00E720E0"/>
    <w:rsid w:val="00E735DF"/>
    <w:rsid w:val="00E77782"/>
    <w:rsid w:val="00E77DC4"/>
    <w:rsid w:val="00E84161"/>
    <w:rsid w:val="00E854ED"/>
    <w:rsid w:val="00E8595D"/>
    <w:rsid w:val="00E86E90"/>
    <w:rsid w:val="00E913DD"/>
    <w:rsid w:val="00E91D89"/>
    <w:rsid w:val="00E94946"/>
    <w:rsid w:val="00E957DC"/>
    <w:rsid w:val="00E96F22"/>
    <w:rsid w:val="00EA2BEB"/>
    <w:rsid w:val="00EA35ED"/>
    <w:rsid w:val="00EA7259"/>
    <w:rsid w:val="00EA7F9E"/>
    <w:rsid w:val="00EB1926"/>
    <w:rsid w:val="00EB2560"/>
    <w:rsid w:val="00EB44D6"/>
    <w:rsid w:val="00EB5268"/>
    <w:rsid w:val="00EB5BA6"/>
    <w:rsid w:val="00EB5CE9"/>
    <w:rsid w:val="00EB69EC"/>
    <w:rsid w:val="00EB7D02"/>
    <w:rsid w:val="00EC0D33"/>
    <w:rsid w:val="00EC243C"/>
    <w:rsid w:val="00EC3D5E"/>
    <w:rsid w:val="00EC5C8F"/>
    <w:rsid w:val="00ED3252"/>
    <w:rsid w:val="00ED625C"/>
    <w:rsid w:val="00EE1A96"/>
    <w:rsid w:val="00EE3359"/>
    <w:rsid w:val="00EE6CEB"/>
    <w:rsid w:val="00EF2329"/>
    <w:rsid w:val="00EF3750"/>
    <w:rsid w:val="00EF3AD0"/>
    <w:rsid w:val="00EF51D9"/>
    <w:rsid w:val="00EF6670"/>
    <w:rsid w:val="00EF7867"/>
    <w:rsid w:val="00F007F5"/>
    <w:rsid w:val="00F034DE"/>
    <w:rsid w:val="00F050C5"/>
    <w:rsid w:val="00F105BB"/>
    <w:rsid w:val="00F11D13"/>
    <w:rsid w:val="00F15BC0"/>
    <w:rsid w:val="00F22E11"/>
    <w:rsid w:val="00F245AA"/>
    <w:rsid w:val="00F32201"/>
    <w:rsid w:val="00F346F0"/>
    <w:rsid w:val="00F34780"/>
    <w:rsid w:val="00F42462"/>
    <w:rsid w:val="00F429FB"/>
    <w:rsid w:val="00F42C07"/>
    <w:rsid w:val="00F43025"/>
    <w:rsid w:val="00F43CA0"/>
    <w:rsid w:val="00F479AC"/>
    <w:rsid w:val="00F47AC0"/>
    <w:rsid w:val="00F50C5F"/>
    <w:rsid w:val="00F537E6"/>
    <w:rsid w:val="00F54C72"/>
    <w:rsid w:val="00F5586D"/>
    <w:rsid w:val="00F56F36"/>
    <w:rsid w:val="00F579C1"/>
    <w:rsid w:val="00F605C6"/>
    <w:rsid w:val="00F61705"/>
    <w:rsid w:val="00F75A94"/>
    <w:rsid w:val="00F7643C"/>
    <w:rsid w:val="00F866DF"/>
    <w:rsid w:val="00F875C5"/>
    <w:rsid w:val="00F87BB1"/>
    <w:rsid w:val="00F91449"/>
    <w:rsid w:val="00F91525"/>
    <w:rsid w:val="00F93A2D"/>
    <w:rsid w:val="00F945F2"/>
    <w:rsid w:val="00F9606C"/>
    <w:rsid w:val="00F96E1E"/>
    <w:rsid w:val="00F973C9"/>
    <w:rsid w:val="00FA017F"/>
    <w:rsid w:val="00FA5652"/>
    <w:rsid w:val="00FA614A"/>
    <w:rsid w:val="00FA66DE"/>
    <w:rsid w:val="00FB1DF1"/>
    <w:rsid w:val="00FB2DEF"/>
    <w:rsid w:val="00FB4149"/>
    <w:rsid w:val="00FB57F6"/>
    <w:rsid w:val="00FB7D78"/>
    <w:rsid w:val="00FC429A"/>
    <w:rsid w:val="00FC451B"/>
    <w:rsid w:val="00FC4EB6"/>
    <w:rsid w:val="00FC52B0"/>
    <w:rsid w:val="00FC6596"/>
    <w:rsid w:val="00FC69D4"/>
    <w:rsid w:val="00FD1348"/>
    <w:rsid w:val="00FD4B23"/>
    <w:rsid w:val="00FE15C5"/>
    <w:rsid w:val="00FE1DB5"/>
    <w:rsid w:val="00FE1F54"/>
    <w:rsid w:val="00FE5BA5"/>
    <w:rsid w:val="00FE7174"/>
    <w:rsid w:val="00FF018C"/>
    <w:rsid w:val="00FF0713"/>
    <w:rsid w:val="00FF1DC6"/>
    <w:rsid w:val="00FF6F97"/>
    <w:rsid w:val="00FF7089"/>
    <w:rsid w:val="02572AE5"/>
    <w:rsid w:val="04C11975"/>
    <w:rsid w:val="0A6A2600"/>
    <w:rsid w:val="14FF4F96"/>
    <w:rsid w:val="1918393A"/>
    <w:rsid w:val="1E30627B"/>
    <w:rsid w:val="21D87D2C"/>
    <w:rsid w:val="260A68F0"/>
    <w:rsid w:val="266A7818"/>
    <w:rsid w:val="27B82FFC"/>
    <w:rsid w:val="2D8B2DA5"/>
    <w:rsid w:val="2F2D5269"/>
    <w:rsid w:val="30A14707"/>
    <w:rsid w:val="34354E78"/>
    <w:rsid w:val="37B2257B"/>
    <w:rsid w:val="3A2A1B78"/>
    <w:rsid w:val="3A34222E"/>
    <w:rsid w:val="3AC577F8"/>
    <w:rsid w:val="3D9A7C2C"/>
    <w:rsid w:val="45AA2B9E"/>
    <w:rsid w:val="4712320E"/>
    <w:rsid w:val="49B61922"/>
    <w:rsid w:val="49D2734F"/>
    <w:rsid w:val="4B3D4E7B"/>
    <w:rsid w:val="4B612DEF"/>
    <w:rsid w:val="4E0C1ED3"/>
    <w:rsid w:val="517E0914"/>
    <w:rsid w:val="51871A66"/>
    <w:rsid w:val="59840BB2"/>
    <w:rsid w:val="5D0B16A4"/>
    <w:rsid w:val="5DF337A2"/>
    <w:rsid w:val="61925E97"/>
    <w:rsid w:val="62314002"/>
    <w:rsid w:val="63144C62"/>
    <w:rsid w:val="6BB261B8"/>
    <w:rsid w:val="6C21689C"/>
    <w:rsid w:val="70344EA3"/>
    <w:rsid w:val="71C852BA"/>
    <w:rsid w:val="72D17DE1"/>
    <w:rsid w:val="7DDF5E0F"/>
    <w:rsid w:val="7E41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5"/>
    <w:unhideWhenUsed/>
    <w:qFormat/>
    <w:uiPriority w:val="99"/>
    <w:rPr>
      <w:rFonts w:ascii="宋体" w:eastAsia="宋体"/>
      <w:sz w:val="18"/>
      <w:szCs w:val="18"/>
    </w:rPr>
  </w:style>
  <w:style w:type="paragraph" w:styleId="7">
    <w:name w:val="annotation text"/>
    <w:basedOn w:val="1"/>
    <w:link w:val="32"/>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8"/>
    <w:qFormat/>
    <w:uiPriority w:val="10"/>
    <w:pPr>
      <w:jc w:val="left"/>
      <w:outlineLvl w:val="3"/>
    </w:pPr>
    <w:rPr>
      <w:rFonts w:ascii="Cambria" w:hAnsi="Cambria"/>
      <w:bCs/>
      <w:szCs w:val="32"/>
    </w:rPr>
  </w:style>
  <w:style w:type="paragraph" w:styleId="21">
    <w:name w:val="annotation subject"/>
    <w:basedOn w:val="7"/>
    <w:next w:val="7"/>
    <w:link w:val="34"/>
    <w:unhideWhenUsed/>
    <w:qFormat/>
    <w:uiPriority w:val="99"/>
    <w:rPr>
      <w:b/>
      <w:bCs/>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character" w:customStyle="1" w:styleId="28">
    <w:name w:val="标题 Char"/>
    <w:basedOn w:val="24"/>
    <w:link w:val="20"/>
    <w:qFormat/>
    <w:uiPriority w:val="10"/>
    <w:rPr>
      <w:rFonts w:ascii="Cambria" w:hAnsi="Cambria" w:eastAsia="仿宋_GB2312" w:cs="Times New Roman"/>
      <w:bCs/>
      <w:kern w:val="2"/>
      <w:sz w:val="24"/>
      <w:szCs w:val="32"/>
    </w:rPr>
  </w:style>
  <w:style w:type="character" w:customStyle="1" w:styleId="29">
    <w:name w:val="批注框文本 Char"/>
    <w:link w:val="12"/>
    <w:qFormat/>
    <w:uiPriority w:val="0"/>
    <w:rPr>
      <w:rFonts w:eastAsia="仿宋_GB2312"/>
      <w:kern w:val="2"/>
      <w:sz w:val="18"/>
      <w:szCs w:val="18"/>
    </w:rPr>
  </w:style>
  <w:style w:type="character" w:customStyle="1" w:styleId="30">
    <w:name w:val="页脚 Char"/>
    <w:link w:val="13"/>
    <w:qFormat/>
    <w:uiPriority w:val="99"/>
    <w:rPr>
      <w:rFonts w:eastAsia="仿宋_GB2312"/>
      <w:kern w:val="2"/>
      <w:sz w:val="18"/>
      <w:szCs w:val="18"/>
    </w:rPr>
  </w:style>
  <w:style w:type="character" w:customStyle="1" w:styleId="31">
    <w:name w:val="apple-converted-space"/>
    <w:basedOn w:val="24"/>
    <w:qFormat/>
    <w:uiPriority w:val="0"/>
  </w:style>
  <w:style w:type="character" w:customStyle="1" w:styleId="32">
    <w:name w:val="批注文字 Char"/>
    <w:basedOn w:val="24"/>
    <w:link w:val="7"/>
    <w:semiHidden/>
    <w:qFormat/>
    <w:uiPriority w:val="99"/>
    <w:rPr>
      <w:rFonts w:eastAsia="仿宋_GB2312"/>
      <w:kern w:val="2"/>
      <w:sz w:val="24"/>
      <w:szCs w:val="24"/>
    </w:rPr>
  </w:style>
  <w:style w:type="character" w:customStyle="1" w:styleId="33">
    <w:name w:val="页眉 Char"/>
    <w:link w:val="14"/>
    <w:qFormat/>
    <w:uiPriority w:val="0"/>
    <w:rPr>
      <w:rFonts w:eastAsia="仿宋_GB2312"/>
      <w:kern w:val="2"/>
      <w:sz w:val="18"/>
      <w:szCs w:val="18"/>
    </w:rPr>
  </w:style>
  <w:style w:type="character" w:customStyle="1" w:styleId="34">
    <w:name w:val="批注主题 Char"/>
    <w:basedOn w:val="32"/>
    <w:link w:val="21"/>
    <w:semiHidden/>
    <w:qFormat/>
    <w:uiPriority w:val="99"/>
    <w:rPr>
      <w:rFonts w:eastAsia="仿宋_GB2312"/>
      <w:b/>
      <w:bCs/>
      <w:kern w:val="2"/>
      <w:sz w:val="24"/>
      <w:szCs w:val="24"/>
    </w:rPr>
  </w:style>
  <w:style w:type="character" w:customStyle="1" w:styleId="35">
    <w:name w:val="文档结构图 Char"/>
    <w:basedOn w:val="24"/>
    <w:link w:val="6"/>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styleId="37">
    <w:name w:val="No Spacing"/>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Heading"/>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styleId="40">
    <w:name w:val="List Paragraph"/>
    <w:basedOn w:val="1"/>
    <w:qFormat/>
    <w:uiPriority w:val="34"/>
    <w:pPr>
      <w:ind w:firstLine="420"/>
    </w:pPr>
  </w:style>
  <w:style w:type="paragraph" w:customStyle="1" w:styleId="41">
    <w:name w:val="Revision"/>
    <w:semiHidden/>
    <w:qFormat/>
    <w:uiPriority w:val="99"/>
    <w:rPr>
      <w:rFonts w:ascii="Times New Roman" w:hAnsi="Times New Roman" w:eastAsia="仿宋_GB2312" w:cs="Times New Roman"/>
      <w:kern w:val="2"/>
      <w:sz w:val="24"/>
      <w:szCs w:val="24"/>
      <w:lang w:val="en-US" w:eastAsia="zh-CN" w:bidi="ar-SA"/>
    </w:rPr>
  </w:style>
  <w:style w:type="character" w:customStyle="1" w:styleId="42">
    <w:name w:val="标题 2 Char"/>
    <w:basedOn w:val="24"/>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2E6F5-C633-4B15-917B-8A4A2F076E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1442</Words>
  <Characters>8220</Characters>
  <Lines>68</Lines>
  <Paragraphs>19</Paragraphs>
  <TotalTime>9</TotalTime>
  <ScaleCrop>false</ScaleCrop>
  <LinksUpToDate>false</LinksUpToDate>
  <CharactersWithSpaces>9643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2017-03-14T02:32:00Z</dcterms:created>
  <dc:creator>lhn</dc:creator>
  <cp:lastModifiedBy>秀</cp:lastModifiedBy>
  <cp:lastPrinted>2015-12-10T09:13:00Z</cp:lastPrinted>
  <dcterms:modified xsi:type="dcterms:W3CDTF">2020-09-15T01:33:48Z</dcterms:modified>
  <dc:title>财政支出绩效评价报告</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