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ind w:firstLine="883"/>
        <w:jc w:val="center"/>
        <w:rPr>
          <w:rFonts w:ascii="宋体" w:hAnsi="宋体" w:eastAsia="宋体"/>
          <w:b/>
          <w:color w:val="000000"/>
          <w:sz w:val="44"/>
          <w:szCs w:val="44"/>
          <w:highlight w:val="none"/>
        </w:rPr>
      </w:pPr>
    </w:p>
    <w:p>
      <w:pPr>
        <w:shd w:val="clear"/>
        <w:ind w:firstLine="883"/>
        <w:jc w:val="center"/>
        <w:rPr>
          <w:rFonts w:ascii="宋体" w:hAnsi="宋体" w:eastAsia="宋体"/>
          <w:b/>
          <w:color w:val="000000"/>
          <w:sz w:val="44"/>
          <w:szCs w:val="44"/>
          <w:highlight w:val="none"/>
        </w:rPr>
      </w:pPr>
    </w:p>
    <w:p>
      <w:pPr>
        <w:shd w:val="clear"/>
        <w:ind w:firstLine="0" w:firstLineChars="0"/>
        <w:jc w:val="center"/>
        <w:rPr>
          <w:rFonts w:hint="eastAsia" w:ascii="仿宋" w:hAnsi="仿宋" w:eastAsia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/>
          <w:b/>
          <w:color w:val="000000"/>
          <w:sz w:val="44"/>
          <w:szCs w:val="44"/>
          <w:highlight w:val="none"/>
          <w:lang w:eastAsia="zh-CN"/>
        </w:rPr>
        <w:t>武汉经济技术开发区（汉南区）人力资源局</w:t>
      </w:r>
    </w:p>
    <w:p>
      <w:pPr>
        <w:shd w:val="clear"/>
        <w:ind w:firstLine="0" w:firstLineChars="0"/>
        <w:jc w:val="center"/>
        <w:rPr>
          <w:rFonts w:hint="default" w:ascii="仿宋" w:hAnsi="仿宋" w:eastAsia="仿宋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  <w:lang w:val="en-US" w:eastAsia="zh-CN"/>
        </w:rPr>
        <w:t>合同人员工资项目</w:t>
      </w:r>
    </w:p>
    <w:p>
      <w:pPr>
        <w:shd w:val="clear"/>
        <w:ind w:firstLine="0" w:firstLineChars="0"/>
        <w:jc w:val="center"/>
        <w:rPr>
          <w:rFonts w:ascii="仿宋" w:hAnsi="仿宋" w:eastAsia="仿宋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</w:rPr>
        <w:t>201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</w:rPr>
        <w:t>年度绩效评价报告</w:t>
      </w:r>
    </w:p>
    <w:p>
      <w:pPr>
        <w:shd w:val="clear"/>
        <w:ind w:firstLine="480"/>
        <w:rPr>
          <w:highlight w:val="none"/>
        </w:rPr>
      </w:pPr>
    </w:p>
    <w:p>
      <w:pPr>
        <w:shd w:val="clear"/>
        <w:ind w:firstLine="480"/>
        <w:rPr>
          <w:highlight w:val="none"/>
        </w:rPr>
      </w:pPr>
    </w:p>
    <w:p>
      <w:pPr>
        <w:shd w:val="clear"/>
        <w:ind w:firstLine="480"/>
        <w:rPr>
          <w:highlight w:val="none"/>
        </w:rPr>
      </w:pPr>
    </w:p>
    <w:p>
      <w:pPr>
        <w:widowControl/>
        <w:shd w:val="clear"/>
        <w:spacing w:line="800" w:lineRule="exact"/>
        <w:ind w:firstLine="790" w:firstLineChars="246"/>
        <w:jc w:val="left"/>
        <w:rPr>
          <w:b/>
          <w:bCs/>
          <w:kern w:val="32"/>
          <w:sz w:val="32"/>
          <w:highlight w:val="none"/>
          <w:lang w:bidi="he-IL"/>
        </w:rPr>
      </w:pPr>
    </w:p>
    <w:p>
      <w:pPr>
        <w:widowControl/>
        <w:shd w:val="clear"/>
        <w:spacing w:line="800" w:lineRule="exact"/>
        <w:ind w:firstLine="790" w:firstLineChars="246"/>
        <w:jc w:val="left"/>
        <w:rPr>
          <w:b/>
          <w:bCs/>
          <w:kern w:val="32"/>
          <w:sz w:val="32"/>
          <w:highlight w:val="none"/>
          <w:lang w:bidi="he-IL"/>
        </w:rPr>
      </w:pPr>
    </w:p>
    <w:p>
      <w:pPr>
        <w:widowControl/>
        <w:shd w:val="clear"/>
        <w:spacing w:line="480" w:lineRule="auto"/>
        <w:ind w:right="-192" w:rightChars="-80" w:firstLine="790" w:firstLineChars="246"/>
        <w:jc w:val="left"/>
        <w:rPr>
          <w:rFonts w:hint="default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b/>
          <w:bCs/>
          <w:kern w:val="32"/>
          <w:sz w:val="32"/>
          <w:highlight w:val="none"/>
          <w:lang w:bidi="he-IL"/>
        </w:rPr>
        <w:t>项目名称：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合同人员工资</w:t>
      </w:r>
    </w:p>
    <w:p>
      <w:pPr>
        <w:widowControl/>
        <w:shd w:val="clear"/>
        <w:spacing w:line="480" w:lineRule="auto"/>
        <w:ind w:right="-192" w:rightChars="-80" w:firstLine="790" w:firstLineChars="246"/>
        <w:jc w:val="left"/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</w:pPr>
      <w:r>
        <w:rPr>
          <w:b/>
          <w:bCs/>
          <w:kern w:val="32"/>
          <w:sz w:val="32"/>
          <w:highlight w:val="none"/>
          <w:lang w:bidi="he-IL"/>
        </w:rPr>
        <w:t>项目单位：</w:t>
      </w:r>
      <w:r>
        <w:rPr>
          <w:rFonts w:hint="eastAsia"/>
          <w:b/>
          <w:bCs/>
          <w:kern w:val="32"/>
          <w:sz w:val="32"/>
          <w:highlight w:val="none"/>
          <w:lang w:eastAsia="zh-CN" w:bidi="he-IL"/>
        </w:rPr>
        <w:t>武汉经济技术开发区（汉南区）人力资源局</w:t>
      </w:r>
    </w:p>
    <w:p>
      <w:pPr>
        <w:widowControl/>
        <w:shd w:val="clear"/>
        <w:spacing w:line="480" w:lineRule="auto"/>
        <w:ind w:firstLine="790" w:firstLineChars="246"/>
        <w:jc w:val="left"/>
        <w:rPr>
          <w:rFonts w:hint="eastAsia" w:eastAsia="仿宋_GB2312"/>
          <w:b/>
          <w:bCs/>
          <w:kern w:val="32"/>
          <w:sz w:val="32"/>
          <w:highlight w:val="none"/>
          <w:lang w:eastAsia="zh-CN" w:bidi="he-IL"/>
        </w:rPr>
      </w:pPr>
      <w:r>
        <w:rPr>
          <w:b/>
          <w:bCs/>
          <w:kern w:val="32"/>
          <w:sz w:val="32"/>
          <w:highlight w:val="none"/>
          <w:lang w:bidi="he-IL"/>
        </w:rPr>
        <w:t>主管部门：</w:t>
      </w:r>
      <w:r>
        <w:rPr>
          <w:rFonts w:hint="eastAsia"/>
          <w:b/>
          <w:bCs/>
          <w:kern w:val="32"/>
          <w:sz w:val="32"/>
          <w:highlight w:val="none"/>
          <w:lang w:eastAsia="zh-CN" w:bidi="he-IL"/>
        </w:rPr>
        <w:t>武汉经济技术开发区（汉南区）人力资源局</w:t>
      </w:r>
    </w:p>
    <w:p>
      <w:pPr>
        <w:widowControl/>
        <w:shd w:val="clear"/>
        <w:spacing w:line="480" w:lineRule="auto"/>
        <w:ind w:firstLine="790" w:firstLineChars="246"/>
        <w:jc w:val="left"/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</w:pPr>
      <w:r>
        <w:rPr>
          <w:b/>
          <w:bCs/>
          <w:kern w:val="32"/>
          <w:sz w:val="32"/>
          <w:highlight w:val="none"/>
          <w:lang w:bidi="he-IL"/>
        </w:rPr>
        <w:t>评价机构：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湖北开元会计师事务有限公司</w:t>
      </w:r>
    </w:p>
    <w:p>
      <w:pPr>
        <w:shd w:val="clear"/>
        <w:spacing w:line="800" w:lineRule="exact"/>
        <w:ind w:firstLine="0" w:firstLineChars="0"/>
        <w:rPr>
          <w:b/>
          <w:bCs/>
          <w:sz w:val="32"/>
          <w:szCs w:val="32"/>
          <w:highlight w:val="none"/>
        </w:rPr>
      </w:pPr>
    </w:p>
    <w:p>
      <w:pPr>
        <w:shd w:val="clear"/>
        <w:spacing w:line="800" w:lineRule="exact"/>
        <w:ind w:firstLine="0" w:firstLineChars="0"/>
        <w:rPr>
          <w:b/>
          <w:bCs/>
          <w:sz w:val="32"/>
          <w:szCs w:val="32"/>
          <w:highlight w:val="none"/>
        </w:rPr>
      </w:pPr>
    </w:p>
    <w:p>
      <w:pPr>
        <w:shd w:val="clear"/>
        <w:spacing w:line="800" w:lineRule="exact"/>
        <w:ind w:firstLine="0" w:firstLineChars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二〇二〇年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b/>
          <w:bCs/>
          <w:sz w:val="32"/>
          <w:szCs w:val="32"/>
          <w:highlight w:val="none"/>
        </w:rPr>
        <w:t>月</w:t>
      </w:r>
    </w:p>
    <w:p>
      <w:pPr>
        <w:pStyle w:val="15"/>
        <w:shd w:val="clear"/>
        <w:tabs>
          <w:tab w:val="right" w:leader="dot" w:pos="8693"/>
        </w:tabs>
        <w:ind w:firstLine="0" w:firstLineChars="0"/>
        <w:rPr>
          <w:rFonts w:ascii="Arial Narrow" w:hAnsi="Arial Narrow" w:cs="Arial Narrow"/>
          <w:bCs w:val="0"/>
          <w:caps w:val="0"/>
          <w:sz w:val="32"/>
          <w:szCs w:val="32"/>
          <w:highlight w:val="none"/>
        </w:rPr>
      </w:pPr>
    </w:p>
    <w:sdt>
      <w:sdtPr>
        <w:rPr>
          <w:rFonts w:ascii="Times New Roman" w:hAnsi="Times New Roman" w:eastAsia="仿宋_GB2312"/>
          <w:b w:val="0"/>
          <w:bCs w:val="0"/>
          <w:color w:val="auto"/>
          <w:kern w:val="2"/>
          <w:sz w:val="24"/>
          <w:szCs w:val="24"/>
          <w:highlight w:val="none"/>
          <w:lang w:val="zh-CN"/>
        </w:rPr>
        <w:id w:val="-1191839909"/>
        <w:docPartObj>
          <w:docPartGallery w:val="Table of Contents"/>
          <w:docPartUnique/>
        </w:docPartObj>
      </w:sdtPr>
      <w:sdtEndPr>
        <w:rPr>
          <w:rFonts w:ascii="Times New Roman" w:hAnsi="Times New Roman" w:eastAsia="仿宋_GB2312"/>
          <w:b w:val="0"/>
          <w:bCs w:val="0"/>
          <w:color w:val="auto"/>
          <w:kern w:val="2"/>
          <w:sz w:val="24"/>
          <w:szCs w:val="24"/>
          <w:highlight w:val="none"/>
          <w:lang w:val="zh-CN"/>
        </w:rPr>
      </w:sdtEndPr>
      <w:sdtContent>
        <w:p>
          <w:pPr>
            <w:keepNext w:val="0"/>
            <w:keepLines w:val="0"/>
            <w:pageBreakBefore w:val="0"/>
            <w:widowControl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20" w:lineRule="exact"/>
            <w:ind w:left="0" w:leftChars="0" w:right="0" w:rightChars="0" w:firstLine="0" w:firstLineChars="0"/>
            <w:jc w:val="center"/>
            <w:textAlignment w:val="auto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textAlignment w:val="auto"/>
          </w:pPr>
          <w:r>
            <w:rPr>
              <w:rFonts w:ascii="仿宋" w:hAnsi="仿宋" w:eastAsia="仿宋"/>
              <w:sz w:val="24"/>
              <w:szCs w:val="24"/>
              <w:highlight w:val="none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  <w:highlight w:val="none"/>
            </w:rPr>
            <w:instrText xml:space="preserve"> TOC \o "1-3" \h \z \u </w:instrText>
          </w:r>
          <w:r>
            <w:rPr>
              <w:rFonts w:ascii="仿宋" w:hAnsi="仿宋" w:eastAsia="仿宋"/>
              <w:sz w:val="24"/>
              <w:szCs w:val="24"/>
              <w:highlight w:val="none"/>
            </w:rPr>
            <w:fldChar w:fldCharType="separate"/>
          </w:r>
          <w:r>
            <w:rPr>
              <w:rFonts w:ascii="仿宋" w:hAnsi="仿宋" w:eastAsia="仿宋"/>
              <w:szCs w:val="24"/>
              <w:highlight w:val="none"/>
            </w:rPr>
            <w:fldChar w:fldCharType="begin"/>
          </w:r>
          <w:r>
            <w:rPr>
              <w:rFonts w:ascii="仿宋" w:hAnsi="仿宋" w:eastAsia="仿宋"/>
              <w:szCs w:val="24"/>
              <w:highlight w:val="none"/>
            </w:rPr>
            <w:instrText xml:space="preserve"> HYPERLINK \l _Toc16034 </w:instrText>
          </w:r>
          <w:r>
            <w:rPr>
              <w:rFonts w:ascii="仿宋" w:hAnsi="仿宋" w:eastAsia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szCs w:val="32"/>
              <w:highlight w:val="none"/>
              <w:lang w:val="en-US" w:eastAsia="zh-CN"/>
            </w:rPr>
            <w:t>一、</w:t>
          </w:r>
          <w:r>
            <w:rPr>
              <w:rFonts w:hint="eastAsia" w:ascii="仿宋" w:hAnsi="仿宋" w:eastAsia="仿宋" w:cs="仿宋"/>
              <w:szCs w:val="32"/>
              <w:highlight w:val="none"/>
            </w:rPr>
            <w:t>摘要</w:t>
          </w:r>
          <w:r>
            <w:tab/>
          </w:r>
          <w:r>
            <w:fldChar w:fldCharType="begin"/>
          </w:r>
          <w:r>
            <w:instrText xml:space="preserve"> PAGEREF _Toc16034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szCs w:val="24"/>
              <w:highlight w:val="none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_Toc23780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（一）</w:t>
          </w:r>
          <w:r>
            <w:rPr>
              <w:rFonts w:hint="eastAsia" w:ascii="仿宋" w:hAnsi="仿宋" w:eastAsia="仿宋" w:cs="Arial Narrow"/>
              <w:szCs w:val="28"/>
              <w:highlight w:val="none"/>
            </w:rPr>
            <w:t>基本情况</w:t>
          </w:r>
          <w:r>
            <w:tab/>
          </w:r>
          <w:r>
            <w:fldChar w:fldCharType="begin"/>
          </w:r>
          <w:r>
            <w:instrText xml:space="preserve"> PAGEREF _Toc23780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_Toc28699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1、项目基本情况</w:t>
          </w:r>
          <w:r>
            <w:tab/>
          </w:r>
          <w:r>
            <w:fldChar w:fldCharType="begin"/>
          </w:r>
          <w:r>
            <w:instrText xml:space="preserve"> PAGEREF _Toc28699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_Toc3634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2、绩效评价工作情况</w:t>
          </w:r>
          <w:r>
            <w:tab/>
          </w:r>
          <w:r>
            <w:fldChar w:fldCharType="begin"/>
          </w:r>
          <w:r>
            <w:instrText xml:space="preserve"> PAGEREF _Toc3634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_Toc1966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（二）绩效评价结论</w:t>
          </w:r>
          <w:r>
            <w:tab/>
          </w:r>
          <w:r>
            <w:fldChar w:fldCharType="begin"/>
          </w:r>
          <w:r>
            <w:instrText xml:space="preserve"> PAGEREF _Toc1966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_Toc20258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（三）项目经验与问题</w:t>
          </w:r>
          <w:r>
            <w:tab/>
          </w:r>
          <w:r>
            <w:fldChar w:fldCharType="begin"/>
          </w:r>
          <w:r>
            <w:instrText xml:space="preserve"> PAGEREF _Toc20258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_Toc3962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（四）建议</w:t>
          </w:r>
          <w:r>
            <w:tab/>
          </w:r>
          <w:r>
            <w:fldChar w:fldCharType="begin"/>
          </w:r>
          <w:r>
            <w:instrText xml:space="preserve"> PAGEREF _Toc3962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_Toc13066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Cs w:val="32"/>
              <w:highlight w:val="none"/>
              <w:lang w:val="en-US" w:eastAsia="zh-CN"/>
            </w:rPr>
            <w:t>二、正文</w:t>
          </w:r>
          <w:r>
            <w:tab/>
          </w:r>
          <w:r>
            <w:fldChar w:fldCharType="begin"/>
          </w:r>
          <w:r>
            <w:instrText xml:space="preserve"> PAGEREF _Toc13066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_Toc24705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（一）项目基本情况</w:t>
          </w:r>
          <w:r>
            <w:tab/>
          </w:r>
          <w:r>
            <w:fldChar w:fldCharType="begin"/>
          </w:r>
          <w:r>
            <w:instrText xml:space="preserve"> PAGEREF _Toc24705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_Toc32217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1、</w:t>
          </w:r>
          <w:r>
            <w:rPr>
              <w:rFonts w:hint="eastAsia" w:ascii="仿宋" w:hAnsi="仿宋" w:eastAsia="仿宋" w:cs="Arial Narrow"/>
              <w:highlight w:val="none"/>
            </w:rPr>
            <w:t>项目立项背景和依据</w:t>
          </w:r>
          <w:r>
            <w:tab/>
          </w:r>
          <w:r>
            <w:fldChar w:fldCharType="begin"/>
          </w:r>
          <w:r>
            <w:instrText xml:space="preserve"> PAGEREF _Toc32217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_Toc10759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2、</w:t>
          </w:r>
          <w:r>
            <w:rPr>
              <w:rFonts w:hint="eastAsia" w:ascii="仿宋" w:hAnsi="仿宋" w:eastAsia="仿宋" w:cs="Arial Narrow"/>
              <w:highlight w:val="none"/>
            </w:rPr>
            <w:t>项目绩效目标</w:t>
          </w:r>
          <w:r>
            <w:tab/>
          </w:r>
          <w:r>
            <w:fldChar w:fldCharType="begin"/>
          </w:r>
          <w:r>
            <w:instrText xml:space="preserve"> PAGEREF _Toc10759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_Toc30863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3、</w:t>
          </w:r>
          <w:r>
            <w:rPr>
              <w:rFonts w:hint="eastAsia" w:ascii="仿宋" w:hAnsi="仿宋" w:eastAsia="仿宋" w:cs="Arial Narrow"/>
              <w:highlight w:val="none"/>
            </w:rPr>
            <w:t>项目经费来源和使用情况</w:t>
          </w:r>
          <w:r>
            <w:tab/>
          </w:r>
          <w:r>
            <w:fldChar w:fldCharType="begin"/>
          </w:r>
          <w:r>
            <w:instrText xml:space="preserve"> PAGEREF _Toc30863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_Toc13484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4、</w:t>
          </w:r>
          <w:r>
            <w:rPr>
              <w:rFonts w:hint="eastAsia" w:ascii="仿宋" w:hAnsi="仿宋" w:eastAsia="仿宋" w:cs="Arial Narrow"/>
              <w:highlight w:val="none"/>
            </w:rPr>
            <w:t>项目实施情况</w:t>
          </w:r>
          <w:r>
            <w:tab/>
          </w:r>
          <w:r>
            <w:fldChar w:fldCharType="begin"/>
          </w:r>
          <w:r>
            <w:instrText xml:space="preserve"> PAGEREF _Toc13484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_Toc26215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（二）绩效评价工作情况</w:t>
          </w:r>
          <w:r>
            <w:tab/>
          </w:r>
          <w:r>
            <w:fldChar w:fldCharType="begin"/>
          </w:r>
          <w:r>
            <w:instrText xml:space="preserve"> PAGEREF _Toc26215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_Toc18296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1、</w:t>
          </w:r>
          <w:r>
            <w:rPr>
              <w:rFonts w:hint="eastAsia" w:ascii="仿宋" w:hAnsi="仿宋" w:eastAsia="仿宋" w:cs="Arial Narrow"/>
              <w:highlight w:val="none"/>
            </w:rPr>
            <w:t>绩效评价目的</w:t>
          </w:r>
          <w:r>
            <w:tab/>
          </w:r>
          <w:r>
            <w:fldChar w:fldCharType="begin"/>
          </w:r>
          <w:r>
            <w:instrText xml:space="preserve"> PAGEREF _Toc18296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_Toc2095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2、</w:t>
          </w:r>
          <w:r>
            <w:rPr>
              <w:rFonts w:hint="eastAsia" w:ascii="仿宋" w:hAnsi="仿宋" w:eastAsia="仿宋" w:cs="Arial Narrow"/>
              <w:highlight w:val="none"/>
            </w:rPr>
            <w:t>绩效评价工作过程</w:t>
          </w:r>
          <w:r>
            <w:tab/>
          </w:r>
          <w:r>
            <w:fldChar w:fldCharType="begin"/>
          </w:r>
          <w:r>
            <w:instrText xml:space="preserve"> PAGEREF _Toc2095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_Toc1595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3、</w:t>
          </w:r>
          <w:r>
            <w:rPr>
              <w:rFonts w:hint="eastAsia" w:ascii="仿宋" w:hAnsi="仿宋" w:eastAsia="仿宋" w:cs="Arial Narrow"/>
              <w:highlight w:val="none"/>
            </w:rPr>
            <w:t>绩效评价框架</w:t>
          </w:r>
          <w:r>
            <w:tab/>
          </w:r>
          <w:r>
            <w:fldChar w:fldCharType="begin"/>
          </w:r>
          <w:r>
            <w:instrText xml:space="preserve"> PAGEREF _Toc1595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_Toc18353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4、</w:t>
          </w:r>
          <w:r>
            <w:rPr>
              <w:rFonts w:hint="eastAsia" w:ascii="仿宋" w:hAnsi="仿宋" w:eastAsia="仿宋" w:cs="Arial Narrow"/>
              <w:highlight w:val="none"/>
            </w:rPr>
            <w:t>评价抽样情况概述</w:t>
          </w:r>
          <w:r>
            <w:tab/>
          </w:r>
          <w:r>
            <w:fldChar w:fldCharType="begin"/>
          </w:r>
          <w:r>
            <w:instrText xml:space="preserve"> PAGEREF _Toc18353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_Toc7146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（三）绩效分析及评价结论</w:t>
          </w:r>
          <w:r>
            <w:tab/>
          </w:r>
          <w:r>
            <w:fldChar w:fldCharType="begin"/>
          </w:r>
          <w:r>
            <w:instrText xml:space="preserve"> PAGEREF _Toc7146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_Toc13084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1、</w:t>
          </w:r>
          <w:r>
            <w:rPr>
              <w:rFonts w:hint="eastAsia" w:ascii="仿宋" w:hAnsi="仿宋" w:eastAsia="仿宋" w:cs="Arial Narrow"/>
              <w:highlight w:val="none"/>
            </w:rPr>
            <w:t>绩效分析</w:t>
          </w:r>
          <w:r>
            <w:tab/>
          </w:r>
          <w:r>
            <w:fldChar w:fldCharType="begin"/>
          </w:r>
          <w:r>
            <w:instrText xml:space="preserve"> PAGEREF _Toc13084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_Toc22751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2、</w:t>
          </w:r>
          <w:r>
            <w:rPr>
              <w:rFonts w:hint="eastAsia" w:ascii="仿宋" w:hAnsi="仿宋" w:eastAsia="仿宋" w:cs="Arial Narrow"/>
              <w:highlight w:val="none"/>
            </w:rPr>
            <w:t>评价结论</w:t>
          </w:r>
          <w:r>
            <w:tab/>
          </w:r>
          <w:r>
            <w:fldChar w:fldCharType="begin"/>
          </w:r>
          <w:r>
            <w:instrText xml:space="preserve"> PAGEREF _Toc22751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_Toc28859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（四）存在的问题和改进措施</w:t>
          </w:r>
          <w:r>
            <w:tab/>
          </w:r>
          <w:r>
            <w:fldChar w:fldCharType="begin"/>
          </w:r>
          <w:r>
            <w:instrText xml:space="preserve"> PAGEREF _Toc28859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_Toc27689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1、存在的问题</w:t>
          </w:r>
          <w:r>
            <w:tab/>
          </w:r>
          <w:r>
            <w:fldChar w:fldCharType="begin"/>
          </w:r>
          <w:r>
            <w:instrText xml:space="preserve"> PAGEREF _Toc27689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_Toc21901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2、改进措施</w:t>
          </w:r>
          <w:r>
            <w:tab/>
          </w:r>
          <w:r>
            <w:fldChar w:fldCharType="begin"/>
          </w:r>
          <w:r>
            <w:instrText xml:space="preserve"> PAGEREF _Toc21901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482"/>
            <w:textAlignment w:val="auto"/>
            <w:rPr>
              <w:highlight w:val="none"/>
            </w:rPr>
            <w:sectPr>
              <w:headerReference r:id="rId5" w:type="first"/>
              <w:footerReference r:id="rId8" w:type="first"/>
              <w:headerReference r:id="rId3" w:type="default"/>
              <w:footerReference r:id="rId6" w:type="default"/>
              <w:headerReference r:id="rId4" w:type="even"/>
              <w:footerReference r:id="rId7" w:type="even"/>
              <w:type w:val="continuous"/>
              <w:pgSz w:w="11906" w:h="16838"/>
              <w:pgMar w:top="1361" w:right="1406" w:bottom="1089" w:left="1797" w:header="1361" w:footer="992" w:gutter="0"/>
              <w:pgNumType w:start="0"/>
              <w:cols w:space="720" w:num="1"/>
              <w:docGrid w:type="lines" w:linePitch="408" w:charSpace="0"/>
            </w:sectPr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</w:sdtContent>
    </w:sdt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bookmarkStart w:id="0" w:name="_Toc14165722"/>
      <w:bookmarkStart w:id="1" w:name="_Toc16034"/>
      <w:bookmarkStart w:id="2" w:name="_Toc406666351"/>
      <w:bookmarkStart w:id="3" w:name="_Toc406668024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摘要</w:t>
      </w:r>
      <w:bookmarkEnd w:id="0"/>
      <w:bookmarkEnd w:id="1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</w:rPr>
      </w:pPr>
      <w:bookmarkStart w:id="4" w:name="_Toc23780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Arial Narrow"/>
          <w:sz w:val="28"/>
          <w:szCs w:val="28"/>
          <w:highlight w:val="none"/>
        </w:rPr>
        <w:t>基本情况</w:t>
      </w:r>
      <w:bookmarkEnd w:id="4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  <w:lang w:val="en-US" w:eastAsia="zh-CN"/>
        </w:rPr>
      </w:pPr>
      <w:bookmarkStart w:id="5" w:name="_Toc28699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1、项目基本情况</w:t>
      </w:r>
      <w:bookmarkEnd w:id="5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 xml:space="preserve">  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（1）项目名称：合同人员工资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（2）项目预算金额：年初预算金额为60.00万元，调整后预算金额为46.48万元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  <w:lang w:val="en-US" w:eastAsia="zh-CN"/>
        </w:rPr>
      </w:pPr>
      <w:bookmarkStart w:id="6" w:name="_Toc363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2、绩效评价工作情况</w:t>
      </w:r>
      <w:bookmarkEnd w:id="6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绩效评价原则应当遵循科学规范、公正公开、分级分类及绩效相关的原则，严格执行规定的程序，按照科学可行的要求，采用定量与定性分析相结合的方法，且符合真实、客观、公正的要求，针对具体支出及其产出绩效进行评价；绩效评价指标是指衡量绩效目标实现程度的考核工具，具体分为共性指标和个性指标；绩效评价方法主要采用成本效益分析法、比较法、因素分析法、最低成本法、公评判法及其他评价方法等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7" w:name="_Toc1966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（二）绩效评价结论</w:t>
      </w:r>
      <w:bookmarkEnd w:id="7"/>
    </w:p>
    <w:tbl>
      <w:tblPr>
        <w:tblStyle w:val="23"/>
        <w:tblW w:w="8363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132"/>
        <w:gridCol w:w="212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评价准则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准则分值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评价得分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评价等级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投入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8.64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产出</w:t>
            </w:r>
          </w:p>
        </w:tc>
        <w:tc>
          <w:tcPr>
            <w:tcW w:w="2132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40.5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效益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eastAsia="zh-CN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满意度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hint="default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10分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default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10分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综合绩效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100分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89.14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良</w:t>
            </w:r>
          </w:p>
        </w:tc>
      </w:tr>
    </w:tbl>
    <w:p>
      <w:pPr>
        <w:shd w:val="clear"/>
        <w:ind w:firstLine="0" w:firstLineChars="0"/>
        <w:jc w:val="left"/>
        <w:rPr>
          <w:rFonts w:ascii="仿宋" w:hAnsi="仿宋" w:eastAsia="仿宋" w:cs="Arial Narrow"/>
          <w:b/>
          <w:sz w:val="28"/>
          <w:highlight w:val="none"/>
        </w:rPr>
      </w:pP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8" w:name="_Toc20258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（三）项目经验与问题</w:t>
      </w:r>
      <w:bookmarkEnd w:id="8"/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1、经验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健全事业单位工资收入分配制度。以工资政策为导向，以考核结果为依托，完成全区机关事业单位工作人员及离休人员基本工资调标审批；完成机关事业单位人员晋级晋档工资调标审批工作。按照上级部门要求</w:t>
      </w:r>
      <w:bookmarkStart w:id="99" w:name="_GoBack"/>
      <w:bookmarkEnd w:id="99"/>
      <w:r>
        <w:rPr>
          <w:rFonts w:hint="eastAsia" w:ascii="仿宋" w:hAnsi="仿宋" w:eastAsia="仿宋" w:cs="Arial Narrow"/>
          <w:highlight w:val="none"/>
          <w:lang w:val="en-US" w:eastAsia="zh-CN"/>
        </w:rPr>
        <w:t>，2019年开展两次违规津补贴自查，保障津补贴发放监管的长效化、规范化、科学化、常态化。规范机关事业单位人员退休审批流程，完善操作环节，划分工作职责，提高工作效率。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2、问题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项目预算执行率未达到100%；年中预算调整金额较高。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9" w:name="_Toc3962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（四）建议</w:t>
      </w:r>
      <w:bookmarkEnd w:id="9"/>
    </w:p>
    <w:bookmarkEnd w:id="2"/>
    <w:bookmarkEnd w:id="3"/>
    <w:p>
      <w:pPr>
        <w:shd w:val="clear"/>
        <w:snapToGrid w:val="0"/>
        <w:ind w:firstLine="480"/>
        <w:jc w:val="left"/>
        <w:rPr>
          <w:rFonts w:ascii="仿宋_GB2312" w:hAnsi="Arial Narrow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加强预算管理，提高预算编制准确性。在年初编制预算时应结合历年资金使用情况和项目执行情况，充分掌握项目的实际资金需求，并积极与相关业务部门进行充分沟通，制定出符合实际情况的预算申报文本。从而提高资金利用率，实现项目长期、稳定、可持续发展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10" w:name="_Toc13066"/>
      <w:bookmarkStart w:id="11" w:name="_Toc14165723"/>
      <w:bookmarkStart w:id="12" w:name="_Toc361304672"/>
      <w:bookmarkStart w:id="13" w:name="_Toc387957799"/>
      <w:bookmarkStart w:id="14" w:name="_Toc361304673"/>
      <w:bookmarkStart w:id="15" w:name="_Toc38795780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二、正文</w:t>
      </w:r>
      <w:bookmarkEnd w:id="10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16" w:name="_Toc24705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（一）项目基本情况</w:t>
      </w:r>
      <w:bookmarkEnd w:id="11"/>
      <w:bookmarkEnd w:id="16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17" w:name="_Toc14165724"/>
      <w:bookmarkStart w:id="18" w:name="_Toc32217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Arial Narrow"/>
          <w:sz w:val="24"/>
          <w:highlight w:val="none"/>
        </w:rPr>
        <w:t>项目立项背景和依据</w:t>
      </w:r>
      <w:bookmarkEnd w:id="17"/>
      <w:bookmarkEnd w:id="18"/>
    </w:p>
    <w:bookmarkEnd w:id="12"/>
    <w:bookmarkEnd w:id="13"/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bookmarkStart w:id="19" w:name="_Toc14165725"/>
      <w:bookmarkStart w:id="20" w:name="_Toc406666356"/>
      <w:bookmarkStart w:id="21" w:name="_Toc406668030"/>
      <w:bookmarkStart w:id="22" w:name="_Toc361304680"/>
      <w:bookmarkStart w:id="23" w:name="_Toc16351"/>
      <w:r>
        <w:rPr>
          <w:rFonts w:hint="eastAsia" w:ascii="仿宋" w:hAnsi="仿宋" w:eastAsia="仿宋" w:cs="Arial Narrow"/>
          <w:highlight w:val="none"/>
          <w:lang w:val="en-US" w:eastAsia="zh-CN"/>
        </w:rPr>
        <w:t>健全事业单位工资收入分配制度。以工资政策为导向，以考核结果为依托，完成全区机关事业单位工作人员及离休人员基本工资调标审批；完成机关事业单位人员晋级晋档工资调标审批工作。按照上级部门要求，2019年开展两次违规津补贴自查，保障津补贴发放监管的长效化、规范化、科学化、常态化。规范机关事业单位人员退休审批流程，完善操作环节，划分工作职责，提高工作效率</w:t>
      </w:r>
      <w:r>
        <w:rPr>
          <w:rFonts w:hint="eastAsia" w:ascii="仿宋" w:hAnsi="仿宋" w:eastAsia="仿宋" w:cs="Arial Narrow"/>
          <w:highlight w:val="none"/>
        </w:rPr>
        <w:t>。</w:t>
      </w:r>
      <w:r>
        <w:rPr>
          <w:rFonts w:hint="eastAsia" w:ascii="仿宋" w:hAnsi="仿宋" w:eastAsia="仿宋" w:cs="Arial Narrow"/>
          <w:highlight w:val="none"/>
        </w:rPr>
        <w:tab/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24" w:name="_Toc10759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Arial Narrow"/>
          <w:sz w:val="24"/>
          <w:highlight w:val="none"/>
        </w:rPr>
        <w:t>项目绩效目标</w:t>
      </w:r>
      <w:bookmarkEnd w:id="19"/>
      <w:bookmarkEnd w:id="24"/>
    </w:p>
    <w:bookmarkEnd w:id="20"/>
    <w:bookmarkEnd w:id="21"/>
    <w:bookmarkEnd w:id="22"/>
    <w:bookmarkEnd w:id="23"/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bookmarkStart w:id="25" w:name="_Toc14165726"/>
      <w:r>
        <w:rPr>
          <w:rFonts w:hint="eastAsia" w:ascii="仿宋" w:hAnsi="仿宋" w:eastAsia="仿宋" w:cs="Arial Narrow"/>
          <w:highlight w:val="none"/>
          <w:lang w:val="en-US" w:eastAsia="zh-CN"/>
        </w:rPr>
        <w:t>绩效目标：全年预算总费用46.48万元，主要用于发放合同人员工资、五险一金、体检费用、工作餐补等。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26" w:name="_Toc30863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Arial Narrow"/>
          <w:sz w:val="24"/>
          <w:highlight w:val="none"/>
        </w:rPr>
        <w:t>项目经费来源和使用情况</w:t>
      </w:r>
      <w:bookmarkEnd w:id="25"/>
      <w:bookmarkEnd w:id="26"/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highlight w:val="none"/>
        </w:rPr>
        <w:t>1</w:t>
      </w:r>
      <w:r>
        <w:rPr>
          <w:rFonts w:hint="eastAsia" w:ascii="仿宋" w:hAnsi="仿宋" w:eastAsia="仿宋" w:cs="Arial Narrow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highlight w:val="none"/>
        </w:rPr>
        <w:t>项目资金来源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武汉经济技术开发区（汉南区）人力资源局“合同人员工资”</w:t>
      </w:r>
      <w:r>
        <w:rPr>
          <w:rFonts w:hint="eastAsia" w:ascii="仿宋" w:hAnsi="仿宋" w:eastAsia="仿宋" w:cs="Arial Narrow"/>
          <w:highlight w:val="none"/>
        </w:rPr>
        <w:t>项目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支出全年</w:t>
      </w:r>
      <w:r>
        <w:rPr>
          <w:rFonts w:hint="eastAsia" w:ascii="仿宋" w:hAnsi="仿宋" w:eastAsia="仿宋" w:cs="Arial Narrow"/>
          <w:highlight w:val="none"/>
        </w:rPr>
        <w:t>预算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数为46.48万元</w:t>
      </w:r>
      <w:r>
        <w:rPr>
          <w:rFonts w:hint="eastAsia" w:ascii="仿宋" w:hAnsi="仿宋" w:eastAsia="仿宋" w:cs="Arial Narrow"/>
          <w:highlight w:val="none"/>
        </w:rPr>
        <w:t>，均系财政拨款。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highlight w:val="none"/>
        </w:rPr>
        <w:t>2</w:t>
      </w:r>
      <w:r>
        <w:rPr>
          <w:rFonts w:hint="eastAsia" w:ascii="仿宋" w:hAnsi="仿宋" w:eastAsia="仿宋" w:cs="Arial Narrow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highlight w:val="none"/>
        </w:rPr>
        <w:t>项目资金使用概况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2019年“合同人员工资”</w:t>
      </w:r>
      <w:r>
        <w:rPr>
          <w:rFonts w:hint="eastAsia" w:ascii="仿宋" w:hAnsi="仿宋" w:eastAsia="仿宋" w:cs="Arial Narrow"/>
          <w:highlight w:val="none"/>
        </w:rPr>
        <w:t>项目计划支出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46.48万元</w:t>
      </w:r>
      <w:r>
        <w:rPr>
          <w:rFonts w:hint="eastAsia" w:ascii="仿宋" w:hAnsi="仿宋" w:eastAsia="仿宋" w:cs="Arial Narrow"/>
          <w:highlight w:val="none"/>
        </w:rPr>
        <w:t>，实际支出为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40.17万元</w:t>
      </w:r>
      <w:r>
        <w:rPr>
          <w:rFonts w:hint="eastAsia" w:ascii="仿宋" w:hAnsi="仿宋" w:eastAsia="仿宋" w:cs="Arial Narrow"/>
          <w:highlight w:val="none"/>
        </w:rPr>
        <w:t>。资金使用率为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86.42</w:t>
      </w:r>
      <w:r>
        <w:rPr>
          <w:rFonts w:hint="eastAsia" w:ascii="仿宋" w:hAnsi="仿宋" w:eastAsia="仿宋" w:cs="Arial Narrow"/>
          <w:highlight w:val="none"/>
        </w:rPr>
        <w:t>%。</w:t>
      </w:r>
    </w:p>
    <w:bookmarkEnd w:id="14"/>
    <w:bookmarkEnd w:id="15"/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27" w:name="_Toc14165727"/>
      <w:bookmarkStart w:id="28" w:name="_Toc1348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Arial Narrow"/>
          <w:sz w:val="24"/>
          <w:highlight w:val="none"/>
        </w:rPr>
        <w:t>项目实施情况</w:t>
      </w:r>
      <w:bookmarkEnd w:id="27"/>
      <w:bookmarkEnd w:id="28"/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/>
        </w:rPr>
      </w:pPr>
      <w:r>
        <w:rPr>
          <w:rFonts w:hint="eastAsia" w:ascii="仿宋" w:hAnsi="仿宋" w:eastAsia="仿宋" w:cs="Arial Narrow"/>
          <w:highlight w:val="none"/>
          <w:lang w:eastAsia="zh-CN"/>
        </w:rPr>
        <w:t>按照相关标准发放合同人员工资、奖金、补贴，缴纳五险一金等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29" w:name="_Toc14165728"/>
      <w:bookmarkStart w:id="30" w:name="_Toc361304681"/>
      <w:bookmarkStart w:id="31" w:name="_Toc406668031"/>
      <w:bookmarkStart w:id="32" w:name="_Toc406666357"/>
      <w:bookmarkStart w:id="33" w:name="_Toc14372"/>
      <w:bookmarkStart w:id="34" w:name="_Toc26215"/>
      <w:bookmarkStart w:id="35" w:name="_Toc387957806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（二）绩效评价工作情况</w:t>
      </w:r>
      <w:bookmarkEnd w:id="29"/>
      <w:bookmarkEnd w:id="30"/>
      <w:bookmarkEnd w:id="31"/>
      <w:bookmarkEnd w:id="32"/>
      <w:bookmarkEnd w:id="33"/>
      <w:bookmarkEnd w:id="34"/>
      <w:bookmarkEnd w:id="35"/>
      <w:bookmarkStart w:id="36" w:name="_Toc361304682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37" w:name="_Toc387957807"/>
      <w:bookmarkStart w:id="38" w:name="_Toc29064"/>
      <w:bookmarkStart w:id="39" w:name="_Toc406668032"/>
      <w:bookmarkStart w:id="40" w:name="_Toc18296"/>
      <w:bookmarkStart w:id="41" w:name="_Toc14165729"/>
      <w:bookmarkStart w:id="42" w:name="_Toc406666358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Arial Narrow"/>
          <w:sz w:val="24"/>
          <w:highlight w:val="none"/>
        </w:rPr>
        <w:t>绩效评价目</w:t>
      </w:r>
      <w:bookmarkEnd w:id="36"/>
      <w:bookmarkEnd w:id="37"/>
      <w:r>
        <w:rPr>
          <w:rFonts w:hint="eastAsia" w:ascii="仿宋" w:hAnsi="仿宋" w:eastAsia="仿宋" w:cs="Arial Narrow"/>
          <w:sz w:val="24"/>
          <w:highlight w:val="none"/>
        </w:rPr>
        <w:t>的</w:t>
      </w:r>
      <w:bookmarkEnd w:id="38"/>
      <w:bookmarkEnd w:id="39"/>
      <w:bookmarkEnd w:id="40"/>
      <w:bookmarkEnd w:id="41"/>
      <w:bookmarkEnd w:id="42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</w:rPr>
        <w:t>本次绩效评价的主要目的是加强项目资金管理，提高“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合同人员工资</w:t>
      </w:r>
      <w:r>
        <w:rPr>
          <w:rFonts w:hint="eastAsia" w:ascii="仿宋" w:hAnsi="仿宋" w:eastAsia="仿宋" w:cs="Arial Narrow"/>
          <w:bCs/>
          <w:highlight w:val="none"/>
        </w:rPr>
        <w:t>”财政资金使用效益。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</w:rPr>
        <w:t>通过绩效评价，能够核查201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9</w:t>
      </w:r>
      <w:r>
        <w:rPr>
          <w:rFonts w:hint="eastAsia" w:ascii="仿宋" w:hAnsi="仿宋" w:eastAsia="仿宋" w:cs="Arial Narrow"/>
          <w:bCs/>
          <w:highlight w:val="none"/>
        </w:rPr>
        <w:t>年度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人力资源局</w:t>
      </w:r>
      <w:r>
        <w:rPr>
          <w:rFonts w:hint="eastAsia" w:ascii="仿宋" w:hAnsi="仿宋" w:eastAsia="仿宋" w:cs="Arial Narrow"/>
          <w:bCs/>
          <w:highlight w:val="none"/>
        </w:rPr>
        <w:t>项目绩效目标、指标的实现程度，考核资金使用效率和综合绩效，总结项目管理与执行经验，管理部门决策、管理提供参考依据；推动建立以绩效评价结果为导向的财政资金分配与管理制度，提升财政资金科学化、精细化管理水平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43" w:name="_Toc32197"/>
      <w:bookmarkStart w:id="44" w:name="_Toc14165730"/>
      <w:bookmarkStart w:id="45" w:name="_Toc2095"/>
      <w:bookmarkStart w:id="46" w:name="_Toc406668033"/>
      <w:bookmarkStart w:id="47" w:name="_Toc406666359"/>
      <w:bookmarkStart w:id="48" w:name="_Toc361304684"/>
      <w:bookmarkStart w:id="49" w:name="_Toc387957809"/>
      <w:bookmarkStart w:id="50" w:name="_Toc361302025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Arial Narrow"/>
          <w:sz w:val="24"/>
          <w:highlight w:val="none"/>
        </w:rPr>
        <w:t>绩效评价工作过程</w:t>
      </w:r>
      <w:bookmarkEnd w:id="43"/>
      <w:bookmarkEnd w:id="44"/>
      <w:bookmarkEnd w:id="45"/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Cs/>
          <w:highlight w:val="none"/>
        </w:rPr>
        <w:t>1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Cs/>
          <w:highlight w:val="none"/>
        </w:rPr>
        <w:t>绩效评价准备阶段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</w:rPr>
        <w:t>确定评价对象。根据下达的绩效评价通知书，制订绩效评价工作方案。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Cs/>
          <w:highlight w:val="none"/>
        </w:rPr>
        <w:t>2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Cs/>
          <w:highlight w:val="none"/>
        </w:rPr>
        <w:t>绩效评价实施阶段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bCs/>
          <w:highlight w:val="none"/>
        </w:rPr>
        <w:t>拟定评价工作方案；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②</w:t>
      </w:r>
      <w:r>
        <w:rPr>
          <w:rFonts w:hint="eastAsia" w:ascii="仿宋" w:hAnsi="仿宋" w:eastAsia="仿宋" w:cs="Arial Narrow"/>
          <w:bCs/>
          <w:highlight w:val="none"/>
        </w:rPr>
        <w:t>资料审核；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宋体" w:hAnsi="宋体" w:eastAsia="宋体" w:cs="宋体"/>
          <w:bCs/>
          <w:highlight w:val="none"/>
          <w:lang w:val="en-US" w:eastAsia="zh-CN"/>
        </w:rPr>
        <w:t>③</w:t>
      </w:r>
      <w:r>
        <w:rPr>
          <w:rFonts w:hint="eastAsia" w:ascii="仿宋" w:hAnsi="仿宋" w:eastAsia="仿宋" w:cs="Arial Narrow"/>
          <w:bCs/>
          <w:highlight w:val="none"/>
        </w:rPr>
        <w:t>撰写绩效报告；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④</w:t>
      </w:r>
      <w:r>
        <w:rPr>
          <w:rFonts w:hint="eastAsia" w:ascii="仿宋" w:hAnsi="仿宋" w:eastAsia="仿宋" w:cs="Arial Narrow"/>
          <w:bCs/>
          <w:highlight w:val="none"/>
        </w:rPr>
        <w:t>实施绩效评价。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3）</w:t>
      </w:r>
      <w:r>
        <w:rPr>
          <w:rFonts w:hint="eastAsia" w:ascii="仿宋" w:hAnsi="仿宋" w:eastAsia="仿宋" w:cs="Arial Narrow"/>
          <w:bCs/>
          <w:highlight w:val="none"/>
        </w:rPr>
        <w:t>绩效评价总结阶段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bCs/>
          <w:highlight w:val="none"/>
        </w:rPr>
        <w:t>撰写报告；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②</w:t>
      </w:r>
      <w:r>
        <w:rPr>
          <w:rFonts w:hint="eastAsia" w:ascii="仿宋" w:hAnsi="仿宋" w:eastAsia="仿宋" w:cs="Arial Narrow"/>
          <w:bCs/>
          <w:highlight w:val="none"/>
        </w:rPr>
        <w:t>提交报告。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51" w:name="_Toc1595"/>
      <w:bookmarkStart w:id="52" w:name="_Toc14165731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Arial Narrow"/>
          <w:sz w:val="24"/>
          <w:highlight w:val="none"/>
        </w:rPr>
        <w:t>绩效评价框架</w:t>
      </w:r>
      <w:bookmarkEnd w:id="51"/>
      <w:bookmarkEnd w:id="52"/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1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评价原则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绩效评价原则应当遵循科学规范、公正公开、分级分类及绩效相关的原则，严格执行规定的程序，按照科学可行的要求，采用定量与定性分析相结合的方法，且符合真实、客观、公正的要求，针对具体支出及其产出绩效进行评价。本次绩效评价，我们遵循相关性原则、重要性原则、可比性原则、系统性原则、经济性原则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2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评价依据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highlight w:val="none"/>
        </w:rPr>
        <w:t>《中华人民共和国预算法》；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②《财政支出绩效评价管理暂行办法》（财预[2011]285号）；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③《财政部关于推进预算绩效管理的指导意见》（财预[2011]416号）；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④</w:t>
      </w:r>
      <w:r>
        <w:rPr>
          <w:rFonts w:hint="eastAsia" w:ascii="仿宋" w:hAnsi="仿宋" w:eastAsia="仿宋" w:cs="Arial Narrow"/>
          <w:highlight w:val="none"/>
          <w:lang w:eastAsia="zh-CN"/>
        </w:rPr>
        <w:t>《</w:t>
      </w:r>
      <w:r>
        <w:rPr>
          <w:rFonts w:hint="eastAsia" w:ascii="仿宋" w:hAnsi="仿宋" w:eastAsia="仿宋" w:cs="Arial Narrow"/>
          <w:highlight w:val="none"/>
        </w:rPr>
        <w:t>湖北省省级财政项目资金绩效评价实施暂行办法》（鄂财绩发[2012]5号）；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⑤</w:t>
      </w:r>
      <w:r>
        <w:rPr>
          <w:rFonts w:hint="eastAsia" w:ascii="仿宋" w:hAnsi="仿宋" w:eastAsia="仿宋" w:cs="Arial Narrow"/>
          <w:highlight w:val="none"/>
        </w:rPr>
        <w:t>《关于推进预算绩效管理的意见》(武政[2013]95号)；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⑥</w:t>
      </w:r>
      <w:r>
        <w:rPr>
          <w:rFonts w:hint="eastAsia" w:ascii="仿宋" w:hAnsi="仿宋" w:eastAsia="仿宋" w:cs="Arial Narrow"/>
          <w:highlight w:val="none"/>
        </w:rPr>
        <w:t>武汉市财政局《关于进一步推进预算绩效管理改革工作的通知》；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⑦</w:t>
      </w:r>
      <w:r>
        <w:rPr>
          <w:rFonts w:hint="eastAsia" w:ascii="仿宋" w:hAnsi="仿宋" w:eastAsia="仿宋" w:cs="Arial Narrow"/>
          <w:highlight w:val="none"/>
        </w:rPr>
        <w:t>《武汉经济技术开发区（汉南区）预算绩效评价管理暂行办法》；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⑧</w:t>
      </w:r>
      <w:r>
        <w:rPr>
          <w:rFonts w:hint="eastAsia" w:ascii="仿宋" w:hAnsi="仿宋" w:eastAsia="仿宋" w:cs="Arial Narrow"/>
          <w:highlight w:val="none"/>
        </w:rPr>
        <w:t>《区财政局关于开展2019年度预算绩效自评工作的通知》 武经开财〔20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20</w:t>
      </w:r>
      <w:r>
        <w:rPr>
          <w:rFonts w:hint="eastAsia" w:ascii="仿宋" w:hAnsi="仿宋" w:eastAsia="仿宋" w:cs="Arial Narrow"/>
          <w:highlight w:val="none"/>
        </w:rPr>
        <w:t>〕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highlight w:val="none"/>
        </w:rPr>
        <w:t>号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⑨</w:t>
      </w:r>
      <w:r>
        <w:rPr>
          <w:rFonts w:hint="eastAsia" w:ascii="仿宋" w:hAnsi="仿宋" w:eastAsia="仿宋" w:cs="Arial Narrow"/>
          <w:highlight w:val="none"/>
        </w:rPr>
        <w:t>项目资金使用明细表、与项目相关的财务账等资料；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⑩</w:t>
      </w:r>
      <w:r>
        <w:rPr>
          <w:rFonts w:hint="eastAsia" w:ascii="仿宋" w:hAnsi="仿宋" w:eastAsia="仿宋" w:cs="Arial Narrow"/>
          <w:highlight w:val="none"/>
        </w:rPr>
        <w:t>其他与项目评价相关的资料。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3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评价方法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主要采用成本效益分析法、比较法、因素分析法、最低成本法、公众评判法等。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highlight w:val="none"/>
        </w:rPr>
        <w:t>成本效益分析法。是指将一定时期内的支出与效益进行对比分析，以评价绩效目标实现程度。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②</w:t>
      </w:r>
      <w:r>
        <w:rPr>
          <w:rFonts w:hint="eastAsia" w:ascii="仿宋" w:hAnsi="仿宋" w:eastAsia="仿宋" w:cs="Arial Narrow"/>
          <w:highlight w:val="none"/>
        </w:rPr>
        <w:t>比较法。是指通过对绩效目标与实施效果、历史与当期情况、不同部门和地区同类支出的比较，综合分析绩效目标实现程度。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③</w:t>
      </w:r>
      <w:r>
        <w:rPr>
          <w:rFonts w:hint="eastAsia" w:ascii="仿宋" w:hAnsi="仿宋" w:eastAsia="仿宋" w:cs="Arial Narrow"/>
          <w:highlight w:val="none"/>
        </w:rPr>
        <w:t>因素分析法。是指通过综合分析影响绩效目标实现、实施效果的内外因素，评价绩效目标实现程度。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④</w:t>
      </w:r>
      <w:r>
        <w:rPr>
          <w:rFonts w:hint="eastAsia" w:ascii="仿宋" w:hAnsi="仿宋" w:eastAsia="仿宋" w:cs="Arial Narrow"/>
          <w:highlight w:val="none"/>
        </w:rPr>
        <w:t>最低成本法。是指对效益确定却不易计量的多个同类对象的实施成本进行比较，评价绩效目标实现程度。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⑤</w:t>
      </w:r>
      <w:r>
        <w:rPr>
          <w:rFonts w:hint="eastAsia" w:ascii="仿宋" w:hAnsi="仿宋" w:eastAsia="仿宋" w:cs="Arial Narrow"/>
          <w:highlight w:val="none"/>
        </w:rPr>
        <w:t>公众评判法。是指通过专家评估、公众问卷及抽样调查等对财政支出效果进行评判，评价绩效目标实现程度。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53" w:name="_Toc14165732"/>
      <w:bookmarkStart w:id="54" w:name="_Toc18353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Arial Narrow"/>
          <w:sz w:val="24"/>
          <w:highlight w:val="none"/>
        </w:rPr>
        <w:t>评价抽样情况概述</w:t>
      </w:r>
      <w:bookmarkEnd w:id="46"/>
      <w:bookmarkEnd w:id="47"/>
      <w:bookmarkEnd w:id="48"/>
      <w:bookmarkEnd w:id="49"/>
      <w:bookmarkEnd w:id="50"/>
      <w:bookmarkEnd w:id="53"/>
      <w:bookmarkEnd w:id="54"/>
      <w:bookmarkStart w:id="55" w:name="_Toc18443"/>
      <w:bookmarkStart w:id="56" w:name="_Toc361304693"/>
      <w:bookmarkStart w:id="57" w:name="_Toc387957819"/>
      <w:bookmarkStart w:id="58" w:name="_Toc406668044"/>
      <w:bookmarkStart w:id="59" w:name="_Toc406666370"/>
      <w:bookmarkStart w:id="60" w:name="_Toc14165733"/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绩效评价小组遵循代表性原则、独立性原则和方便性原则，根据项目属性、区域分布、资金规模进行抽样调查。抽样调查项目个数及总金额可以代表项目实施的总体情况。对被抽样单位进行实地抽查，了解项目的具体实施情况，在反复沟通中了解被抽样单位项目资金的使用情况、项目资金的到位情况及产生的效益，使绩效评价量化指标更加充分，也确保绩效评价与项目的衔接度更高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61" w:name="_Toc7146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（三）绩效分析</w:t>
      </w:r>
      <w:bookmarkEnd w:id="55"/>
      <w:bookmarkEnd w:id="56"/>
      <w:bookmarkEnd w:id="57"/>
      <w:bookmarkEnd w:id="58"/>
      <w:bookmarkEnd w:id="59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及评价结论</w:t>
      </w:r>
      <w:bookmarkEnd w:id="60"/>
      <w:bookmarkEnd w:id="61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62" w:name="_Toc14165734"/>
      <w:bookmarkStart w:id="63" w:name="_Toc1308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Arial Narrow"/>
          <w:sz w:val="24"/>
          <w:highlight w:val="none"/>
        </w:rPr>
        <w:t>绩效分析</w:t>
      </w:r>
      <w:bookmarkEnd w:id="62"/>
      <w:bookmarkEnd w:id="63"/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bookmarkStart w:id="64" w:name="_Toc2992"/>
      <w:bookmarkStart w:id="65" w:name="_Toc14165735"/>
      <w:bookmarkStart w:id="66" w:name="_Toc406668047"/>
      <w:bookmarkStart w:id="67" w:name="_Toc361304697"/>
      <w:bookmarkStart w:id="68" w:name="_Toc387957822"/>
      <w:bookmarkStart w:id="69" w:name="_Toc361302034"/>
      <w:bookmarkStart w:id="70" w:name="_Toc406666373"/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1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项目</w:t>
      </w:r>
      <w:bookmarkStart w:id="71" w:name="_Toc394181010"/>
      <w:r>
        <w:rPr>
          <w:rFonts w:hint="eastAsia" w:ascii="仿宋" w:hAnsi="仿宋" w:eastAsia="仿宋" w:cs="Arial Narrow"/>
          <w:b/>
          <w:bCs/>
          <w:sz w:val="24"/>
          <w:highlight w:val="none"/>
        </w:rPr>
        <w:t>投入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-资金落实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  <w:bookmarkEnd w:id="64"/>
      <w:bookmarkEnd w:id="65"/>
      <w:bookmarkEnd w:id="71"/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资金落实主要评价财政预算资金是否全额发放、资金到位是否及时。该情况主要是通过资金到位率和到位及时率两个指标来反映。指标评价得分为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8.64</w:t>
      </w:r>
      <w:r>
        <w:rPr>
          <w:rFonts w:hint="eastAsia" w:ascii="仿宋" w:hAnsi="仿宋" w:eastAsia="仿宋" w:cs="Arial Narrow"/>
          <w:highlight w:val="none"/>
        </w:rPr>
        <w:t>分，评价等级为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良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a.</w:t>
      </w:r>
      <w:r>
        <w:rPr>
          <w:rFonts w:hint="eastAsia" w:ascii="仿宋" w:hAnsi="仿宋" w:eastAsia="仿宋" w:cs="Arial Narrow"/>
          <w:highlight w:val="none"/>
        </w:rPr>
        <w:tab/>
      </w:r>
      <w:r>
        <w:rPr>
          <w:rFonts w:hint="eastAsia" w:ascii="仿宋" w:hAnsi="仿宋" w:eastAsia="仿宋" w:cs="Arial Narrow"/>
          <w:highlight w:val="none"/>
        </w:rPr>
        <w:t>资金到位率，是指实际到位资金与计划投入资金的比率，用以反映和考核资金落实情况对项目实施的总体保障程度。201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9</w:t>
      </w:r>
      <w:r>
        <w:rPr>
          <w:rFonts w:hint="eastAsia" w:ascii="仿宋" w:hAnsi="仿宋" w:eastAsia="仿宋" w:cs="Arial Narrow"/>
          <w:highlight w:val="none"/>
        </w:rPr>
        <w:t>年该项目计划投入资金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46.48</w:t>
      </w:r>
      <w:r>
        <w:rPr>
          <w:rFonts w:hint="eastAsia" w:ascii="仿宋" w:hAnsi="仿宋" w:eastAsia="仿宋" w:cs="Arial Narrow"/>
          <w:highlight w:val="none"/>
        </w:rPr>
        <w:t>万元，实际到位资金共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40.17</w:t>
      </w:r>
      <w:r>
        <w:rPr>
          <w:rFonts w:hint="eastAsia" w:ascii="仿宋" w:hAnsi="仿宋" w:eastAsia="仿宋" w:cs="Arial Narrow"/>
          <w:highlight w:val="none"/>
        </w:rPr>
        <w:t>万元，资金到位率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86.42</w:t>
      </w:r>
      <w:r>
        <w:rPr>
          <w:rFonts w:hint="eastAsia" w:ascii="仿宋" w:hAnsi="仿宋" w:eastAsia="仿宋" w:cs="Arial Narrow"/>
          <w:highlight w:val="none"/>
        </w:rPr>
        <w:t>%。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b.</w:t>
      </w:r>
      <w:r>
        <w:rPr>
          <w:rFonts w:hint="eastAsia" w:ascii="仿宋" w:hAnsi="仿宋" w:eastAsia="仿宋" w:cs="Arial Narrow"/>
          <w:highlight w:val="none"/>
        </w:rPr>
        <w:tab/>
      </w:r>
      <w:r>
        <w:rPr>
          <w:rFonts w:hint="eastAsia" w:ascii="仿宋" w:hAnsi="仿宋" w:eastAsia="仿宋" w:cs="Arial Narrow"/>
          <w:highlight w:val="none"/>
        </w:rPr>
        <w:t>到位及时率，是指项目及时到位资金与应到位资金的比率，用以反映和考核项目资金落实的及时性程度。武汉经济技术开发区（汉南区）财政局下达项目申报资金及时，到位及时率100%。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项目产出（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50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项目产出方面主要评价项目实施内容的完成情况，包括完成数量、质量</w:t>
      </w:r>
      <w:r>
        <w:rPr>
          <w:rFonts w:hint="eastAsia" w:ascii="仿宋" w:hAnsi="仿宋" w:eastAsia="仿宋" w:cs="Arial Narrow"/>
          <w:highlight w:val="none"/>
          <w:lang w:eastAsia="zh-CN"/>
        </w:rPr>
        <w:t>、</w:t>
      </w:r>
      <w:r>
        <w:rPr>
          <w:rFonts w:hint="eastAsia" w:ascii="仿宋" w:hAnsi="仿宋" w:eastAsia="仿宋" w:cs="Arial Narrow"/>
          <w:highlight w:val="none"/>
        </w:rPr>
        <w:t>时效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以及成本</w:t>
      </w:r>
      <w:r>
        <w:rPr>
          <w:rFonts w:hint="eastAsia" w:ascii="仿宋" w:hAnsi="仿宋" w:eastAsia="仿宋" w:cs="Arial Narrow"/>
          <w:highlight w:val="none"/>
        </w:rPr>
        <w:t>。对于该项的评价，绩效评价工作小组主要采取了卷宗研究、现场访谈等方式进行资料收集、整理和分析，对项目产出涉及的指标进行打分和评价。经过综合计分，该指标得分为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40.5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良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①数量指标，是指工资发放额度</w:t>
      </w:r>
      <w:r>
        <w:rPr>
          <w:rFonts w:hint="eastAsia" w:ascii="仿宋" w:hAnsi="仿宋" w:eastAsia="仿宋" w:cs="Arial Narrow"/>
          <w:highlight w:val="none"/>
          <w:lang w:eastAsia="zh-CN"/>
        </w:rPr>
        <w:t>、五险一金缴纳额度、年度五奖发放额度、工会经费与体检费用、餐补发放额度、年休未休假报酬额度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等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②质量指标，是指合同人员工资、五险一金、体检费用、工作餐补等支付合规性。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③时效指标，是指合同人员工资发放及时性</w:t>
      </w:r>
      <w:r>
        <w:rPr>
          <w:rFonts w:hint="eastAsia" w:ascii="仿宋" w:hAnsi="仿宋" w:eastAsia="仿宋" w:cs="Arial Narrow"/>
          <w:highlight w:val="none"/>
          <w:lang w:eastAsia="zh-CN"/>
        </w:rPr>
        <w:t>、</w:t>
      </w:r>
      <w:r>
        <w:rPr>
          <w:rFonts w:hint="eastAsia" w:ascii="仿宋" w:hAnsi="仿宋" w:eastAsia="仿宋" w:cs="Arial Narrow"/>
          <w:highlight w:val="none"/>
        </w:rPr>
        <w:t>五险一金缴纳及时性</w:t>
      </w:r>
      <w:r>
        <w:rPr>
          <w:rFonts w:hint="eastAsia" w:ascii="仿宋" w:hAnsi="仿宋" w:eastAsia="仿宋" w:cs="Arial Narrow"/>
          <w:highlight w:val="none"/>
          <w:lang w:eastAsia="zh-CN"/>
        </w:rPr>
        <w:t>、年度五奖发放及时性、工会经费与体检及时性、餐补发放及时性、年休未休假报酬发放及时性，</w:t>
      </w:r>
      <w:r>
        <w:rPr>
          <w:rFonts w:hint="eastAsia" w:ascii="仿宋" w:hAnsi="仿宋" w:eastAsia="仿宋" w:cs="Arial Narrow"/>
          <w:highlight w:val="none"/>
        </w:rPr>
        <w:t>用以反映和考核项目产出时效目标的实现程度。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④成本指标，是指项目完成时成本不高于计划支出。通过查看项目预算批复文件和支出明细表以及记账凭证得知，该项目项目到位资金为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46.48万</w:t>
      </w:r>
      <w:r>
        <w:rPr>
          <w:rFonts w:hint="eastAsia" w:ascii="仿宋" w:hAnsi="仿宋" w:eastAsia="仿宋" w:cs="Arial Narrow"/>
          <w:highlight w:val="none"/>
        </w:rPr>
        <w:t>元，实际支出为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40.17万</w:t>
      </w:r>
      <w:r>
        <w:rPr>
          <w:rFonts w:hint="eastAsia" w:ascii="仿宋" w:hAnsi="仿宋" w:eastAsia="仿宋" w:cs="Arial Narrow"/>
          <w:highlight w:val="none"/>
        </w:rPr>
        <w:t>元，资金使用率为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86.42</w:t>
      </w:r>
      <w:r>
        <w:rPr>
          <w:rFonts w:hint="eastAsia" w:ascii="仿宋" w:hAnsi="仿宋" w:eastAsia="仿宋" w:cs="Arial Narrow"/>
          <w:highlight w:val="none"/>
        </w:rPr>
        <w:t>%。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项目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效益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</w:p>
    <w:bookmarkEnd w:id="66"/>
    <w:bookmarkEnd w:id="67"/>
    <w:bookmarkEnd w:id="68"/>
    <w:bookmarkEnd w:id="69"/>
    <w:bookmarkEnd w:id="70"/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bookmarkStart w:id="72" w:name="_Toc14165738"/>
      <w:bookmarkStart w:id="73" w:name="_Toc361302038"/>
      <w:bookmarkStart w:id="74" w:name="_Toc17932"/>
      <w:bookmarkStart w:id="75" w:name="_Toc387957826"/>
      <w:bookmarkStart w:id="76" w:name="_Toc406666377"/>
      <w:bookmarkStart w:id="77" w:name="_Toc406668051"/>
      <w:bookmarkStart w:id="78" w:name="_Toc361304701"/>
      <w:r>
        <w:rPr>
          <w:rFonts w:hint="eastAsia" w:ascii="仿宋" w:hAnsi="仿宋" w:eastAsia="仿宋" w:cs="Arial Narrow"/>
          <w:highlight w:val="none"/>
        </w:rPr>
        <w:t>项目效益方面主要评价项目实施所产生的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社会</w:t>
      </w:r>
      <w:r>
        <w:rPr>
          <w:rFonts w:hint="eastAsia" w:ascii="仿宋" w:hAnsi="仿宋" w:eastAsia="仿宋" w:cs="Arial Narrow"/>
          <w:highlight w:val="none"/>
        </w:rPr>
        <w:t>效益，以及对社会的需求和发展所带来的直接或间接影响，反映项目后续运行及成效发挥的可持续影响情况。对于该项的评价，绩效评价工作小组主要采取了卷宗研究、现场访谈等方式进行资料收集、整理和分析，采集相关信息，对项目效益涉及的指标进行打分和评价。满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30</w:t>
      </w:r>
      <w:r>
        <w:rPr>
          <w:rFonts w:hint="eastAsia" w:ascii="仿宋" w:hAnsi="仿宋" w:eastAsia="仿宋" w:cs="Arial Narrow"/>
          <w:highlight w:val="none"/>
        </w:rPr>
        <w:t>分，最后得分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30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</w:rPr>
        <w:t>①社会效益指标</w:t>
      </w:r>
      <w:r>
        <w:rPr>
          <w:rFonts w:hint="eastAsia" w:ascii="仿宋" w:hAnsi="仿宋" w:eastAsia="仿宋" w:cs="Arial Narrow"/>
          <w:highlight w:val="none"/>
          <w:lang w:eastAsia="zh-CN"/>
        </w:rPr>
        <w:t>，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是指逐年</w:t>
      </w:r>
      <w:r>
        <w:rPr>
          <w:rFonts w:hint="eastAsia" w:ascii="仿宋" w:hAnsi="仿宋" w:eastAsia="仿宋" w:cs="Arial Narrow"/>
          <w:highlight w:val="none"/>
        </w:rPr>
        <w:t>提升就职人员的职业归属感和自豪感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。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</w:rPr>
        <w:t>②可持续影响指标</w:t>
      </w:r>
      <w:r>
        <w:rPr>
          <w:rFonts w:hint="eastAsia" w:ascii="仿宋" w:hAnsi="仿宋" w:eastAsia="仿宋" w:cs="Arial Narrow"/>
          <w:highlight w:val="none"/>
          <w:lang w:eastAsia="zh-CN"/>
        </w:rPr>
        <w:t>，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是指机构、人员、制度满足需要，项目经费有保障。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服务对象满意度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</w:p>
    <w:p>
      <w:pPr>
        <w:shd w:val="clear"/>
        <w:snapToGrid w:val="0"/>
        <w:rPr>
          <w:rFonts w:hint="eastAsia" w:ascii="仿宋" w:hAnsi="仿宋" w:eastAsia="仿宋" w:cs="Arial Narrow"/>
          <w:highlight w:val="none"/>
          <w:lang w:eastAsia="zh-CN"/>
        </w:rPr>
      </w:pPr>
      <w:r>
        <w:rPr>
          <w:rFonts w:hint="eastAsia" w:ascii="仿宋" w:hAnsi="仿宋" w:eastAsia="仿宋" w:cs="Arial Narrow"/>
          <w:highlight w:val="none"/>
          <w:lang w:eastAsia="zh-CN"/>
        </w:rPr>
        <w:t>服务对象满意度</w:t>
      </w:r>
      <w:r>
        <w:rPr>
          <w:rFonts w:hint="eastAsia" w:ascii="仿宋" w:hAnsi="仿宋" w:eastAsia="仿宋" w:cs="Arial Narrow"/>
          <w:highlight w:val="none"/>
        </w:rPr>
        <w:t>主要评价社会公众或服务对象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对</w:t>
      </w:r>
      <w:r>
        <w:rPr>
          <w:rFonts w:hint="eastAsia" w:ascii="仿宋" w:hAnsi="仿宋" w:eastAsia="仿宋" w:cs="Arial Narrow"/>
          <w:highlight w:val="none"/>
        </w:rPr>
        <w:t>项目实施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的</w:t>
      </w:r>
      <w:r>
        <w:rPr>
          <w:rFonts w:hint="eastAsia" w:ascii="仿宋" w:hAnsi="仿宋" w:eastAsia="仿宋" w:cs="Arial Narrow"/>
          <w:highlight w:val="none"/>
        </w:rPr>
        <w:t>满意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程度。</w:t>
      </w:r>
      <w:r>
        <w:rPr>
          <w:rFonts w:hint="eastAsia" w:ascii="仿宋" w:hAnsi="仿宋" w:eastAsia="仿宋" w:cs="Arial Narrow"/>
          <w:highlight w:val="none"/>
        </w:rPr>
        <w:t>对于该项的评价，绩效评价工作小组主要采取了卷宗研究、现场访谈等方式进行资料收集、整理和分析，采集相关信息，对服务对象满意度涉及的指标进行打分和评价。满分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highlight w:val="none"/>
        </w:rPr>
        <w:t>分，最后得分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79" w:name="_Toc22751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Arial Narrow"/>
          <w:sz w:val="24"/>
          <w:highlight w:val="none"/>
        </w:rPr>
        <w:t>评价结论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Start w:id="80" w:name="_Toc361302039"/>
      <w:bookmarkStart w:id="81" w:name="_Toc361304702"/>
    </w:p>
    <w:bookmarkEnd w:id="80"/>
    <w:bookmarkEnd w:id="81"/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1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评分结果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bookmarkStart w:id="82" w:name="_Toc387957829"/>
      <w:bookmarkStart w:id="83" w:name="_Toc406666380"/>
      <w:bookmarkStart w:id="84" w:name="_Toc406668054"/>
      <w:bookmarkStart w:id="85" w:name="_Toc361304705"/>
      <w:r>
        <w:rPr>
          <w:rFonts w:hint="eastAsia" w:ascii="仿宋" w:hAnsi="仿宋" w:eastAsia="仿宋" w:cs="Arial Narrow"/>
          <w:highlight w:val="none"/>
          <w:lang w:eastAsia="zh-CN"/>
        </w:rPr>
        <w:t>武汉经济技术开发区（汉南区）人力资源局</w:t>
      </w:r>
      <w:r>
        <w:rPr>
          <w:rFonts w:hint="eastAsia" w:ascii="仿宋" w:hAnsi="仿宋" w:eastAsia="仿宋" w:cs="Arial Narrow"/>
          <w:highlight w:val="none"/>
        </w:rPr>
        <w:t>“</w:t>
      </w:r>
      <w:r>
        <w:rPr>
          <w:rFonts w:hint="eastAsia" w:ascii="仿宋" w:hAnsi="仿宋" w:eastAsia="仿宋" w:cs="Arial Narrow"/>
          <w:highlight w:val="none"/>
          <w:lang w:eastAsia="zh-CN"/>
        </w:rPr>
        <w:t>合同人员工资</w:t>
      </w:r>
      <w:r>
        <w:rPr>
          <w:rFonts w:hint="eastAsia" w:ascii="仿宋" w:hAnsi="仿宋" w:eastAsia="仿宋" w:cs="Arial Narrow"/>
          <w:highlight w:val="none"/>
        </w:rPr>
        <w:t>”项目绩效评价综合得分为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89.14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良。详见《合同人员工资项目支出绩效自评表》（附件1）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2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主要结论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bCs/>
          <w:highlight w:val="none"/>
        </w:rPr>
      </w:pPr>
      <w:bookmarkStart w:id="86" w:name="_Toc14165739"/>
      <w:bookmarkStart w:id="87" w:name="_Toc14373"/>
      <w:r>
        <w:rPr>
          <w:rFonts w:hint="eastAsia" w:ascii="仿宋" w:hAnsi="仿宋" w:eastAsia="仿宋" w:cs="Arial Narrow"/>
          <w:bCs/>
          <w:highlight w:val="none"/>
        </w:rPr>
        <w:t>201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9</w:t>
      </w:r>
      <w:r>
        <w:rPr>
          <w:rFonts w:hint="eastAsia" w:ascii="仿宋" w:hAnsi="仿宋" w:eastAsia="仿宋" w:cs="Arial Narrow"/>
          <w:bCs/>
          <w:highlight w:val="none"/>
        </w:rPr>
        <w:t>年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人力资源局</w:t>
      </w:r>
      <w:r>
        <w:rPr>
          <w:rFonts w:hint="eastAsia" w:ascii="仿宋" w:hAnsi="仿宋" w:eastAsia="仿宋" w:cs="Arial Narrow"/>
          <w:bCs/>
          <w:highlight w:val="none"/>
        </w:rPr>
        <w:t>“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合同人员工资</w:t>
      </w:r>
      <w:r>
        <w:rPr>
          <w:rFonts w:hint="eastAsia" w:ascii="仿宋" w:hAnsi="仿宋" w:eastAsia="仿宋" w:cs="Arial Narrow"/>
          <w:bCs/>
          <w:highlight w:val="none"/>
        </w:rPr>
        <w:t>”项目绩效指标评分结果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良</w:t>
      </w:r>
      <w:r>
        <w:rPr>
          <w:rFonts w:hint="eastAsia" w:ascii="仿宋" w:hAnsi="仿宋" w:eastAsia="仿宋" w:cs="Arial Narrow"/>
          <w:bCs/>
          <w:highlight w:val="none"/>
        </w:rPr>
        <w:t>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88" w:name="_Toc28859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（四</w:t>
      </w:r>
      <w:bookmarkEnd w:id="82"/>
      <w:bookmarkEnd w:id="83"/>
      <w:bookmarkEnd w:id="84"/>
      <w:bookmarkEnd w:id="85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）存在的问题和</w:t>
      </w:r>
      <w:bookmarkEnd w:id="86"/>
      <w:bookmarkEnd w:id="87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改进措施</w:t>
      </w:r>
      <w:bookmarkEnd w:id="88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仿宋" w:hAnsi="仿宋" w:eastAsia="仿宋" w:cs="Arial Narrow"/>
          <w:sz w:val="24"/>
          <w:highlight w:val="none"/>
          <w:lang w:val="en-US" w:eastAsia="zh-CN"/>
        </w:rPr>
      </w:pPr>
      <w:bookmarkStart w:id="89" w:name="_Toc14165741"/>
      <w:bookmarkStart w:id="90" w:name="_Toc406666382"/>
      <w:bookmarkStart w:id="91" w:name="_Toc406668056"/>
      <w:bookmarkStart w:id="92" w:name="_Toc27689"/>
      <w:bookmarkStart w:id="93" w:name="_Toc16696"/>
      <w:bookmarkStart w:id="94" w:name="_Toc387957833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1、存在的问题</w:t>
      </w:r>
      <w:bookmarkEnd w:id="89"/>
      <w:bookmarkEnd w:id="90"/>
      <w:bookmarkEnd w:id="91"/>
      <w:bookmarkEnd w:id="92"/>
      <w:bookmarkEnd w:id="93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（1）预算执行率未达到100%；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（2）项目年初预算批复数为60.00万元，调整预算数为46.48万元，年中预算调整金额减少22.53%，年初预算编制准确性有待提高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  <w:lang w:val="en-US" w:eastAsia="zh-CN"/>
        </w:rPr>
      </w:pPr>
      <w:bookmarkStart w:id="95" w:name="_Toc28128"/>
      <w:bookmarkStart w:id="96" w:name="_Toc14165742"/>
      <w:bookmarkStart w:id="97" w:name="_Toc21901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bookmarkEnd w:id="94"/>
      <w:bookmarkEnd w:id="95"/>
      <w:bookmarkEnd w:id="96"/>
      <w:bookmarkStart w:id="98" w:name="_Toc38795783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改进措施</w:t>
      </w:r>
      <w:bookmarkEnd w:id="97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（1）加强预算执行力度；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（2）根据项目的特点及实际预算支出情况，更加合理科学地确定项目预算明细分类，提高年初预算编制准确性</w:t>
      </w:r>
      <w:r>
        <w:rPr>
          <w:rFonts w:hint="eastAsia" w:ascii="仿宋" w:hAnsi="仿宋" w:eastAsia="仿宋" w:cs="Arial Narrow"/>
          <w:highlight w:val="none"/>
        </w:rPr>
        <w:t>。</w:t>
      </w:r>
    </w:p>
    <w:bookmarkEnd w:id="98"/>
    <w:p>
      <w:pPr>
        <w:shd w:val="clear"/>
        <w:snapToGrid w:val="0"/>
        <w:ind w:firstLine="480"/>
        <w:jc w:val="right"/>
        <w:rPr>
          <w:rFonts w:ascii="仿宋" w:hAnsi="仿宋" w:eastAsia="仿宋" w:cs="Arial Narrow"/>
          <w:highlight w:val="none"/>
        </w:rPr>
      </w:pPr>
    </w:p>
    <w:sectPr>
      <w:headerReference r:id="rId9" w:type="default"/>
      <w:footerReference r:id="rId10" w:type="default"/>
      <w:pgSz w:w="11906" w:h="16838"/>
      <w:pgMar w:top="1440" w:right="1406" w:bottom="1089" w:left="1800" w:header="1134" w:footer="567" w:gutter="0"/>
      <w:pgNumType w:start="1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c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ind w:firstLine="210" w:firstLineChars="100"/>
      <w:jc w:val="center"/>
      <w:rPr>
        <w:rStyle w:val="25"/>
        <w:rFonts w:ascii="Arial Narrow" w:hAnsi="Arial Narrow" w:eastAsia="宋体"/>
        <w:sz w:val="21"/>
        <w:szCs w:val="21"/>
      </w:rPr>
    </w:pPr>
    <w:r>
      <w:rPr>
        <w:rFonts w:ascii="Arial Narrow" w:hAnsi="Arial Narrow"/>
        <w:sz w:val="21"/>
        <w:szCs w:val="21"/>
      </w:rPr>
      <w:fldChar w:fldCharType="begin"/>
    </w:r>
    <w:r>
      <w:rPr>
        <w:rFonts w:ascii="Arial Narrow" w:hAnsi="Arial Narrow"/>
        <w:sz w:val="21"/>
        <w:szCs w:val="21"/>
      </w:rPr>
      <w:instrText xml:space="preserve"> PAGE </w:instrText>
    </w:r>
    <w:r>
      <w:rPr>
        <w:rFonts w:ascii="Arial Narrow" w:hAnsi="Arial Narrow"/>
        <w:sz w:val="21"/>
        <w:szCs w:val="21"/>
      </w:rPr>
      <w:fldChar w:fldCharType="separate"/>
    </w:r>
    <w:r>
      <w:rPr>
        <w:rFonts w:ascii="Arial Narrow" w:hAnsi="Arial Narrow"/>
        <w:sz w:val="21"/>
        <w:szCs w:val="21"/>
      </w:rPr>
      <w:t>9</w:t>
    </w:r>
    <w:r>
      <w:rPr>
        <w:rFonts w:ascii="Arial Narrow" w:hAnsi="Arial Narrow"/>
        <w:sz w:val="21"/>
        <w:szCs w:val="21"/>
      </w:rPr>
      <w:fldChar w:fldCharType="end"/>
    </w:r>
  </w:p>
  <w:p>
    <w:pPr>
      <w:pStyle w:val="1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0" w:firstLineChars="0"/>
      <w:jc w:val="both"/>
    </w:pPr>
    <w:r>
      <w:rPr>
        <w:rFonts w:ascii="Calibri" w:hAnsi="Calibri" w:eastAsia="黑体" w:cs="黑体"/>
        <w:b/>
        <w:sz w:val="14"/>
        <w:szCs w:val="14"/>
      </w:rPr>
      <w:pict>
        <v:rect id="文本框 26" o:spid="_x0000_s4097" o:spt="1" style="position:absolute;left:0pt;margin-left:359.05pt;margin-top:39.95pt;height:74.45pt;width:150.15pt;mso-position-horizontal-relative:page;mso-position-vertical-relative:pag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>
            <w:txbxContent>
              <w:p>
                <w:pPr>
                  <w:ind w:firstLine="280"/>
                  <w:rPr>
                    <w:rFonts w:ascii="Arial Narrow" w:hAnsi="Arial Narrow" w:eastAsia="黑体" w:cs="Arial Narrow"/>
                    <w:sz w:val="14"/>
                    <w:szCs w:val="14"/>
                  </w:rPr>
                </w:pPr>
              </w:p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204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2A69"/>
    <w:rsid w:val="000107B2"/>
    <w:rsid w:val="00011E0B"/>
    <w:rsid w:val="00012B09"/>
    <w:rsid w:val="00012B47"/>
    <w:rsid w:val="000153F5"/>
    <w:rsid w:val="00016011"/>
    <w:rsid w:val="000225A4"/>
    <w:rsid w:val="000231B2"/>
    <w:rsid w:val="000235EA"/>
    <w:rsid w:val="0002369C"/>
    <w:rsid w:val="00027617"/>
    <w:rsid w:val="00030459"/>
    <w:rsid w:val="00034CB1"/>
    <w:rsid w:val="00037160"/>
    <w:rsid w:val="00037FDA"/>
    <w:rsid w:val="00041931"/>
    <w:rsid w:val="000435FD"/>
    <w:rsid w:val="00051092"/>
    <w:rsid w:val="0005129C"/>
    <w:rsid w:val="0005263F"/>
    <w:rsid w:val="000578E1"/>
    <w:rsid w:val="00057BBE"/>
    <w:rsid w:val="00060B99"/>
    <w:rsid w:val="000647BB"/>
    <w:rsid w:val="00065443"/>
    <w:rsid w:val="00070099"/>
    <w:rsid w:val="0007044D"/>
    <w:rsid w:val="00071B04"/>
    <w:rsid w:val="00071C74"/>
    <w:rsid w:val="00082AA1"/>
    <w:rsid w:val="000839C4"/>
    <w:rsid w:val="00083F0C"/>
    <w:rsid w:val="000850E9"/>
    <w:rsid w:val="0008556C"/>
    <w:rsid w:val="00086B6B"/>
    <w:rsid w:val="00092652"/>
    <w:rsid w:val="00092834"/>
    <w:rsid w:val="00095860"/>
    <w:rsid w:val="00097F61"/>
    <w:rsid w:val="000A2B58"/>
    <w:rsid w:val="000A38CF"/>
    <w:rsid w:val="000B0707"/>
    <w:rsid w:val="000B351B"/>
    <w:rsid w:val="000C0AC8"/>
    <w:rsid w:val="000C2C67"/>
    <w:rsid w:val="000C4653"/>
    <w:rsid w:val="000C4C40"/>
    <w:rsid w:val="000C7932"/>
    <w:rsid w:val="000C793B"/>
    <w:rsid w:val="000D124B"/>
    <w:rsid w:val="000D1F28"/>
    <w:rsid w:val="000D264B"/>
    <w:rsid w:val="000D32E5"/>
    <w:rsid w:val="000D34A6"/>
    <w:rsid w:val="000D353C"/>
    <w:rsid w:val="000D37BE"/>
    <w:rsid w:val="000D50DC"/>
    <w:rsid w:val="000D5CCA"/>
    <w:rsid w:val="000D7608"/>
    <w:rsid w:val="000E16BD"/>
    <w:rsid w:val="000E1A4F"/>
    <w:rsid w:val="000E3E46"/>
    <w:rsid w:val="000E5026"/>
    <w:rsid w:val="000E5B9F"/>
    <w:rsid w:val="000F1F5E"/>
    <w:rsid w:val="000F2AE1"/>
    <w:rsid w:val="000F482F"/>
    <w:rsid w:val="00101AA1"/>
    <w:rsid w:val="0010488B"/>
    <w:rsid w:val="00107C77"/>
    <w:rsid w:val="00107E2F"/>
    <w:rsid w:val="00115891"/>
    <w:rsid w:val="00117519"/>
    <w:rsid w:val="001247D7"/>
    <w:rsid w:val="001315B8"/>
    <w:rsid w:val="001346FF"/>
    <w:rsid w:val="00134F95"/>
    <w:rsid w:val="001373D3"/>
    <w:rsid w:val="001405F7"/>
    <w:rsid w:val="00142BA0"/>
    <w:rsid w:val="00143DA4"/>
    <w:rsid w:val="001441F8"/>
    <w:rsid w:val="00144210"/>
    <w:rsid w:val="0014542F"/>
    <w:rsid w:val="00146219"/>
    <w:rsid w:val="00147E31"/>
    <w:rsid w:val="00152FB6"/>
    <w:rsid w:val="001542F3"/>
    <w:rsid w:val="001548CF"/>
    <w:rsid w:val="00156601"/>
    <w:rsid w:val="00157614"/>
    <w:rsid w:val="0016074D"/>
    <w:rsid w:val="00164900"/>
    <w:rsid w:val="001676D8"/>
    <w:rsid w:val="00172A27"/>
    <w:rsid w:val="00173694"/>
    <w:rsid w:val="0017597C"/>
    <w:rsid w:val="0018053D"/>
    <w:rsid w:val="00180C97"/>
    <w:rsid w:val="00180E5E"/>
    <w:rsid w:val="00182EEA"/>
    <w:rsid w:val="0018363A"/>
    <w:rsid w:val="001871E1"/>
    <w:rsid w:val="001907A0"/>
    <w:rsid w:val="001907BC"/>
    <w:rsid w:val="0019172C"/>
    <w:rsid w:val="00191C51"/>
    <w:rsid w:val="00191FE0"/>
    <w:rsid w:val="00197977"/>
    <w:rsid w:val="001A02C6"/>
    <w:rsid w:val="001A4611"/>
    <w:rsid w:val="001A6E1D"/>
    <w:rsid w:val="001A7035"/>
    <w:rsid w:val="001A71D3"/>
    <w:rsid w:val="001A7BCC"/>
    <w:rsid w:val="001B156C"/>
    <w:rsid w:val="001B206F"/>
    <w:rsid w:val="001B2C2B"/>
    <w:rsid w:val="001B564E"/>
    <w:rsid w:val="001C1AB0"/>
    <w:rsid w:val="001C4A11"/>
    <w:rsid w:val="001C6498"/>
    <w:rsid w:val="001C7FC5"/>
    <w:rsid w:val="001D2B8D"/>
    <w:rsid w:val="001D4085"/>
    <w:rsid w:val="001D50A9"/>
    <w:rsid w:val="001E1192"/>
    <w:rsid w:val="001E3766"/>
    <w:rsid w:val="001E4DD7"/>
    <w:rsid w:val="001E57AC"/>
    <w:rsid w:val="001E63EB"/>
    <w:rsid w:val="001E73FF"/>
    <w:rsid w:val="001F0DE7"/>
    <w:rsid w:val="001F3D0C"/>
    <w:rsid w:val="001F50AE"/>
    <w:rsid w:val="00203E55"/>
    <w:rsid w:val="00205C9D"/>
    <w:rsid w:val="002060DB"/>
    <w:rsid w:val="00206B01"/>
    <w:rsid w:val="00206B46"/>
    <w:rsid w:val="0020706B"/>
    <w:rsid w:val="00214270"/>
    <w:rsid w:val="00214BA4"/>
    <w:rsid w:val="00217BE1"/>
    <w:rsid w:val="00220AE1"/>
    <w:rsid w:val="00226CA1"/>
    <w:rsid w:val="00227F82"/>
    <w:rsid w:val="00232250"/>
    <w:rsid w:val="002331CD"/>
    <w:rsid w:val="00242395"/>
    <w:rsid w:val="00242589"/>
    <w:rsid w:val="00243172"/>
    <w:rsid w:val="00243D70"/>
    <w:rsid w:val="00244813"/>
    <w:rsid w:val="0024753B"/>
    <w:rsid w:val="0024762E"/>
    <w:rsid w:val="00247BA5"/>
    <w:rsid w:val="00251B7B"/>
    <w:rsid w:val="002520DB"/>
    <w:rsid w:val="002604FB"/>
    <w:rsid w:val="002612E9"/>
    <w:rsid w:val="00263172"/>
    <w:rsid w:val="00263E33"/>
    <w:rsid w:val="00263E5D"/>
    <w:rsid w:val="00264E80"/>
    <w:rsid w:val="00267DA6"/>
    <w:rsid w:val="002706C6"/>
    <w:rsid w:val="00272407"/>
    <w:rsid w:val="00273665"/>
    <w:rsid w:val="0027412C"/>
    <w:rsid w:val="00275D0D"/>
    <w:rsid w:val="00280B02"/>
    <w:rsid w:val="0028633D"/>
    <w:rsid w:val="0028764F"/>
    <w:rsid w:val="00287DEB"/>
    <w:rsid w:val="0029106A"/>
    <w:rsid w:val="002911A7"/>
    <w:rsid w:val="00291951"/>
    <w:rsid w:val="002933BC"/>
    <w:rsid w:val="002953EE"/>
    <w:rsid w:val="002A0822"/>
    <w:rsid w:val="002A0862"/>
    <w:rsid w:val="002A3B59"/>
    <w:rsid w:val="002A731C"/>
    <w:rsid w:val="002A7693"/>
    <w:rsid w:val="002B49DE"/>
    <w:rsid w:val="002B55AD"/>
    <w:rsid w:val="002B60B2"/>
    <w:rsid w:val="002C012C"/>
    <w:rsid w:val="002C05DC"/>
    <w:rsid w:val="002C21EB"/>
    <w:rsid w:val="002C439E"/>
    <w:rsid w:val="002C5757"/>
    <w:rsid w:val="002C5D77"/>
    <w:rsid w:val="002D1D84"/>
    <w:rsid w:val="002E11FA"/>
    <w:rsid w:val="002E21D6"/>
    <w:rsid w:val="002F1C3F"/>
    <w:rsid w:val="002F44AB"/>
    <w:rsid w:val="002F7973"/>
    <w:rsid w:val="00307693"/>
    <w:rsid w:val="0031024E"/>
    <w:rsid w:val="00312F11"/>
    <w:rsid w:val="003132F6"/>
    <w:rsid w:val="00315407"/>
    <w:rsid w:val="0031645A"/>
    <w:rsid w:val="00322C3A"/>
    <w:rsid w:val="0032760C"/>
    <w:rsid w:val="003313C3"/>
    <w:rsid w:val="00333EE7"/>
    <w:rsid w:val="003363C3"/>
    <w:rsid w:val="0034018A"/>
    <w:rsid w:val="00343216"/>
    <w:rsid w:val="00344CC3"/>
    <w:rsid w:val="0034515E"/>
    <w:rsid w:val="00347FD1"/>
    <w:rsid w:val="003506E6"/>
    <w:rsid w:val="00352DF8"/>
    <w:rsid w:val="00356E00"/>
    <w:rsid w:val="0036466F"/>
    <w:rsid w:val="0036740B"/>
    <w:rsid w:val="003712A9"/>
    <w:rsid w:val="00372944"/>
    <w:rsid w:val="00374FFF"/>
    <w:rsid w:val="003750CC"/>
    <w:rsid w:val="0037593E"/>
    <w:rsid w:val="00376DC7"/>
    <w:rsid w:val="0038083D"/>
    <w:rsid w:val="00384B54"/>
    <w:rsid w:val="00387964"/>
    <w:rsid w:val="0039007B"/>
    <w:rsid w:val="00390399"/>
    <w:rsid w:val="0039079D"/>
    <w:rsid w:val="003919EC"/>
    <w:rsid w:val="003920BE"/>
    <w:rsid w:val="0039236F"/>
    <w:rsid w:val="00392AA2"/>
    <w:rsid w:val="00392F5E"/>
    <w:rsid w:val="00394FAF"/>
    <w:rsid w:val="0039690B"/>
    <w:rsid w:val="003A377A"/>
    <w:rsid w:val="003B1278"/>
    <w:rsid w:val="003C00A3"/>
    <w:rsid w:val="003C047C"/>
    <w:rsid w:val="003C0622"/>
    <w:rsid w:val="003C10E7"/>
    <w:rsid w:val="003C49E8"/>
    <w:rsid w:val="003C5736"/>
    <w:rsid w:val="003D37E8"/>
    <w:rsid w:val="003D3CD8"/>
    <w:rsid w:val="003D5E40"/>
    <w:rsid w:val="003D6BE5"/>
    <w:rsid w:val="003D7EF3"/>
    <w:rsid w:val="003D7FF0"/>
    <w:rsid w:val="003E16C4"/>
    <w:rsid w:val="003E2919"/>
    <w:rsid w:val="003E3C53"/>
    <w:rsid w:val="003E6369"/>
    <w:rsid w:val="003E68B6"/>
    <w:rsid w:val="003F0641"/>
    <w:rsid w:val="003F0EE2"/>
    <w:rsid w:val="003F2581"/>
    <w:rsid w:val="003F3003"/>
    <w:rsid w:val="003F4A08"/>
    <w:rsid w:val="003F640B"/>
    <w:rsid w:val="003F78E3"/>
    <w:rsid w:val="004016BF"/>
    <w:rsid w:val="00402380"/>
    <w:rsid w:val="0040727E"/>
    <w:rsid w:val="00407F86"/>
    <w:rsid w:val="004102C2"/>
    <w:rsid w:val="00412C52"/>
    <w:rsid w:val="0041356F"/>
    <w:rsid w:val="00414470"/>
    <w:rsid w:val="004156F2"/>
    <w:rsid w:val="0041689F"/>
    <w:rsid w:val="00417F32"/>
    <w:rsid w:val="0042114C"/>
    <w:rsid w:val="0042187B"/>
    <w:rsid w:val="00424A8D"/>
    <w:rsid w:val="004250AA"/>
    <w:rsid w:val="004251FE"/>
    <w:rsid w:val="00432769"/>
    <w:rsid w:val="00436630"/>
    <w:rsid w:val="00436685"/>
    <w:rsid w:val="00436978"/>
    <w:rsid w:val="00437ABF"/>
    <w:rsid w:val="004406CE"/>
    <w:rsid w:val="004416B6"/>
    <w:rsid w:val="00444C92"/>
    <w:rsid w:val="00444F7A"/>
    <w:rsid w:val="00446C56"/>
    <w:rsid w:val="00446E9B"/>
    <w:rsid w:val="00447CE1"/>
    <w:rsid w:val="00461176"/>
    <w:rsid w:val="00461419"/>
    <w:rsid w:val="004637D6"/>
    <w:rsid w:val="00465728"/>
    <w:rsid w:val="004720AA"/>
    <w:rsid w:val="0047247F"/>
    <w:rsid w:val="00473A77"/>
    <w:rsid w:val="00475D0F"/>
    <w:rsid w:val="00477022"/>
    <w:rsid w:val="0049123B"/>
    <w:rsid w:val="00496736"/>
    <w:rsid w:val="00497DCD"/>
    <w:rsid w:val="004A4024"/>
    <w:rsid w:val="004A4C34"/>
    <w:rsid w:val="004A5982"/>
    <w:rsid w:val="004A5CFE"/>
    <w:rsid w:val="004A5E6A"/>
    <w:rsid w:val="004B0A18"/>
    <w:rsid w:val="004B2A1B"/>
    <w:rsid w:val="004B2DE5"/>
    <w:rsid w:val="004B331B"/>
    <w:rsid w:val="004B6F1C"/>
    <w:rsid w:val="004C2F4D"/>
    <w:rsid w:val="004C3638"/>
    <w:rsid w:val="004C39A4"/>
    <w:rsid w:val="004C52FF"/>
    <w:rsid w:val="004D070B"/>
    <w:rsid w:val="004D33DF"/>
    <w:rsid w:val="004D58C6"/>
    <w:rsid w:val="004D749D"/>
    <w:rsid w:val="004D7DEA"/>
    <w:rsid w:val="004E04DA"/>
    <w:rsid w:val="004E1D06"/>
    <w:rsid w:val="004E1FA4"/>
    <w:rsid w:val="004E20B1"/>
    <w:rsid w:val="004E3DAA"/>
    <w:rsid w:val="004E4EB8"/>
    <w:rsid w:val="004E6203"/>
    <w:rsid w:val="004F42A1"/>
    <w:rsid w:val="004F5FA6"/>
    <w:rsid w:val="00500581"/>
    <w:rsid w:val="005041BE"/>
    <w:rsid w:val="00505635"/>
    <w:rsid w:val="00507805"/>
    <w:rsid w:val="005134B0"/>
    <w:rsid w:val="0051441E"/>
    <w:rsid w:val="005155D3"/>
    <w:rsid w:val="005204D6"/>
    <w:rsid w:val="00525692"/>
    <w:rsid w:val="00527E66"/>
    <w:rsid w:val="00534945"/>
    <w:rsid w:val="005360A1"/>
    <w:rsid w:val="00537C3E"/>
    <w:rsid w:val="00543555"/>
    <w:rsid w:val="0054431F"/>
    <w:rsid w:val="00544890"/>
    <w:rsid w:val="00547FC6"/>
    <w:rsid w:val="00552615"/>
    <w:rsid w:val="005567B3"/>
    <w:rsid w:val="00560EED"/>
    <w:rsid w:val="005632D3"/>
    <w:rsid w:val="005655D1"/>
    <w:rsid w:val="005658C9"/>
    <w:rsid w:val="00565929"/>
    <w:rsid w:val="005659EE"/>
    <w:rsid w:val="00565D9A"/>
    <w:rsid w:val="00566498"/>
    <w:rsid w:val="005708E6"/>
    <w:rsid w:val="005812C2"/>
    <w:rsid w:val="00583F95"/>
    <w:rsid w:val="00596AF0"/>
    <w:rsid w:val="00597947"/>
    <w:rsid w:val="005A0AF1"/>
    <w:rsid w:val="005A21FC"/>
    <w:rsid w:val="005B1178"/>
    <w:rsid w:val="005B159F"/>
    <w:rsid w:val="005C7BB8"/>
    <w:rsid w:val="005D0FBF"/>
    <w:rsid w:val="005D24E1"/>
    <w:rsid w:val="005D7826"/>
    <w:rsid w:val="005E016C"/>
    <w:rsid w:val="005E07E1"/>
    <w:rsid w:val="005E0E0C"/>
    <w:rsid w:val="005E1EC1"/>
    <w:rsid w:val="005E31A5"/>
    <w:rsid w:val="005E38D2"/>
    <w:rsid w:val="005E4DF6"/>
    <w:rsid w:val="005E6A5B"/>
    <w:rsid w:val="005E7290"/>
    <w:rsid w:val="005E7431"/>
    <w:rsid w:val="005F072F"/>
    <w:rsid w:val="005F0A83"/>
    <w:rsid w:val="005F0D41"/>
    <w:rsid w:val="005F234F"/>
    <w:rsid w:val="005F3C50"/>
    <w:rsid w:val="00601607"/>
    <w:rsid w:val="006047F8"/>
    <w:rsid w:val="006066A6"/>
    <w:rsid w:val="00606CC4"/>
    <w:rsid w:val="006138EE"/>
    <w:rsid w:val="0061452E"/>
    <w:rsid w:val="00614B06"/>
    <w:rsid w:val="00615D9E"/>
    <w:rsid w:val="00621643"/>
    <w:rsid w:val="00624274"/>
    <w:rsid w:val="00626CD9"/>
    <w:rsid w:val="00630956"/>
    <w:rsid w:val="00636115"/>
    <w:rsid w:val="00640016"/>
    <w:rsid w:val="00641EED"/>
    <w:rsid w:val="00642106"/>
    <w:rsid w:val="00644429"/>
    <w:rsid w:val="00646876"/>
    <w:rsid w:val="00647079"/>
    <w:rsid w:val="00647F6C"/>
    <w:rsid w:val="00650DEF"/>
    <w:rsid w:val="00651741"/>
    <w:rsid w:val="00656BC8"/>
    <w:rsid w:val="0066273D"/>
    <w:rsid w:val="00662D0D"/>
    <w:rsid w:val="006642D3"/>
    <w:rsid w:val="006711A5"/>
    <w:rsid w:val="00676441"/>
    <w:rsid w:val="00677567"/>
    <w:rsid w:val="00682BA7"/>
    <w:rsid w:val="00687B7B"/>
    <w:rsid w:val="00691499"/>
    <w:rsid w:val="00692356"/>
    <w:rsid w:val="0069340D"/>
    <w:rsid w:val="006A71EF"/>
    <w:rsid w:val="006A769A"/>
    <w:rsid w:val="006A7A55"/>
    <w:rsid w:val="006B2DDC"/>
    <w:rsid w:val="006B5939"/>
    <w:rsid w:val="006B6D45"/>
    <w:rsid w:val="006B776D"/>
    <w:rsid w:val="006C0C87"/>
    <w:rsid w:val="006C2D83"/>
    <w:rsid w:val="006C3F2E"/>
    <w:rsid w:val="006C4D9E"/>
    <w:rsid w:val="006D10DC"/>
    <w:rsid w:val="006D22CB"/>
    <w:rsid w:val="006D281E"/>
    <w:rsid w:val="006D3823"/>
    <w:rsid w:val="006D3E5C"/>
    <w:rsid w:val="006D41F1"/>
    <w:rsid w:val="006D431A"/>
    <w:rsid w:val="006D6DB9"/>
    <w:rsid w:val="006E149F"/>
    <w:rsid w:val="006E4514"/>
    <w:rsid w:val="006E5C42"/>
    <w:rsid w:val="006F2B5C"/>
    <w:rsid w:val="006F581B"/>
    <w:rsid w:val="006F74F7"/>
    <w:rsid w:val="006F7E68"/>
    <w:rsid w:val="00702AE3"/>
    <w:rsid w:val="0070567E"/>
    <w:rsid w:val="00705ADC"/>
    <w:rsid w:val="0070659F"/>
    <w:rsid w:val="007078C7"/>
    <w:rsid w:val="00713989"/>
    <w:rsid w:val="007148E9"/>
    <w:rsid w:val="00715EA4"/>
    <w:rsid w:val="007165EC"/>
    <w:rsid w:val="0072189F"/>
    <w:rsid w:val="00721C9B"/>
    <w:rsid w:val="0072285B"/>
    <w:rsid w:val="00722909"/>
    <w:rsid w:val="00723249"/>
    <w:rsid w:val="007260DC"/>
    <w:rsid w:val="00726E74"/>
    <w:rsid w:val="00727EF2"/>
    <w:rsid w:val="007309B9"/>
    <w:rsid w:val="00731661"/>
    <w:rsid w:val="00733038"/>
    <w:rsid w:val="0073421A"/>
    <w:rsid w:val="00737E3E"/>
    <w:rsid w:val="00744BE7"/>
    <w:rsid w:val="007455A5"/>
    <w:rsid w:val="00747C3E"/>
    <w:rsid w:val="00750C7B"/>
    <w:rsid w:val="00751783"/>
    <w:rsid w:val="00753FB8"/>
    <w:rsid w:val="00756213"/>
    <w:rsid w:val="00757369"/>
    <w:rsid w:val="00760264"/>
    <w:rsid w:val="0076125E"/>
    <w:rsid w:val="007614A0"/>
    <w:rsid w:val="00766CC5"/>
    <w:rsid w:val="0076789B"/>
    <w:rsid w:val="00771519"/>
    <w:rsid w:val="0077612D"/>
    <w:rsid w:val="0078403F"/>
    <w:rsid w:val="00784977"/>
    <w:rsid w:val="007857C2"/>
    <w:rsid w:val="007951AE"/>
    <w:rsid w:val="007960FC"/>
    <w:rsid w:val="007A1325"/>
    <w:rsid w:val="007A260C"/>
    <w:rsid w:val="007A3D65"/>
    <w:rsid w:val="007A4561"/>
    <w:rsid w:val="007A7FFA"/>
    <w:rsid w:val="007B096A"/>
    <w:rsid w:val="007B5BCC"/>
    <w:rsid w:val="007B63BA"/>
    <w:rsid w:val="007C0582"/>
    <w:rsid w:val="007C2929"/>
    <w:rsid w:val="007C5815"/>
    <w:rsid w:val="007C5A97"/>
    <w:rsid w:val="007D0A9C"/>
    <w:rsid w:val="007D12ED"/>
    <w:rsid w:val="007D518A"/>
    <w:rsid w:val="007D6002"/>
    <w:rsid w:val="007D6F8A"/>
    <w:rsid w:val="007E062F"/>
    <w:rsid w:val="007E5FF6"/>
    <w:rsid w:val="007F0CD4"/>
    <w:rsid w:val="007F15F0"/>
    <w:rsid w:val="007F3EA6"/>
    <w:rsid w:val="007F581B"/>
    <w:rsid w:val="007F6A15"/>
    <w:rsid w:val="00800E4A"/>
    <w:rsid w:val="008015DF"/>
    <w:rsid w:val="00801640"/>
    <w:rsid w:val="0080288E"/>
    <w:rsid w:val="008053EB"/>
    <w:rsid w:val="00805A0A"/>
    <w:rsid w:val="0081201D"/>
    <w:rsid w:val="00812ECD"/>
    <w:rsid w:val="0081473D"/>
    <w:rsid w:val="008157AE"/>
    <w:rsid w:val="008167AB"/>
    <w:rsid w:val="00820A25"/>
    <w:rsid w:val="0082440D"/>
    <w:rsid w:val="00825D97"/>
    <w:rsid w:val="008325FA"/>
    <w:rsid w:val="00833B9B"/>
    <w:rsid w:val="00835356"/>
    <w:rsid w:val="00844F4F"/>
    <w:rsid w:val="008453B8"/>
    <w:rsid w:val="0084547F"/>
    <w:rsid w:val="00845BD8"/>
    <w:rsid w:val="00845CE4"/>
    <w:rsid w:val="008468CD"/>
    <w:rsid w:val="00847827"/>
    <w:rsid w:val="0085148F"/>
    <w:rsid w:val="008526D0"/>
    <w:rsid w:val="00852C63"/>
    <w:rsid w:val="00854541"/>
    <w:rsid w:val="008567A5"/>
    <w:rsid w:val="008616A6"/>
    <w:rsid w:val="00862075"/>
    <w:rsid w:val="008642C8"/>
    <w:rsid w:val="008662A2"/>
    <w:rsid w:val="0087108E"/>
    <w:rsid w:val="00871DE9"/>
    <w:rsid w:val="00880CA7"/>
    <w:rsid w:val="00885CF7"/>
    <w:rsid w:val="00886E69"/>
    <w:rsid w:val="008934FA"/>
    <w:rsid w:val="008A0F83"/>
    <w:rsid w:val="008A175E"/>
    <w:rsid w:val="008A2E40"/>
    <w:rsid w:val="008B0C24"/>
    <w:rsid w:val="008B15BE"/>
    <w:rsid w:val="008B7645"/>
    <w:rsid w:val="008B77E1"/>
    <w:rsid w:val="008C1976"/>
    <w:rsid w:val="008C5857"/>
    <w:rsid w:val="008C771D"/>
    <w:rsid w:val="008D0512"/>
    <w:rsid w:val="008D1468"/>
    <w:rsid w:val="008D28B0"/>
    <w:rsid w:val="008D33D6"/>
    <w:rsid w:val="008D5A00"/>
    <w:rsid w:val="008E0EA8"/>
    <w:rsid w:val="008E573D"/>
    <w:rsid w:val="008E5FB9"/>
    <w:rsid w:val="008F5689"/>
    <w:rsid w:val="008F69BF"/>
    <w:rsid w:val="009003B0"/>
    <w:rsid w:val="009015AD"/>
    <w:rsid w:val="009036DE"/>
    <w:rsid w:val="00903AAF"/>
    <w:rsid w:val="0090416C"/>
    <w:rsid w:val="009043EF"/>
    <w:rsid w:val="00907956"/>
    <w:rsid w:val="0091079F"/>
    <w:rsid w:val="00911F9D"/>
    <w:rsid w:val="00913B55"/>
    <w:rsid w:val="009153E3"/>
    <w:rsid w:val="0091597F"/>
    <w:rsid w:val="009177D8"/>
    <w:rsid w:val="00921DCF"/>
    <w:rsid w:val="00923D59"/>
    <w:rsid w:val="0092464E"/>
    <w:rsid w:val="00924F4C"/>
    <w:rsid w:val="009337F2"/>
    <w:rsid w:val="00934B5A"/>
    <w:rsid w:val="0094138A"/>
    <w:rsid w:val="00946554"/>
    <w:rsid w:val="00953385"/>
    <w:rsid w:val="009536E4"/>
    <w:rsid w:val="009553EB"/>
    <w:rsid w:val="009556E8"/>
    <w:rsid w:val="00960332"/>
    <w:rsid w:val="00963C82"/>
    <w:rsid w:val="0097102B"/>
    <w:rsid w:val="009754A1"/>
    <w:rsid w:val="00975F8C"/>
    <w:rsid w:val="00977A2D"/>
    <w:rsid w:val="00977B6C"/>
    <w:rsid w:val="00977E58"/>
    <w:rsid w:val="00981B94"/>
    <w:rsid w:val="009850DD"/>
    <w:rsid w:val="009852EE"/>
    <w:rsid w:val="009918A8"/>
    <w:rsid w:val="00995CC6"/>
    <w:rsid w:val="009964F7"/>
    <w:rsid w:val="009A07B6"/>
    <w:rsid w:val="009A2934"/>
    <w:rsid w:val="009A3167"/>
    <w:rsid w:val="009A488C"/>
    <w:rsid w:val="009A6B01"/>
    <w:rsid w:val="009B0E77"/>
    <w:rsid w:val="009B7C3D"/>
    <w:rsid w:val="009C21D3"/>
    <w:rsid w:val="009C3BDF"/>
    <w:rsid w:val="009C6399"/>
    <w:rsid w:val="009C700D"/>
    <w:rsid w:val="009D117E"/>
    <w:rsid w:val="009D2C81"/>
    <w:rsid w:val="009D3BCE"/>
    <w:rsid w:val="009D4762"/>
    <w:rsid w:val="009D61D3"/>
    <w:rsid w:val="009D63C3"/>
    <w:rsid w:val="009D6FD8"/>
    <w:rsid w:val="009D7E0C"/>
    <w:rsid w:val="009E0181"/>
    <w:rsid w:val="009E1ED3"/>
    <w:rsid w:val="009E4A95"/>
    <w:rsid w:val="009E6004"/>
    <w:rsid w:val="009F0897"/>
    <w:rsid w:val="009F5345"/>
    <w:rsid w:val="009F53C2"/>
    <w:rsid w:val="009F58A2"/>
    <w:rsid w:val="009F6F50"/>
    <w:rsid w:val="009F7EAE"/>
    <w:rsid w:val="00A00406"/>
    <w:rsid w:val="00A0057C"/>
    <w:rsid w:val="00A016BF"/>
    <w:rsid w:val="00A0210F"/>
    <w:rsid w:val="00A058CF"/>
    <w:rsid w:val="00A072FE"/>
    <w:rsid w:val="00A07475"/>
    <w:rsid w:val="00A07496"/>
    <w:rsid w:val="00A10865"/>
    <w:rsid w:val="00A11537"/>
    <w:rsid w:val="00A11A7A"/>
    <w:rsid w:val="00A128C5"/>
    <w:rsid w:val="00A20055"/>
    <w:rsid w:val="00A210A1"/>
    <w:rsid w:val="00A22D6C"/>
    <w:rsid w:val="00A231F8"/>
    <w:rsid w:val="00A24CA1"/>
    <w:rsid w:val="00A269A7"/>
    <w:rsid w:val="00A31277"/>
    <w:rsid w:val="00A33350"/>
    <w:rsid w:val="00A34428"/>
    <w:rsid w:val="00A44C1F"/>
    <w:rsid w:val="00A452F5"/>
    <w:rsid w:val="00A46DAF"/>
    <w:rsid w:val="00A47C58"/>
    <w:rsid w:val="00A529A1"/>
    <w:rsid w:val="00A52BA6"/>
    <w:rsid w:val="00A52F2C"/>
    <w:rsid w:val="00A54B3F"/>
    <w:rsid w:val="00A60500"/>
    <w:rsid w:val="00A61261"/>
    <w:rsid w:val="00A61FD4"/>
    <w:rsid w:val="00A63AA9"/>
    <w:rsid w:val="00A669E9"/>
    <w:rsid w:val="00A67D0F"/>
    <w:rsid w:val="00A8609D"/>
    <w:rsid w:val="00A86542"/>
    <w:rsid w:val="00A87F7C"/>
    <w:rsid w:val="00A908A5"/>
    <w:rsid w:val="00A91DAE"/>
    <w:rsid w:val="00A9633A"/>
    <w:rsid w:val="00AA46EA"/>
    <w:rsid w:val="00AA559B"/>
    <w:rsid w:val="00AA6EA4"/>
    <w:rsid w:val="00AB29C4"/>
    <w:rsid w:val="00AB60C4"/>
    <w:rsid w:val="00AC14F0"/>
    <w:rsid w:val="00AC2DF7"/>
    <w:rsid w:val="00AC548A"/>
    <w:rsid w:val="00AD5C59"/>
    <w:rsid w:val="00AE270B"/>
    <w:rsid w:val="00AE5064"/>
    <w:rsid w:val="00AE5365"/>
    <w:rsid w:val="00AE55CB"/>
    <w:rsid w:val="00AE71DB"/>
    <w:rsid w:val="00AF3FDF"/>
    <w:rsid w:val="00AF5069"/>
    <w:rsid w:val="00AF564E"/>
    <w:rsid w:val="00B01326"/>
    <w:rsid w:val="00B0164D"/>
    <w:rsid w:val="00B019F5"/>
    <w:rsid w:val="00B02152"/>
    <w:rsid w:val="00B04CC4"/>
    <w:rsid w:val="00B04F4E"/>
    <w:rsid w:val="00B052BC"/>
    <w:rsid w:val="00B05BCA"/>
    <w:rsid w:val="00B05CB2"/>
    <w:rsid w:val="00B05F14"/>
    <w:rsid w:val="00B146C7"/>
    <w:rsid w:val="00B222AE"/>
    <w:rsid w:val="00B22D6C"/>
    <w:rsid w:val="00B31B65"/>
    <w:rsid w:val="00B33B98"/>
    <w:rsid w:val="00B349F7"/>
    <w:rsid w:val="00B3578A"/>
    <w:rsid w:val="00B422E2"/>
    <w:rsid w:val="00B431EF"/>
    <w:rsid w:val="00B51ADD"/>
    <w:rsid w:val="00B553D8"/>
    <w:rsid w:val="00B569AD"/>
    <w:rsid w:val="00B56E34"/>
    <w:rsid w:val="00B57039"/>
    <w:rsid w:val="00B57263"/>
    <w:rsid w:val="00B6093A"/>
    <w:rsid w:val="00B62EAA"/>
    <w:rsid w:val="00B668D2"/>
    <w:rsid w:val="00B72C1F"/>
    <w:rsid w:val="00B73C5F"/>
    <w:rsid w:val="00B74177"/>
    <w:rsid w:val="00B76D53"/>
    <w:rsid w:val="00B82656"/>
    <w:rsid w:val="00B83704"/>
    <w:rsid w:val="00B90CC2"/>
    <w:rsid w:val="00B93330"/>
    <w:rsid w:val="00B96017"/>
    <w:rsid w:val="00B96778"/>
    <w:rsid w:val="00BA0EB4"/>
    <w:rsid w:val="00BA2BEC"/>
    <w:rsid w:val="00BA498C"/>
    <w:rsid w:val="00BA4E80"/>
    <w:rsid w:val="00BA56B6"/>
    <w:rsid w:val="00BB60A8"/>
    <w:rsid w:val="00BC2BF8"/>
    <w:rsid w:val="00BC3E88"/>
    <w:rsid w:val="00BC7EFD"/>
    <w:rsid w:val="00BD0BA4"/>
    <w:rsid w:val="00BD15B8"/>
    <w:rsid w:val="00BD1F78"/>
    <w:rsid w:val="00BD1FC3"/>
    <w:rsid w:val="00BE1259"/>
    <w:rsid w:val="00BE73A7"/>
    <w:rsid w:val="00BF0647"/>
    <w:rsid w:val="00BF0E5F"/>
    <w:rsid w:val="00BF33D3"/>
    <w:rsid w:val="00C00CEE"/>
    <w:rsid w:val="00C06624"/>
    <w:rsid w:val="00C10B17"/>
    <w:rsid w:val="00C117C2"/>
    <w:rsid w:val="00C11868"/>
    <w:rsid w:val="00C16188"/>
    <w:rsid w:val="00C22374"/>
    <w:rsid w:val="00C2276F"/>
    <w:rsid w:val="00C23FFB"/>
    <w:rsid w:val="00C2698A"/>
    <w:rsid w:val="00C308CC"/>
    <w:rsid w:val="00C30A7C"/>
    <w:rsid w:val="00C30E54"/>
    <w:rsid w:val="00C32BC8"/>
    <w:rsid w:val="00C34157"/>
    <w:rsid w:val="00C348C3"/>
    <w:rsid w:val="00C41CE3"/>
    <w:rsid w:val="00C41EAE"/>
    <w:rsid w:val="00C44CDE"/>
    <w:rsid w:val="00C515F8"/>
    <w:rsid w:val="00C5195C"/>
    <w:rsid w:val="00C52063"/>
    <w:rsid w:val="00C60D35"/>
    <w:rsid w:val="00C61427"/>
    <w:rsid w:val="00C62122"/>
    <w:rsid w:val="00C6411B"/>
    <w:rsid w:val="00C66CD2"/>
    <w:rsid w:val="00C72429"/>
    <w:rsid w:val="00C75D95"/>
    <w:rsid w:val="00C76049"/>
    <w:rsid w:val="00C770CC"/>
    <w:rsid w:val="00C770DB"/>
    <w:rsid w:val="00C80786"/>
    <w:rsid w:val="00C807F9"/>
    <w:rsid w:val="00C81852"/>
    <w:rsid w:val="00C81D03"/>
    <w:rsid w:val="00C830AA"/>
    <w:rsid w:val="00C83E2E"/>
    <w:rsid w:val="00C853F1"/>
    <w:rsid w:val="00C8640F"/>
    <w:rsid w:val="00C90C57"/>
    <w:rsid w:val="00C927C0"/>
    <w:rsid w:val="00C92A41"/>
    <w:rsid w:val="00CA629B"/>
    <w:rsid w:val="00CA67FB"/>
    <w:rsid w:val="00CA77CE"/>
    <w:rsid w:val="00CB0887"/>
    <w:rsid w:val="00CC1988"/>
    <w:rsid w:val="00CC19AA"/>
    <w:rsid w:val="00CC3865"/>
    <w:rsid w:val="00CC5C28"/>
    <w:rsid w:val="00CC6A6D"/>
    <w:rsid w:val="00CD01A6"/>
    <w:rsid w:val="00CD314C"/>
    <w:rsid w:val="00CD4E1A"/>
    <w:rsid w:val="00CD5D7A"/>
    <w:rsid w:val="00CD740C"/>
    <w:rsid w:val="00CE1BE6"/>
    <w:rsid w:val="00CE36B8"/>
    <w:rsid w:val="00CE4D5D"/>
    <w:rsid w:val="00CE6E37"/>
    <w:rsid w:val="00CE7334"/>
    <w:rsid w:val="00CF161B"/>
    <w:rsid w:val="00CF21E2"/>
    <w:rsid w:val="00CF4907"/>
    <w:rsid w:val="00CF7BA7"/>
    <w:rsid w:val="00D00EA8"/>
    <w:rsid w:val="00D01135"/>
    <w:rsid w:val="00D015C5"/>
    <w:rsid w:val="00D03455"/>
    <w:rsid w:val="00D05BF5"/>
    <w:rsid w:val="00D0705D"/>
    <w:rsid w:val="00D10173"/>
    <w:rsid w:val="00D14C73"/>
    <w:rsid w:val="00D21760"/>
    <w:rsid w:val="00D23BBE"/>
    <w:rsid w:val="00D27AF2"/>
    <w:rsid w:val="00D27DC8"/>
    <w:rsid w:val="00D32D8D"/>
    <w:rsid w:val="00D33266"/>
    <w:rsid w:val="00D33644"/>
    <w:rsid w:val="00D413DB"/>
    <w:rsid w:val="00D41D85"/>
    <w:rsid w:val="00D41E86"/>
    <w:rsid w:val="00D4220E"/>
    <w:rsid w:val="00D42316"/>
    <w:rsid w:val="00D427FC"/>
    <w:rsid w:val="00D44D3A"/>
    <w:rsid w:val="00D44F9B"/>
    <w:rsid w:val="00D45885"/>
    <w:rsid w:val="00D45961"/>
    <w:rsid w:val="00D45983"/>
    <w:rsid w:val="00D459BF"/>
    <w:rsid w:val="00D47231"/>
    <w:rsid w:val="00D47A53"/>
    <w:rsid w:val="00D52E6E"/>
    <w:rsid w:val="00D54B02"/>
    <w:rsid w:val="00D54B69"/>
    <w:rsid w:val="00D554CB"/>
    <w:rsid w:val="00D564B6"/>
    <w:rsid w:val="00D60680"/>
    <w:rsid w:val="00D61B4E"/>
    <w:rsid w:val="00D726C9"/>
    <w:rsid w:val="00D740C4"/>
    <w:rsid w:val="00D77B55"/>
    <w:rsid w:val="00D77F22"/>
    <w:rsid w:val="00D800EA"/>
    <w:rsid w:val="00D83991"/>
    <w:rsid w:val="00D83A75"/>
    <w:rsid w:val="00D848FF"/>
    <w:rsid w:val="00D86515"/>
    <w:rsid w:val="00D92DBF"/>
    <w:rsid w:val="00D942F0"/>
    <w:rsid w:val="00D95DA1"/>
    <w:rsid w:val="00D9704A"/>
    <w:rsid w:val="00DA2837"/>
    <w:rsid w:val="00DA2C69"/>
    <w:rsid w:val="00DA3DE8"/>
    <w:rsid w:val="00DA4A1F"/>
    <w:rsid w:val="00DB0341"/>
    <w:rsid w:val="00DB1144"/>
    <w:rsid w:val="00DB1A6E"/>
    <w:rsid w:val="00DB3373"/>
    <w:rsid w:val="00DB3ACE"/>
    <w:rsid w:val="00DB4415"/>
    <w:rsid w:val="00DB662D"/>
    <w:rsid w:val="00DB6793"/>
    <w:rsid w:val="00DC4310"/>
    <w:rsid w:val="00DC69A7"/>
    <w:rsid w:val="00DC7E56"/>
    <w:rsid w:val="00DD027C"/>
    <w:rsid w:val="00DD07D3"/>
    <w:rsid w:val="00DD19A1"/>
    <w:rsid w:val="00DD1ADD"/>
    <w:rsid w:val="00DD2557"/>
    <w:rsid w:val="00DE0934"/>
    <w:rsid w:val="00DE105F"/>
    <w:rsid w:val="00DE2090"/>
    <w:rsid w:val="00DE658A"/>
    <w:rsid w:val="00DE6720"/>
    <w:rsid w:val="00DF0BEC"/>
    <w:rsid w:val="00DF47DD"/>
    <w:rsid w:val="00DF6599"/>
    <w:rsid w:val="00DF73FE"/>
    <w:rsid w:val="00DF7AC0"/>
    <w:rsid w:val="00E01478"/>
    <w:rsid w:val="00E01655"/>
    <w:rsid w:val="00E01E5D"/>
    <w:rsid w:val="00E04274"/>
    <w:rsid w:val="00E11DC5"/>
    <w:rsid w:val="00E12295"/>
    <w:rsid w:val="00E20C05"/>
    <w:rsid w:val="00E22B62"/>
    <w:rsid w:val="00E2632C"/>
    <w:rsid w:val="00E31C4A"/>
    <w:rsid w:val="00E377AB"/>
    <w:rsid w:val="00E40AE7"/>
    <w:rsid w:val="00E41741"/>
    <w:rsid w:val="00E42612"/>
    <w:rsid w:val="00E458D6"/>
    <w:rsid w:val="00E53A1D"/>
    <w:rsid w:val="00E560DE"/>
    <w:rsid w:val="00E56786"/>
    <w:rsid w:val="00E63C72"/>
    <w:rsid w:val="00E66114"/>
    <w:rsid w:val="00E67CC2"/>
    <w:rsid w:val="00E720E0"/>
    <w:rsid w:val="00E735DF"/>
    <w:rsid w:val="00E77782"/>
    <w:rsid w:val="00E77DC4"/>
    <w:rsid w:val="00E84161"/>
    <w:rsid w:val="00E854ED"/>
    <w:rsid w:val="00E8595D"/>
    <w:rsid w:val="00E86E90"/>
    <w:rsid w:val="00E913DD"/>
    <w:rsid w:val="00E91D89"/>
    <w:rsid w:val="00E94946"/>
    <w:rsid w:val="00E957DC"/>
    <w:rsid w:val="00E96F22"/>
    <w:rsid w:val="00EA2BEB"/>
    <w:rsid w:val="00EA35ED"/>
    <w:rsid w:val="00EA7259"/>
    <w:rsid w:val="00EA7F9E"/>
    <w:rsid w:val="00EB1926"/>
    <w:rsid w:val="00EB2560"/>
    <w:rsid w:val="00EB44D6"/>
    <w:rsid w:val="00EB5268"/>
    <w:rsid w:val="00EB5BA6"/>
    <w:rsid w:val="00EB5CE9"/>
    <w:rsid w:val="00EB69EC"/>
    <w:rsid w:val="00EB7D02"/>
    <w:rsid w:val="00EC0D33"/>
    <w:rsid w:val="00EC243C"/>
    <w:rsid w:val="00EC3D5E"/>
    <w:rsid w:val="00EC5C8F"/>
    <w:rsid w:val="00ED3252"/>
    <w:rsid w:val="00ED625C"/>
    <w:rsid w:val="00EE1A96"/>
    <w:rsid w:val="00EE3359"/>
    <w:rsid w:val="00EE6CEB"/>
    <w:rsid w:val="00EF2329"/>
    <w:rsid w:val="00EF3750"/>
    <w:rsid w:val="00EF3AD0"/>
    <w:rsid w:val="00EF51D9"/>
    <w:rsid w:val="00EF6670"/>
    <w:rsid w:val="00EF7867"/>
    <w:rsid w:val="00F007F5"/>
    <w:rsid w:val="00F034DE"/>
    <w:rsid w:val="00F050C5"/>
    <w:rsid w:val="00F105BB"/>
    <w:rsid w:val="00F11D13"/>
    <w:rsid w:val="00F15BC0"/>
    <w:rsid w:val="00F22E11"/>
    <w:rsid w:val="00F245AA"/>
    <w:rsid w:val="00F32201"/>
    <w:rsid w:val="00F346F0"/>
    <w:rsid w:val="00F34780"/>
    <w:rsid w:val="00F42462"/>
    <w:rsid w:val="00F429FB"/>
    <w:rsid w:val="00F42C07"/>
    <w:rsid w:val="00F43025"/>
    <w:rsid w:val="00F43CA0"/>
    <w:rsid w:val="00F479AC"/>
    <w:rsid w:val="00F47AC0"/>
    <w:rsid w:val="00F50C5F"/>
    <w:rsid w:val="00F537E6"/>
    <w:rsid w:val="00F54C72"/>
    <w:rsid w:val="00F5586D"/>
    <w:rsid w:val="00F56F36"/>
    <w:rsid w:val="00F579C1"/>
    <w:rsid w:val="00F605C6"/>
    <w:rsid w:val="00F61705"/>
    <w:rsid w:val="00F75A94"/>
    <w:rsid w:val="00F7643C"/>
    <w:rsid w:val="00F866DF"/>
    <w:rsid w:val="00F875C5"/>
    <w:rsid w:val="00F87BB1"/>
    <w:rsid w:val="00F91449"/>
    <w:rsid w:val="00F91525"/>
    <w:rsid w:val="00F93A2D"/>
    <w:rsid w:val="00F945F2"/>
    <w:rsid w:val="00F9606C"/>
    <w:rsid w:val="00F96E1E"/>
    <w:rsid w:val="00F973C9"/>
    <w:rsid w:val="00FA017F"/>
    <w:rsid w:val="00FA5652"/>
    <w:rsid w:val="00FA614A"/>
    <w:rsid w:val="00FA66DE"/>
    <w:rsid w:val="00FB1DF1"/>
    <w:rsid w:val="00FB2DEF"/>
    <w:rsid w:val="00FB4149"/>
    <w:rsid w:val="00FB57F6"/>
    <w:rsid w:val="00FB7D78"/>
    <w:rsid w:val="00FC429A"/>
    <w:rsid w:val="00FC451B"/>
    <w:rsid w:val="00FC4EB6"/>
    <w:rsid w:val="00FC52B0"/>
    <w:rsid w:val="00FC6596"/>
    <w:rsid w:val="00FC69D4"/>
    <w:rsid w:val="00FD1348"/>
    <w:rsid w:val="00FD4B23"/>
    <w:rsid w:val="00FE15C5"/>
    <w:rsid w:val="00FE1DB5"/>
    <w:rsid w:val="00FE1F54"/>
    <w:rsid w:val="00FE5BA5"/>
    <w:rsid w:val="00FE7174"/>
    <w:rsid w:val="00FF018C"/>
    <w:rsid w:val="00FF0713"/>
    <w:rsid w:val="00FF1DC6"/>
    <w:rsid w:val="00FF6F97"/>
    <w:rsid w:val="00FF7089"/>
    <w:rsid w:val="02572AE5"/>
    <w:rsid w:val="04C11975"/>
    <w:rsid w:val="0A6A2600"/>
    <w:rsid w:val="139C0E96"/>
    <w:rsid w:val="14FF4F96"/>
    <w:rsid w:val="1ABA10A7"/>
    <w:rsid w:val="1E275617"/>
    <w:rsid w:val="1E30627B"/>
    <w:rsid w:val="21D87D2C"/>
    <w:rsid w:val="260A68F0"/>
    <w:rsid w:val="266A7818"/>
    <w:rsid w:val="27B82FFC"/>
    <w:rsid w:val="2D8B2DA5"/>
    <w:rsid w:val="30A14707"/>
    <w:rsid w:val="37B2257B"/>
    <w:rsid w:val="3A2A1B78"/>
    <w:rsid w:val="3A34222E"/>
    <w:rsid w:val="3AC577F8"/>
    <w:rsid w:val="4712320E"/>
    <w:rsid w:val="49B61922"/>
    <w:rsid w:val="4B3D4E7B"/>
    <w:rsid w:val="4B612DEF"/>
    <w:rsid w:val="4E0C1ED3"/>
    <w:rsid w:val="517E0914"/>
    <w:rsid w:val="51871A66"/>
    <w:rsid w:val="5D0B16A4"/>
    <w:rsid w:val="5DF337A2"/>
    <w:rsid w:val="62314002"/>
    <w:rsid w:val="63144C62"/>
    <w:rsid w:val="70344EA3"/>
    <w:rsid w:val="71C852BA"/>
    <w:rsid w:val="7DDF5E0F"/>
    <w:rsid w:val="7E41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left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b/>
      <w:bCs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39"/>
    <w:pPr>
      <w:ind w:left="1800"/>
      <w:jc w:val="left"/>
    </w:pPr>
    <w:rPr>
      <w:sz w:val="18"/>
      <w:szCs w:val="18"/>
    </w:rPr>
  </w:style>
  <w:style w:type="paragraph" w:styleId="6">
    <w:name w:val="Document Map"/>
    <w:basedOn w:val="1"/>
    <w:link w:val="35"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32"/>
    <w:unhideWhenUsed/>
    <w:qFormat/>
    <w:uiPriority w:val="99"/>
    <w:pPr>
      <w:jc w:val="left"/>
    </w:pPr>
  </w:style>
  <w:style w:type="paragraph" w:styleId="8">
    <w:name w:val="toc 5"/>
    <w:basedOn w:val="1"/>
    <w:next w:val="1"/>
    <w:qFormat/>
    <w:uiPriority w:val="39"/>
    <w:pPr>
      <w:ind w:left="1200"/>
      <w:jc w:val="left"/>
    </w:pPr>
    <w:rPr>
      <w:sz w:val="18"/>
      <w:szCs w:val="18"/>
    </w:rPr>
  </w:style>
  <w:style w:type="paragraph" w:styleId="9">
    <w:name w:val="toc 3"/>
    <w:basedOn w:val="1"/>
    <w:next w:val="1"/>
    <w:qFormat/>
    <w:uiPriority w:val="39"/>
    <w:pPr>
      <w:spacing w:line="300" w:lineRule="exact"/>
      <w:ind w:left="567"/>
      <w:jc w:val="left"/>
    </w:pPr>
    <w:rPr>
      <w:iCs/>
      <w:sz w:val="28"/>
      <w:szCs w:val="20"/>
    </w:rPr>
  </w:style>
  <w:style w:type="paragraph" w:styleId="10">
    <w:name w:val="toc 8"/>
    <w:basedOn w:val="1"/>
    <w:next w:val="1"/>
    <w:qFormat/>
    <w:uiPriority w:val="39"/>
    <w:pPr>
      <w:ind w:left="2100"/>
      <w:jc w:val="left"/>
    </w:pPr>
    <w:rPr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  <w:rPr>
      <w:rFonts w:eastAsia="宋体"/>
      <w:sz w:val="21"/>
    </w:rPr>
  </w:style>
  <w:style w:type="paragraph" w:styleId="12">
    <w:name w:val="Balloon Text"/>
    <w:basedOn w:val="1"/>
    <w:link w:val="29"/>
    <w:qFormat/>
    <w:uiPriority w:val="0"/>
    <w:rPr>
      <w:sz w:val="18"/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8"/>
      <w:szCs w:val="20"/>
    </w:rPr>
  </w:style>
  <w:style w:type="paragraph" w:styleId="16">
    <w:name w:val="toc 4"/>
    <w:basedOn w:val="1"/>
    <w:next w:val="1"/>
    <w:qFormat/>
    <w:uiPriority w:val="39"/>
    <w:pPr>
      <w:tabs>
        <w:tab w:val="right" w:leader="dot" w:pos="8693"/>
      </w:tabs>
      <w:spacing w:line="300" w:lineRule="exact"/>
      <w:ind w:left="902"/>
      <w:jc w:val="left"/>
    </w:pPr>
    <w:rPr>
      <w:sz w:val="28"/>
      <w:szCs w:val="18"/>
    </w:rPr>
  </w:style>
  <w:style w:type="paragraph" w:styleId="17">
    <w:name w:val="toc 6"/>
    <w:basedOn w:val="1"/>
    <w:next w:val="1"/>
    <w:qFormat/>
    <w:uiPriority w:val="39"/>
    <w:pPr>
      <w:ind w:left="1500"/>
      <w:jc w:val="left"/>
    </w:pPr>
    <w:rPr>
      <w:sz w:val="18"/>
      <w:szCs w:val="18"/>
    </w:rPr>
  </w:style>
  <w:style w:type="paragraph" w:styleId="18">
    <w:name w:val="toc 2"/>
    <w:basedOn w:val="1"/>
    <w:next w:val="1"/>
    <w:qFormat/>
    <w:uiPriority w:val="39"/>
    <w:pPr>
      <w:spacing w:line="300" w:lineRule="exact"/>
      <w:jc w:val="left"/>
    </w:pPr>
    <w:rPr>
      <w:smallCaps/>
      <w:sz w:val="28"/>
      <w:szCs w:val="20"/>
    </w:rPr>
  </w:style>
  <w:style w:type="paragraph" w:styleId="19">
    <w:name w:val="toc 9"/>
    <w:basedOn w:val="1"/>
    <w:next w:val="1"/>
    <w:qFormat/>
    <w:uiPriority w:val="39"/>
    <w:pPr>
      <w:ind w:left="2400"/>
      <w:jc w:val="left"/>
    </w:pPr>
    <w:rPr>
      <w:sz w:val="18"/>
      <w:szCs w:val="18"/>
    </w:rPr>
  </w:style>
  <w:style w:type="paragraph" w:styleId="20">
    <w:name w:val="Title"/>
    <w:basedOn w:val="1"/>
    <w:next w:val="1"/>
    <w:link w:val="28"/>
    <w:qFormat/>
    <w:uiPriority w:val="10"/>
    <w:pPr>
      <w:jc w:val="left"/>
      <w:outlineLvl w:val="3"/>
    </w:pPr>
    <w:rPr>
      <w:rFonts w:ascii="Cambria" w:hAnsi="Cambria"/>
      <w:bCs/>
      <w:szCs w:val="32"/>
    </w:rPr>
  </w:style>
  <w:style w:type="paragraph" w:styleId="21">
    <w:name w:val="annotation subject"/>
    <w:basedOn w:val="7"/>
    <w:next w:val="7"/>
    <w:link w:val="34"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basedOn w:val="24"/>
    <w:unhideWhenUsed/>
    <w:qFormat/>
    <w:uiPriority w:val="99"/>
    <w:rPr>
      <w:sz w:val="21"/>
      <w:szCs w:val="21"/>
    </w:rPr>
  </w:style>
  <w:style w:type="character" w:customStyle="1" w:styleId="28">
    <w:name w:val="标题 Char"/>
    <w:basedOn w:val="24"/>
    <w:link w:val="20"/>
    <w:qFormat/>
    <w:uiPriority w:val="10"/>
    <w:rPr>
      <w:rFonts w:ascii="Cambria" w:hAnsi="Cambria" w:eastAsia="仿宋_GB2312" w:cs="Times New Roman"/>
      <w:bCs/>
      <w:kern w:val="2"/>
      <w:sz w:val="24"/>
      <w:szCs w:val="32"/>
    </w:rPr>
  </w:style>
  <w:style w:type="character" w:customStyle="1" w:styleId="29">
    <w:name w:val="批注框文本 Char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30">
    <w:name w:val="页脚 Char"/>
    <w:link w:val="13"/>
    <w:qFormat/>
    <w:uiPriority w:val="99"/>
    <w:rPr>
      <w:rFonts w:eastAsia="仿宋_GB2312"/>
      <w:kern w:val="2"/>
      <w:sz w:val="18"/>
      <w:szCs w:val="18"/>
    </w:rPr>
  </w:style>
  <w:style w:type="character" w:customStyle="1" w:styleId="31">
    <w:name w:val="apple-converted-space"/>
    <w:basedOn w:val="24"/>
    <w:qFormat/>
    <w:uiPriority w:val="0"/>
  </w:style>
  <w:style w:type="character" w:customStyle="1" w:styleId="32">
    <w:name w:val="批注文字 Char"/>
    <w:basedOn w:val="24"/>
    <w:link w:val="7"/>
    <w:semiHidden/>
    <w:qFormat/>
    <w:uiPriority w:val="99"/>
    <w:rPr>
      <w:rFonts w:eastAsia="仿宋_GB2312"/>
      <w:kern w:val="2"/>
      <w:sz w:val="24"/>
      <w:szCs w:val="24"/>
    </w:rPr>
  </w:style>
  <w:style w:type="character" w:customStyle="1" w:styleId="33">
    <w:name w:val="页眉 Char"/>
    <w:link w:val="14"/>
    <w:qFormat/>
    <w:uiPriority w:val="0"/>
    <w:rPr>
      <w:rFonts w:eastAsia="仿宋_GB2312"/>
      <w:kern w:val="2"/>
      <w:sz w:val="18"/>
      <w:szCs w:val="18"/>
    </w:rPr>
  </w:style>
  <w:style w:type="character" w:customStyle="1" w:styleId="34">
    <w:name w:val="批注主题 Char"/>
    <w:basedOn w:val="32"/>
    <w:link w:val="21"/>
    <w:semiHidden/>
    <w:qFormat/>
    <w:uiPriority w:val="99"/>
    <w:rPr>
      <w:rFonts w:eastAsia="仿宋_GB2312"/>
      <w:b/>
      <w:bCs/>
      <w:kern w:val="2"/>
      <w:sz w:val="24"/>
      <w:szCs w:val="24"/>
    </w:rPr>
  </w:style>
  <w:style w:type="character" w:customStyle="1" w:styleId="35">
    <w:name w:val="文档结构图 Char"/>
    <w:basedOn w:val="24"/>
    <w:link w:val="6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36">
    <w:name w:val="_Style 1"/>
    <w:basedOn w:val="1"/>
    <w:qFormat/>
    <w:uiPriority w:val="0"/>
    <w:rPr>
      <w:rFonts w:eastAsia="宋体"/>
      <w:sz w:val="21"/>
    </w:rPr>
  </w:style>
  <w:style w:type="paragraph" w:styleId="37">
    <w:name w:val="No Spacing"/>
    <w:qFormat/>
    <w:uiPriority w:val="1"/>
    <w:pPr>
      <w:widowControl w:val="0"/>
      <w:spacing w:line="360" w:lineRule="auto"/>
      <w:ind w:firstLine="200" w:firstLineChars="200"/>
      <w:outlineLvl w:val="2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38">
    <w:name w:val="TOC Heading"/>
    <w:basedOn w:val="2"/>
    <w:next w:val="1"/>
    <w:qFormat/>
    <w:uiPriority w:val="39"/>
    <w:pPr>
      <w:widowControl/>
      <w:spacing w:before="480" w:line="276" w:lineRule="auto"/>
      <w:outlineLvl w:val="9"/>
    </w:pPr>
    <w:rPr>
      <w:rFonts w:ascii="Cambria" w:hAnsi="Cambria" w:eastAsia="宋体"/>
      <w:color w:val="365F91"/>
      <w:kern w:val="0"/>
      <w:szCs w:val="28"/>
    </w:rPr>
  </w:style>
  <w:style w:type="paragraph" w:customStyle="1" w:styleId="39">
    <w:name w:val="列出段落1"/>
    <w:basedOn w:val="1"/>
    <w:qFormat/>
    <w:uiPriority w:val="34"/>
    <w:pPr>
      <w:ind w:firstLine="420"/>
    </w:pPr>
  </w:style>
  <w:style w:type="paragraph" w:styleId="40">
    <w:name w:val="List Paragraph"/>
    <w:basedOn w:val="1"/>
    <w:qFormat/>
    <w:uiPriority w:val="34"/>
    <w:pPr>
      <w:ind w:firstLine="420"/>
    </w:pPr>
  </w:style>
  <w:style w:type="paragraph" w:customStyle="1" w:styleId="41">
    <w:name w:val="Revision"/>
    <w:semiHidden/>
    <w:qFormat/>
    <w:uiPriority w:val="99"/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42">
    <w:name w:val="标题 2 Char"/>
    <w:basedOn w:val="2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2E6F5-C633-4B15-917B-8A4A2F076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1442</Words>
  <Characters>8220</Characters>
  <Lines>68</Lines>
  <Paragraphs>19</Paragraphs>
  <TotalTime>34</TotalTime>
  <ScaleCrop>false</ScaleCrop>
  <LinksUpToDate>false</LinksUpToDate>
  <CharactersWithSpaces>9643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2017-03-14T02:32:00Z</dcterms:created>
  <dc:creator>lhn</dc:creator>
  <cp:lastModifiedBy>21656</cp:lastModifiedBy>
  <cp:lastPrinted>2015-12-10T09:13:00Z</cp:lastPrinted>
  <dcterms:modified xsi:type="dcterms:W3CDTF">2020-06-29T03:15:55Z</dcterms:modified>
  <dc:title>财政支出绩效评价报告</dc:title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