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firstLine="883"/>
        <w:jc w:val="center"/>
        <w:rPr>
          <w:rFonts w:ascii="宋体" w:hAnsi="宋体" w:eastAsia="宋体"/>
          <w:b/>
          <w:color w:val="000000"/>
          <w:sz w:val="44"/>
          <w:szCs w:val="44"/>
          <w:highlight w:val="none"/>
        </w:rPr>
      </w:pPr>
    </w:p>
    <w:p>
      <w:pPr>
        <w:shd w:val="clear"/>
        <w:ind w:firstLine="883"/>
        <w:jc w:val="center"/>
        <w:rPr>
          <w:rFonts w:ascii="宋体" w:hAnsi="宋体" w:eastAsia="宋体"/>
          <w:b/>
          <w:color w:val="000000"/>
          <w:sz w:val="44"/>
          <w:szCs w:val="44"/>
          <w:highlight w:val="none"/>
        </w:rPr>
      </w:pPr>
    </w:p>
    <w:p>
      <w:pPr>
        <w:shd w:val="clear"/>
        <w:ind w:firstLine="0" w:firstLineChars="0"/>
        <w:jc w:val="center"/>
        <w:rPr>
          <w:rFonts w:hint="eastAsia" w:ascii="仿宋" w:hAnsi="仿宋" w:eastAsia="仿宋"/>
          <w:b/>
          <w:color w:val="000000"/>
          <w:sz w:val="44"/>
          <w:szCs w:val="44"/>
          <w:highlight w:val="none"/>
          <w:lang w:eastAsia="zh-CN"/>
        </w:rPr>
      </w:pPr>
      <w:r>
        <w:rPr>
          <w:rFonts w:hint="eastAsia" w:ascii="仿宋" w:hAnsi="仿宋" w:eastAsia="仿宋"/>
          <w:b/>
          <w:color w:val="000000"/>
          <w:sz w:val="44"/>
          <w:szCs w:val="44"/>
          <w:highlight w:val="none"/>
          <w:lang w:eastAsia="zh-CN"/>
        </w:rPr>
        <w:t>武汉经济技术开发区（汉南区）人力资源局</w:t>
      </w:r>
    </w:p>
    <w:p>
      <w:pPr>
        <w:shd w:val="clear"/>
        <w:ind w:firstLine="0" w:firstLineChars="0"/>
        <w:jc w:val="center"/>
        <w:rPr>
          <w:rFonts w:hint="default" w:ascii="仿宋" w:hAnsi="仿宋" w:eastAsia="仿宋"/>
          <w:b/>
          <w:bCs/>
          <w:color w:val="000000"/>
          <w:sz w:val="44"/>
          <w:szCs w:val="44"/>
          <w:highlight w:val="none"/>
          <w:lang w:val="en-US" w:eastAsia="zh-CN"/>
        </w:rPr>
      </w:pPr>
      <w:r>
        <w:rPr>
          <w:rFonts w:hint="eastAsia" w:ascii="仿宋" w:hAnsi="仿宋" w:eastAsia="仿宋"/>
          <w:b/>
          <w:bCs/>
          <w:color w:val="000000"/>
          <w:sz w:val="44"/>
          <w:szCs w:val="44"/>
          <w:highlight w:val="none"/>
          <w:lang w:val="en-US" w:eastAsia="zh-CN"/>
        </w:rPr>
        <w:t>干部培训、档案管理及公开招录经费</w:t>
      </w:r>
    </w:p>
    <w:p>
      <w:pPr>
        <w:shd w:val="clear"/>
        <w:ind w:firstLine="0" w:firstLineChars="0"/>
        <w:jc w:val="center"/>
        <w:rPr>
          <w:rFonts w:ascii="仿宋" w:hAnsi="仿宋" w:eastAsia="仿宋"/>
          <w:b/>
          <w:bCs/>
          <w:color w:val="000000"/>
          <w:sz w:val="44"/>
          <w:szCs w:val="44"/>
          <w:highlight w:val="none"/>
        </w:rPr>
      </w:pPr>
      <w:r>
        <w:rPr>
          <w:rFonts w:hint="eastAsia" w:ascii="仿宋" w:hAnsi="仿宋" w:eastAsia="仿宋"/>
          <w:b/>
          <w:bCs/>
          <w:color w:val="000000"/>
          <w:sz w:val="44"/>
          <w:szCs w:val="44"/>
          <w:highlight w:val="none"/>
        </w:rPr>
        <w:t>201</w:t>
      </w:r>
      <w:r>
        <w:rPr>
          <w:rFonts w:hint="eastAsia" w:ascii="仿宋" w:hAnsi="仿宋" w:eastAsia="仿宋"/>
          <w:b/>
          <w:bCs/>
          <w:color w:val="000000"/>
          <w:sz w:val="44"/>
          <w:szCs w:val="44"/>
          <w:highlight w:val="none"/>
          <w:lang w:val="en-US" w:eastAsia="zh-CN"/>
        </w:rPr>
        <w:t>9</w:t>
      </w:r>
      <w:r>
        <w:rPr>
          <w:rFonts w:hint="eastAsia" w:ascii="仿宋" w:hAnsi="仿宋" w:eastAsia="仿宋"/>
          <w:b/>
          <w:bCs/>
          <w:color w:val="000000"/>
          <w:sz w:val="44"/>
          <w:szCs w:val="44"/>
          <w:highlight w:val="none"/>
        </w:rPr>
        <w:t>年度绩效评价报告</w:t>
      </w:r>
    </w:p>
    <w:p>
      <w:pPr>
        <w:shd w:val="clear"/>
        <w:ind w:firstLine="480"/>
        <w:rPr>
          <w:highlight w:val="none"/>
        </w:rPr>
      </w:pPr>
    </w:p>
    <w:p>
      <w:pPr>
        <w:shd w:val="clear"/>
        <w:ind w:firstLine="480"/>
        <w:rPr>
          <w:highlight w:val="none"/>
        </w:rPr>
      </w:pPr>
    </w:p>
    <w:p>
      <w:pPr>
        <w:shd w:val="clear"/>
        <w:ind w:firstLine="480"/>
        <w:rPr>
          <w:highlight w:val="none"/>
        </w:rPr>
      </w:pPr>
    </w:p>
    <w:p>
      <w:pPr>
        <w:widowControl/>
        <w:shd w:val="clear"/>
        <w:spacing w:line="800" w:lineRule="exact"/>
        <w:ind w:firstLine="790" w:firstLineChars="246"/>
        <w:jc w:val="left"/>
        <w:rPr>
          <w:b/>
          <w:bCs/>
          <w:kern w:val="32"/>
          <w:sz w:val="32"/>
          <w:highlight w:val="none"/>
          <w:lang w:bidi="he-IL"/>
        </w:rPr>
      </w:pPr>
    </w:p>
    <w:p>
      <w:pPr>
        <w:widowControl/>
        <w:shd w:val="clear"/>
        <w:spacing w:line="800" w:lineRule="exact"/>
        <w:ind w:firstLine="790" w:firstLineChars="246"/>
        <w:jc w:val="left"/>
        <w:rPr>
          <w:b/>
          <w:bCs/>
          <w:kern w:val="32"/>
          <w:sz w:val="32"/>
          <w:highlight w:val="none"/>
          <w:lang w:bidi="he-IL"/>
        </w:rPr>
      </w:pPr>
    </w:p>
    <w:p>
      <w:pPr>
        <w:widowControl/>
        <w:shd w:val="clear"/>
        <w:spacing w:line="480" w:lineRule="auto"/>
        <w:ind w:right="-192" w:rightChars="-80" w:firstLine="790" w:firstLineChars="246"/>
        <w:jc w:val="left"/>
        <w:rPr>
          <w:rFonts w:hint="default" w:eastAsia="仿宋_GB2312"/>
          <w:b/>
          <w:bCs/>
          <w:sz w:val="32"/>
          <w:szCs w:val="32"/>
          <w:highlight w:val="none"/>
          <w:lang w:val="en-US" w:eastAsia="zh-CN"/>
        </w:rPr>
      </w:pPr>
      <w:r>
        <w:rPr>
          <w:b/>
          <w:bCs/>
          <w:kern w:val="32"/>
          <w:sz w:val="32"/>
          <w:highlight w:val="none"/>
          <w:lang w:bidi="he-IL"/>
        </w:rPr>
        <w:t>项目名称：</w:t>
      </w:r>
      <w:r>
        <w:rPr>
          <w:rFonts w:hint="eastAsia"/>
          <w:b/>
          <w:bCs/>
          <w:sz w:val="32"/>
          <w:szCs w:val="32"/>
          <w:highlight w:val="none"/>
          <w:lang w:val="en-US" w:eastAsia="zh-CN"/>
        </w:rPr>
        <w:t>干部培训、档案管理及公开招录经费</w:t>
      </w:r>
    </w:p>
    <w:p>
      <w:pPr>
        <w:widowControl/>
        <w:shd w:val="clear"/>
        <w:spacing w:line="480" w:lineRule="auto"/>
        <w:ind w:right="-192" w:rightChars="-80" w:firstLine="790" w:firstLineChars="246"/>
        <w:jc w:val="left"/>
        <w:rPr>
          <w:rFonts w:hint="eastAsia" w:eastAsia="仿宋_GB2312"/>
          <w:b/>
          <w:bCs/>
          <w:sz w:val="32"/>
          <w:szCs w:val="32"/>
          <w:highlight w:val="none"/>
          <w:lang w:eastAsia="zh-CN"/>
        </w:rPr>
      </w:pPr>
      <w:r>
        <w:rPr>
          <w:b/>
          <w:bCs/>
          <w:kern w:val="32"/>
          <w:sz w:val="32"/>
          <w:highlight w:val="none"/>
          <w:lang w:bidi="he-IL"/>
        </w:rPr>
        <w:t>项目单位：</w:t>
      </w:r>
      <w:r>
        <w:rPr>
          <w:rFonts w:hint="eastAsia"/>
          <w:b/>
          <w:bCs/>
          <w:kern w:val="32"/>
          <w:sz w:val="32"/>
          <w:highlight w:val="none"/>
          <w:lang w:eastAsia="zh-CN" w:bidi="he-IL"/>
        </w:rPr>
        <w:t>武汉经济技术开发区（汉南区）人力资源局</w:t>
      </w:r>
    </w:p>
    <w:p>
      <w:pPr>
        <w:widowControl/>
        <w:shd w:val="clear"/>
        <w:spacing w:line="480" w:lineRule="auto"/>
        <w:ind w:firstLine="790" w:firstLineChars="246"/>
        <w:jc w:val="left"/>
        <w:rPr>
          <w:rFonts w:hint="eastAsia" w:eastAsia="仿宋_GB2312"/>
          <w:b/>
          <w:bCs/>
          <w:kern w:val="32"/>
          <w:sz w:val="32"/>
          <w:highlight w:val="none"/>
          <w:lang w:eastAsia="zh-CN" w:bidi="he-IL"/>
        </w:rPr>
      </w:pPr>
      <w:r>
        <w:rPr>
          <w:b/>
          <w:bCs/>
          <w:kern w:val="32"/>
          <w:sz w:val="32"/>
          <w:highlight w:val="none"/>
          <w:lang w:bidi="he-IL"/>
        </w:rPr>
        <w:t>主管部门：</w:t>
      </w:r>
      <w:r>
        <w:rPr>
          <w:rFonts w:hint="eastAsia"/>
          <w:b/>
          <w:bCs/>
          <w:kern w:val="32"/>
          <w:sz w:val="32"/>
          <w:highlight w:val="none"/>
          <w:lang w:eastAsia="zh-CN" w:bidi="he-IL"/>
        </w:rPr>
        <w:t>武汉经济技术开发区（汉南区）人力资源局</w:t>
      </w:r>
    </w:p>
    <w:p>
      <w:pPr>
        <w:widowControl/>
        <w:shd w:val="clear"/>
        <w:spacing w:line="480" w:lineRule="auto"/>
        <w:ind w:firstLine="790" w:firstLineChars="246"/>
        <w:jc w:val="left"/>
        <w:rPr>
          <w:rFonts w:hint="eastAsia" w:eastAsia="仿宋_GB2312"/>
          <w:b/>
          <w:bCs/>
          <w:sz w:val="32"/>
          <w:szCs w:val="32"/>
          <w:highlight w:val="none"/>
          <w:lang w:eastAsia="zh-CN"/>
        </w:rPr>
      </w:pPr>
      <w:r>
        <w:rPr>
          <w:b/>
          <w:bCs/>
          <w:kern w:val="32"/>
          <w:sz w:val="32"/>
          <w:highlight w:val="none"/>
          <w:lang w:bidi="he-IL"/>
        </w:rPr>
        <w:t>评价机构：</w:t>
      </w:r>
      <w:r>
        <w:rPr>
          <w:rFonts w:hint="eastAsia"/>
          <w:b/>
          <w:bCs/>
          <w:sz w:val="32"/>
          <w:szCs w:val="32"/>
          <w:highlight w:val="none"/>
          <w:lang w:eastAsia="zh-CN"/>
        </w:rPr>
        <w:t>湖北开元会计师事务有限公司</w:t>
      </w:r>
    </w:p>
    <w:p>
      <w:pPr>
        <w:shd w:val="clear"/>
        <w:spacing w:line="800" w:lineRule="exact"/>
        <w:ind w:firstLine="0" w:firstLineChars="0"/>
        <w:rPr>
          <w:b/>
          <w:bCs/>
          <w:sz w:val="32"/>
          <w:szCs w:val="32"/>
          <w:highlight w:val="none"/>
        </w:rPr>
      </w:pPr>
    </w:p>
    <w:p>
      <w:pPr>
        <w:shd w:val="clear"/>
        <w:spacing w:line="800" w:lineRule="exact"/>
        <w:ind w:firstLine="0" w:firstLineChars="0"/>
        <w:rPr>
          <w:b/>
          <w:bCs/>
          <w:sz w:val="32"/>
          <w:szCs w:val="32"/>
          <w:highlight w:val="none"/>
        </w:rPr>
      </w:pPr>
    </w:p>
    <w:p>
      <w:pPr>
        <w:shd w:val="clear"/>
        <w:spacing w:line="800" w:lineRule="exact"/>
        <w:ind w:firstLine="0" w:firstLineChars="0"/>
        <w:jc w:val="center"/>
        <w:rPr>
          <w:b/>
          <w:bCs/>
          <w:sz w:val="32"/>
          <w:szCs w:val="32"/>
          <w:highlight w:val="none"/>
        </w:rPr>
      </w:pPr>
      <w:r>
        <w:rPr>
          <w:b/>
          <w:bCs/>
          <w:sz w:val="32"/>
          <w:szCs w:val="32"/>
          <w:highlight w:val="none"/>
        </w:rPr>
        <w:t>二〇二〇年</w:t>
      </w:r>
      <w:r>
        <w:rPr>
          <w:rFonts w:hint="eastAsia"/>
          <w:b/>
          <w:bCs/>
          <w:sz w:val="32"/>
          <w:szCs w:val="32"/>
          <w:highlight w:val="none"/>
          <w:lang w:val="en-US" w:eastAsia="zh-CN"/>
        </w:rPr>
        <w:t>六</w:t>
      </w:r>
      <w:r>
        <w:rPr>
          <w:b/>
          <w:bCs/>
          <w:sz w:val="32"/>
          <w:szCs w:val="32"/>
          <w:highlight w:val="none"/>
        </w:rPr>
        <w:t>月</w:t>
      </w:r>
    </w:p>
    <w:p>
      <w:pPr>
        <w:pStyle w:val="15"/>
        <w:shd w:val="clear"/>
        <w:tabs>
          <w:tab w:val="right" w:leader="dot" w:pos="8693"/>
        </w:tabs>
        <w:ind w:firstLine="0" w:firstLineChars="0"/>
        <w:rPr>
          <w:rFonts w:ascii="Arial Narrow" w:hAnsi="Arial Narrow" w:cs="Arial Narrow"/>
          <w:bCs w:val="0"/>
          <w:caps w:val="0"/>
          <w:sz w:val="32"/>
          <w:szCs w:val="32"/>
          <w:highlight w:val="none"/>
        </w:rPr>
      </w:pPr>
    </w:p>
    <w:sdt>
      <w:sdtPr>
        <w:rPr>
          <w:rFonts w:ascii="Times New Roman" w:hAnsi="Times New Roman" w:eastAsia="仿宋_GB2312"/>
          <w:b w:val="0"/>
          <w:bCs w:val="0"/>
          <w:color w:val="auto"/>
          <w:kern w:val="2"/>
          <w:sz w:val="24"/>
          <w:szCs w:val="24"/>
          <w:highlight w:val="none"/>
          <w:lang w:val="zh-CN"/>
        </w:rPr>
        <w:id w:val="-1191839909"/>
        <w:docPartObj>
          <w:docPartGallery w:val="Table of Contents"/>
          <w:docPartUnique/>
        </w:docPartObj>
      </w:sdtPr>
      <w:sdtEndPr>
        <w:rPr>
          <w:rFonts w:ascii="Times New Roman" w:hAnsi="Times New Roman" w:eastAsia="仿宋_GB2312"/>
          <w:b w:val="0"/>
          <w:bCs w:val="0"/>
          <w:color w:val="auto"/>
          <w:kern w:val="2"/>
          <w:sz w:val="24"/>
          <w:szCs w:val="24"/>
          <w:highlight w:val="none"/>
          <w:lang w:val="zh-CN"/>
        </w:rPr>
      </w:sdtEndPr>
      <w:sdtContent>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pPr>
          <w:r>
            <w:rPr>
              <w:rFonts w:ascii="宋体" w:hAnsi="宋体" w:eastAsia="宋体"/>
              <w:sz w:val="21"/>
            </w:rPr>
            <w:t>目录</w:t>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textAlignment w:val="auto"/>
          </w:pPr>
          <w:r>
            <w:rPr>
              <w:rFonts w:ascii="仿宋" w:hAnsi="仿宋" w:eastAsia="仿宋"/>
              <w:sz w:val="24"/>
              <w:szCs w:val="24"/>
              <w:highlight w:val="none"/>
            </w:rPr>
            <w:fldChar w:fldCharType="begin"/>
          </w:r>
          <w:r>
            <w:rPr>
              <w:rFonts w:ascii="仿宋" w:hAnsi="仿宋" w:eastAsia="仿宋"/>
              <w:sz w:val="24"/>
              <w:szCs w:val="24"/>
              <w:highlight w:val="none"/>
            </w:rPr>
            <w:instrText xml:space="preserve"> TOC \o "1-3" \h \z \u </w:instrText>
          </w:r>
          <w:r>
            <w:rPr>
              <w:rFonts w:ascii="仿宋" w:hAnsi="仿宋" w:eastAsia="仿宋"/>
              <w:sz w:val="24"/>
              <w:szCs w:val="24"/>
              <w:highlight w:val="none"/>
            </w:rPr>
            <w:fldChar w:fldCharType="separate"/>
          </w:r>
          <w:r>
            <w:rPr>
              <w:rFonts w:ascii="仿宋" w:hAnsi="仿宋" w:eastAsia="仿宋"/>
              <w:szCs w:val="24"/>
              <w:highlight w:val="none"/>
            </w:rPr>
            <w:fldChar w:fldCharType="begin"/>
          </w:r>
          <w:r>
            <w:rPr>
              <w:rFonts w:ascii="仿宋" w:hAnsi="仿宋" w:eastAsia="仿宋"/>
              <w:szCs w:val="24"/>
              <w:highlight w:val="none"/>
            </w:rPr>
            <w:instrText xml:space="preserve"> HYPERLINK \l _Toc16034 </w:instrText>
          </w:r>
          <w:r>
            <w:rPr>
              <w:rFonts w:ascii="仿宋" w:hAnsi="仿宋" w:eastAsia="仿宋"/>
              <w:szCs w:val="24"/>
              <w:highlight w:val="none"/>
            </w:rPr>
            <w:fldChar w:fldCharType="separate"/>
          </w:r>
          <w:r>
            <w:rPr>
              <w:rFonts w:hint="eastAsia" w:ascii="仿宋" w:hAnsi="仿宋" w:eastAsia="仿宋" w:cs="仿宋"/>
              <w:szCs w:val="32"/>
              <w:highlight w:val="none"/>
              <w:lang w:val="en-US" w:eastAsia="zh-CN"/>
            </w:rPr>
            <w:t>一、</w:t>
          </w:r>
          <w:r>
            <w:rPr>
              <w:rFonts w:hint="eastAsia" w:ascii="仿宋" w:hAnsi="仿宋" w:eastAsia="仿宋" w:cs="仿宋"/>
              <w:szCs w:val="32"/>
              <w:highlight w:val="none"/>
            </w:rPr>
            <w:t>摘要</w:t>
          </w:r>
          <w:r>
            <w:tab/>
          </w:r>
          <w:r>
            <w:fldChar w:fldCharType="begin"/>
          </w:r>
          <w:r>
            <w:instrText xml:space="preserve"> PAGEREF _Toc16034 </w:instrText>
          </w:r>
          <w:r>
            <w:fldChar w:fldCharType="separate"/>
          </w:r>
          <w:r>
            <w:t>1</w:t>
          </w:r>
          <w:r>
            <w:fldChar w:fldCharType="end"/>
          </w:r>
          <w:r>
            <w:rPr>
              <w:rFonts w:ascii="仿宋" w:hAnsi="仿宋" w:eastAsia="仿宋"/>
              <w:szCs w:val="24"/>
              <w:highlight w:val="none"/>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_Toc23780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（一）</w:t>
          </w:r>
          <w:r>
            <w:rPr>
              <w:rFonts w:hint="eastAsia" w:ascii="仿宋" w:hAnsi="仿宋" w:eastAsia="仿宋" w:cs="Arial Narrow"/>
              <w:szCs w:val="28"/>
              <w:highlight w:val="none"/>
            </w:rPr>
            <w:t>基本情况</w:t>
          </w:r>
          <w:r>
            <w:tab/>
          </w:r>
          <w:r>
            <w:fldChar w:fldCharType="begin"/>
          </w:r>
          <w:r>
            <w:instrText xml:space="preserve"> PAGEREF _Toc23780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_Toc28699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1、项目基本情况</w:t>
          </w:r>
          <w:r>
            <w:tab/>
          </w:r>
          <w:r>
            <w:fldChar w:fldCharType="begin"/>
          </w:r>
          <w:r>
            <w:instrText xml:space="preserve"> PAGEREF _Toc28699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_Toc3634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2、绩效评价工作情况</w:t>
          </w:r>
          <w:r>
            <w:tab/>
          </w:r>
          <w:r>
            <w:fldChar w:fldCharType="begin"/>
          </w:r>
          <w:r>
            <w:instrText xml:space="preserve"> PAGEREF _Toc3634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_Toc1966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（二）绩效评价结论</w:t>
          </w:r>
          <w:r>
            <w:tab/>
          </w:r>
          <w:r>
            <w:fldChar w:fldCharType="begin"/>
          </w:r>
          <w:r>
            <w:instrText xml:space="preserve"> PAGEREF _Toc1966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_Toc20258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（三）项目经验与问题</w:t>
          </w:r>
          <w:r>
            <w:tab/>
          </w:r>
          <w:r>
            <w:fldChar w:fldCharType="begin"/>
          </w:r>
          <w:r>
            <w:instrText xml:space="preserve"> PAGEREF _Toc20258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_Toc3962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（四）建议</w:t>
          </w:r>
          <w:r>
            <w:tab/>
          </w:r>
          <w:r>
            <w:fldChar w:fldCharType="begin"/>
          </w:r>
          <w:r>
            <w:instrText xml:space="preserve"> PAGEREF _Toc3962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_Toc13066 </w:instrText>
          </w:r>
          <w:r>
            <w:rPr>
              <w:rFonts w:ascii="仿宋" w:hAnsi="仿宋" w:eastAsia="仿宋"/>
              <w:bCs/>
              <w:highlight w:val="none"/>
              <w:lang w:val="zh-CN"/>
            </w:rPr>
            <w:fldChar w:fldCharType="separate"/>
          </w:r>
          <w:r>
            <w:rPr>
              <w:rFonts w:hint="eastAsia" w:ascii="仿宋" w:hAnsi="仿宋" w:eastAsia="仿宋" w:cs="仿宋"/>
              <w:szCs w:val="32"/>
              <w:highlight w:val="none"/>
              <w:lang w:val="en-US" w:eastAsia="zh-CN"/>
            </w:rPr>
            <w:t>二、正文</w:t>
          </w:r>
          <w:r>
            <w:tab/>
          </w:r>
          <w:r>
            <w:fldChar w:fldCharType="begin"/>
          </w:r>
          <w:r>
            <w:instrText xml:space="preserve"> PAGEREF _Toc13066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_Toc24705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（一）项目基本情况</w:t>
          </w:r>
          <w:r>
            <w:tab/>
          </w:r>
          <w:r>
            <w:fldChar w:fldCharType="begin"/>
          </w:r>
          <w:r>
            <w:instrText xml:space="preserve"> PAGEREF _Toc24705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_Toc32217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w:t>
          </w:r>
          <w:r>
            <w:rPr>
              <w:rFonts w:hint="eastAsia" w:ascii="仿宋" w:hAnsi="仿宋" w:eastAsia="仿宋" w:cs="Arial Narrow"/>
              <w:highlight w:val="none"/>
            </w:rPr>
            <w:t>项目立项背景和依据</w:t>
          </w:r>
          <w:r>
            <w:tab/>
          </w:r>
          <w:r>
            <w:fldChar w:fldCharType="begin"/>
          </w:r>
          <w:r>
            <w:instrText xml:space="preserve"> PAGEREF _Toc32217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_Toc10759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w:t>
          </w:r>
          <w:r>
            <w:rPr>
              <w:rFonts w:hint="eastAsia" w:ascii="仿宋" w:hAnsi="仿宋" w:eastAsia="仿宋" w:cs="Arial Narrow"/>
              <w:highlight w:val="none"/>
            </w:rPr>
            <w:t>项目绩效目标</w:t>
          </w:r>
          <w:r>
            <w:tab/>
          </w:r>
          <w:r>
            <w:fldChar w:fldCharType="begin"/>
          </w:r>
          <w:r>
            <w:instrText xml:space="preserve"> PAGEREF _Toc10759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_Toc30863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3、</w:t>
          </w:r>
          <w:r>
            <w:rPr>
              <w:rFonts w:hint="eastAsia" w:ascii="仿宋" w:hAnsi="仿宋" w:eastAsia="仿宋" w:cs="Arial Narrow"/>
              <w:highlight w:val="none"/>
            </w:rPr>
            <w:t>项目经费来源和使用情况</w:t>
          </w:r>
          <w:r>
            <w:tab/>
          </w:r>
          <w:r>
            <w:fldChar w:fldCharType="begin"/>
          </w:r>
          <w:r>
            <w:instrText xml:space="preserve"> PAGEREF _Toc30863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_Toc13484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4、</w:t>
          </w:r>
          <w:r>
            <w:rPr>
              <w:rFonts w:hint="eastAsia" w:ascii="仿宋" w:hAnsi="仿宋" w:eastAsia="仿宋" w:cs="Arial Narrow"/>
              <w:highlight w:val="none"/>
            </w:rPr>
            <w:t>项目实施情况</w:t>
          </w:r>
          <w:r>
            <w:tab/>
          </w:r>
          <w:r>
            <w:fldChar w:fldCharType="begin"/>
          </w:r>
          <w:r>
            <w:instrText xml:space="preserve"> PAGEREF _Toc13484 </w:instrText>
          </w:r>
          <w:r>
            <w:fldChar w:fldCharType="separate"/>
          </w:r>
          <w:r>
            <w:t>3</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_Toc26215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（二）绩效评价工作情况</w:t>
          </w:r>
          <w:r>
            <w:tab/>
          </w:r>
          <w:r>
            <w:fldChar w:fldCharType="begin"/>
          </w:r>
          <w:r>
            <w:instrText xml:space="preserve"> PAGEREF _Toc26215 </w:instrText>
          </w:r>
          <w:r>
            <w:fldChar w:fldCharType="separate"/>
          </w:r>
          <w:r>
            <w:t>3</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_Toc18296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w:t>
          </w:r>
          <w:r>
            <w:rPr>
              <w:rFonts w:hint="eastAsia" w:ascii="仿宋" w:hAnsi="仿宋" w:eastAsia="仿宋" w:cs="Arial Narrow"/>
              <w:highlight w:val="none"/>
            </w:rPr>
            <w:t>绩效评价目的</w:t>
          </w:r>
          <w:r>
            <w:tab/>
          </w:r>
          <w:r>
            <w:fldChar w:fldCharType="begin"/>
          </w:r>
          <w:r>
            <w:instrText xml:space="preserve"> PAGEREF _Toc18296 </w:instrText>
          </w:r>
          <w:r>
            <w:fldChar w:fldCharType="separate"/>
          </w:r>
          <w:r>
            <w:t>3</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_Toc2095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w:t>
          </w:r>
          <w:r>
            <w:rPr>
              <w:rFonts w:hint="eastAsia" w:ascii="仿宋" w:hAnsi="仿宋" w:eastAsia="仿宋" w:cs="Arial Narrow"/>
              <w:highlight w:val="none"/>
            </w:rPr>
            <w:t>绩效评价工作过程</w:t>
          </w:r>
          <w:r>
            <w:tab/>
          </w:r>
          <w:r>
            <w:fldChar w:fldCharType="begin"/>
          </w:r>
          <w:r>
            <w:instrText xml:space="preserve"> PAGEREF _Toc2095 </w:instrText>
          </w:r>
          <w:r>
            <w:fldChar w:fldCharType="separate"/>
          </w:r>
          <w:r>
            <w:t>3</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_Toc1595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3、</w:t>
          </w:r>
          <w:r>
            <w:rPr>
              <w:rFonts w:hint="eastAsia" w:ascii="仿宋" w:hAnsi="仿宋" w:eastAsia="仿宋" w:cs="Arial Narrow"/>
              <w:highlight w:val="none"/>
            </w:rPr>
            <w:t>绩效评价框架</w:t>
          </w:r>
          <w:r>
            <w:tab/>
          </w:r>
          <w:r>
            <w:fldChar w:fldCharType="begin"/>
          </w:r>
          <w:r>
            <w:instrText xml:space="preserve"> PAGEREF _Toc1595 </w:instrText>
          </w:r>
          <w:r>
            <w:fldChar w:fldCharType="separate"/>
          </w:r>
          <w:r>
            <w:t>4</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_Toc18353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4、</w:t>
          </w:r>
          <w:r>
            <w:rPr>
              <w:rFonts w:hint="eastAsia" w:ascii="仿宋" w:hAnsi="仿宋" w:eastAsia="仿宋" w:cs="Arial Narrow"/>
              <w:highlight w:val="none"/>
            </w:rPr>
            <w:t>评价抽样情况概述</w:t>
          </w:r>
          <w:r>
            <w:tab/>
          </w:r>
          <w:r>
            <w:fldChar w:fldCharType="begin"/>
          </w:r>
          <w:r>
            <w:instrText xml:space="preserve"> PAGEREF _Toc18353 </w:instrText>
          </w:r>
          <w:r>
            <w:fldChar w:fldCharType="separate"/>
          </w:r>
          <w:r>
            <w:t>5</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_Toc7146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（三）绩效分析及评价结论</w:t>
          </w:r>
          <w:r>
            <w:tab/>
          </w:r>
          <w:r>
            <w:fldChar w:fldCharType="begin"/>
          </w:r>
          <w:r>
            <w:instrText xml:space="preserve"> PAGEREF _Toc7146 </w:instrText>
          </w:r>
          <w:r>
            <w:fldChar w:fldCharType="separate"/>
          </w:r>
          <w:r>
            <w:t>5</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_Toc13084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w:t>
          </w:r>
          <w:r>
            <w:rPr>
              <w:rFonts w:hint="eastAsia" w:ascii="仿宋" w:hAnsi="仿宋" w:eastAsia="仿宋" w:cs="Arial Narrow"/>
              <w:highlight w:val="none"/>
            </w:rPr>
            <w:t>绩效分析</w:t>
          </w:r>
          <w:r>
            <w:tab/>
          </w:r>
          <w:r>
            <w:fldChar w:fldCharType="begin"/>
          </w:r>
          <w:r>
            <w:instrText xml:space="preserve"> PAGEREF _Toc13084 </w:instrText>
          </w:r>
          <w:r>
            <w:fldChar w:fldCharType="separate"/>
          </w:r>
          <w:r>
            <w:t>5</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_Toc22751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w:t>
          </w:r>
          <w:r>
            <w:rPr>
              <w:rFonts w:hint="eastAsia" w:ascii="仿宋" w:hAnsi="仿宋" w:eastAsia="仿宋" w:cs="Arial Narrow"/>
              <w:highlight w:val="none"/>
            </w:rPr>
            <w:t>评价结论</w:t>
          </w:r>
          <w:r>
            <w:tab/>
          </w:r>
          <w:r>
            <w:fldChar w:fldCharType="begin"/>
          </w:r>
          <w:r>
            <w:instrText xml:space="preserve"> PAGEREF _Toc22751 </w:instrText>
          </w:r>
          <w:r>
            <w:fldChar w:fldCharType="separate"/>
          </w:r>
          <w:r>
            <w:t>6</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_Toc28859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（四）存在的问题和改进措施</w:t>
          </w:r>
          <w:r>
            <w:tab/>
          </w:r>
          <w:r>
            <w:fldChar w:fldCharType="begin"/>
          </w:r>
          <w:r>
            <w:instrText xml:space="preserve"> PAGEREF _Toc28859 </w:instrText>
          </w:r>
          <w:r>
            <w:fldChar w:fldCharType="separate"/>
          </w:r>
          <w:r>
            <w:t>7</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_Toc27689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1、存在的问题</w:t>
          </w:r>
          <w:r>
            <w:tab/>
          </w:r>
          <w:r>
            <w:fldChar w:fldCharType="begin"/>
          </w:r>
          <w:r>
            <w:instrText xml:space="preserve"> PAGEREF _Toc27689 </w:instrText>
          </w:r>
          <w:r>
            <w:fldChar w:fldCharType="separate"/>
          </w:r>
          <w:r>
            <w:t>7</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_Toc21901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2、改进措施</w:t>
          </w:r>
          <w:r>
            <w:tab/>
          </w:r>
          <w:r>
            <w:fldChar w:fldCharType="begin"/>
          </w:r>
          <w:r>
            <w:instrText xml:space="preserve"> PAGEREF _Toc21901 </w:instrText>
          </w:r>
          <w:r>
            <w:fldChar w:fldCharType="separate"/>
          </w:r>
          <w:r>
            <w:t>7</w:t>
          </w:r>
          <w:r>
            <w:fldChar w:fldCharType="end"/>
          </w:r>
          <w:r>
            <w:rPr>
              <w:rFonts w:ascii="仿宋" w:hAnsi="仿宋" w:eastAsia="仿宋"/>
              <w:bCs/>
              <w:highlight w:val="none"/>
              <w:lang w:val="zh-CN"/>
            </w:rPr>
            <w:fldChar w:fldCharType="end"/>
          </w:r>
        </w:p>
        <w:p>
          <w:pPr>
            <w:keepNext w:val="0"/>
            <w:keepLines w:val="0"/>
            <w:pageBreakBefore w:val="0"/>
            <w:widowControl w:val="0"/>
            <w:shd w:val="clear"/>
            <w:kinsoku/>
            <w:wordWrap/>
            <w:overflowPunct/>
            <w:topLinePunct w:val="0"/>
            <w:autoSpaceDE/>
            <w:autoSpaceDN/>
            <w:bidi w:val="0"/>
            <w:adjustRightInd/>
            <w:snapToGrid/>
            <w:spacing w:line="240" w:lineRule="auto"/>
            <w:ind w:firstLine="482"/>
            <w:textAlignment w:val="auto"/>
            <w:rPr>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361" w:right="1406" w:bottom="1089" w:left="1797" w:header="1361" w:footer="992" w:gutter="0"/>
              <w:pgNumType w:start="0"/>
              <w:cols w:space="720" w:num="1"/>
              <w:docGrid w:type="lines" w:linePitch="408" w:charSpace="0"/>
            </w:sectPr>
          </w:pPr>
          <w:r>
            <w:rPr>
              <w:rFonts w:ascii="仿宋" w:hAnsi="仿宋" w:eastAsia="仿宋"/>
              <w:bCs/>
              <w:highlight w:val="none"/>
              <w:lang w:val="zh-CN"/>
            </w:rPr>
            <w:fldChar w:fldCharType="end"/>
          </w:r>
        </w:p>
      </w:sdtContent>
    </w:sdt>
    <w:p>
      <w:pPr>
        <w:pStyle w:val="2"/>
        <w:keepNext/>
        <w:keepLines/>
        <w:pageBreakBefore w:val="0"/>
        <w:widowControl w:val="0"/>
        <w:shd w:val="clea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val="0"/>
          <w:sz w:val="32"/>
          <w:szCs w:val="32"/>
          <w:highlight w:val="none"/>
        </w:rPr>
      </w:pPr>
      <w:bookmarkStart w:id="0" w:name="_Toc14165722"/>
      <w:bookmarkStart w:id="1" w:name="_Toc16034"/>
      <w:bookmarkStart w:id="2" w:name="_Toc406668024"/>
      <w:bookmarkStart w:id="3" w:name="_Toc406666351"/>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摘要</w:t>
      </w:r>
      <w:bookmarkEnd w:id="0"/>
      <w:bookmarkEnd w:id="1"/>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rPr>
      </w:pPr>
      <w:bookmarkStart w:id="4" w:name="_Toc23780"/>
      <w:r>
        <w:rPr>
          <w:rFonts w:hint="eastAsia" w:ascii="仿宋" w:hAnsi="仿宋" w:eastAsia="仿宋" w:cs="Arial Narrow"/>
          <w:sz w:val="28"/>
          <w:szCs w:val="28"/>
          <w:highlight w:val="none"/>
          <w:lang w:val="en-US" w:eastAsia="zh-CN"/>
        </w:rPr>
        <w:t>（一）</w:t>
      </w:r>
      <w:r>
        <w:rPr>
          <w:rFonts w:hint="eastAsia" w:ascii="仿宋" w:hAnsi="仿宋" w:eastAsia="仿宋" w:cs="Arial Narrow"/>
          <w:sz w:val="28"/>
          <w:szCs w:val="28"/>
          <w:highlight w:val="none"/>
        </w:rPr>
        <w:t>基本情况</w:t>
      </w:r>
      <w:bookmarkEnd w:id="4"/>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5" w:name="_Toc28699"/>
      <w:r>
        <w:rPr>
          <w:rFonts w:hint="eastAsia" w:ascii="仿宋" w:hAnsi="仿宋" w:eastAsia="仿宋" w:cs="Arial Narrow"/>
          <w:sz w:val="24"/>
          <w:highlight w:val="none"/>
          <w:lang w:val="en-US" w:eastAsia="zh-CN"/>
        </w:rPr>
        <w:t>1、项目基本情况</w:t>
      </w:r>
      <w:bookmarkEnd w:id="5"/>
      <w:r>
        <w:rPr>
          <w:rFonts w:hint="eastAsia" w:ascii="仿宋" w:hAnsi="仿宋" w:eastAsia="仿宋" w:cs="Arial Narrow"/>
          <w:sz w:val="24"/>
          <w:highlight w:val="none"/>
          <w:lang w:val="en-US" w:eastAsia="zh-CN"/>
        </w:rPr>
        <w:t xml:space="preserve">  </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（1）项目名称：干部培训、档案管理及公开招录经费</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（2）项目预算金额：年初预算金额为90.00万元，调整后预算金额为49.00万元</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6" w:name="_Toc3634"/>
      <w:r>
        <w:rPr>
          <w:rFonts w:hint="eastAsia" w:ascii="仿宋" w:hAnsi="仿宋" w:eastAsia="仿宋" w:cs="Arial Narrow"/>
          <w:sz w:val="24"/>
          <w:highlight w:val="none"/>
          <w:lang w:val="en-US" w:eastAsia="zh-CN"/>
        </w:rPr>
        <w:t>2、绩效评价工作情况</w:t>
      </w:r>
      <w:bookmarkEnd w:id="6"/>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7" w:name="_Toc1966"/>
      <w:r>
        <w:rPr>
          <w:rFonts w:hint="eastAsia" w:ascii="仿宋" w:hAnsi="仿宋" w:eastAsia="仿宋" w:cs="Arial Narrow"/>
          <w:sz w:val="28"/>
          <w:szCs w:val="28"/>
          <w:highlight w:val="none"/>
          <w:lang w:val="en-US" w:eastAsia="zh-CN"/>
        </w:rPr>
        <w:t>（二）绩效评价结论</w:t>
      </w:r>
      <w:bookmarkEnd w:id="7"/>
    </w:p>
    <w:tbl>
      <w:tblPr>
        <w:tblStyle w:val="23"/>
        <w:tblW w:w="8363"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79"/>
        <w:gridCol w:w="2132"/>
        <w:gridCol w:w="212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评价准则</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准则分值</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评价得分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评价等级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投入</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10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8.17</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rPr>
              <w:t>产出</w:t>
            </w:r>
          </w:p>
        </w:tc>
        <w:tc>
          <w:tcPr>
            <w:tcW w:w="2132"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50</w:t>
            </w:r>
            <w:r>
              <w:rPr>
                <w:rFonts w:hint="eastAsia" w:ascii="仿宋" w:hAnsi="仿宋" w:eastAsia="仿宋" w:cs="Arial Narrow"/>
                <w:highlight w:val="none"/>
              </w:rPr>
              <w:t>分</w:t>
            </w:r>
          </w:p>
        </w:tc>
        <w:tc>
          <w:tcPr>
            <w:tcW w:w="2126"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36</w:t>
            </w:r>
            <w:r>
              <w:rPr>
                <w:rFonts w:hint="eastAsia" w:ascii="仿宋" w:hAnsi="仿宋" w:eastAsia="仿宋" w:cs="Arial Narrow"/>
                <w:highlight w:val="none"/>
              </w:rPr>
              <w:t>分</w:t>
            </w:r>
          </w:p>
        </w:tc>
        <w:tc>
          <w:tcPr>
            <w:tcW w:w="2126" w:type="dxa"/>
            <w:vAlign w:val="top"/>
          </w:tcPr>
          <w:p>
            <w:pPr>
              <w:shd w:val="clear"/>
              <w:ind w:firstLine="0" w:firstLineChars="0"/>
              <w:jc w:val="center"/>
              <w:rPr>
                <w:rFonts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效益</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hint="eastAsia" w:ascii="仿宋" w:hAnsi="仿宋" w:eastAsia="仿宋" w:cs="Arial Narrow"/>
                <w:highlight w:val="none"/>
                <w:lang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满意度</w:t>
            </w:r>
          </w:p>
        </w:tc>
        <w:tc>
          <w:tcPr>
            <w:tcW w:w="2132"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eastAsia" w:ascii="仿宋" w:hAnsi="仿宋" w:eastAsia="仿宋" w:cs="Arial Narrow"/>
                <w:highlight w:val="none"/>
                <w:lang w:val="en-US"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综合绩效</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100分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84.17</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良</w:t>
            </w:r>
          </w:p>
        </w:tc>
      </w:tr>
    </w:tbl>
    <w:p>
      <w:pPr>
        <w:shd w:val="clear"/>
        <w:ind w:firstLine="0" w:firstLineChars="0"/>
        <w:jc w:val="left"/>
        <w:rPr>
          <w:rFonts w:ascii="仿宋" w:hAnsi="仿宋" w:eastAsia="仿宋" w:cs="Arial Narrow"/>
          <w:b/>
          <w:sz w:val="28"/>
          <w:highlight w:val="none"/>
        </w:rPr>
      </w:pP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8" w:name="_Toc20258"/>
      <w:r>
        <w:rPr>
          <w:rFonts w:hint="eastAsia" w:ascii="仿宋" w:hAnsi="仿宋" w:eastAsia="仿宋" w:cs="Arial Narrow"/>
          <w:sz w:val="28"/>
          <w:szCs w:val="28"/>
          <w:highlight w:val="none"/>
          <w:lang w:val="en-US" w:eastAsia="zh-CN"/>
        </w:rPr>
        <w:t>（三）项目经验与问题</w:t>
      </w:r>
      <w:bookmarkEnd w:id="8"/>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1、经验</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干部人事档案管理工作规范化运行。高起点、高标准规划全区机关事业单位工作人员的人事档案工作，从完善管理规章制度入手，着手开展档案的规范化整理工作，对照干部人事档案整理最新要求，对2019年度的档案资料进行了逐一整理归档，完成了132份干部人事档案的整理工作。</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2、问题</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项目预算执行率未达到100%；年中预算调整金额几乎减少了一倍。</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9" w:name="_Toc3962"/>
      <w:r>
        <w:rPr>
          <w:rFonts w:hint="eastAsia" w:ascii="仿宋" w:hAnsi="仿宋" w:eastAsia="仿宋" w:cs="Arial Narrow"/>
          <w:sz w:val="28"/>
          <w:szCs w:val="28"/>
          <w:highlight w:val="none"/>
          <w:lang w:val="en-US" w:eastAsia="zh-CN"/>
        </w:rPr>
        <w:t>（四）建议</w:t>
      </w:r>
      <w:bookmarkEnd w:id="9"/>
    </w:p>
    <w:bookmarkEnd w:id="2"/>
    <w:bookmarkEnd w:id="3"/>
    <w:p>
      <w:pPr>
        <w:shd w:val="clear"/>
        <w:snapToGrid w:val="0"/>
        <w:ind w:firstLine="480"/>
        <w:jc w:val="left"/>
        <w:rPr>
          <w:rFonts w:ascii="仿宋_GB2312" w:hAnsi="Arial Narrow" w:cs="Arial Narrow"/>
          <w:highlight w:val="none"/>
        </w:rPr>
      </w:pPr>
      <w:r>
        <w:rPr>
          <w:rFonts w:hint="eastAsia" w:ascii="仿宋" w:hAnsi="仿宋" w:eastAsia="仿宋" w:cs="Arial Narrow"/>
          <w:highlight w:val="none"/>
          <w:lang w:val="en-US" w:eastAsia="zh-CN"/>
        </w:rPr>
        <w:t>加强预算管理，提高预算编制准确性。在年初编制预算时应结合历年资金使用情况和项目执行情况，充分掌握项目的实际资金需求，并积极与相关业务部门进行充分沟通，制定出符合实际情况的预算申报文本。从而提高资金利用率，实现项目长期、稳定、可持续发展。</w:t>
      </w:r>
    </w:p>
    <w:p>
      <w:pPr>
        <w:pStyle w:val="2"/>
        <w:keepNext/>
        <w:keepLines/>
        <w:pageBreakBefore w:val="0"/>
        <w:widowControl w:val="0"/>
        <w:shd w:val="clear"/>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highlight w:val="none"/>
          <w:lang w:val="en-US" w:eastAsia="zh-CN"/>
        </w:rPr>
      </w:pPr>
      <w:bookmarkStart w:id="10" w:name="_Toc13066"/>
      <w:bookmarkStart w:id="11" w:name="_Toc14165723"/>
      <w:bookmarkStart w:id="12" w:name="_Toc361304672"/>
      <w:bookmarkStart w:id="13" w:name="_Toc387957799"/>
      <w:bookmarkStart w:id="14" w:name="_Toc387957800"/>
      <w:bookmarkStart w:id="15" w:name="_Toc361304673"/>
      <w:r>
        <w:rPr>
          <w:rFonts w:hint="eastAsia" w:ascii="仿宋" w:hAnsi="仿宋" w:eastAsia="仿宋" w:cs="仿宋"/>
          <w:sz w:val="32"/>
          <w:szCs w:val="32"/>
          <w:highlight w:val="none"/>
          <w:lang w:val="en-US" w:eastAsia="zh-CN"/>
        </w:rPr>
        <w:t>二、正文</w:t>
      </w:r>
      <w:bookmarkEnd w:id="10"/>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16" w:name="_Toc24705"/>
      <w:r>
        <w:rPr>
          <w:rFonts w:hint="eastAsia" w:ascii="仿宋" w:hAnsi="仿宋" w:eastAsia="仿宋" w:cs="Arial Narrow"/>
          <w:sz w:val="28"/>
          <w:szCs w:val="28"/>
          <w:highlight w:val="none"/>
          <w:lang w:val="en-US" w:eastAsia="zh-CN"/>
        </w:rPr>
        <w:t>（一）项目基本情况</w:t>
      </w:r>
      <w:bookmarkEnd w:id="11"/>
      <w:bookmarkEnd w:id="16"/>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17" w:name="_Toc32217"/>
      <w:bookmarkStart w:id="18" w:name="_Toc1416572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项目立项背景和依据</w:t>
      </w:r>
      <w:bookmarkEnd w:id="17"/>
      <w:bookmarkEnd w:id="18"/>
    </w:p>
    <w:bookmarkEnd w:id="12"/>
    <w:bookmarkEnd w:id="13"/>
    <w:p>
      <w:pPr>
        <w:shd w:val="clear"/>
        <w:snapToGrid w:val="0"/>
        <w:ind w:firstLine="480"/>
        <w:rPr>
          <w:rFonts w:ascii="仿宋" w:hAnsi="仿宋" w:eastAsia="仿宋" w:cs="Arial Narrow"/>
          <w:highlight w:val="none"/>
        </w:rPr>
      </w:pPr>
      <w:bookmarkStart w:id="19" w:name="_Toc14165725"/>
      <w:bookmarkStart w:id="20" w:name="_Toc406668030"/>
      <w:bookmarkStart w:id="21" w:name="_Toc361304680"/>
      <w:bookmarkStart w:id="22" w:name="_Toc406666356"/>
      <w:bookmarkStart w:id="23" w:name="_Toc16351"/>
      <w:r>
        <w:rPr>
          <w:rFonts w:hint="eastAsia" w:ascii="仿宋" w:hAnsi="仿宋" w:eastAsia="仿宋" w:cs="Arial Narrow"/>
          <w:highlight w:val="none"/>
          <w:lang w:val="en-US" w:eastAsia="zh-CN"/>
        </w:rPr>
        <w:t>项目实施单位根据《干部教育培训工作条例》（中发〔2006〕3号）、《湖北省机关档案工作目标管理考评办法》，按照省市政府的相关要求，结合武汉经济技术开发区（汉南区）实际情况设立的项目，目的在于加强机关事业单位干部培训、档案管理、公开招录和博士资助的工作，对全面规范档案管理工作和提高机关事业单位干部综合素质具有一定的促进作用</w:t>
      </w:r>
      <w:r>
        <w:rPr>
          <w:rFonts w:hint="eastAsia" w:ascii="仿宋" w:hAnsi="仿宋" w:eastAsia="仿宋" w:cs="Arial Narrow"/>
          <w:highlight w:val="none"/>
        </w:rPr>
        <w:t>。</w:t>
      </w:r>
      <w:r>
        <w:rPr>
          <w:rFonts w:hint="eastAsia" w:ascii="仿宋" w:hAnsi="仿宋" w:eastAsia="仿宋" w:cs="Arial Narrow"/>
          <w:highlight w:val="none"/>
        </w:rPr>
        <w:tab/>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4" w:name="_Toc10759"/>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项目绩效目标</w:t>
      </w:r>
      <w:bookmarkEnd w:id="19"/>
      <w:bookmarkEnd w:id="24"/>
    </w:p>
    <w:bookmarkEnd w:id="20"/>
    <w:bookmarkEnd w:id="21"/>
    <w:bookmarkEnd w:id="22"/>
    <w:bookmarkEnd w:id="23"/>
    <w:p>
      <w:pPr>
        <w:shd w:val="clear"/>
        <w:snapToGrid w:val="0"/>
        <w:ind w:firstLine="480"/>
        <w:rPr>
          <w:rFonts w:hint="default" w:ascii="仿宋" w:hAnsi="仿宋" w:eastAsia="仿宋" w:cs="Arial Narrow"/>
          <w:highlight w:val="none"/>
          <w:lang w:val="en-US" w:eastAsia="zh-CN"/>
        </w:rPr>
      </w:pPr>
      <w:bookmarkStart w:id="25" w:name="_Toc14165726"/>
      <w:r>
        <w:rPr>
          <w:rFonts w:hint="eastAsia" w:ascii="仿宋" w:hAnsi="仿宋" w:eastAsia="仿宋" w:cs="Arial Narrow"/>
          <w:highlight w:val="none"/>
          <w:lang w:val="en-US" w:eastAsia="zh-CN"/>
        </w:rPr>
        <w:t>绩效目标：全年预算总费用49.00万元，主要用于新录用人员培训，在职人员培训；对干部档案进行全面审核，规范档案管理，同时配备档案管理相关设施设备，确保档案管理安全，内容完整，使用规范；按照省市统一部署组织开展新公务员及事业单位工作人员集中统一招录，另根据我区经济发展需要开展专项招聘工作。</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6" w:name="_Toc30863"/>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项目经费来源和使用情况</w:t>
      </w:r>
      <w:bookmarkEnd w:id="25"/>
      <w:bookmarkEnd w:id="26"/>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1</w:t>
      </w:r>
      <w:r>
        <w:rPr>
          <w:rFonts w:hint="eastAsia" w:ascii="仿宋" w:hAnsi="仿宋" w:eastAsia="仿宋" w:cs="Arial Narrow"/>
          <w:highlight w:val="none"/>
          <w:lang w:eastAsia="zh-CN"/>
        </w:rPr>
        <w:t>）</w:t>
      </w:r>
      <w:r>
        <w:rPr>
          <w:rFonts w:hint="eastAsia" w:ascii="仿宋" w:hAnsi="仿宋" w:eastAsia="仿宋" w:cs="Arial Narrow"/>
          <w:highlight w:val="none"/>
        </w:rPr>
        <w:t>项目资金来源</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武汉经济技术开发区（汉南区）人力资源局“干部培训、档案管理及公开招录经费”</w:t>
      </w:r>
      <w:r>
        <w:rPr>
          <w:rFonts w:hint="eastAsia" w:ascii="仿宋" w:hAnsi="仿宋" w:eastAsia="仿宋" w:cs="Arial Narrow"/>
          <w:highlight w:val="none"/>
        </w:rPr>
        <w:t>项目</w:t>
      </w:r>
      <w:r>
        <w:rPr>
          <w:rFonts w:hint="eastAsia" w:ascii="仿宋" w:hAnsi="仿宋" w:eastAsia="仿宋" w:cs="Arial Narrow"/>
          <w:highlight w:val="none"/>
          <w:lang w:val="en-US" w:eastAsia="zh-CN"/>
        </w:rPr>
        <w:t>支出全年</w:t>
      </w:r>
      <w:r>
        <w:rPr>
          <w:rFonts w:hint="eastAsia" w:ascii="仿宋" w:hAnsi="仿宋" w:eastAsia="仿宋" w:cs="Arial Narrow"/>
          <w:highlight w:val="none"/>
        </w:rPr>
        <w:t>预算</w:t>
      </w:r>
      <w:r>
        <w:rPr>
          <w:rFonts w:hint="eastAsia" w:ascii="仿宋" w:hAnsi="仿宋" w:eastAsia="仿宋" w:cs="Arial Narrow"/>
          <w:highlight w:val="none"/>
          <w:lang w:val="en-US" w:eastAsia="zh-CN"/>
        </w:rPr>
        <w:t>数为49.00万元</w:t>
      </w:r>
      <w:r>
        <w:rPr>
          <w:rFonts w:hint="eastAsia" w:ascii="仿宋" w:hAnsi="仿宋" w:eastAsia="仿宋" w:cs="Arial Narrow"/>
          <w:highlight w:val="none"/>
        </w:rPr>
        <w:t>，均系财政拨款。</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2</w:t>
      </w:r>
      <w:r>
        <w:rPr>
          <w:rFonts w:hint="eastAsia" w:ascii="仿宋" w:hAnsi="仿宋" w:eastAsia="仿宋" w:cs="Arial Narrow"/>
          <w:highlight w:val="none"/>
          <w:lang w:eastAsia="zh-CN"/>
        </w:rPr>
        <w:t>）</w:t>
      </w:r>
      <w:r>
        <w:rPr>
          <w:rFonts w:hint="eastAsia" w:ascii="仿宋" w:hAnsi="仿宋" w:eastAsia="仿宋" w:cs="Arial Narrow"/>
          <w:highlight w:val="none"/>
        </w:rPr>
        <w:t>项目资金使用概况</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2019年“干部培训、档案管理及公开招录经费”</w:t>
      </w:r>
      <w:r>
        <w:rPr>
          <w:rFonts w:hint="eastAsia" w:ascii="仿宋" w:hAnsi="仿宋" w:eastAsia="仿宋" w:cs="Arial Narrow"/>
          <w:highlight w:val="none"/>
        </w:rPr>
        <w:t>项目计划支出</w:t>
      </w:r>
      <w:r>
        <w:rPr>
          <w:rFonts w:hint="eastAsia" w:ascii="仿宋" w:hAnsi="仿宋" w:eastAsia="仿宋" w:cs="Arial Narrow"/>
          <w:highlight w:val="none"/>
          <w:lang w:val="en-US" w:eastAsia="zh-CN"/>
        </w:rPr>
        <w:t>49.00万元</w:t>
      </w:r>
      <w:r>
        <w:rPr>
          <w:rFonts w:hint="eastAsia" w:ascii="仿宋" w:hAnsi="仿宋" w:eastAsia="仿宋" w:cs="Arial Narrow"/>
          <w:highlight w:val="none"/>
        </w:rPr>
        <w:t>，实际支出为</w:t>
      </w:r>
      <w:r>
        <w:rPr>
          <w:rFonts w:hint="eastAsia" w:ascii="仿宋" w:hAnsi="仿宋" w:eastAsia="仿宋" w:cs="Arial Narrow"/>
          <w:highlight w:val="none"/>
          <w:lang w:val="en-US" w:eastAsia="zh-CN"/>
        </w:rPr>
        <w:t>40.01万元</w:t>
      </w:r>
      <w:r>
        <w:rPr>
          <w:rFonts w:hint="eastAsia" w:ascii="仿宋" w:hAnsi="仿宋" w:eastAsia="仿宋" w:cs="Arial Narrow"/>
          <w:highlight w:val="none"/>
        </w:rPr>
        <w:t>。资金使用率为</w:t>
      </w:r>
      <w:r>
        <w:rPr>
          <w:rFonts w:hint="eastAsia" w:ascii="仿宋" w:hAnsi="仿宋" w:eastAsia="仿宋" w:cs="Arial Narrow"/>
          <w:highlight w:val="none"/>
          <w:lang w:val="en-US" w:eastAsia="zh-CN"/>
        </w:rPr>
        <w:t>81.65</w:t>
      </w:r>
      <w:r>
        <w:rPr>
          <w:rFonts w:hint="eastAsia" w:ascii="仿宋" w:hAnsi="仿宋" w:eastAsia="仿宋" w:cs="Arial Narrow"/>
          <w:highlight w:val="none"/>
        </w:rPr>
        <w:t>%。</w:t>
      </w:r>
      <w:bookmarkStart w:id="99" w:name="_GoBack"/>
      <w:bookmarkEnd w:id="99"/>
    </w:p>
    <w:bookmarkEnd w:id="14"/>
    <w:bookmarkEnd w:id="15"/>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7" w:name="_Toc14165727"/>
      <w:bookmarkStart w:id="28" w:name="_Toc13484"/>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项目实施情况</w:t>
      </w:r>
      <w:bookmarkEnd w:id="27"/>
      <w:bookmarkEnd w:id="28"/>
    </w:p>
    <w:p>
      <w:pPr>
        <w:shd w:val="clear"/>
        <w:snapToGrid w:val="0"/>
        <w:ind w:firstLine="480"/>
        <w:rPr>
          <w:rFonts w:hint="default" w:ascii="仿宋" w:hAnsi="仿宋" w:eastAsia="仿宋" w:cs="Arial Narrow"/>
          <w:highlight w:val="none"/>
          <w:lang w:val="en-US"/>
        </w:rPr>
      </w:pPr>
      <w:r>
        <w:rPr>
          <w:rFonts w:hint="eastAsia" w:ascii="仿宋" w:hAnsi="仿宋" w:eastAsia="仿宋" w:cs="Arial Narrow"/>
          <w:highlight w:val="none"/>
          <w:lang w:eastAsia="zh-CN"/>
        </w:rPr>
        <w:t>2019年度暂未开展相关培训工作；对2019年度的档案资料进行了逐一整理归档，完成了132份干部人事档案的整理工作，已采购档案用具并验收；按照“一把尺子量到底”的总要求，公开、公平、公正开展事业单位招录工作，从258名报考人员中择优录用15名事业人员。围绕全区教育事业发展需求，完成2019年度教育系统教师公开招聘19名；大力开展合同聘用制教师的招聘工作，为全区各中小学校招聘聘用制教师305人</w:t>
      </w:r>
      <w:r>
        <w:rPr>
          <w:rFonts w:hint="eastAsia" w:ascii="仿宋" w:hAnsi="仿宋" w:eastAsia="仿宋" w:cs="Arial Narrow"/>
          <w:highlight w:val="none"/>
          <w:lang w:val="en-US" w:eastAsia="zh-CN"/>
        </w:rPr>
        <w:t>。</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29" w:name="_Toc14165728"/>
      <w:bookmarkStart w:id="30" w:name="_Toc406666357"/>
      <w:bookmarkStart w:id="31" w:name="_Toc406668031"/>
      <w:bookmarkStart w:id="32" w:name="_Toc14372"/>
      <w:bookmarkStart w:id="33" w:name="_Toc361304681"/>
      <w:bookmarkStart w:id="34" w:name="_Toc26215"/>
      <w:bookmarkStart w:id="35" w:name="_Toc387957806"/>
      <w:r>
        <w:rPr>
          <w:rFonts w:hint="eastAsia" w:ascii="仿宋" w:hAnsi="仿宋" w:eastAsia="仿宋" w:cs="Arial Narrow"/>
          <w:sz w:val="28"/>
          <w:szCs w:val="28"/>
          <w:highlight w:val="none"/>
          <w:lang w:val="en-US" w:eastAsia="zh-CN"/>
        </w:rPr>
        <w:t>（二）绩效评价工作情况</w:t>
      </w:r>
      <w:bookmarkEnd w:id="29"/>
      <w:bookmarkEnd w:id="30"/>
      <w:bookmarkEnd w:id="31"/>
      <w:bookmarkEnd w:id="32"/>
      <w:bookmarkEnd w:id="33"/>
      <w:bookmarkEnd w:id="34"/>
      <w:bookmarkEnd w:id="35"/>
      <w:bookmarkStart w:id="36" w:name="_Toc361304682"/>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37" w:name="_Toc387957807"/>
      <w:bookmarkStart w:id="38" w:name="_Toc406666358"/>
      <w:bookmarkStart w:id="39" w:name="_Toc29064"/>
      <w:bookmarkStart w:id="40" w:name="_Toc14165729"/>
      <w:bookmarkStart w:id="41" w:name="_Toc406668032"/>
      <w:bookmarkStart w:id="42" w:name="_Toc18296"/>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绩效评价目</w:t>
      </w:r>
      <w:bookmarkEnd w:id="36"/>
      <w:bookmarkEnd w:id="37"/>
      <w:r>
        <w:rPr>
          <w:rFonts w:hint="eastAsia" w:ascii="仿宋" w:hAnsi="仿宋" w:eastAsia="仿宋" w:cs="Arial Narrow"/>
          <w:sz w:val="24"/>
          <w:highlight w:val="none"/>
        </w:rPr>
        <w:t>的</w:t>
      </w:r>
      <w:bookmarkEnd w:id="38"/>
      <w:bookmarkEnd w:id="39"/>
      <w:bookmarkEnd w:id="40"/>
      <w:bookmarkEnd w:id="41"/>
      <w:bookmarkEnd w:id="42"/>
    </w:p>
    <w:p>
      <w:pPr>
        <w:shd w:val="clear"/>
        <w:snapToGrid w:val="0"/>
        <w:ind w:firstLine="480"/>
        <w:rPr>
          <w:rFonts w:hint="eastAsia" w:ascii="仿宋" w:hAnsi="仿宋" w:eastAsia="仿宋" w:cs="Arial Narrow"/>
          <w:bCs/>
          <w:highlight w:val="none"/>
        </w:rPr>
      </w:pPr>
      <w:r>
        <w:rPr>
          <w:rFonts w:hint="eastAsia" w:ascii="仿宋" w:hAnsi="仿宋" w:eastAsia="仿宋" w:cs="Arial Narrow"/>
          <w:bCs/>
          <w:highlight w:val="none"/>
        </w:rPr>
        <w:t>本次绩效评价的主要目的是加强项目资金管理，提高“</w:t>
      </w:r>
      <w:r>
        <w:rPr>
          <w:rFonts w:hint="eastAsia" w:ascii="仿宋" w:hAnsi="仿宋" w:eastAsia="仿宋" w:cs="Arial Narrow"/>
          <w:bCs/>
          <w:highlight w:val="none"/>
          <w:lang w:eastAsia="zh-CN"/>
        </w:rPr>
        <w:t>干部培训、档案管理及公开招录经费</w:t>
      </w:r>
      <w:r>
        <w:rPr>
          <w:rFonts w:hint="eastAsia" w:ascii="仿宋" w:hAnsi="仿宋" w:eastAsia="仿宋" w:cs="Arial Narrow"/>
          <w:bCs/>
          <w:highlight w:val="none"/>
        </w:rPr>
        <w:t>”</w:t>
      </w:r>
      <w:r>
        <w:rPr>
          <w:rFonts w:hint="eastAsia" w:ascii="仿宋" w:hAnsi="仿宋" w:eastAsia="仿宋" w:cs="Arial Narrow"/>
          <w:bCs/>
          <w:highlight w:val="none"/>
          <w:lang w:val="en-US" w:eastAsia="zh-CN"/>
        </w:rPr>
        <w:t>财政资金使用效益</w:t>
      </w:r>
      <w:r>
        <w:rPr>
          <w:rFonts w:hint="eastAsia" w:ascii="仿宋" w:hAnsi="仿宋" w:eastAsia="仿宋" w:cs="Arial Narrow"/>
          <w:bCs/>
          <w:highlight w:val="none"/>
        </w:rPr>
        <w:t>。</w:t>
      </w:r>
    </w:p>
    <w:p>
      <w:pPr>
        <w:shd w:val="clear"/>
        <w:snapToGrid w:val="0"/>
        <w:ind w:firstLine="480"/>
        <w:rPr>
          <w:rFonts w:ascii="仿宋" w:hAnsi="仿宋" w:eastAsia="仿宋" w:cs="Arial Narrow"/>
          <w:bCs/>
          <w:highlight w:val="none"/>
        </w:rPr>
      </w:pPr>
      <w:r>
        <w:rPr>
          <w:rFonts w:hint="eastAsia" w:ascii="仿宋" w:hAnsi="仿宋" w:eastAsia="仿宋" w:cs="Arial Narrow"/>
          <w:bCs/>
          <w:highlight w:val="none"/>
        </w:rPr>
        <w:t>通过绩效评价，能够核查201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年度</w:t>
      </w:r>
      <w:r>
        <w:rPr>
          <w:rFonts w:hint="eastAsia" w:ascii="仿宋" w:hAnsi="仿宋" w:eastAsia="仿宋" w:cs="Arial Narrow"/>
          <w:bCs/>
          <w:highlight w:val="none"/>
          <w:lang w:val="en-US" w:eastAsia="zh-CN"/>
        </w:rPr>
        <w:t>人力资源局</w:t>
      </w:r>
      <w:r>
        <w:rPr>
          <w:rFonts w:hint="eastAsia" w:ascii="仿宋" w:hAnsi="仿宋" w:eastAsia="仿宋" w:cs="Arial Narrow"/>
          <w:bCs/>
          <w:highlight w:val="none"/>
        </w:rPr>
        <w:t>项目绩效目标、指标的实现程度，考核资金使用效率和综合绩效，总结项目管理与执行经验，管理部门决策、管理提供参考依据；推动建立以绩效评价结果为导向的财政资金分配与管理制度，提升财政资金科学化、精细化管理水平。</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43" w:name="_Toc14165730"/>
      <w:bookmarkStart w:id="44" w:name="_Toc32197"/>
      <w:bookmarkStart w:id="45" w:name="_Toc2095"/>
      <w:bookmarkStart w:id="46" w:name="_Toc406666359"/>
      <w:bookmarkStart w:id="47" w:name="_Toc387957809"/>
      <w:bookmarkStart w:id="48" w:name="_Toc361302025"/>
      <w:bookmarkStart w:id="49" w:name="_Toc361304684"/>
      <w:bookmarkStart w:id="50" w:name="_Toc406668033"/>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绩效评价工作过程</w:t>
      </w:r>
      <w:bookmarkEnd w:id="43"/>
      <w:bookmarkEnd w:id="44"/>
      <w:bookmarkEnd w:id="45"/>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1</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绩效评价准备阶段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rPr>
        <w:t>确定评价对象。根据下达的绩效评价通知书，制订绩效评价工作方案。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2</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绩效评价实施阶段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拟定评价工作方案；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资料审核；</w:t>
      </w:r>
    </w:p>
    <w:p>
      <w:pPr>
        <w:shd w:val="clear"/>
        <w:snapToGrid w:val="0"/>
        <w:ind w:firstLine="480"/>
        <w:jc w:val="left"/>
        <w:rPr>
          <w:rFonts w:ascii="仿宋" w:hAnsi="仿宋" w:eastAsia="仿宋" w:cs="Arial Narrow"/>
          <w:bCs/>
          <w:highlight w:val="none"/>
        </w:rPr>
      </w:pPr>
      <w:r>
        <w:rPr>
          <w:rFonts w:hint="eastAsia" w:ascii="宋体" w:hAnsi="宋体" w:eastAsia="宋体" w:cs="宋体"/>
          <w:bCs/>
          <w:highlight w:val="none"/>
          <w:lang w:val="en-US" w:eastAsia="zh-CN"/>
        </w:rPr>
        <w:t>③</w:t>
      </w:r>
      <w:r>
        <w:rPr>
          <w:rFonts w:hint="eastAsia" w:ascii="仿宋" w:hAnsi="仿宋" w:eastAsia="仿宋" w:cs="Arial Narrow"/>
          <w:bCs/>
          <w:highlight w:val="none"/>
        </w:rPr>
        <w:t>撰写绩效报告；</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④</w:t>
      </w:r>
      <w:r>
        <w:rPr>
          <w:rFonts w:hint="eastAsia" w:ascii="仿宋" w:hAnsi="仿宋" w:eastAsia="仿宋" w:cs="Arial Narrow"/>
          <w:bCs/>
          <w:highlight w:val="none"/>
        </w:rPr>
        <w:t>实施绩效评价。</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lang w:val="en-US" w:eastAsia="zh-CN"/>
        </w:rPr>
        <w:t>3）</w:t>
      </w:r>
      <w:r>
        <w:rPr>
          <w:rFonts w:hint="eastAsia" w:ascii="仿宋" w:hAnsi="仿宋" w:eastAsia="仿宋" w:cs="Arial Narrow"/>
          <w:bCs/>
          <w:highlight w:val="none"/>
        </w:rPr>
        <w:t>绩效评价总结阶段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撰写报告；</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提交报告。</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1" w:name="_Toc14165731"/>
      <w:bookmarkStart w:id="52" w:name="_Toc1595"/>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绩效评价框架</w:t>
      </w:r>
      <w:bookmarkEnd w:id="51"/>
      <w:bookmarkEnd w:id="52"/>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评价原则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评价依据</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《中华人民共和国预算法》；</w:t>
      </w:r>
    </w:p>
    <w:p>
      <w:pPr>
        <w:shd w:val="clear"/>
        <w:snapToGrid w:val="0"/>
        <w:ind w:firstLine="48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②《财政支出绩效评价管理暂行办法》（财预[2011]285号）；</w:t>
      </w:r>
    </w:p>
    <w:p>
      <w:pPr>
        <w:shd w:val="clear"/>
        <w:snapToGrid w:val="0"/>
        <w:ind w:firstLine="48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③《财政部关于推进预算绩效管理的指导意见》（财预[2011]416号）；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lang w:eastAsia="zh-CN"/>
        </w:rPr>
        <w:t>《</w:t>
      </w:r>
      <w:r>
        <w:rPr>
          <w:rFonts w:hint="eastAsia" w:ascii="仿宋" w:hAnsi="仿宋" w:eastAsia="仿宋" w:cs="Arial Narrow"/>
          <w:highlight w:val="none"/>
        </w:rPr>
        <w:t>湖北省省级财政项目资金绩效评价实施暂行办法》（鄂财绩发[2012]5号）；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《关于推进预算绩效管理的意见》(武政[2013]95号)；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⑥</w:t>
      </w:r>
      <w:r>
        <w:rPr>
          <w:rFonts w:hint="eastAsia" w:ascii="仿宋" w:hAnsi="仿宋" w:eastAsia="仿宋" w:cs="Arial Narrow"/>
          <w:highlight w:val="none"/>
        </w:rPr>
        <w:t>武汉市财政局《关于进一步推进预算绩效管理改革工作的通知》；</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⑦</w:t>
      </w:r>
      <w:r>
        <w:rPr>
          <w:rFonts w:hint="eastAsia" w:ascii="仿宋" w:hAnsi="仿宋" w:eastAsia="仿宋" w:cs="Arial Narrow"/>
          <w:highlight w:val="none"/>
        </w:rPr>
        <w:t>《武汉经济技术开发区（汉南区）预算绩效评价管理暂行办法》；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⑧</w:t>
      </w:r>
      <w:r>
        <w:rPr>
          <w:rFonts w:hint="eastAsia" w:ascii="仿宋" w:hAnsi="仿宋" w:eastAsia="仿宋" w:cs="Arial Narrow"/>
          <w:highlight w:val="none"/>
        </w:rPr>
        <w:t>《区财政局关于开展2019年度预算绩效自评工作的通知》 武经开财〔20</w:t>
      </w:r>
      <w:r>
        <w:rPr>
          <w:rFonts w:hint="eastAsia" w:ascii="仿宋" w:hAnsi="仿宋" w:eastAsia="仿宋" w:cs="Arial Narrow"/>
          <w:highlight w:val="none"/>
          <w:lang w:val="en-US" w:eastAsia="zh-CN"/>
        </w:rPr>
        <w:t>20</w:t>
      </w:r>
      <w:r>
        <w:rPr>
          <w:rFonts w:hint="eastAsia" w:ascii="仿宋" w:hAnsi="仿宋" w:eastAsia="仿宋" w:cs="Arial Narrow"/>
          <w:highlight w:val="none"/>
        </w:rPr>
        <w:t>〕</w:t>
      </w:r>
      <w:r>
        <w:rPr>
          <w:rFonts w:hint="eastAsia" w:ascii="仿宋" w:hAnsi="仿宋" w:eastAsia="仿宋" w:cs="Arial Narrow"/>
          <w:highlight w:val="none"/>
          <w:lang w:val="en-US" w:eastAsia="zh-CN"/>
        </w:rPr>
        <w:t>10</w:t>
      </w:r>
      <w:r>
        <w:rPr>
          <w:rFonts w:hint="eastAsia" w:ascii="仿宋" w:hAnsi="仿宋" w:eastAsia="仿宋" w:cs="Arial Narrow"/>
          <w:highlight w:val="none"/>
        </w:rPr>
        <w:t>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⑨</w:t>
      </w:r>
      <w:r>
        <w:rPr>
          <w:rFonts w:hint="eastAsia" w:ascii="仿宋" w:hAnsi="仿宋" w:eastAsia="仿宋" w:cs="Arial Narrow"/>
          <w:highlight w:val="none"/>
        </w:rPr>
        <w:t>项目资金使用明细表、与项目相关的财务账等资料；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⑩</w:t>
      </w:r>
      <w:r>
        <w:rPr>
          <w:rFonts w:hint="eastAsia" w:ascii="仿宋" w:hAnsi="仿宋" w:eastAsia="仿宋" w:cs="Arial Narrow"/>
          <w:highlight w:val="none"/>
        </w:rPr>
        <w:t>其他与项目评价相关的资料。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评价方法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主要采用成本效益分析法、比较法、因素分析法、最低成本法、公众评判法等。</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成本效益分析法。是指将一定时期内的支出与效益进行对比分析，以评价绩效目标实现程度。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②</w:t>
      </w:r>
      <w:r>
        <w:rPr>
          <w:rFonts w:hint="eastAsia" w:ascii="仿宋" w:hAnsi="仿宋" w:eastAsia="仿宋" w:cs="Arial Narrow"/>
          <w:highlight w:val="none"/>
        </w:rPr>
        <w:t>比较法。是指通过对绩效目标与实施效果、历史与当期情况、不同部门和地区同类支出的比较，综合分析绩效目标实现程度。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③</w:t>
      </w:r>
      <w:r>
        <w:rPr>
          <w:rFonts w:hint="eastAsia" w:ascii="仿宋" w:hAnsi="仿宋" w:eastAsia="仿宋" w:cs="Arial Narrow"/>
          <w:highlight w:val="none"/>
        </w:rPr>
        <w:t>因素分析法。是指通过综合分析影响绩效目标实现、实施效果的内外因素，评价绩效目标实现程度。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rPr>
        <w:t>最低成本法。是指对效益确定却不易计量的多个同类对象的实施成本进行比较，评价绩效目标实现程度。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公众评判法。是指通过专家评估、公众问卷及抽样调查等对财政支出效果进行评判，评价绩效目标实现程度。</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3" w:name="_Toc18353"/>
      <w:bookmarkStart w:id="54" w:name="_Toc14165732"/>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评价抽样情况概述</w:t>
      </w:r>
      <w:bookmarkEnd w:id="46"/>
      <w:bookmarkEnd w:id="47"/>
      <w:bookmarkEnd w:id="48"/>
      <w:bookmarkEnd w:id="49"/>
      <w:bookmarkEnd w:id="50"/>
      <w:bookmarkEnd w:id="53"/>
      <w:bookmarkEnd w:id="54"/>
      <w:bookmarkStart w:id="55" w:name="_Toc406668044"/>
      <w:bookmarkStart w:id="56" w:name="_Toc18443"/>
      <w:bookmarkStart w:id="57" w:name="_Toc387957819"/>
      <w:bookmarkStart w:id="58" w:name="_Toc406666370"/>
      <w:bookmarkStart w:id="59" w:name="_Toc361304693"/>
      <w:bookmarkStart w:id="60" w:name="_Toc14165733"/>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小组遵循代表性原则、独立性原则和方便性原则，根据项目属性、区域分布、资金规模进行抽样调查。抽样调查项目个数及总金额可以代表项目实施的总体情况。对被抽样单位进行实地抽查，了解项目的具体实施情况，在反复沟通中了解被抽样单位项目资金的使用情况、项目资金的到位情况及产生的效益，使绩效评价量化指标更加充分，也确保绩效评价与项目的衔接度更高。</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61" w:name="_Toc7146"/>
      <w:r>
        <w:rPr>
          <w:rFonts w:hint="eastAsia" w:ascii="仿宋" w:hAnsi="仿宋" w:eastAsia="仿宋" w:cs="Arial Narrow"/>
          <w:sz w:val="28"/>
          <w:szCs w:val="28"/>
          <w:highlight w:val="none"/>
          <w:lang w:val="en-US" w:eastAsia="zh-CN"/>
        </w:rPr>
        <w:t>（三）绩效分析</w:t>
      </w:r>
      <w:bookmarkEnd w:id="55"/>
      <w:bookmarkEnd w:id="56"/>
      <w:bookmarkEnd w:id="57"/>
      <w:bookmarkEnd w:id="58"/>
      <w:bookmarkEnd w:id="59"/>
      <w:r>
        <w:rPr>
          <w:rFonts w:hint="eastAsia" w:ascii="仿宋" w:hAnsi="仿宋" w:eastAsia="仿宋" w:cs="Arial Narrow"/>
          <w:sz w:val="28"/>
          <w:szCs w:val="28"/>
          <w:highlight w:val="none"/>
          <w:lang w:val="en-US" w:eastAsia="zh-CN"/>
        </w:rPr>
        <w:t>及评价结论</w:t>
      </w:r>
      <w:bookmarkEnd w:id="60"/>
      <w:bookmarkEnd w:id="61"/>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62" w:name="_Toc13084"/>
      <w:bookmarkStart w:id="63" w:name="_Toc1416573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绩效分析</w:t>
      </w:r>
      <w:bookmarkEnd w:id="62"/>
      <w:bookmarkEnd w:id="63"/>
    </w:p>
    <w:p>
      <w:pPr>
        <w:shd w:val="clear"/>
        <w:snapToGrid w:val="0"/>
        <w:ind w:firstLine="480"/>
        <w:jc w:val="left"/>
        <w:rPr>
          <w:rFonts w:hint="eastAsia" w:ascii="仿宋" w:hAnsi="仿宋" w:eastAsia="仿宋" w:cs="Arial Narrow"/>
          <w:b/>
          <w:bCs/>
          <w:sz w:val="24"/>
          <w:highlight w:val="none"/>
        </w:rPr>
      </w:pPr>
      <w:bookmarkStart w:id="64" w:name="_Toc14165735"/>
      <w:bookmarkStart w:id="65" w:name="_Toc2992"/>
      <w:bookmarkStart w:id="66" w:name="_Toc361302034"/>
      <w:bookmarkStart w:id="67" w:name="_Toc361304697"/>
      <w:bookmarkStart w:id="68" w:name="_Toc387957822"/>
      <w:bookmarkStart w:id="69" w:name="_Toc406666373"/>
      <w:bookmarkStart w:id="70" w:name="_Toc406668047"/>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bookmarkStart w:id="71" w:name="_Toc394181010"/>
      <w:r>
        <w:rPr>
          <w:rFonts w:hint="eastAsia" w:ascii="仿宋" w:hAnsi="仿宋" w:eastAsia="仿宋" w:cs="Arial Narrow"/>
          <w:b/>
          <w:bCs/>
          <w:sz w:val="24"/>
          <w:highlight w:val="none"/>
        </w:rPr>
        <w:t>投入</w:t>
      </w:r>
      <w:r>
        <w:rPr>
          <w:rFonts w:hint="eastAsia" w:ascii="仿宋" w:hAnsi="仿宋" w:eastAsia="仿宋" w:cs="Arial Narrow"/>
          <w:b/>
          <w:bCs/>
          <w:sz w:val="24"/>
          <w:highlight w:val="none"/>
          <w:lang w:val="en-US" w:eastAsia="zh-CN"/>
        </w:rPr>
        <w:t>-资金落实</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bookmarkEnd w:id="64"/>
      <w:bookmarkEnd w:id="65"/>
      <w:bookmarkEnd w:id="71"/>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资金落实主要评价财政预算资金是否全额发放、资金到位是否及时。该情况主要是通过资金到位率和到位及时率两个指标来反映。指标评价得分为</w:t>
      </w:r>
      <w:r>
        <w:rPr>
          <w:rFonts w:hint="eastAsia" w:ascii="仿宋" w:hAnsi="仿宋" w:eastAsia="仿宋" w:cs="Arial Narrow"/>
          <w:highlight w:val="none"/>
          <w:lang w:val="en-US" w:eastAsia="zh-CN"/>
        </w:rPr>
        <w:t>8.17</w:t>
      </w:r>
      <w:r>
        <w:rPr>
          <w:rFonts w:hint="eastAsia" w:ascii="仿宋" w:hAnsi="仿宋" w:eastAsia="仿宋" w:cs="Arial Narrow"/>
          <w:highlight w:val="none"/>
        </w:rPr>
        <w:t>分，评价等级为</w:t>
      </w:r>
      <w:r>
        <w:rPr>
          <w:rFonts w:hint="eastAsia" w:ascii="仿宋" w:hAnsi="仿宋" w:eastAsia="仿宋" w:cs="Arial Narrow"/>
          <w:highlight w:val="none"/>
          <w:lang w:val="en-US" w:eastAsia="zh-CN"/>
        </w:rPr>
        <w:t>良</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a.</w:t>
      </w:r>
      <w:r>
        <w:rPr>
          <w:rFonts w:hint="eastAsia" w:ascii="仿宋" w:hAnsi="仿宋" w:eastAsia="仿宋" w:cs="Arial Narrow"/>
          <w:highlight w:val="none"/>
        </w:rPr>
        <w:tab/>
      </w:r>
      <w:r>
        <w:rPr>
          <w:rFonts w:hint="eastAsia" w:ascii="仿宋" w:hAnsi="仿宋" w:eastAsia="仿宋" w:cs="Arial Narrow"/>
          <w:highlight w:val="none"/>
        </w:rPr>
        <w:t>资金到位率，是指实际到位资金与计划投入资金的比率，用以反映和考核资金落实情况对项目实施的总体保障程度。201</w:t>
      </w:r>
      <w:r>
        <w:rPr>
          <w:rFonts w:hint="eastAsia" w:ascii="仿宋" w:hAnsi="仿宋" w:eastAsia="仿宋" w:cs="Arial Narrow"/>
          <w:highlight w:val="none"/>
          <w:lang w:val="en-US" w:eastAsia="zh-CN"/>
        </w:rPr>
        <w:t>9</w:t>
      </w:r>
      <w:r>
        <w:rPr>
          <w:rFonts w:hint="eastAsia" w:ascii="仿宋" w:hAnsi="仿宋" w:eastAsia="仿宋" w:cs="Arial Narrow"/>
          <w:highlight w:val="none"/>
        </w:rPr>
        <w:t>年该项目计划投入资金</w:t>
      </w:r>
      <w:r>
        <w:rPr>
          <w:rFonts w:hint="eastAsia" w:ascii="仿宋" w:hAnsi="仿宋" w:eastAsia="仿宋" w:cs="Arial Narrow"/>
          <w:highlight w:val="none"/>
          <w:lang w:val="en-US" w:eastAsia="zh-CN"/>
        </w:rPr>
        <w:t>49.00</w:t>
      </w:r>
      <w:r>
        <w:rPr>
          <w:rFonts w:hint="eastAsia" w:ascii="仿宋" w:hAnsi="仿宋" w:eastAsia="仿宋" w:cs="Arial Narrow"/>
          <w:highlight w:val="none"/>
        </w:rPr>
        <w:t>万元，实际到位资金共</w:t>
      </w:r>
      <w:r>
        <w:rPr>
          <w:rFonts w:hint="eastAsia" w:ascii="仿宋" w:hAnsi="仿宋" w:eastAsia="仿宋" w:cs="Arial Narrow"/>
          <w:highlight w:val="none"/>
          <w:lang w:val="en-US" w:eastAsia="zh-CN"/>
        </w:rPr>
        <w:t>40.01</w:t>
      </w:r>
      <w:r>
        <w:rPr>
          <w:rFonts w:hint="eastAsia" w:ascii="仿宋" w:hAnsi="仿宋" w:eastAsia="仿宋" w:cs="Arial Narrow"/>
          <w:highlight w:val="none"/>
        </w:rPr>
        <w:t>万元，资金到位率</w:t>
      </w:r>
      <w:r>
        <w:rPr>
          <w:rFonts w:hint="eastAsia" w:ascii="仿宋" w:hAnsi="仿宋" w:eastAsia="仿宋" w:cs="Arial Narrow"/>
          <w:highlight w:val="none"/>
          <w:lang w:val="en-US" w:eastAsia="zh-CN"/>
        </w:rPr>
        <w:t>81.65</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b.</w:t>
      </w:r>
      <w:r>
        <w:rPr>
          <w:rFonts w:hint="eastAsia" w:ascii="仿宋" w:hAnsi="仿宋" w:eastAsia="仿宋" w:cs="Arial Narrow"/>
          <w:highlight w:val="none"/>
        </w:rPr>
        <w:tab/>
      </w:r>
      <w:r>
        <w:rPr>
          <w:rFonts w:hint="eastAsia" w:ascii="仿宋" w:hAnsi="仿宋" w:eastAsia="仿宋" w:cs="Arial Narrow"/>
          <w:highlight w:val="none"/>
        </w:rPr>
        <w:t>到位及时率，是指项目及时到位资金与应到位资金的比率，用以反映和考核项目资金落实的及时性程度。武汉经济技术开发区（汉南区）财政局下达项目申报资金及时，到位及时率100%。</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项目产出（</w:t>
      </w:r>
      <w:r>
        <w:rPr>
          <w:rFonts w:hint="eastAsia" w:ascii="仿宋" w:hAnsi="仿宋" w:eastAsia="仿宋" w:cs="Arial Narrow"/>
          <w:b/>
          <w:bCs/>
          <w:sz w:val="24"/>
          <w:highlight w:val="none"/>
          <w:lang w:val="en-US" w:eastAsia="zh-CN"/>
        </w:rPr>
        <w:t>50</w:t>
      </w:r>
      <w:r>
        <w:rPr>
          <w:rFonts w:hint="eastAsia" w:ascii="仿宋" w:hAnsi="仿宋" w:eastAsia="仿宋" w:cs="Arial Narrow"/>
          <w:b/>
          <w:bCs/>
          <w:sz w:val="24"/>
          <w:highlight w:val="none"/>
        </w:rPr>
        <w:t>分）</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项目产出方面主要评价项目实施内容的完成情况，包括完成数量、质量</w:t>
      </w:r>
      <w:r>
        <w:rPr>
          <w:rFonts w:hint="eastAsia" w:ascii="仿宋" w:hAnsi="仿宋" w:eastAsia="仿宋" w:cs="Arial Narrow"/>
          <w:highlight w:val="none"/>
          <w:lang w:eastAsia="zh-CN"/>
        </w:rPr>
        <w:t>、</w:t>
      </w:r>
      <w:r>
        <w:rPr>
          <w:rFonts w:hint="eastAsia" w:ascii="仿宋" w:hAnsi="仿宋" w:eastAsia="仿宋" w:cs="Arial Narrow"/>
          <w:highlight w:val="none"/>
        </w:rPr>
        <w:t>时效</w:t>
      </w:r>
      <w:r>
        <w:rPr>
          <w:rFonts w:hint="eastAsia" w:ascii="仿宋" w:hAnsi="仿宋" w:eastAsia="仿宋" w:cs="Arial Narrow"/>
          <w:highlight w:val="none"/>
          <w:lang w:val="en-US" w:eastAsia="zh-CN"/>
        </w:rPr>
        <w:t>以及成本</w:t>
      </w:r>
      <w:r>
        <w:rPr>
          <w:rFonts w:hint="eastAsia" w:ascii="仿宋" w:hAnsi="仿宋" w:eastAsia="仿宋" w:cs="Arial Narrow"/>
          <w:highlight w:val="none"/>
        </w:rPr>
        <w:t>。对于该项的评价，绩效评价工作小组主要采取了卷宗研究、现场访谈等方式进行资料收集、整理和分析，对项目产出涉及的指标进行打分和评价。经过综合计分，该指标得分为</w:t>
      </w:r>
      <w:r>
        <w:rPr>
          <w:rFonts w:hint="eastAsia" w:ascii="仿宋" w:hAnsi="仿宋" w:eastAsia="仿宋" w:cs="Arial Narrow"/>
          <w:highlight w:val="none"/>
          <w:lang w:val="en-US" w:eastAsia="zh-CN"/>
        </w:rPr>
        <w:t>36</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中</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①数量指标，是指新录用人员培训人数</w:t>
      </w:r>
      <w:r>
        <w:rPr>
          <w:rFonts w:hint="eastAsia" w:ascii="仿宋" w:hAnsi="仿宋" w:eastAsia="仿宋" w:cs="Arial Narrow"/>
          <w:highlight w:val="none"/>
          <w:lang w:eastAsia="zh-CN"/>
        </w:rPr>
        <w:t>，在职人员培训人数，干部人事档案管理份数，档案管理设备配置数量，公开招录事业人员人数</w:t>
      </w:r>
      <w:r>
        <w:rPr>
          <w:rFonts w:hint="eastAsia" w:ascii="仿宋" w:hAnsi="仿宋" w:eastAsia="仿宋" w:cs="Arial Narrow"/>
          <w:highlight w:val="none"/>
          <w:lang w:val="en-US" w:eastAsia="zh-CN"/>
        </w:rPr>
        <w:t>等</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②质量指标，是指培训质量达标率</w:t>
      </w:r>
      <w:r>
        <w:rPr>
          <w:rFonts w:hint="eastAsia" w:ascii="仿宋" w:hAnsi="仿宋" w:eastAsia="仿宋" w:cs="Arial Narrow"/>
          <w:highlight w:val="none"/>
          <w:lang w:eastAsia="zh-CN"/>
        </w:rPr>
        <w:t>，档案管理质量达标率，档案设备配置合规率</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③时效指标，是指项目实际提前完成时间与计划完成时间的比率，用以反映和考核项目产出时效目标的实现程度。</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④成本指标，是指项目完成时成本不高于计划支出。通过查看项目预算批复文件和支出明细表以及记账凭证得知，该项目项目到位资金为</w:t>
      </w:r>
      <w:r>
        <w:rPr>
          <w:rFonts w:hint="eastAsia" w:ascii="仿宋" w:hAnsi="仿宋" w:eastAsia="仿宋" w:cs="Arial Narrow"/>
          <w:highlight w:val="none"/>
          <w:lang w:val="en-US" w:eastAsia="zh-CN"/>
        </w:rPr>
        <w:t>49.00万</w:t>
      </w:r>
      <w:r>
        <w:rPr>
          <w:rFonts w:hint="eastAsia" w:ascii="仿宋" w:hAnsi="仿宋" w:eastAsia="仿宋" w:cs="Arial Narrow"/>
          <w:highlight w:val="none"/>
        </w:rPr>
        <w:t>元，实际支出为</w:t>
      </w:r>
      <w:r>
        <w:rPr>
          <w:rFonts w:hint="eastAsia" w:ascii="仿宋" w:hAnsi="仿宋" w:eastAsia="仿宋" w:cs="Arial Narrow"/>
          <w:highlight w:val="none"/>
          <w:lang w:val="en-US" w:eastAsia="zh-CN"/>
        </w:rPr>
        <w:t>40.01万</w:t>
      </w:r>
      <w:r>
        <w:rPr>
          <w:rFonts w:hint="eastAsia" w:ascii="仿宋" w:hAnsi="仿宋" w:eastAsia="仿宋" w:cs="Arial Narrow"/>
          <w:highlight w:val="none"/>
        </w:rPr>
        <w:t>元，资金使用率为</w:t>
      </w:r>
      <w:r>
        <w:rPr>
          <w:rFonts w:hint="eastAsia" w:ascii="仿宋" w:hAnsi="仿宋" w:eastAsia="仿宋" w:cs="Arial Narrow"/>
          <w:highlight w:val="none"/>
          <w:lang w:val="en-US" w:eastAsia="zh-CN"/>
        </w:rPr>
        <w:t>81.65</w:t>
      </w:r>
      <w:r>
        <w:rPr>
          <w:rFonts w:hint="eastAsia" w:ascii="仿宋" w:hAnsi="仿宋" w:eastAsia="仿宋" w:cs="Arial Narrow"/>
          <w:highlight w:val="none"/>
        </w:rPr>
        <w:t>%。</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r>
        <w:rPr>
          <w:rFonts w:hint="eastAsia" w:ascii="仿宋" w:hAnsi="仿宋" w:eastAsia="仿宋" w:cs="Arial Narrow"/>
          <w:b/>
          <w:bCs/>
          <w:sz w:val="24"/>
          <w:highlight w:val="none"/>
          <w:lang w:val="en-US" w:eastAsia="zh-CN"/>
        </w:rPr>
        <w:t>效益</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30</w:t>
      </w:r>
      <w:r>
        <w:rPr>
          <w:rFonts w:hint="eastAsia" w:ascii="仿宋" w:hAnsi="仿宋" w:eastAsia="仿宋" w:cs="Arial Narrow"/>
          <w:b/>
          <w:bCs/>
          <w:sz w:val="24"/>
          <w:highlight w:val="none"/>
        </w:rPr>
        <w:t>分）</w:t>
      </w:r>
    </w:p>
    <w:bookmarkEnd w:id="66"/>
    <w:bookmarkEnd w:id="67"/>
    <w:bookmarkEnd w:id="68"/>
    <w:bookmarkEnd w:id="69"/>
    <w:bookmarkEnd w:id="70"/>
    <w:p>
      <w:pPr>
        <w:shd w:val="clear"/>
        <w:snapToGrid w:val="0"/>
        <w:ind w:firstLine="480"/>
        <w:rPr>
          <w:rFonts w:ascii="仿宋" w:hAnsi="仿宋" w:eastAsia="仿宋" w:cs="Arial Narrow"/>
          <w:highlight w:val="none"/>
        </w:rPr>
      </w:pPr>
      <w:bookmarkStart w:id="72" w:name="_Toc361302038"/>
      <w:bookmarkStart w:id="73" w:name="_Toc17932"/>
      <w:bookmarkStart w:id="74" w:name="_Toc406666377"/>
      <w:bookmarkStart w:id="75" w:name="_Toc406668051"/>
      <w:bookmarkStart w:id="76" w:name="_Toc387957826"/>
      <w:bookmarkStart w:id="77" w:name="_Toc361304701"/>
      <w:bookmarkStart w:id="78" w:name="_Toc14165738"/>
      <w:r>
        <w:rPr>
          <w:rFonts w:hint="eastAsia" w:ascii="仿宋" w:hAnsi="仿宋" w:eastAsia="仿宋" w:cs="Arial Narrow"/>
          <w:highlight w:val="none"/>
        </w:rPr>
        <w:t>项目效益方面主要评价项目实施所产生的</w:t>
      </w:r>
      <w:r>
        <w:rPr>
          <w:rFonts w:hint="eastAsia" w:ascii="仿宋" w:hAnsi="仿宋" w:eastAsia="仿宋" w:cs="Arial Narrow"/>
          <w:highlight w:val="none"/>
          <w:lang w:val="en-US" w:eastAsia="zh-CN"/>
        </w:rPr>
        <w:t>社会</w:t>
      </w:r>
      <w:r>
        <w:rPr>
          <w:rFonts w:hint="eastAsia" w:ascii="仿宋" w:hAnsi="仿宋" w:eastAsia="仿宋" w:cs="Arial Narrow"/>
          <w:highlight w:val="none"/>
        </w:rPr>
        <w:t>效益，以及对社会的需求和发展所带来的直接或间接影响，反映项目后续运行及成效发挥的可持续影响情况。对于该项的评价，绩效评价工作小组主要采取了卷宗研究、现场访谈等方式进行资料收集、整理和分析，采集相关信息，对项目效益涉及的指标进行打分和评价。满分</w:t>
      </w:r>
      <w:r>
        <w:rPr>
          <w:rFonts w:hint="eastAsia" w:ascii="仿宋" w:hAnsi="仿宋" w:eastAsia="仿宋" w:cs="Arial Narrow"/>
          <w:highlight w:val="none"/>
          <w:lang w:val="en-US" w:eastAsia="zh-CN"/>
        </w:rPr>
        <w:t>30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30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①社会效益指标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是指逐年</w:t>
      </w:r>
      <w:r>
        <w:rPr>
          <w:rFonts w:hint="eastAsia" w:ascii="仿宋" w:hAnsi="仿宋" w:eastAsia="仿宋" w:cs="Arial Narrow"/>
          <w:highlight w:val="none"/>
        </w:rPr>
        <w:t>提升就职人员的职业归属感和自豪感</w:t>
      </w:r>
      <w:r>
        <w:rPr>
          <w:rFonts w:hint="eastAsia" w:ascii="仿宋" w:hAnsi="仿宋" w:eastAsia="仿宋" w:cs="Arial Narrow"/>
          <w:highlight w:val="none"/>
          <w:lang w:val="en-US" w:eastAsia="zh-CN"/>
        </w:rPr>
        <w:t>。</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②可持续影响指标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是指机构、人员、制度满足需要，项目经费有保障。</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4</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服务对象满意度</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p>
    <w:p>
      <w:pPr>
        <w:shd w:val="clear"/>
        <w:snapToGrid w:val="0"/>
        <w:rPr>
          <w:rFonts w:hint="eastAsia" w:ascii="仿宋" w:hAnsi="仿宋" w:eastAsia="仿宋" w:cs="Arial Narrow"/>
          <w:highlight w:val="none"/>
          <w:lang w:eastAsia="zh-CN"/>
        </w:rPr>
      </w:pPr>
      <w:r>
        <w:rPr>
          <w:rFonts w:hint="eastAsia" w:ascii="仿宋" w:hAnsi="仿宋" w:eastAsia="仿宋" w:cs="Arial Narrow"/>
          <w:highlight w:val="none"/>
          <w:lang w:eastAsia="zh-CN"/>
        </w:rPr>
        <w:t>服务对象满意度</w:t>
      </w:r>
      <w:r>
        <w:rPr>
          <w:rFonts w:hint="eastAsia" w:ascii="仿宋" w:hAnsi="仿宋" w:eastAsia="仿宋" w:cs="Arial Narrow"/>
          <w:highlight w:val="none"/>
        </w:rPr>
        <w:t>主要评价社会公众或服务对象</w:t>
      </w:r>
      <w:r>
        <w:rPr>
          <w:rFonts w:hint="eastAsia" w:ascii="仿宋" w:hAnsi="仿宋" w:eastAsia="仿宋" w:cs="Arial Narrow"/>
          <w:highlight w:val="none"/>
          <w:lang w:val="en-US" w:eastAsia="zh-CN"/>
        </w:rPr>
        <w:t>对</w:t>
      </w:r>
      <w:r>
        <w:rPr>
          <w:rFonts w:hint="eastAsia" w:ascii="仿宋" w:hAnsi="仿宋" w:eastAsia="仿宋" w:cs="Arial Narrow"/>
          <w:highlight w:val="none"/>
        </w:rPr>
        <w:t>项目实施</w:t>
      </w:r>
      <w:r>
        <w:rPr>
          <w:rFonts w:hint="eastAsia" w:ascii="仿宋" w:hAnsi="仿宋" w:eastAsia="仿宋" w:cs="Arial Narrow"/>
          <w:highlight w:val="none"/>
          <w:lang w:val="en-US" w:eastAsia="zh-CN"/>
        </w:rPr>
        <w:t>的</w:t>
      </w:r>
      <w:r>
        <w:rPr>
          <w:rFonts w:hint="eastAsia" w:ascii="仿宋" w:hAnsi="仿宋" w:eastAsia="仿宋" w:cs="Arial Narrow"/>
          <w:highlight w:val="none"/>
        </w:rPr>
        <w:t>满意</w:t>
      </w:r>
      <w:r>
        <w:rPr>
          <w:rFonts w:hint="eastAsia" w:ascii="仿宋" w:hAnsi="仿宋" w:eastAsia="仿宋" w:cs="Arial Narrow"/>
          <w:highlight w:val="none"/>
          <w:lang w:val="en-US" w:eastAsia="zh-CN"/>
        </w:rPr>
        <w:t>程度。</w:t>
      </w:r>
      <w:r>
        <w:rPr>
          <w:rFonts w:hint="eastAsia" w:ascii="仿宋" w:hAnsi="仿宋" w:eastAsia="仿宋" w:cs="Arial Narrow"/>
          <w:highlight w:val="none"/>
        </w:rPr>
        <w:t>对于该项的评价，绩效评价工作小组主要采取了卷宗研究、现场访谈等方式进行资料收集、整理和分析，采集相关信息，对服务对象满意度涉及的指标进行打分和评价。满分</w:t>
      </w:r>
      <w:r>
        <w:rPr>
          <w:rFonts w:hint="eastAsia" w:ascii="仿宋" w:hAnsi="仿宋" w:eastAsia="仿宋" w:cs="Arial Narrow"/>
          <w:highlight w:val="none"/>
          <w:lang w:val="en-US" w:eastAsia="zh-CN"/>
        </w:rPr>
        <w:t>10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10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79" w:name="_Toc22751"/>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评价结论</w:t>
      </w:r>
      <w:bookmarkEnd w:id="72"/>
      <w:bookmarkEnd w:id="73"/>
      <w:bookmarkEnd w:id="74"/>
      <w:bookmarkEnd w:id="75"/>
      <w:bookmarkEnd w:id="76"/>
      <w:bookmarkEnd w:id="77"/>
      <w:bookmarkEnd w:id="78"/>
      <w:bookmarkEnd w:id="79"/>
      <w:bookmarkStart w:id="80" w:name="_Toc361304702"/>
      <w:bookmarkStart w:id="81" w:name="_Toc361302039"/>
    </w:p>
    <w:bookmarkEnd w:id="80"/>
    <w:bookmarkEnd w:id="81"/>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评分结果</w:t>
      </w:r>
    </w:p>
    <w:p>
      <w:pPr>
        <w:shd w:val="clear"/>
        <w:snapToGrid w:val="0"/>
        <w:ind w:firstLine="480"/>
        <w:rPr>
          <w:rFonts w:ascii="仿宋" w:hAnsi="仿宋" w:eastAsia="仿宋" w:cs="Arial Narrow"/>
          <w:highlight w:val="none"/>
        </w:rPr>
      </w:pPr>
      <w:bookmarkStart w:id="82" w:name="_Toc361304705"/>
      <w:bookmarkStart w:id="83" w:name="_Toc387957829"/>
      <w:bookmarkStart w:id="84" w:name="_Toc406666380"/>
      <w:bookmarkStart w:id="85" w:name="_Toc406668054"/>
      <w:r>
        <w:rPr>
          <w:rFonts w:hint="eastAsia" w:ascii="仿宋" w:hAnsi="仿宋" w:eastAsia="仿宋" w:cs="Arial Narrow"/>
          <w:highlight w:val="none"/>
          <w:lang w:eastAsia="zh-CN"/>
        </w:rPr>
        <w:t>武汉经济技术开发区（汉南区）人力资源局</w:t>
      </w:r>
      <w:r>
        <w:rPr>
          <w:rFonts w:hint="eastAsia" w:ascii="仿宋" w:hAnsi="仿宋" w:eastAsia="仿宋" w:cs="Arial Narrow"/>
          <w:highlight w:val="none"/>
        </w:rPr>
        <w:t>“</w:t>
      </w:r>
      <w:r>
        <w:rPr>
          <w:rFonts w:hint="eastAsia" w:ascii="仿宋" w:hAnsi="仿宋" w:eastAsia="仿宋" w:cs="Arial Narrow"/>
          <w:highlight w:val="none"/>
          <w:lang w:eastAsia="zh-CN"/>
        </w:rPr>
        <w:t>干部培训、档案管理及公开招录经费</w:t>
      </w:r>
      <w:r>
        <w:rPr>
          <w:rFonts w:hint="eastAsia" w:ascii="仿宋" w:hAnsi="仿宋" w:eastAsia="仿宋" w:cs="Arial Narrow"/>
          <w:highlight w:val="none"/>
        </w:rPr>
        <w:t>”项目绩效评价综合得分为</w:t>
      </w:r>
      <w:r>
        <w:rPr>
          <w:rFonts w:hint="eastAsia" w:ascii="仿宋" w:hAnsi="仿宋" w:eastAsia="仿宋" w:cs="Arial Narrow"/>
          <w:highlight w:val="none"/>
          <w:lang w:val="en-US" w:eastAsia="zh-CN"/>
        </w:rPr>
        <w:t>84.17</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良。详见《干部培训、档案管理及公开招录经费项目支出绩效自评表》（附件1）</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主要结论</w:t>
      </w:r>
    </w:p>
    <w:p>
      <w:pPr>
        <w:shd w:val="clear"/>
        <w:snapToGrid w:val="0"/>
        <w:ind w:firstLine="480"/>
        <w:rPr>
          <w:rFonts w:ascii="仿宋" w:hAnsi="仿宋" w:eastAsia="仿宋" w:cs="Arial Narrow"/>
          <w:bCs/>
          <w:highlight w:val="none"/>
        </w:rPr>
      </w:pPr>
      <w:bookmarkStart w:id="86" w:name="_Toc14165739"/>
      <w:bookmarkStart w:id="87" w:name="_Toc14373"/>
      <w:r>
        <w:rPr>
          <w:rFonts w:hint="eastAsia" w:ascii="仿宋" w:hAnsi="仿宋" w:eastAsia="仿宋" w:cs="Arial Narrow"/>
          <w:bCs/>
          <w:highlight w:val="none"/>
        </w:rPr>
        <w:t>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w:t>
      </w:r>
      <w:r>
        <w:rPr>
          <w:rFonts w:hint="eastAsia" w:ascii="仿宋" w:hAnsi="仿宋" w:eastAsia="仿宋" w:cs="Arial Narrow"/>
          <w:bCs/>
          <w:highlight w:val="none"/>
          <w:lang w:val="en-US" w:eastAsia="zh-CN"/>
        </w:rPr>
        <w:t>人力资源局</w:t>
      </w:r>
      <w:r>
        <w:rPr>
          <w:rFonts w:hint="eastAsia" w:ascii="仿宋" w:hAnsi="仿宋" w:eastAsia="仿宋" w:cs="Arial Narrow"/>
          <w:bCs/>
          <w:highlight w:val="none"/>
        </w:rPr>
        <w:t>“</w:t>
      </w:r>
      <w:r>
        <w:rPr>
          <w:rFonts w:hint="eastAsia" w:ascii="仿宋" w:hAnsi="仿宋" w:eastAsia="仿宋" w:cs="Arial Narrow"/>
          <w:bCs/>
          <w:highlight w:val="none"/>
          <w:lang w:eastAsia="zh-CN"/>
        </w:rPr>
        <w:t>干部培训、档案管理及公开招录经费</w:t>
      </w:r>
      <w:r>
        <w:rPr>
          <w:rFonts w:hint="eastAsia" w:ascii="仿宋" w:hAnsi="仿宋" w:eastAsia="仿宋" w:cs="Arial Narrow"/>
          <w:bCs/>
          <w:highlight w:val="none"/>
        </w:rPr>
        <w:t>”项目绩效指标评分结果</w:t>
      </w:r>
      <w:r>
        <w:rPr>
          <w:rFonts w:hint="eastAsia" w:ascii="仿宋" w:hAnsi="仿宋" w:eastAsia="仿宋" w:cs="Arial Narrow"/>
          <w:bCs/>
          <w:highlight w:val="none"/>
          <w:lang w:val="en-US" w:eastAsia="zh-CN"/>
        </w:rPr>
        <w:t>为</w:t>
      </w:r>
      <w:r>
        <w:rPr>
          <w:rFonts w:hint="eastAsia" w:ascii="仿宋" w:hAnsi="仿宋" w:eastAsia="仿宋" w:cs="Arial Narrow"/>
          <w:highlight w:val="none"/>
          <w:lang w:val="en-US" w:eastAsia="zh-CN"/>
        </w:rPr>
        <w:t>良</w:t>
      </w:r>
      <w:r>
        <w:rPr>
          <w:rFonts w:hint="eastAsia" w:ascii="仿宋" w:hAnsi="仿宋" w:eastAsia="仿宋" w:cs="Arial Narrow"/>
          <w:bCs/>
          <w:highlight w:val="none"/>
        </w:rPr>
        <w:t>。</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88" w:name="_Toc28859"/>
      <w:r>
        <w:rPr>
          <w:rFonts w:hint="eastAsia" w:ascii="仿宋" w:hAnsi="仿宋" w:eastAsia="仿宋" w:cs="Arial Narrow"/>
          <w:sz w:val="28"/>
          <w:szCs w:val="28"/>
          <w:highlight w:val="none"/>
          <w:lang w:val="en-US" w:eastAsia="zh-CN"/>
        </w:rPr>
        <w:t>（四</w:t>
      </w:r>
      <w:bookmarkEnd w:id="82"/>
      <w:bookmarkEnd w:id="83"/>
      <w:bookmarkEnd w:id="84"/>
      <w:bookmarkEnd w:id="85"/>
      <w:r>
        <w:rPr>
          <w:rFonts w:hint="eastAsia" w:ascii="仿宋" w:hAnsi="仿宋" w:eastAsia="仿宋" w:cs="Arial Narrow"/>
          <w:sz w:val="28"/>
          <w:szCs w:val="28"/>
          <w:highlight w:val="none"/>
          <w:lang w:val="en-US" w:eastAsia="zh-CN"/>
        </w:rPr>
        <w:t>）存在的问题和</w:t>
      </w:r>
      <w:bookmarkEnd w:id="86"/>
      <w:bookmarkEnd w:id="87"/>
      <w:r>
        <w:rPr>
          <w:rFonts w:hint="eastAsia" w:ascii="仿宋" w:hAnsi="仿宋" w:eastAsia="仿宋" w:cs="Arial Narrow"/>
          <w:sz w:val="28"/>
          <w:szCs w:val="28"/>
          <w:highlight w:val="none"/>
          <w:lang w:val="en-US" w:eastAsia="zh-CN"/>
        </w:rPr>
        <w:t>改进措施</w:t>
      </w:r>
      <w:bookmarkEnd w:id="88"/>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default" w:ascii="仿宋" w:hAnsi="仿宋" w:eastAsia="仿宋" w:cs="Arial Narrow"/>
          <w:sz w:val="24"/>
          <w:highlight w:val="none"/>
          <w:lang w:val="en-US" w:eastAsia="zh-CN"/>
        </w:rPr>
      </w:pPr>
      <w:bookmarkStart w:id="89" w:name="_Toc16696"/>
      <w:bookmarkStart w:id="90" w:name="_Toc406666382"/>
      <w:bookmarkStart w:id="91" w:name="_Toc27689"/>
      <w:bookmarkStart w:id="92" w:name="_Toc406668056"/>
      <w:bookmarkStart w:id="93" w:name="_Toc14165741"/>
      <w:bookmarkStart w:id="94" w:name="_Toc387957833"/>
      <w:r>
        <w:rPr>
          <w:rFonts w:hint="eastAsia" w:ascii="仿宋" w:hAnsi="仿宋" w:eastAsia="仿宋" w:cs="Arial Narrow"/>
          <w:sz w:val="24"/>
          <w:highlight w:val="none"/>
          <w:lang w:val="en-US" w:eastAsia="zh-CN"/>
        </w:rPr>
        <w:t>1、存在的问题</w:t>
      </w:r>
      <w:bookmarkEnd w:id="89"/>
      <w:bookmarkEnd w:id="90"/>
      <w:bookmarkEnd w:id="91"/>
      <w:bookmarkEnd w:id="92"/>
      <w:bookmarkEnd w:id="93"/>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（1）预算执行率未达到100%；</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（2）项目年初预算批复数为90.00万元，调整预算数为49.00万元，年中预算调整金额几乎减少了一倍，年初预算编制准确性有待提高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95" w:name="_Toc28128"/>
      <w:bookmarkStart w:id="96" w:name="_Toc14165742"/>
      <w:bookmarkStart w:id="97" w:name="_Toc21901"/>
      <w:r>
        <w:rPr>
          <w:rFonts w:hint="eastAsia" w:ascii="仿宋" w:hAnsi="仿宋" w:eastAsia="仿宋" w:cs="Arial Narrow"/>
          <w:sz w:val="24"/>
          <w:highlight w:val="none"/>
          <w:lang w:val="en-US" w:eastAsia="zh-CN"/>
        </w:rPr>
        <w:t>2、</w:t>
      </w:r>
      <w:bookmarkEnd w:id="94"/>
      <w:bookmarkEnd w:id="95"/>
      <w:bookmarkEnd w:id="96"/>
      <w:bookmarkStart w:id="98" w:name="_Toc387957834"/>
      <w:r>
        <w:rPr>
          <w:rFonts w:hint="eastAsia" w:ascii="仿宋" w:hAnsi="仿宋" w:eastAsia="仿宋" w:cs="Arial Narrow"/>
          <w:sz w:val="24"/>
          <w:highlight w:val="none"/>
          <w:lang w:val="en-US" w:eastAsia="zh-CN"/>
        </w:rPr>
        <w:t>改进措施</w:t>
      </w:r>
      <w:bookmarkEnd w:id="97"/>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（1）加强预算执行力度；</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（2）根据项目的特点及实际预算支出情况，更加合理科学地确定项目预算明细分类，提高年初预算编制准确性</w:t>
      </w:r>
      <w:r>
        <w:rPr>
          <w:rFonts w:hint="eastAsia" w:ascii="仿宋" w:hAnsi="仿宋" w:eastAsia="仿宋" w:cs="Arial Narrow"/>
          <w:highlight w:val="none"/>
        </w:rPr>
        <w:t>。</w:t>
      </w:r>
    </w:p>
    <w:bookmarkEnd w:id="98"/>
    <w:p>
      <w:pPr>
        <w:shd w:val="clear"/>
        <w:snapToGrid w:val="0"/>
        <w:ind w:firstLine="480"/>
        <w:jc w:val="right"/>
        <w:rPr>
          <w:rFonts w:ascii="仿宋" w:hAnsi="仿宋" w:eastAsia="仿宋" w:cs="Arial Narrow"/>
          <w:highlight w:val="none"/>
        </w:rPr>
      </w:pPr>
    </w:p>
    <w:sectPr>
      <w:headerReference r:id="rId9" w:type="default"/>
      <w:footerReference r:id="rId10" w:type="default"/>
      <w:pgSz w:w="11906" w:h="16838"/>
      <w:pgMar w:top="1440" w:right="1406" w:bottom="1089" w:left="1800" w:header="1134" w:footer="567"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9</w:t>
    </w:r>
    <w:r>
      <w:rPr>
        <w:rFonts w:ascii="Arial Narrow" w:hAnsi="Arial Narrow"/>
        <w:sz w:val="21"/>
        <w:szCs w:val="21"/>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rPr>
        <w:rFonts w:ascii="Calibri" w:hAnsi="Calibri" w:eastAsia="黑体" w:cs="黑体"/>
        <w:b/>
        <w:sz w:val="14"/>
        <w:szCs w:val="14"/>
      </w:rPr>
      <w:pict>
        <v:rect id="文本框 26" o:spid="_x0000_s4097" o:spt="1" style="position:absolute;left:0pt;margin-left:359.05pt;margin-top:39.95pt;height:74.45pt;width:150.15pt;mso-position-horizontal-relative:page;mso-position-vertical-relative:page;z-index:251658240;mso-width-relative:page;mso-height-relative:page;" filled="f" stroked="f" coordsize="21600,21600">
          <v:path/>
          <v:fill on="f" focussize="0,0"/>
          <v:stroke on="f"/>
          <v:imagedata o:title=""/>
          <o:lock v:ext="edit"/>
          <v:textbox>
            <w:txbxContent>
              <w:p>
                <w:pPr>
                  <w:ind w:firstLine="280"/>
                  <w:rPr>
                    <w:rFonts w:ascii="Arial Narrow" w:hAnsi="Arial Narrow" w:eastAsia="黑体" w:cs="Arial Narrow"/>
                    <w:sz w:val="14"/>
                    <w:szCs w:val="14"/>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A69"/>
    <w:rsid w:val="000107B2"/>
    <w:rsid w:val="00011E0B"/>
    <w:rsid w:val="00012B09"/>
    <w:rsid w:val="00012B47"/>
    <w:rsid w:val="000153F5"/>
    <w:rsid w:val="00016011"/>
    <w:rsid w:val="000225A4"/>
    <w:rsid w:val="000231B2"/>
    <w:rsid w:val="000235EA"/>
    <w:rsid w:val="0002369C"/>
    <w:rsid w:val="00027617"/>
    <w:rsid w:val="00030459"/>
    <w:rsid w:val="00034CB1"/>
    <w:rsid w:val="00037160"/>
    <w:rsid w:val="00037FDA"/>
    <w:rsid w:val="00041931"/>
    <w:rsid w:val="000435FD"/>
    <w:rsid w:val="00051092"/>
    <w:rsid w:val="0005129C"/>
    <w:rsid w:val="0005263F"/>
    <w:rsid w:val="000578E1"/>
    <w:rsid w:val="00057BBE"/>
    <w:rsid w:val="00060B99"/>
    <w:rsid w:val="000647BB"/>
    <w:rsid w:val="00065443"/>
    <w:rsid w:val="00070099"/>
    <w:rsid w:val="0007044D"/>
    <w:rsid w:val="00071B04"/>
    <w:rsid w:val="00071C74"/>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C0AC8"/>
    <w:rsid w:val="000C2C67"/>
    <w:rsid w:val="000C4653"/>
    <w:rsid w:val="000C4C40"/>
    <w:rsid w:val="000C7932"/>
    <w:rsid w:val="000C793B"/>
    <w:rsid w:val="000D124B"/>
    <w:rsid w:val="000D1F28"/>
    <w:rsid w:val="000D264B"/>
    <w:rsid w:val="000D32E5"/>
    <w:rsid w:val="000D34A6"/>
    <w:rsid w:val="000D353C"/>
    <w:rsid w:val="000D37BE"/>
    <w:rsid w:val="000D50DC"/>
    <w:rsid w:val="000D5CCA"/>
    <w:rsid w:val="000D7608"/>
    <w:rsid w:val="000E16BD"/>
    <w:rsid w:val="000E1A4F"/>
    <w:rsid w:val="000E3E46"/>
    <w:rsid w:val="000E5026"/>
    <w:rsid w:val="000E5B9F"/>
    <w:rsid w:val="000F1F5E"/>
    <w:rsid w:val="000F2AE1"/>
    <w:rsid w:val="000F482F"/>
    <w:rsid w:val="00101AA1"/>
    <w:rsid w:val="0010488B"/>
    <w:rsid w:val="00107C77"/>
    <w:rsid w:val="00107E2F"/>
    <w:rsid w:val="00115891"/>
    <w:rsid w:val="00117519"/>
    <w:rsid w:val="001247D7"/>
    <w:rsid w:val="001315B8"/>
    <w:rsid w:val="001346FF"/>
    <w:rsid w:val="00134F95"/>
    <w:rsid w:val="001373D3"/>
    <w:rsid w:val="001405F7"/>
    <w:rsid w:val="00142BA0"/>
    <w:rsid w:val="00143DA4"/>
    <w:rsid w:val="001441F8"/>
    <w:rsid w:val="00144210"/>
    <w:rsid w:val="0014542F"/>
    <w:rsid w:val="00146219"/>
    <w:rsid w:val="00147E31"/>
    <w:rsid w:val="00152FB6"/>
    <w:rsid w:val="001542F3"/>
    <w:rsid w:val="001548CF"/>
    <w:rsid w:val="00156601"/>
    <w:rsid w:val="00157614"/>
    <w:rsid w:val="0016074D"/>
    <w:rsid w:val="00164900"/>
    <w:rsid w:val="001676D8"/>
    <w:rsid w:val="00172A27"/>
    <w:rsid w:val="00173694"/>
    <w:rsid w:val="0017597C"/>
    <w:rsid w:val="0018053D"/>
    <w:rsid w:val="00180C97"/>
    <w:rsid w:val="00180E5E"/>
    <w:rsid w:val="00182EEA"/>
    <w:rsid w:val="0018363A"/>
    <w:rsid w:val="001871E1"/>
    <w:rsid w:val="001907A0"/>
    <w:rsid w:val="001907BC"/>
    <w:rsid w:val="0019172C"/>
    <w:rsid w:val="00191C51"/>
    <w:rsid w:val="00191FE0"/>
    <w:rsid w:val="00197977"/>
    <w:rsid w:val="001A02C6"/>
    <w:rsid w:val="001A4611"/>
    <w:rsid w:val="001A6E1D"/>
    <w:rsid w:val="001A7035"/>
    <w:rsid w:val="001A71D3"/>
    <w:rsid w:val="001A7BCC"/>
    <w:rsid w:val="001B156C"/>
    <w:rsid w:val="001B206F"/>
    <w:rsid w:val="001B2C2B"/>
    <w:rsid w:val="001B564E"/>
    <w:rsid w:val="001C1AB0"/>
    <w:rsid w:val="001C4A11"/>
    <w:rsid w:val="001C6498"/>
    <w:rsid w:val="001C7FC5"/>
    <w:rsid w:val="001D2B8D"/>
    <w:rsid w:val="001D4085"/>
    <w:rsid w:val="001D50A9"/>
    <w:rsid w:val="001E1192"/>
    <w:rsid w:val="001E3766"/>
    <w:rsid w:val="001E4DD7"/>
    <w:rsid w:val="001E57AC"/>
    <w:rsid w:val="001E63EB"/>
    <w:rsid w:val="001E73FF"/>
    <w:rsid w:val="001F0DE7"/>
    <w:rsid w:val="001F3D0C"/>
    <w:rsid w:val="001F50AE"/>
    <w:rsid w:val="00203E55"/>
    <w:rsid w:val="00205C9D"/>
    <w:rsid w:val="002060DB"/>
    <w:rsid w:val="00206B01"/>
    <w:rsid w:val="00206B46"/>
    <w:rsid w:val="0020706B"/>
    <w:rsid w:val="00214270"/>
    <w:rsid w:val="00214BA4"/>
    <w:rsid w:val="00217BE1"/>
    <w:rsid w:val="00220AE1"/>
    <w:rsid w:val="00226CA1"/>
    <w:rsid w:val="00227F82"/>
    <w:rsid w:val="00232250"/>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4E80"/>
    <w:rsid w:val="00267DA6"/>
    <w:rsid w:val="002706C6"/>
    <w:rsid w:val="00272407"/>
    <w:rsid w:val="00273665"/>
    <w:rsid w:val="0027412C"/>
    <w:rsid w:val="00275D0D"/>
    <w:rsid w:val="00280B02"/>
    <w:rsid w:val="0028633D"/>
    <w:rsid w:val="0028764F"/>
    <w:rsid w:val="00287DEB"/>
    <w:rsid w:val="0029106A"/>
    <w:rsid w:val="002911A7"/>
    <w:rsid w:val="00291951"/>
    <w:rsid w:val="002933BC"/>
    <w:rsid w:val="002953EE"/>
    <w:rsid w:val="002A0822"/>
    <w:rsid w:val="002A0862"/>
    <w:rsid w:val="002A3B59"/>
    <w:rsid w:val="002A731C"/>
    <w:rsid w:val="002A7693"/>
    <w:rsid w:val="002B49DE"/>
    <w:rsid w:val="002B55AD"/>
    <w:rsid w:val="002B60B2"/>
    <w:rsid w:val="002C012C"/>
    <w:rsid w:val="002C05DC"/>
    <w:rsid w:val="002C21EB"/>
    <w:rsid w:val="002C439E"/>
    <w:rsid w:val="002C5757"/>
    <w:rsid w:val="002C5D77"/>
    <w:rsid w:val="002D1D84"/>
    <w:rsid w:val="002E11FA"/>
    <w:rsid w:val="002E21D6"/>
    <w:rsid w:val="002F1C3F"/>
    <w:rsid w:val="002F44AB"/>
    <w:rsid w:val="002F7973"/>
    <w:rsid w:val="00307693"/>
    <w:rsid w:val="0031024E"/>
    <w:rsid w:val="00312F11"/>
    <w:rsid w:val="003132F6"/>
    <w:rsid w:val="00315407"/>
    <w:rsid w:val="0031645A"/>
    <w:rsid w:val="00322C3A"/>
    <w:rsid w:val="0032760C"/>
    <w:rsid w:val="003313C3"/>
    <w:rsid w:val="00333EE7"/>
    <w:rsid w:val="003363C3"/>
    <w:rsid w:val="0034018A"/>
    <w:rsid w:val="00343216"/>
    <w:rsid w:val="00344CC3"/>
    <w:rsid w:val="0034515E"/>
    <w:rsid w:val="00347FD1"/>
    <w:rsid w:val="003506E6"/>
    <w:rsid w:val="00352DF8"/>
    <w:rsid w:val="00356E00"/>
    <w:rsid w:val="0036466F"/>
    <w:rsid w:val="0036740B"/>
    <w:rsid w:val="003712A9"/>
    <w:rsid w:val="00372944"/>
    <w:rsid w:val="00374FFF"/>
    <w:rsid w:val="003750CC"/>
    <w:rsid w:val="0037593E"/>
    <w:rsid w:val="00376DC7"/>
    <w:rsid w:val="0038083D"/>
    <w:rsid w:val="00384B54"/>
    <w:rsid w:val="00387964"/>
    <w:rsid w:val="0039007B"/>
    <w:rsid w:val="00390399"/>
    <w:rsid w:val="0039079D"/>
    <w:rsid w:val="003919EC"/>
    <w:rsid w:val="003920BE"/>
    <w:rsid w:val="0039236F"/>
    <w:rsid w:val="00392AA2"/>
    <w:rsid w:val="00392F5E"/>
    <w:rsid w:val="00394FAF"/>
    <w:rsid w:val="0039690B"/>
    <w:rsid w:val="003A377A"/>
    <w:rsid w:val="003B1278"/>
    <w:rsid w:val="003C00A3"/>
    <w:rsid w:val="003C047C"/>
    <w:rsid w:val="003C0622"/>
    <w:rsid w:val="003C10E7"/>
    <w:rsid w:val="003C49E8"/>
    <w:rsid w:val="003C5736"/>
    <w:rsid w:val="003D37E8"/>
    <w:rsid w:val="003D3CD8"/>
    <w:rsid w:val="003D5E40"/>
    <w:rsid w:val="003D6BE5"/>
    <w:rsid w:val="003D7EF3"/>
    <w:rsid w:val="003D7FF0"/>
    <w:rsid w:val="003E16C4"/>
    <w:rsid w:val="003E2919"/>
    <w:rsid w:val="003E3C53"/>
    <w:rsid w:val="003E6369"/>
    <w:rsid w:val="003E68B6"/>
    <w:rsid w:val="003F0641"/>
    <w:rsid w:val="003F0EE2"/>
    <w:rsid w:val="003F2581"/>
    <w:rsid w:val="003F3003"/>
    <w:rsid w:val="003F4A08"/>
    <w:rsid w:val="003F640B"/>
    <w:rsid w:val="003F78E3"/>
    <w:rsid w:val="004016BF"/>
    <w:rsid w:val="00402380"/>
    <w:rsid w:val="0040727E"/>
    <w:rsid w:val="00407F86"/>
    <w:rsid w:val="004102C2"/>
    <w:rsid w:val="00412C52"/>
    <w:rsid w:val="0041356F"/>
    <w:rsid w:val="00414470"/>
    <w:rsid w:val="004156F2"/>
    <w:rsid w:val="0041689F"/>
    <w:rsid w:val="00417F32"/>
    <w:rsid w:val="0042114C"/>
    <w:rsid w:val="0042187B"/>
    <w:rsid w:val="00424A8D"/>
    <w:rsid w:val="004250AA"/>
    <w:rsid w:val="004251FE"/>
    <w:rsid w:val="00432769"/>
    <w:rsid w:val="00436630"/>
    <w:rsid w:val="00436685"/>
    <w:rsid w:val="00436978"/>
    <w:rsid w:val="00437ABF"/>
    <w:rsid w:val="004406CE"/>
    <w:rsid w:val="004416B6"/>
    <w:rsid w:val="00444C92"/>
    <w:rsid w:val="00444F7A"/>
    <w:rsid w:val="00446C56"/>
    <w:rsid w:val="00446E9B"/>
    <w:rsid w:val="00447CE1"/>
    <w:rsid w:val="00461176"/>
    <w:rsid w:val="00461419"/>
    <w:rsid w:val="004637D6"/>
    <w:rsid w:val="00465728"/>
    <w:rsid w:val="004720AA"/>
    <w:rsid w:val="0047247F"/>
    <w:rsid w:val="00473A77"/>
    <w:rsid w:val="00475D0F"/>
    <w:rsid w:val="00477022"/>
    <w:rsid w:val="0049123B"/>
    <w:rsid w:val="00496736"/>
    <w:rsid w:val="00497DCD"/>
    <w:rsid w:val="004A4024"/>
    <w:rsid w:val="004A4C34"/>
    <w:rsid w:val="004A5982"/>
    <w:rsid w:val="004A5CFE"/>
    <w:rsid w:val="004A5E6A"/>
    <w:rsid w:val="004B0A18"/>
    <w:rsid w:val="004B2A1B"/>
    <w:rsid w:val="004B2DE5"/>
    <w:rsid w:val="004B331B"/>
    <w:rsid w:val="004B6F1C"/>
    <w:rsid w:val="004C2F4D"/>
    <w:rsid w:val="004C3638"/>
    <w:rsid w:val="004C39A4"/>
    <w:rsid w:val="004C52FF"/>
    <w:rsid w:val="004D070B"/>
    <w:rsid w:val="004D33DF"/>
    <w:rsid w:val="004D58C6"/>
    <w:rsid w:val="004D749D"/>
    <w:rsid w:val="004D7DEA"/>
    <w:rsid w:val="004E04DA"/>
    <w:rsid w:val="004E1D06"/>
    <w:rsid w:val="004E1FA4"/>
    <w:rsid w:val="004E20B1"/>
    <w:rsid w:val="004E3DAA"/>
    <w:rsid w:val="004E4EB8"/>
    <w:rsid w:val="004E6203"/>
    <w:rsid w:val="004F42A1"/>
    <w:rsid w:val="004F5FA6"/>
    <w:rsid w:val="00500581"/>
    <w:rsid w:val="005041BE"/>
    <w:rsid w:val="00505635"/>
    <w:rsid w:val="00507805"/>
    <w:rsid w:val="005134B0"/>
    <w:rsid w:val="0051441E"/>
    <w:rsid w:val="005155D3"/>
    <w:rsid w:val="005204D6"/>
    <w:rsid w:val="00525692"/>
    <w:rsid w:val="00527E66"/>
    <w:rsid w:val="00534945"/>
    <w:rsid w:val="005360A1"/>
    <w:rsid w:val="00537C3E"/>
    <w:rsid w:val="00543555"/>
    <w:rsid w:val="0054431F"/>
    <w:rsid w:val="00544890"/>
    <w:rsid w:val="00547FC6"/>
    <w:rsid w:val="00552615"/>
    <w:rsid w:val="005567B3"/>
    <w:rsid w:val="00560EED"/>
    <w:rsid w:val="005632D3"/>
    <w:rsid w:val="005655D1"/>
    <w:rsid w:val="005658C9"/>
    <w:rsid w:val="00565929"/>
    <w:rsid w:val="005659EE"/>
    <w:rsid w:val="00565D9A"/>
    <w:rsid w:val="00566498"/>
    <w:rsid w:val="005708E6"/>
    <w:rsid w:val="005812C2"/>
    <w:rsid w:val="00583F95"/>
    <w:rsid w:val="00596AF0"/>
    <w:rsid w:val="00597947"/>
    <w:rsid w:val="005A0AF1"/>
    <w:rsid w:val="005A21FC"/>
    <w:rsid w:val="005B1178"/>
    <w:rsid w:val="005B159F"/>
    <w:rsid w:val="005C7BB8"/>
    <w:rsid w:val="005D0FBF"/>
    <w:rsid w:val="005D24E1"/>
    <w:rsid w:val="005D7826"/>
    <w:rsid w:val="005E016C"/>
    <w:rsid w:val="005E07E1"/>
    <w:rsid w:val="005E0E0C"/>
    <w:rsid w:val="005E1EC1"/>
    <w:rsid w:val="005E31A5"/>
    <w:rsid w:val="005E38D2"/>
    <w:rsid w:val="005E4DF6"/>
    <w:rsid w:val="005E6A5B"/>
    <w:rsid w:val="005E7290"/>
    <w:rsid w:val="005E7431"/>
    <w:rsid w:val="005F072F"/>
    <w:rsid w:val="005F0A83"/>
    <w:rsid w:val="005F0D41"/>
    <w:rsid w:val="005F234F"/>
    <w:rsid w:val="005F3C50"/>
    <w:rsid w:val="00601607"/>
    <w:rsid w:val="006047F8"/>
    <w:rsid w:val="006066A6"/>
    <w:rsid w:val="00606CC4"/>
    <w:rsid w:val="006138EE"/>
    <w:rsid w:val="0061452E"/>
    <w:rsid w:val="00614B06"/>
    <w:rsid w:val="00615D9E"/>
    <w:rsid w:val="00621643"/>
    <w:rsid w:val="00624274"/>
    <w:rsid w:val="00626CD9"/>
    <w:rsid w:val="00630956"/>
    <w:rsid w:val="00636115"/>
    <w:rsid w:val="00640016"/>
    <w:rsid w:val="00641EED"/>
    <w:rsid w:val="00642106"/>
    <w:rsid w:val="00644429"/>
    <w:rsid w:val="00646876"/>
    <w:rsid w:val="00647079"/>
    <w:rsid w:val="00647F6C"/>
    <w:rsid w:val="00650DEF"/>
    <w:rsid w:val="00651741"/>
    <w:rsid w:val="00656BC8"/>
    <w:rsid w:val="0066273D"/>
    <w:rsid w:val="00662D0D"/>
    <w:rsid w:val="006642D3"/>
    <w:rsid w:val="006711A5"/>
    <w:rsid w:val="00676441"/>
    <w:rsid w:val="00677567"/>
    <w:rsid w:val="00682BA7"/>
    <w:rsid w:val="00687B7B"/>
    <w:rsid w:val="00691499"/>
    <w:rsid w:val="00692356"/>
    <w:rsid w:val="0069340D"/>
    <w:rsid w:val="006A71EF"/>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1F1"/>
    <w:rsid w:val="006D431A"/>
    <w:rsid w:val="006D6DB9"/>
    <w:rsid w:val="006E149F"/>
    <w:rsid w:val="006E4514"/>
    <w:rsid w:val="006E5C42"/>
    <w:rsid w:val="006F2B5C"/>
    <w:rsid w:val="006F581B"/>
    <w:rsid w:val="006F74F7"/>
    <w:rsid w:val="006F7E68"/>
    <w:rsid w:val="00702AE3"/>
    <w:rsid w:val="0070567E"/>
    <w:rsid w:val="00705ADC"/>
    <w:rsid w:val="0070659F"/>
    <w:rsid w:val="007078C7"/>
    <w:rsid w:val="00713989"/>
    <w:rsid w:val="007148E9"/>
    <w:rsid w:val="00715EA4"/>
    <w:rsid w:val="007165EC"/>
    <w:rsid w:val="0072189F"/>
    <w:rsid w:val="00721C9B"/>
    <w:rsid w:val="0072285B"/>
    <w:rsid w:val="00722909"/>
    <w:rsid w:val="00723249"/>
    <w:rsid w:val="007260DC"/>
    <w:rsid w:val="00726E74"/>
    <w:rsid w:val="00727EF2"/>
    <w:rsid w:val="007309B9"/>
    <w:rsid w:val="00731661"/>
    <w:rsid w:val="00733038"/>
    <w:rsid w:val="0073421A"/>
    <w:rsid w:val="00737E3E"/>
    <w:rsid w:val="00744BE7"/>
    <w:rsid w:val="007455A5"/>
    <w:rsid w:val="00747C3E"/>
    <w:rsid w:val="00750C7B"/>
    <w:rsid w:val="00751783"/>
    <w:rsid w:val="00753FB8"/>
    <w:rsid w:val="00756213"/>
    <w:rsid w:val="00757369"/>
    <w:rsid w:val="00760264"/>
    <w:rsid w:val="0076125E"/>
    <w:rsid w:val="007614A0"/>
    <w:rsid w:val="00766CC5"/>
    <w:rsid w:val="0076789B"/>
    <w:rsid w:val="00771519"/>
    <w:rsid w:val="0077612D"/>
    <w:rsid w:val="0078403F"/>
    <w:rsid w:val="00784977"/>
    <w:rsid w:val="007857C2"/>
    <w:rsid w:val="007951AE"/>
    <w:rsid w:val="007960FC"/>
    <w:rsid w:val="007A1325"/>
    <w:rsid w:val="007A260C"/>
    <w:rsid w:val="007A3D65"/>
    <w:rsid w:val="007A4561"/>
    <w:rsid w:val="007A7FFA"/>
    <w:rsid w:val="007B096A"/>
    <w:rsid w:val="007B5BCC"/>
    <w:rsid w:val="007B63BA"/>
    <w:rsid w:val="007C0582"/>
    <w:rsid w:val="007C2929"/>
    <w:rsid w:val="007C5815"/>
    <w:rsid w:val="007C5A97"/>
    <w:rsid w:val="007D0A9C"/>
    <w:rsid w:val="007D12ED"/>
    <w:rsid w:val="007D518A"/>
    <w:rsid w:val="007D6002"/>
    <w:rsid w:val="007D6F8A"/>
    <w:rsid w:val="007E062F"/>
    <w:rsid w:val="007E5FF6"/>
    <w:rsid w:val="007F0CD4"/>
    <w:rsid w:val="007F15F0"/>
    <w:rsid w:val="007F3EA6"/>
    <w:rsid w:val="007F581B"/>
    <w:rsid w:val="007F6A15"/>
    <w:rsid w:val="00800E4A"/>
    <w:rsid w:val="008015DF"/>
    <w:rsid w:val="00801640"/>
    <w:rsid w:val="0080288E"/>
    <w:rsid w:val="008053EB"/>
    <w:rsid w:val="00805A0A"/>
    <w:rsid w:val="0081201D"/>
    <w:rsid w:val="00812ECD"/>
    <w:rsid w:val="0081473D"/>
    <w:rsid w:val="008157AE"/>
    <w:rsid w:val="008167AB"/>
    <w:rsid w:val="00820A25"/>
    <w:rsid w:val="0082440D"/>
    <w:rsid w:val="00825D97"/>
    <w:rsid w:val="008325FA"/>
    <w:rsid w:val="00833B9B"/>
    <w:rsid w:val="00835356"/>
    <w:rsid w:val="00844F4F"/>
    <w:rsid w:val="008453B8"/>
    <w:rsid w:val="0084547F"/>
    <w:rsid w:val="00845BD8"/>
    <w:rsid w:val="00845CE4"/>
    <w:rsid w:val="008468CD"/>
    <w:rsid w:val="00847827"/>
    <w:rsid w:val="0085148F"/>
    <w:rsid w:val="008526D0"/>
    <w:rsid w:val="00852C63"/>
    <w:rsid w:val="00854541"/>
    <w:rsid w:val="008567A5"/>
    <w:rsid w:val="008616A6"/>
    <w:rsid w:val="00862075"/>
    <w:rsid w:val="008642C8"/>
    <w:rsid w:val="008662A2"/>
    <w:rsid w:val="0087108E"/>
    <w:rsid w:val="00871DE9"/>
    <w:rsid w:val="00880CA7"/>
    <w:rsid w:val="00885CF7"/>
    <w:rsid w:val="00886E69"/>
    <w:rsid w:val="008934FA"/>
    <w:rsid w:val="008A0F83"/>
    <w:rsid w:val="008A175E"/>
    <w:rsid w:val="008A2E40"/>
    <w:rsid w:val="008B0C24"/>
    <w:rsid w:val="008B15BE"/>
    <w:rsid w:val="008B7645"/>
    <w:rsid w:val="008B77E1"/>
    <w:rsid w:val="008C1976"/>
    <w:rsid w:val="008C5857"/>
    <w:rsid w:val="008C771D"/>
    <w:rsid w:val="008D0512"/>
    <w:rsid w:val="008D1468"/>
    <w:rsid w:val="008D28B0"/>
    <w:rsid w:val="008D33D6"/>
    <w:rsid w:val="008D5A00"/>
    <w:rsid w:val="008E0EA8"/>
    <w:rsid w:val="008E573D"/>
    <w:rsid w:val="008E5FB9"/>
    <w:rsid w:val="008F5689"/>
    <w:rsid w:val="008F69BF"/>
    <w:rsid w:val="009003B0"/>
    <w:rsid w:val="009015AD"/>
    <w:rsid w:val="009036DE"/>
    <w:rsid w:val="00903AAF"/>
    <w:rsid w:val="0090416C"/>
    <w:rsid w:val="009043EF"/>
    <w:rsid w:val="00907956"/>
    <w:rsid w:val="0091079F"/>
    <w:rsid w:val="00911F9D"/>
    <w:rsid w:val="00913B55"/>
    <w:rsid w:val="009153E3"/>
    <w:rsid w:val="0091597F"/>
    <w:rsid w:val="009177D8"/>
    <w:rsid w:val="00921DCF"/>
    <w:rsid w:val="00923D59"/>
    <w:rsid w:val="0092464E"/>
    <w:rsid w:val="00924F4C"/>
    <w:rsid w:val="009337F2"/>
    <w:rsid w:val="00934B5A"/>
    <w:rsid w:val="0094138A"/>
    <w:rsid w:val="00946554"/>
    <w:rsid w:val="00953385"/>
    <w:rsid w:val="009536E4"/>
    <w:rsid w:val="009553EB"/>
    <w:rsid w:val="009556E8"/>
    <w:rsid w:val="00960332"/>
    <w:rsid w:val="00963C82"/>
    <w:rsid w:val="0097102B"/>
    <w:rsid w:val="009754A1"/>
    <w:rsid w:val="00975F8C"/>
    <w:rsid w:val="00977A2D"/>
    <w:rsid w:val="00977B6C"/>
    <w:rsid w:val="00977E58"/>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D117E"/>
    <w:rsid w:val="009D2C81"/>
    <w:rsid w:val="009D3BCE"/>
    <w:rsid w:val="009D4762"/>
    <w:rsid w:val="009D61D3"/>
    <w:rsid w:val="009D63C3"/>
    <w:rsid w:val="009D6FD8"/>
    <w:rsid w:val="009D7E0C"/>
    <w:rsid w:val="009E0181"/>
    <w:rsid w:val="009E1ED3"/>
    <w:rsid w:val="009E4A95"/>
    <w:rsid w:val="009E6004"/>
    <w:rsid w:val="009F0897"/>
    <w:rsid w:val="009F5345"/>
    <w:rsid w:val="009F53C2"/>
    <w:rsid w:val="009F58A2"/>
    <w:rsid w:val="009F6F50"/>
    <w:rsid w:val="009F7EAE"/>
    <w:rsid w:val="00A00406"/>
    <w:rsid w:val="00A0057C"/>
    <w:rsid w:val="00A016BF"/>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3350"/>
    <w:rsid w:val="00A34428"/>
    <w:rsid w:val="00A44C1F"/>
    <w:rsid w:val="00A452F5"/>
    <w:rsid w:val="00A46DAF"/>
    <w:rsid w:val="00A47C58"/>
    <w:rsid w:val="00A529A1"/>
    <w:rsid w:val="00A52BA6"/>
    <w:rsid w:val="00A52F2C"/>
    <w:rsid w:val="00A54B3F"/>
    <w:rsid w:val="00A60500"/>
    <w:rsid w:val="00A61261"/>
    <w:rsid w:val="00A61FD4"/>
    <w:rsid w:val="00A63AA9"/>
    <w:rsid w:val="00A669E9"/>
    <w:rsid w:val="00A67D0F"/>
    <w:rsid w:val="00A8609D"/>
    <w:rsid w:val="00A86542"/>
    <w:rsid w:val="00A87F7C"/>
    <w:rsid w:val="00A908A5"/>
    <w:rsid w:val="00A91DAE"/>
    <w:rsid w:val="00A9633A"/>
    <w:rsid w:val="00AA46EA"/>
    <w:rsid w:val="00AA559B"/>
    <w:rsid w:val="00AA6EA4"/>
    <w:rsid w:val="00AB29C4"/>
    <w:rsid w:val="00AB60C4"/>
    <w:rsid w:val="00AC14F0"/>
    <w:rsid w:val="00AC2DF7"/>
    <w:rsid w:val="00AC548A"/>
    <w:rsid w:val="00AD5C59"/>
    <w:rsid w:val="00AE270B"/>
    <w:rsid w:val="00AE5064"/>
    <w:rsid w:val="00AE5365"/>
    <w:rsid w:val="00AE55CB"/>
    <w:rsid w:val="00AE71DB"/>
    <w:rsid w:val="00AF3FDF"/>
    <w:rsid w:val="00AF5069"/>
    <w:rsid w:val="00AF564E"/>
    <w:rsid w:val="00B01326"/>
    <w:rsid w:val="00B0164D"/>
    <w:rsid w:val="00B019F5"/>
    <w:rsid w:val="00B02152"/>
    <w:rsid w:val="00B04CC4"/>
    <w:rsid w:val="00B04F4E"/>
    <w:rsid w:val="00B052BC"/>
    <w:rsid w:val="00B05BCA"/>
    <w:rsid w:val="00B05CB2"/>
    <w:rsid w:val="00B05F14"/>
    <w:rsid w:val="00B146C7"/>
    <w:rsid w:val="00B222AE"/>
    <w:rsid w:val="00B22D6C"/>
    <w:rsid w:val="00B31B65"/>
    <w:rsid w:val="00B33B98"/>
    <w:rsid w:val="00B349F7"/>
    <w:rsid w:val="00B3578A"/>
    <w:rsid w:val="00B422E2"/>
    <w:rsid w:val="00B431EF"/>
    <w:rsid w:val="00B51ADD"/>
    <w:rsid w:val="00B553D8"/>
    <w:rsid w:val="00B569AD"/>
    <w:rsid w:val="00B56E34"/>
    <w:rsid w:val="00B57039"/>
    <w:rsid w:val="00B57263"/>
    <w:rsid w:val="00B6093A"/>
    <w:rsid w:val="00B62EAA"/>
    <w:rsid w:val="00B668D2"/>
    <w:rsid w:val="00B72C1F"/>
    <w:rsid w:val="00B73C5F"/>
    <w:rsid w:val="00B74177"/>
    <w:rsid w:val="00B76D53"/>
    <w:rsid w:val="00B82656"/>
    <w:rsid w:val="00B83704"/>
    <w:rsid w:val="00B90CC2"/>
    <w:rsid w:val="00B93330"/>
    <w:rsid w:val="00B96017"/>
    <w:rsid w:val="00B96778"/>
    <w:rsid w:val="00BA0EB4"/>
    <w:rsid w:val="00BA2BEC"/>
    <w:rsid w:val="00BA498C"/>
    <w:rsid w:val="00BA4E80"/>
    <w:rsid w:val="00BA56B6"/>
    <w:rsid w:val="00BB60A8"/>
    <w:rsid w:val="00BC2BF8"/>
    <w:rsid w:val="00BC3E88"/>
    <w:rsid w:val="00BC7EFD"/>
    <w:rsid w:val="00BD0BA4"/>
    <w:rsid w:val="00BD15B8"/>
    <w:rsid w:val="00BD1F78"/>
    <w:rsid w:val="00BD1FC3"/>
    <w:rsid w:val="00BE1259"/>
    <w:rsid w:val="00BE73A7"/>
    <w:rsid w:val="00BF0647"/>
    <w:rsid w:val="00BF0E5F"/>
    <w:rsid w:val="00BF33D3"/>
    <w:rsid w:val="00C00CEE"/>
    <w:rsid w:val="00C06624"/>
    <w:rsid w:val="00C10B17"/>
    <w:rsid w:val="00C117C2"/>
    <w:rsid w:val="00C11868"/>
    <w:rsid w:val="00C16188"/>
    <w:rsid w:val="00C22374"/>
    <w:rsid w:val="00C2276F"/>
    <w:rsid w:val="00C23FFB"/>
    <w:rsid w:val="00C2698A"/>
    <w:rsid w:val="00C308CC"/>
    <w:rsid w:val="00C30A7C"/>
    <w:rsid w:val="00C30E54"/>
    <w:rsid w:val="00C32BC8"/>
    <w:rsid w:val="00C34157"/>
    <w:rsid w:val="00C348C3"/>
    <w:rsid w:val="00C41CE3"/>
    <w:rsid w:val="00C41EAE"/>
    <w:rsid w:val="00C44CDE"/>
    <w:rsid w:val="00C515F8"/>
    <w:rsid w:val="00C5195C"/>
    <w:rsid w:val="00C52063"/>
    <w:rsid w:val="00C60D35"/>
    <w:rsid w:val="00C61427"/>
    <w:rsid w:val="00C62122"/>
    <w:rsid w:val="00C6411B"/>
    <w:rsid w:val="00C66CD2"/>
    <w:rsid w:val="00C72429"/>
    <w:rsid w:val="00C75D95"/>
    <w:rsid w:val="00C76049"/>
    <w:rsid w:val="00C770CC"/>
    <w:rsid w:val="00C770DB"/>
    <w:rsid w:val="00C80786"/>
    <w:rsid w:val="00C807F9"/>
    <w:rsid w:val="00C81852"/>
    <w:rsid w:val="00C81D03"/>
    <w:rsid w:val="00C830AA"/>
    <w:rsid w:val="00C83E2E"/>
    <w:rsid w:val="00C853F1"/>
    <w:rsid w:val="00C8640F"/>
    <w:rsid w:val="00C90C57"/>
    <w:rsid w:val="00C927C0"/>
    <w:rsid w:val="00C92A41"/>
    <w:rsid w:val="00CA629B"/>
    <w:rsid w:val="00CA67FB"/>
    <w:rsid w:val="00CA77CE"/>
    <w:rsid w:val="00CB0887"/>
    <w:rsid w:val="00CC1988"/>
    <w:rsid w:val="00CC19AA"/>
    <w:rsid w:val="00CC3865"/>
    <w:rsid w:val="00CC5C28"/>
    <w:rsid w:val="00CC6A6D"/>
    <w:rsid w:val="00CD01A6"/>
    <w:rsid w:val="00CD314C"/>
    <w:rsid w:val="00CD4E1A"/>
    <w:rsid w:val="00CD5D7A"/>
    <w:rsid w:val="00CD740C"/>
    <w:rsid w:val="00CE1BE6"/>
    <w:rsid w:val="00CE36B8"/>
    <w:rsid w:val="00CE4D5D"/>
    <w:rsid w:val="00CE6E37"/>
    <w:rsid w:val="00CE7334"/>
    <w:rsid w:val="00CF161B"/>
    <w:rsid w:val="00CF21E2"/>
    <w:rsid w:val="00CF4907"/>
    <w:rsid w:val="00CF7BA7"/>
    <w:rsid w:val="00D00EA8"/>
    <w:rsid w:val="00D01135"/>
    <w:rsid w:val="00D015C5"/>
    <w:rsid w:val="00D03455"/>
    <w:rsid w:val="00D05BF5"/>
    <w:rsid w:val="00D0705D"/>
    <w:rsid w:val="00D10173"/>
    <w:rsid w:val="00D14C73"/>
    <w:rsid w:val="00D21760"/>
    <w:rsid w:val="00D23BBE"/>
    <w:rsid w:val="00D27AF2"/>
    <w:rsid w:val="00D27DC8"/>
    <w:rsid w:val="00D32D8D"/>
    <w:rsid w:val="00D33266"/>
    <w:rsid w:val="00D33644"/>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4B69"/>
    <w:rsid w:val="00D554CB"/>
    <w:rsid w:val="00D564B6"/>
    <w:rsid w:val="00D60680"/>
    <w:rsid w:val="00D61B4E"/>
    <w:rsid w:val="00D726C9"/>
    <w:rsid w:val="00D740C4"/>
    <w:rsid w:val="00D77B55"/>
    <w:rsid w:val="00D77F22"/>
    <w:rsid w:val="00D800EA"/>
    <w:rsid w:val="00D83991"/>
    <w:rsid w:val="00D83A75"/>
    <w:rsid w:val="00D848FF"/>
    <w:rsid w:val="00D86515"/>
    <w:rsid w:val="00D92DBF"/>
    <w:rsid w:val="00D942F0"/>
    <w:rsid w:val="00D95DA1"/>
    <w:rsid w:val="00D9704A"/>
    <w:rsid w:val="00DA2837"/>
    <w:rsid w:val="00DA2C69"/>
    <w:rsid w:val="00DA3DE8"/>
    <w:rsid w:val="00DA4A1F"/>
    <w:rsid w:val="00DB0341"/>
    <w:rsid w:val="00DB1144"/>
    <w:rsid w:val="00DB1A6E"/>
    <w:rsid w:val="00DB3373"/>
    <w:rsid w:val="00DB3ACE"/>
    <w:rsid w:val="00DB4415"/>
    <w:rsid w:val="00DB662D"/>
    <w:rsid w:val="00DB6793"/>
    <w:rsid w:val="00DC4310"/>
    <w:rsid w:val="00DC69A7"/>
    <w:rsid w:val="00DC7E56"/>
    <w:rsid w:val="00DD027C"/>
    <w:rsid w:val="00DD07D3"/>
    <w:rsid w:val="00DD19A1"/>
    <w:rsid w:val="00DD1ADD"/>
    <w:rsid w:val="00DD2557"/>
    <w:rsid w:val="00DE0934"/>
    <w:rsid w:val="00DE105F"/>
    <w:rsid w:val="00DE2090"/>
    <w:rsid w:val="00DE658A"/>
    <w:rsid w:val="00DE6720"/>
    <w:rsid w:val="00DF0BEC"/>
    <w:rsid w:val="00DF47DD"/>
    <w:rsid w:val="00DF6599"/>
    <w:rsid w:val="00DF73FE"/>
    <w:rsid w:val="00DF7AC0"/>
    <w:rsid w:val="00E01478"/>
    <w:rsid w:val="00E01655"/>
    <w:rsid w:val="00E01E5D"/>
    <w:rsid w:val="00E04274"/>
    <w:rsid w:val="00E11DC5"/>
    <w:rsid w:val="00E12295"/>
    <w:rsid w:val="00E20C05"/>
    <w:rsid w:val="00E22B62"/>
    <w:rsid w:val="00E2632C"/>
    <w:rsid w:val="00E31C4A"/>
    <w:rsid w:val="00E377AB"/>
    <w:rsid w:val="00E40AE7"/>
    <w:rsid w:val="00E41741"/>
    <w:rsid w:val="00E42612"/>
    <w:rsid w:val="00E458D6"/>
    <w:rsid w:val="00E53A1D"/>
    <w:rsid w:val="00E560DE"/>
    <w:rsid w:val="00E56786"/>
    <w:rsid w:val="00E63C72"/>
    <w:rsid w:val="00E66114"/>
    <w:rsid w:val="00E67CC2"/>
    <w:rsid w:val="00E720E0"/>
    <w:rsid w:val="00E735DF"/>
    <w:rsid w:val="00E77782"/>
    <w:rsid w:val="00E77DC4"/>
    <w:rsid w:val="00E84161"/>
    <w:rsid w:val="00E854ED"/>
    <w:rsid w:val="00E8595D"/>
    <w:rsid w:val="00E86E90"/>
    <w:rsid w:val="00E913DD"/>
    <w:rsid w:val="00E91D89"/>
    <w:rsid w:val="00E94946"/>
    <w:rsid w:val="00E957DC"/>
    <w:rsid w:val="00E96F22"/>
    <w:rsid w:val="00EA2BEB"/>
    <w:rsid w:val="00EA35ED"/>
    <w:rsid w:val="00EA7259"/>
    <w:rsid w:val="00EA7F9E"/>
    <w:rsid w:val="00EB1926"/>
    <w:rsid w:val="00EB2560"/>
    <w:rsid w:val="00EB44D6"/>
    <w:rsid w:val="00EB5268"/>
    <w:rsid w:val="00EB5BA6"/>
    <w:rsid w:val="00EB5CE9"/>
    <w:rsid w:val="00EB69EC"/>
    <w:rsid w:val="00EB7D02"/>
    <w:rsid w:val="00EC0D33"/>
    <w:rsid w:val="00EC243C"/>
    <w:rsid w:val="00EC3D5E"/>
    <w:rsid w:val="00EC5C8F"/>
    <w:rsid w:val="00ED3252"/>
    <w:rsid w:val="00ED625C"/>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AA"/>
    <w:rsid w:val="00F32201"/>
    <w:rsid w:val="00F346F0"/>
    <w:rsid w:val="00F34780"/>
    <w:rsid w:val="00F42462"/>
    <w:rsid w:val="00F429FB"/>
    <w:rsid w:val="00F42C07"/>
    <w:rsid w:val="00F43025"/>
    <w:rsid w:val="00F43CA0"/>
    <w:rsid w:val="00F479AC"/>
    <w:rsid w:val="00F47AC0"/>
    <w:rsid w:val="00F50C5F"/>
    <w:rsid w:val="00F537E6"/>
    <w:rsid w:val="00F54C72"/>
    <w:rsid w:val="00F5586D"/>
    <w:rsid w:val="00F56F36"/>
    <w:rsid w:val="00F579C1"/>
    <w:rsid w:val="00F605C6"/>
    <w:rsid w:val="00F61705"/>
    <w:rsid w:val="00F75A94"/>
    <w:rsid w:val="00F7643C"/>
    <w:rsid w:val="00F866DF"/>
    <w:rsid w:val="00F875C5"/>
    <w:rsid w:val="00F87BB1"/>
    <w:rsid w:val="00F91449"/>
    <w:rsid w:val="00F91525"/>
    <w:rsid w:val="00F93A2D"/>
    <w:rsid w:val="00F945F2"/>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596"/>
    <w:rsid w:val="00FC69D4"/>
    <w:rsid w:val="00FD1348"/>
    <w:rsid w:val="00FD4B23"/>
    <w:rsid w:val="00FE15C5"/>
    <w:rsid w:val="00FE1DB5"/>
    <w:rsid w:val="00FE1F54"/>
    <w:rsid w:val="00FE5BA5"/>
    <w:rsid w:val="00FE7174"/>
    <w:rsid w:val="00FF018C"/>
    <w:rsid w:val="00FF0713"/>
    <w:rsid w:val="00FF1DC6"/>
    <w:rsid w:val="00FF6F97"/>
    <w:rsid w:val="00FF7089"/>
    <w:rsid w:val="02572AE5"/>
    <w:rsid w:val="04C11975"/>
    <w:rsid w:val="0A6A2600"/>
    <w:rsid w:val="14FF4F96"/>
    <w:rsid w:val="1E30627B"/>
    <w:rsid w:val="21D87D2C"/>
    <w:rsid w:val="260A68F0"/>
    <w:rsid w:val="266A7818"/>
    <w:rsid w:val="27B82FFC"/>
    <w:rsid w:val="2D8B2DA5"/>
    <w:rsid w:val="30A14707"/>
    <w:rsid w:val="37B2257B"/>
    <w:rsid w:val="3A2A1B78"/>
    <w:rsid w:val="3A34222E"/>
    <w:rsid w:val="3AC577F8"/>
    <w:rsid w:val="45AA2B9E"/>
    <w:rsid w:val="4712320E"/>
    <w:rsid w:val="49B61922"/>
    <w:rsid w:val="4B3D4E7B"/>
    <w:rsid w:val="4B612DEF"/>
    <w:rsid w:val="4E0C1ED3"/>
    <w:rsid w:val="517E0914"/>
    <w:rsid w:val="51871A66"/>
    <w:rsid w:val="59840BB2"/>
    <w:rsid w:val="5D0B16A4"/>
    <w:rsid w:val="5DF337A2"/>
    <w:rsid w:val="62314002"/>
    <w:rsid w:val="63144C62"/>
    <w:rsid w:val="70344EA3"/>
    <w:rsid w:val="71C852BA"/>
    <w:rsid w:val="7DDF5E0F"/>
    <w:rsid w:val="7E41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8"/>
    <w:qFormat/>
    <w:uiPriority w:val="10"/>
    <w:pPr>
      <w:jc w:val="left"/>
      <w:outlineLvl w:val="3"/>
    </w:pPr>
    <w:rPr>
      <w:rFonts w:ascii="Cambria" w:hAnsi="Cambria"/>
      <w:bCs/>
      <w:szCs w:val="32"/>
    </w:rPr>
  </w:style>
  <w:style w:type="paragraph" w:styleId="21">
    <w:name w:val="annotation subject"/>
    <w:basedOn w:val="7"/>
    <w:next w:val="7"/>
    <w:link w:val="34"/>
    <w:unhideWhenUsed/>
    <w:qFormat/>
    <w:uiPriority w:val="99"/>
    <w:rPr>
      <w:b/>
      <w:bCs/>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0"/>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1"/>
    <w:semiHidden/>
    <w:qFormat/>
    <w:uiPriority w:val="99"/>
    <w:rPr>
      <w:rFonts w:eastAsia="仿宋_GB2312"/>
      <w:b/>
      <w:bCs/>
      <w:kern w:val="2"/>
      <w:sz w:val="24"/>
      <w:szCs w:val="24"/>
    </w:rPr>
  </w:style>
  <w:style w:type="character" w:customStyle="1" w:styleId="35">
    <w:name w:val="文档结构图 Char"/>
    <w:basedOn w:val="24"/>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styleId="37">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Heading"/>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styleId="40">
    <w:name w:val="List Paragraph"/>
    <w:basedOn w:val="1"/>
    <w:qFormat/>
    <w:uiPriority w:val="34"/>
    <w:pPr>
      <w:ind w:firstLine="420"/>
    </w:pPr>
  </w:style>
  <w:style w:type="paragraph" w:customStyle="1" w:styleId="41">
    <w:name w:val="Revision"/>
    <w:semiHidden/>
    <w:qFormat/>
    <w:uiPriority w:val="99"/>
    <w:rPr>
      <w:rFonts w:ascii="Times New Roman" w:hAnsi="Times New Roman" w:eastAsia="仿宋_GB2312" w:cs="Times New Roman"/>
      <w:kern w:val="2"/>
      <w:sz w:val="24"/>
      <w:szCs w:val="24"/>
      <w:lang w:val="en-US" w:eastAsia="zh-CN" w:bidi="ar-SA"/>
    </w:rPr>
  </w:style>
  <w:style w:type="character" w:customStyle="1" w:styleId="42">
    <w:name w:val="标题 2 Char"/>
    <w:basedOn w:val="24"/>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2E6F5-C633-4B15-917B-8A4A2F076E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1442</Words>
  <Characters>8220</Characters>
  <Lines>68</Lines>
  <Paragraphs>19</Paragraphs>
  <TotalTime>2</TotalTime>
  <ScaleCrop>false</ScaleCrop>
  <LinksUpToDate>false</LinksUpToDate>
  <CharactersWithSpaces>9643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21656</cp:lastModifiedBy>
  <cp:lastPrinted>2015-12-10T09:13:00Z</cp:lastPrinted>
  <dcterms:modified xsi:type="dcterms:W3CDTF">2020-06-29T03:15:55Z</dcterms:modified>
  <dc:title>财政支出绩效评价报告</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