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Arial Narrow" w:hAnsi="Arial Narrow" w:eastAsia="仿宋_GB2312" w:cs="Arial Narrow"/>
          <w:sz w:val="24"/>
          <w:szCs w:val="24"/>
        </w:rPr>
      </w:pPr>
    </w:p>
    <w:p>
      <w:pPr>
        <w:spacing w:line="540" w:lineRule="exact"/>
        <w:jc w:val="center"/>
        <w:rPr>
          <w:rFonts w:ascii="Arial Narrow" w:hAnsi="Arial Narrow" w:eastAsia="仿宋_GB2312" w:cs="Arial Narrow"/>
          <w:b/>
          <w:sz w:val="24"/>
          <w:szCs w:val="24"/>
        </w:rPr>
      </w:pPr>
    </w:p>
    <w:p>
      <w:pPr>
        <w:spacing w:line="540" w:lineRule="exact"/>
        <w:jc w:val="center"/>
        <w:rPr>
          <w:rFonts w:ascii="Arial Narrow" w:hAnsi="Arial Narrow" w:eastAsia="仿宋_GB2312" w:cs="Arial Narrow"/>
          <w:b/>
          <w:sz w:val="24"/>
          <w:szCs w:val="24"/>
        </w:rPr>
      </w:pPr>
    </w:p>
    <w:p>
      <w:pPr>
        <w:spacing w:line="540" w:lineRule="exact"/>
        <w:jc w:val="center"/>
        <w:rPr>
          <w:rFonts w:ascii="Arial Narrow" w:hAnsi="Arial Narrow" w:eastAsia="仿宋_GB2312" w:cs="Arial Narrow"/>
          <w:b/>
          <w:sz w:val="24"/>
          <w:szCs w:val="24"/>
        </w:rPr>
      </w:pPr>
    </w:p>
    <w:p>
      <w:pPr>
        <w:spacing w:line="540" w:lineRule="exact"/>
        <w:jc w:val="center"/>
        <w:rPr>
          <w:rFonts w:ascii="Arial Narrow" w:hAnsi="Arial Narrow" w:eastAsia="仿宋_GB2312" w:cs="Arial Narrow"/>
          <w:b/>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_GB2312" w:hAnsi="Arial Narrow" w:cs="Arial Narrow"/>
          <w:b/>
          <w:sz w:val="44"/>
          <w:szCs w:val="44"/>
        </w:rPr>
      </w:pPr>
      <w:r>
        <w:rPr>
          <w:rFonts w:hint="eastAsia" w:ascii="仿宋_GB2312" w:hAnsi="Arial Narrow" w:cs="Arial Narrow"/>
          <w:b/>
          <w:sz w:val="44"/>
          <w:szCs w:val="44"/>
        </w:rPr>
        <w:t>武汉开发区（汉南区）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_GB2312" w:hAnsi="Arial Narrow" w:cs="Arial Narrow"/>
          <w:b/>
          <w:sz w:val="44"/>
          <w:szCs w:val="44"/>
        </w:rPr>
      </w:pPr>
      <w:r>
        <w:rPr>
          <w:rFonts w:hint="eastAsia" w:ascii="仿宋_GB2312" w:hAnsi="Arial Narrow" w:cs="Arial Narrow"/>
          <w:b/>
          <w:sz w:val="44"/>
          <w:szCs w:val="44"/>
        </w:rPr>
        <w:t>机关后勤服务经费项目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Arial Narrow" w:hAnsi="Arial Narrow" w:eastAsia="仿宋_GB2312" w:cs="Arial Narrow"/>
          <w:b/>
          <w:sz w:val="44"/>
          <w:szCs w:val="44"/>
        </w:rPr>
      </w:pPr>
      <w:r>
        <w:rPr>
          <w:rFonts w:hint="eastAsia" w:ascii="仿宋_GB2312" w:hAnsi="Arial Narrow" w:cs="Arial Narrow"/>
          <w:b/>
          <w:sz w:val="44"/>
          <w:szCs w:val="44"/>
        </w:rPr>
        <w:t>2018年度整体支出绩效自评报告</w:t>
      </w:r>
    </w:p>
    <w:p>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rPr>
          <w:rFonts w:ascii="Arial Narrow" w:hAnsi="Arial Narrow" w:eastAsia="仿宋_GB2312" w:cs="Arial Narrow"/>
          <w:b/>
          <w:sz w:val="24"/>
          <w:szCs w:val="24"/>
        </w:rPr>
      </w:pPr>
    </w:p>
    <w:p>
      <w:pPr>
        <w:spacing w:line="540" w:lineRule="exact"/>
        <w:ind w:firstLine="482" w:firstLineChars="200"/>
        <w:rPr>
          <w:rFonts w:ascii="Arial Narrow" w:hAnsi="Arial Narrow" w:eastAsia="仿宋_GB2312" w:cs="Arial Narrow"/>
          <w:b/>
          <w:sz w:val="24"/>
          <w:szCs w:val="24"/>
        </w:rPr>
      </w:pPr>
    </w:p>
    <w:p>
      <w:pPr>
        <w:widowControl/>
        <w:spacing w:line="540" w:lineRule="exact"/>
        <w:ind w:firstLine="790" w:firstLineChars="246"/>
        <w:jc w:val="left"/>
        <w:rPr>
          <w:rFonts w:ascii="Arial Narrow" w:hAnsi="Arial Narrow" w:eastAsia="仿宋_GB2312" w:cs="Arial Narrow"/>
          <w:b/>
          <w:bCs/>
          <w:kern w:val="32"/>
          <w:sz w:val="32"/>
          <w:szCs w:val="24"/>
          <w:lang w:bidi="he-IL"/>
        </w:rPr>
      </w:pPr>
    </w:p>
    <w:p>
      <w:pPr>
        <w:widowControl/>
        <w:spacing w:line="540" w:lineRule="exact"/>
        <w:ind w:firstLine="790" w:firstLineChars="246"/>
        <w:jc w:val="left"/>
        <w:rPr>
          <w:rFonts w:ascii="Arial Narrow" w:hAnsi="Arial Narrow" w:eastAsia="仿宋_GB2312" w:cs="Arial Narrow"/>
          <w:b/>
          <w:bCs/>
          <w:kern w:val="32"/>
          <w:sz w:val="32"/>
          <w:szCs w:val="24"/>
          <w:lang w:bidi="he-IL"/>
        </w:rPr>
      </w:pPr>
    </w:p>
    <w:p>
      <w:pPr>
        <w:widowControl/>
        <w:spacing w:line="540" w:lineRule="exact"/>
        <w:jc w:val="left"/>
        <w:rPr>
          <w:rFonts w:ascii="Arial Narrow" w:hAnsi="Arial Narrow" w:eastAsia="仿宋_GB2312" w:cs="Arial Narrow"/>
          <w:b/>
          <w:bCs/>
          <w:kern w:val="32"/>
          <w:sz w:val="32"/>
          <w:szCs w:val="24"/>
          <w:lang w:bidi="he-IL"/>
        </w:rPr>
      </w:pPr>
    </w:p>
    <w:p>
      <w:pPr>
        <w:spacing w:line="800" w:lineRule="exact"/>
        <w:ind w:right="-168" w:rightChars="-80" w:firstLine="424" w:firstLineChars="132"/>
        <w:jc w:val="left"/>
        <w:rPr>
          <w:rFonts w:ascii="Arial Narrow" w:hAnsi="Arial Narrow" w:eastAsia="仿宋_GB2312" w:cs="Arial Narrow"/>
          <w:b/>
          <w:bCs/>
          <w:kern w:val="32"/>
          <w:sz w:val="32"/>
          <w:szCs w:val="24"/>
          <w:lang w:bidi="he-IL"/>
        </w:rPr>
      </w:pPr>
    </w:p>
    <w:p>
      <w:pPr>
        <w:spacing w:line="800" w:lineRule="exact"/>
        <w:ind w:right="-168" w:rightChars="-80" w:firstLine="424" w:firstLineChars="132"/>
        <w:jc w:val="left"/>
        <w:rPr>
          <w:rFonts w:hint="default" w:ascii="Arial Narrow" w:hAnsi="Arial Narrow" w:eastAsia="仿宋_GB2312" w:cs="Arial Narrow"/>
          <w:b/>
          <w:bCs/>
          <w:kern w:val="32"/>
          <w:sz w:val="32"/>
          <w:szCs w:val="24"/>
          <w:lang w:val="en-US" w:eastAsia="zh-CN" w:bidi="he-IL"/>
        </w:rPr>
      </w:pPr>
      <w:r>
        <w:rPr>
          <w:rFonts w:hint="eastAsia" w:ascii="Arial Narrow" w:hAnsi="Arial Narrow" w:eastAsia="仿宋_GB2312" w:cs="Arial Narrow"/>
          <w:b/>
          <w:bCs/>
          <w:kern w:val="32"/>
          <w:sz w:val="32"/>
          <w:szCs w:val="24"/>
          <w:lang w:val="en-US" w:eastAsia="zh-CN" w:bidi="he-IL"/>
        </w:rPr>
        <w:t>项目名称：2018年度整体支出自评报告</w:t>
      </w:r>
    </w:p>
    <w:p>
      <w:pPr>
        <w:spacing w:line="800" w:lineRule="exact"/>
        <w:ind w:right="-168" w:rightChars="-80" w:firstLine="424" w:firstLineChars="132"/>
        <w:jc w:val="left"/>
        <w:rPr>
          <w:rFonts w:ascii="Arial Narrow" w:hAnsi="Arial Narrow" w:eastAsia="仿宋_GB2312" w:cs="Arial Narrow"/>
          <w:b/>
          <w:bCs/>
          <w:kern w:val="32"/>
          <w:sz w:val="32"/>
          <w:szCs w:val="24"/>
          <w:lang w:bidi="he-IL"/>
        </w:rPr>
      </w:pPr>
      <w:r>
        <w:rPr>
          <w:rFonts w:ascii="Arial Narrow" w:hAnsi="Arial Narrow" w:eastAsia="仿宋_GB2312" w:cs="Arial Narrow"/>
          <w:b/>
          <w:bCs/>
          <w:kern w:val="32"/>
          <w:sz w:val="32"/>
          <w:szCs w:val="24"/>
          <w:lang w:bidi="he-IL"/>
        </w:rPr>
        <w:t>项目单位：</w:t>
      </w:r>
      <w:r>
        <w:rPr>
          <w:rFonts w:hint="eastAsia" w:ascii="Arial Narrow" w:hAnsi="Arial Narrow" w:eastAsia="仿宋_GB2312" w:cs="Arial Narrow"/>
          <w:b/>
          <w:bCs/>
          <w:kern w:val="32"/>
          <w:sz w:val="32"/>
          <w:szCs w:val="24"/>
          <w:lang w:bidi="he-IL"/>
        </w:rPr>
        <w:t>武汉市汉南区政府机关后勤服务中心</w:t>
      </w:r>
    </w:p>
    <w:p>
      <w:pPr>
        <w:spacing w:line="800" w:lineRule="exact"/>
        <w:ind w:right="-168" w:rightChars="-80" w:firstLine="424" w:firstLineChars="132"/>
        <w:jc w:val="left"/>
        <w:rPr>
          <w:rFonts w:ascii="Arial Narrow" w:hAnsi="Arial Narrow" w:eastAsia="仿宋_GB2312" w:cs="Arial Narrow"/>
          <w:b/>
          <w:bCs/>
          <w:kern w:val="32"/>
          <w:sz w:val="32"/>
          <w:szCs w:val="24"/>
          <w:lang w:bidi="he-IL"/>
        </w:rPr>
      </w:pPr>
      <w:r>
        <w:rPr>
          <w:rFonts w:ascii="Arial Narrow" w:hAnsi="Arial Narrow" w:eastAsia="仿宋_GB2312" w:cs="Arial Narrow"/>
          <w:b/>
          <w:bCs/>
          <w:kern w:val="32"/>
          <w:sz w:val="32"/>
          <w:szCs w:val="24"/>
          <w:lang w:bidi="he-IL"/>
        </w:rPr>
        <w:t>主管部门：</w:t>
      </w:r>
      <w:r>
        <w:rPr>
          <w:rFonts w:hint="eastAsia" w:ascii="Arial Narrow" w:hAnsi="Arial Narrow" w:eastAsia="仿宋_GB2312" w:cs="Arial Narrow"/>
          <w:b/>
          <w:bCs/>
          <w:kern w:val="32"/>
          <w:sz w:val="32"/>
          <w:szCs w:val="24"/>
          <w:lang w:bidi="he-IL"/>
        </w:rPr>
        <w:t>武汉市汉南区政府机关后勤服务中心</w:t>
      </w:r>
    </w:p>
    <w:p>
      <w:pPr>
        <w:spacing w:line="540" w:lineRule="exact"/>
        <w:ind w:firstLine="482"/>
        <w:jc w:val="center"/>
        <w:rPr>
          <w:rFonts w:ascii="Arial Narrow" w:hAnsi="Arial Narrow" w:eastAsia="仿宋_GB2312" w:cs="Arial Narrow"/>
          <w:b/>
          <w:bCs/>
          <w:kern w:val="32"/>
          <w:sz w:val="32"/>
          <w:szCs w:val="24"/>
          <w:lang w:bidi="he-IL"/>
        </w:rPr>
      </w:pPr>
    </w:p>
    <w:p>
      <w:pPr>
        <w:spacing w:line="540" w:lineRule="exact"/>
        <w:rPr>
          <w:rFonts w:ascii="Arial Narrow" w:hAnsi="Arial Narrow" w:eastAsia="仿宋_GB2312" w:cs="Arial Narrow"/>
          <w:b/>
          <w:sz w:val="24"/>
          <w:szCs w:val="24"/>
        </w:rPr>
      </w:pPr>
    </w:p>
    <w:p>
      <w:pPr>
        <w:spacing w:line="540" w:lineRule="exact"/>
        <w:rPr>
          <w:rFonts w:ascii="Arial Narrow" w:hAnsi="Arial Narrow" w:eastAsia="仿宋_GB2312" w:cs="Arial Narrow"/>
          <w:b/>
          <w:sz w:val="24"/>
          <w:szCs w:val="24"/>
        </w:rPr>
      </w:pPr>
      <w:bookmarkStart w:id="0" w:name="_GoBack"/>
      <w:bookmarkEnd w:id="0"/>
    </w:p>
    <w:p>
      <w:pPr>
        <w:spacing w:line="540" w:lineRule="exact"/>
        <w:jc w:val="center"/>
        <w:rPr>
          <w:rFonts w:ascii="Arial Narrow" w:hAnsi="Arial Narrow" w:eastAsia="仿宋_GB2312" w:cs="Arial Narrow"/>
          <w:b/>
          <w:bCs/>
          <w:kern w:val="32"/>
          <w:sz w:val="32"/>
          <w:szCs w:val="32"/>
          <w:lang w:bidi="he-IL"/>
        </w:rPr>
        <w:sectPr>
          <w:footerReference r:id="rId3" w:type="even"/>
          <w:pgSz w:w="11906" w:h="16838"/>
          <w:pgMar w:top="2098" w:right="1474" w:bottom="1985" w:left="1588" w:header="851" w:footer="992" w:gutter="0"/>
          <w:pgNumType w:fmt="numberInDash" w:start="0"/>
          <w:cols w:space="425" w:num="1"/>
          <w:titlePg/>
          <w:docGrid w:type="lines" w:linePitch="312" w:charSpace="0"/>
        </w:sectPr>
      </w:pPr>
      <w:r>
        <w:rPr>
          <w:rFonts w:ascii="Arial Narrow" w:hAnsi="Arial Narrow" w:eastAsia="仿宋_GB2312" w:cs="Arial Narrow"/>
          <w:b/>
          <w:bCs/>
          <w:kern w:val="32"/>
          <w:sz w:val="32"/>
          <w:szCs w:val="32"/>
          <w:lang w:bidi="he-IL"/>
        </w:rPr>
        <w:t>二〇一</w:t>
      </w:r>
      <w:r>
        <w:rPr>
          <w:rFonts w:hint="eastAsia" w:ascii="Arial Narrow" w:hAnsi="Arial Narrow" w:eastAsia="仿宋_GB2312" w:cs="Arial Narrow"/>
          <w:b/>
          <w:bCs/>
          <w:kern w:val="32"/>
          <w:sz w:val="32"/>
          <w:szCs w:val="32"/>
          <w:lang w:bidi="he-IL"/>
        </w:rPr>
        <w:t>九</w:t>
      </w:r>
      <w:r>
        <w:rPr>
          <w:rFonts w:ascii="Arial Narrow" w:hAnsi="Arial Narrow" w:eastAsia="仿宋_GB2312" w:cs="Arial Narrow"/>
          <w:b/>
          <w:bCs/>
          <w:kern w:val="32"/>
          <w:sz w:val="32"/>
          <w:szCs w:val="32"/>
          <w:lang w:bidi="he-IL"/>
        </w:rPr>
        <w:t>年</w:t>
      </w:r>
      <w:r>
        <w:rPr>
          <w:rFonts w:hint="eastAsia" w:ascii="Arial Narrow" w:hAnsi="Arial Narrow" w:eastAsia="仿宋_GB2312" w:cs="Arial Narrow"/>
          <w:b/>
          <w:bCs/>
          <w:kern w:val="32"/>
          <w:sz w:val="32"/>
          <w:szCs w:val="32"/>
          <w:lang w:bidi="he-IL"/>
        </w:rPr>
        <w:t>七</w:t>
      </w:r>
      <w:r>
        <w:rPr>
          <w:rFonts w:ascii="Arial Narrow" w:hAnsi="Arial Narrow" w:eastAsia="仿宋_GB2312" w:cs="Arial Narrow"/>
          <w:b/>
          <w:bCs/>
          <w:kern w:val="32"/>
          <w:sz w:val="32"/>
          <w:szCs w:val="32"/>
          <w:lang w:bidi="he-IL"/>
        </w:rPr>
        <w:t>月</w:t>
      </w:r>
    </w:p>
    <w:p>
      <w:pPr>
        <w:spacing w:line="540" w:lineRule="exact"/>
        <w:jc w:val="center"/>
        <w:rPr>
          <w:rFonts w:ascii="Arial Narrow" w:hAnsi="Arial Narrow" w:eastAsia="仿宋_GB2312" w:cs="Arial Narrow"/>
          <w:b/>
          <w:bCs/>
          <w:kern w:val="32"/>
          <w:sz w:val="32"/>
          <w:szCs w:val="32"/>
          <w:lang w:bidi="he-IL"/>
        </w:rPr>
        <w:sectPr>
          <w:pgSz w:w="11906" w:h="16838"/>
          <w:pgMar w:top="2098" w:right="1474" w:bottom="1985" w:left="1588" w:header="851" w:footer="992" w:gutter="0"/>
          <w:pgNumType w:fmt="numberInDash" w:start="0"/>
          <w:cols w:space="425" w:num="1"/>
          <w:titlePg/>
          <w:docGrid w:type="lines" w:linePitch="312" w:charSpace="0"/>
        </w:sectPr>
      </w:pPr>
    </w:p>
    <w:p>
      <w:pPr>
        <w:spacing w:line="540" w:lineRule="exact"/>
        <w:jc w:val="center"/>
        <w:rPr>
          <w:rFonts w:ascii="Arial Narrow" w:hAnsi="Arial Narrow" w:eastAsia="仿宋_GB2312" w:cs="Arial Narrow"/>
          <w:b/>
          <w:bCs/>
          <w:kern w:val="32"/>
          <w:sz w:val="32"/>
          <w:szCs w:val="32"/>
          <w:lang w:bidi="he-IL"/>
        </w:rPr>
      </w:pPr>
    </w:p>
    <w:p>
      <w:pPr>
        <w:pStyle w:val="3"/>
        <w:spacing w:before="100" w:after="100" w:line="360" w:lineRule="auto"/>
        <w:ind w:firstLine="482"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一</w:t>
      </w:r>
      <w:r>
        <w:rPr>
          <w:rFonts w:ascii="Arial Narrow" w:hAnsi="Arial Narrow" w:eastAsia="仿宋_GB2312" w:cs="Arial Narrow"/>
          <w:sz w:val="24"/>
          <w:szCs w:val="24"/>
        </w:rPr>
        <w:t>、绩效得分情况</w:t>
      </w:r>
    </w:p>
    <w:p>
      <w:pPr>
        <w:spacing w:line="360" w:lineRule="auto"/>
        <w:ind w:firstLine="480" w:firstLineChars="200"/>
        <w:rPr>
          <w:rFonts w:ascii="Arial Narrow" w:hAnsi="Arial Narrow" w:eastAsia="仿宋_GB2312" w:cs="Arial Narrow"/>
          <w:color w:val="000000" w:themeColor="text1"/>
          <w:sz w:val="24"/>
          <w:szCs w:val="24"/>
          <w14:textFill>
            <w14:solidFill>
              <w14:schemeClr w14:val="tx1"/>
            </w14:solidFill>
          </w14:textFill>
        </w:rPr>
      </w:pPr>
      <w:r>
        <w:rPr>
          <w:rFonts w:ascii="Arial Narrow" w:hAnsi="Arial Narrow" w:eastAsia="仿宋_GB2312" w:cs="Arial Narrow"/>
          <w:color w:val="000000" w:themeColor="text1"/>
          <w:sz w:val="24"/>
          <w:szCs w:val="24"/>
          <w14:textFill>
            <w14:solidFill>
              <w14:schemeClr w14:val="tx1"/>
            </w14:solidFill>
          </w14:textFill>
        </w:rPr>
        <w:t>“武汉开发区（汉南区）机关后勤服务经费项目2018年度整体支出绩效自评报告”绩效评价综合得分为</w:t>
      </w:r>
      <w:r>
        <w:rPr>
          <w:rFonts w:hint="eastAsia" w:ascii="Arial Narrow" w:hAnsi="Arial Narrow" w:eastAsia="仿宋_GB2312" w:cs="Arial Narrow"/>
          <w:color w:val="000000" w:themeColor="text1"/>
          <w:sz w:val="24"/>
          <w:szCs w:val="24"/>
          <w14:textFill>
            <w14:solidFill>
              <w14:schemeClr w14:val="tx1"/>
            </w14:solidFill>
          </w14:textFill>
        </w:rPr>
        <w:t>94</w:t>
      </w:r>
      <w:r>
        <w:rPr>
          <w:rFonts w:ascii="Arial Narrow" w:hAnsi="Arial Narrow" w:eastAsia="仿宋_GB2312" w:cs="Arial Narrow"/>
          <w:color w:val="000000" w:themeColor="text1"/>
          <w:sz w:val="24"/>
          <w:szCs w:val="24"/>
          <w14:textFill>
            <w14:solidFill>
              <w14:schemeClr w14:val="tx1"/>
            </w14:solidFill>
          </w14:textFill>
        </w:rPr>
        <w:t>分，评价等级为</w:t>
      </w:r>
      <w:r>
        <w:rPr>
          <w:rFonts w:hint="eastAsia" w:ascii="Arial Narrow" w:hAnsi="Arial Narrow" w:eastAsia="仿宋_GB2312" w:cs="Arial Narrow"/>
          <w:color w:val="000000" w:themeColor="text1"/>
          <w:sz w:val="24"/>
          <w:szCs w:val="24"/>
          <w14:textFill>
            <w14:solidFill>
              <w14:schemeClr w14:val="tx1"/>
            </w14:solidFill>
          </w14:textFill>
        </w:rPr>
        <w:t>优</w:t>
      </w:r>
      <w:r>
        <w:rPr>
          <w:rFonts w:ascii="Arial Narrow" w:hAnsi="Arial Narrow" w:eastAsia="仿宋_GB2312" w:cs="Arial Narrow"/>
          <w:color w:val="000000" w:themeColor="text1"/>
          <w:sz w:val="24"/>
          <w:szCs w:val="24"/>
          <w14:textFill>
            <w14:solidFill>
              <w14:schemeClr w14:val="tx1"/>
            </w14:solidFill>
          </w14:textFill>
        </w:rPr>
        <w:t>。其中</w:t>
      </w:r>
      <w:r>
        <w:rPr>
          <w:rFonts w:hint="eastAsia" w:ascii="Arial Narrow" w:hAnsi="Arial Narrow" w:eastAsia="仿宋_GB2312" w:cs="Arial Narrow"/>
          <w:color w:val="000000" w:themeColor="text1"/>
          <w:sz w:val="24"/>
          <w:szCs w:val="24"/>
          <w14:textFill>
            <w14:solidFill>
              <w14:schemeClr w14:val="tx1"/>
            </w14:solidFill>
          </w14:textFill>
        </w:rPr>
        <w:t>投入指标</w:t>
      </w:r>
      <w:r>
        <w:rPr>
          <w:rFonts w:ascii="Arial Narrow" w:hAnsi="Arial Narrow" w:eastAsia="仿宋_GB2312" w:cs="Arial Narrow"/>
          <w:color w:val="000000" w:themeColor="text1"/>
          <w:sz w:val="24"/>
          <w:szCs w:val="24"/>
          <w14:textFill>
            <w14:solidFill>
              <w14:schemeClr w14:val="tx1"/>
            </w14:solidFill>
          </w14:textFill>
        </w:rPr>
        <w:t>得分</w:t>
      </w:r>
      <w:r>
        <w:rPr>
          <w:rFonts w:hint="eastAsia" w:ascii="Arial Narrow" w:hAnsi="Arial Narrow" w:eastAsia="仿宋_GB2312" w:cs="Arial Narrow"/>
          <w:color w:val="000000" w:themeColor="text1"/>
          <w:sz w:val="24"/>
          <w:szCs w:val="24"/>
          <w14:textFill>
            <w14:solidFill>
              <w14:schemeClr w14:val="tx1"/>
            </w14:solidFill>
          </w14:textFill>
        </w:rPr>
        <w:t>14</w:t>
      </w:r>
      <w:r>
        <w:rPr>
          <w:rFonts w:ascii="Arial Narrow" w:hAnsi="Arial Narrow" w:eastAsia="仿宋_GB2312" w:cs="Arial Narrow"/>
          <w:color w:val="000000" w:themeColor="text1"/>
          <w:sz w:val="24"/>
          <w:szCs w:val="24"/>
          <w14:textFill>
            <w14:solidFill>
              <w14:schemeClr w14:val="tx1"/>
            </w14:solidFill>
          </w14:textFill>
        </w:rPr>
        <w:t>分，</w:t>
      </w:r>
      <w:r>
        <w:rPr>
          <w:rFonts w:hint="eastAsia" w:ascii="Arial Narrow" w:hAnsi="Arial Narrow" w:eastAsia="仿宋_GB2312" w:cs="Arial Narrow"/>
          <w:color w:val="000000" w:themeColor="text1"/>
          <w:sz w:val="24"/>
          <w:szCs w:val="24"/>
          <w14:textFill>
            <w14:solidFill>
              <w14:schemeClr w14:val="tx1"/>
            </w14:solidFill>
          </w14:textFill>
        </w:rPr>
        <w:t>过程指标得分24分，</w:t>
      </w:r>
      <w:r>
        <w:rPr>
          <w:rFonts w:ascii="Arial Narrow" w:hAnsi="Arial Narrow" w:eastAsia="仿宋_GB2312" w:cs="Arial Narrow"/>
          <w:color w:val="000000" w:themeColor="text1"/>
          <w:sz w:val="24"/>
          <w:szCs w:val="24"/>
          <w14:textFill>
            <w14:solidFill>
              <w14:schemeClr w14:val="tx1"/>
            </w14:solidFill>
          </w14:textFill>
        </w:rPr>
        <w:t>产出指标得分</w:t>
      </w:r>
      <w:r>
        <w:rPr>
          <w:rFonts w:hint="eastAsia" w:ascii="Arial Narrow" w:hAnsi="Arial Narrow" w:eastAsia="仿宋_GB2312" w:cs="Arial Narrow"/>
          <w:color w:val="000000" w:themeColor="text1"/>
          <w:sz w:val="24"/>
          <w:szCs w:val="24"/>
          <w14:textFill>
            <w14:solidFill>
              <w14:schemeClr w14:val="tx1"/>
            </w14:solidFill>
          </w14:textFill>
        </w:rPr>
        <w:t>28</w:t>
      </w:r>
      <w:r>
        <w:rPr>
          <w:rFonts w:ascii="Arial Narrow" w:hAnsi="Arial Narrow" w:eastAsia="仿宋_GB2312" w:cs="Arial Narrow"/>
          <w:color w:val="000000" w:themeColor="text1"/>
          <w:sz w:val="24"/>
          <w:szCs w:val="24"/>
          <w14:textFill>
            <w14:solidFill>
              <w14:schemeClr w14:val="tx1"/>
            </w14:solidFill>
          </w14:textFill>
        </w:rPr>
        <w:t>分，效益指标得分</w:t>
      </w:r>
      <w:r>
        <w:rPr>
          <w:rFonts w:hint="eastAsia" w:ascii="Arial Narrow" w:hAnsi="Arial Narrow" w:eastAsia="仿宋_GB2312" w:cs="Arial Narrow"/>
          <w:color w:val="000000" w:themeColor="text1"/>
          <w:sz w:val="24"/>
          <w:szCs w:val="24"/>
          <w14:textFill>
            <w14:solidFill>
              <w14:schemeClr w14:val="tx1"/>
            </w14:solidFill>
          </w14:textFill>
        </w:rPr>
        <w:t>28</w:t>
      </w:r>
      <w:r>
        <w:rPr>
          <w:rFonts w:ascii="Arial Narrow" w:hAnsi="Arial Narrow" w:eastAsia="仿宋_GB2312" w:cs="Arial Narrow"/>
          <w:color w:val="000000" w:themeColor="text1"/>
          <w:sz w:val="24"/>
          <w:szCs w:val="24"/>
          <w14:textFill>
            <w14:solidFill>
              <w14:schemeClr w14:val="tx1"/>
            </w14:solidFill>
          </w14:textFill>
        </w:rPr>
        <w:t>分。</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二、部门支出情况</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（一）部门职能</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武汉经济技术开发区（汉南区）</w:t>
      </w:r>
      <w:r>
        <w:rPr>
          <w:rFonts w:ascii="Arial Narrow" w:hAnsi="Arial Narrow" w:eastAsia="仿宋_GB2312" w:cs="Arial Narrow"/>
          <w:color w:val="000000" w:themeColor="text1"/>
          <w:sz w:val="24"/>
          <w:szCs w:val="24"/>
          <w14:textFill>
            <w14:solidFill>
              <w14:schemeClr w14:val="tx1"/>
            </w14:solidFill>
          </w14:textFill>
        </w:rPr>
        <w:t>政府机关后勤服务中心</w:t>
      </w:r>
      <w:r>
        <w:rPr>
          <w:rFonts w:ascii="Arial Narrow" w:hAnsi="Arial Narrow" w:eastAsia="仿宋_GB2312" w:cs="Arial Narrow"/>
          <w:sz w:val="24"/>
          <w:szCs w:val="24"/>
        </w:rPr>
        <w:t>主要职责是</w:t>
      </w:r>
      <w:r>
        <w:rPr>
          <w:rFonts w:hint="eastAsia" w:ascii="Arial Narrow" w:hAnsi="Arial Narrow" w:eastAsia="仿宋_GB2312" w:cs="Arial Narrow"/>
          <w:sz w:val="24"/>
          <w:szCs w:val="24"/>
        </w:rPr>
        <w:t>负责后勤事务的管理、保障、服务工作。具体包括：会务接待、安全保卫、环境卫生、设备运行、房屋维护、绿化、膳食供应以及楼内供水、供电、电话的管理、市内公文交换、传递和机关报刊收发征订等工作。</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（二）工作重点</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201</w:t>
      </w:r>
      <w:r>
        <w:rPr>
          <w:rFonts w:hint="eastAsia" w:ascii="Arial Narrow" w:hAnsi="Arial Narrow" w:eastAsia="仿宋_GB2312" w:cs="Arial Narrow"/>
          <w:sz w:val="24"/>
          <w:szCs w:val="24"/>
        </w:rPr>
        <w:t>8</w:t>
      </w:r>
      <w:r>
        <w:rPr>
          <w:rFonts w:ascii="Arial Narrow" w:hAnsi="Arial Narrow" w:eastAsia="仿宋_GB2312" w:cs="Arial Narrow"/>
          <w:sz w:val="24"/>
          <w:szCs w:val="24"/>
        </w:rPr>
        <w:t>年重点工作有</w:t>
      </w:r>
      <w:r>
        <w:rPr>
          <w:rFonts w:hint="eastAsia" w:ascii="Arial Narrow" w:hAnsi="Arial Narrow" w:eastAsia="仿宋_GB2312" w:cs="Arial Narrow"/>
          <w:sz w:val="24"/>
          <w:szCs w:val="24"/>
        </w:rPr>
        <w:t>两</w:t>
      </w:r>
      <w:r>
        <w:rPr>
          <w:rFonts w:ascii="Arial Narrow" w:hAnsi="Arial Narrow" w:eastAsia="仿宋_GB2312" w:cs="Arial Narrow"/>
          <w:sz w:val="24"/>
          <w:szCs w:val="24"/>
        </w:rPr>
        <w:t>个方面</w:t>
      </w:r>
      <w:r>
        <w:rPr>
          <w:rFonts w:hint="eastAsia" w:ascii="Arial Narrow" w:hAnsi="Arial Narrow" w:eastAsia="仿宋_GB2312" w:cs="Arial Narrow"/>
          <w:sz w:val="24"/>
          <w:szCs w:val="24"/>
          <w:lang w:eastAsia="zh-CN"/>
        </w:rPr>
        <w:t>：</w:t>
      </w:r>
      <w:r>
        <w:rPr>
          <w:rFonts w:ascii="Arial Narrow" w:hAnsi="Arial Narrow" w:eastAsia="仿宋_GB2312" w:cs="Arial Narrow"/>
          <w:sz w:val="24"/>
          <w:szCs w:val="24"/>
        </w:rPr>
        <w:t>一</w:t>
      </w:r>
      <w:r>
        <w:rPr>
          <w:rFonts w:hint="eastAsia" w:ascii="Arial Narrow" w:hAnsi="Arial Narrow" w:eastAsia="仿宋_GB2312" w:cs="Arial Narrow"/>
          <w:sz w:val="24"/>
          <w:szCs w:val="24"/>
          <w:lang w:eastAsia="zh-CN"/>
        </w:rPr>
        <w:t>、</w:t>
      </w:r>
      <w:r>
        <w:rPr>
          <w:rFonts w:hint="eastAsia" w:ascii="Arial Narrow" w:hAnsi="Arial Narrow" w:eastAsia="仿宋_GB2312" w:cs="Arial Narrow"/>
          <w:sz w:val="24"/>
          <w:szCs w:val="24"/>
        </w:rPr>
        <w:t>加强制度建设，规范相关制度，全面推进后勤中心发展</w:t>
      </w:r>
      <w:r>
        <w:rPr>
          <w:rFonts w:ascii="Arial Narrow" w:hAnsi="Arial Narrow" w:eastAsia="仿宋_GB2312" w:cs="Arial Narrow"/>
          <w:sz w:val="24"/>
          <w:szCs w:val="24"/>
        </w:rPr>
        <w:t>；二</w:t>
      </w:r>
      <w:r>
        <w:rPr>
          <w:rFonts w:hint="eastAsia" w:ascii="Arial Narrow" w:hAnsi="Arial Narrow" w:eastAsia="仿宋_GB2312" w:cs="Arial Narrow"/>
          <w:sz w:val="24"/>
          <w:szCs w:val="24"/>
          <w:lang w:eastAsia="zh-CN"/>
        </w:rPr>
        <w:t>、</w:t>
      </w:r>
      <w:r>
        <w:rPr>
          <w:rFonts w:hint="eastAsia" w:ascii="Arial Narrow" w:hAnsi="Arial Narrow" w:eastAsia="仿宋_GB2312" w:cs="Arial Narrow"/>
          <w:sz w:val="24"/>
          <w:szCs w:val="24"/>
        </w:rPr>
        <w:t>推进精细化管理，全面提升机关事务管理工作水平。</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（三）部门支出情况</w:t>
      </w:r>
    </w:p>
    <w:p>
      <w:pPr>
        <w:spacing w:line="360" w:lineRule="auto"/>
        <w:ind w:firstLine="480" w:firstLineChars="200"/>
        <w:jc w:val="left"/>
        <w:rPr>
          <w:rFonts w:ascii="Arial Narrow" w:hAnsi="Arial Narrow" w:eastAsia="仿宋_GB2312" w:cs="Arial Narrow"/>
          <w:color w:val="000000" w:themeColor="text1"/>
          <w:sz w:val="24"/>
          <w:szCs w:val="24"/>
          <w14:textFill>
            <w14:solidFill>
              <w14:schemeClr w14:val="tx1"/>
            </w14:solidFill>
          </w14:textFill>
        </w:rPr>
      </w:pPr>
      <w:r>
        <w:rPr>
          <w:rFonts w:ascii="Arial Narrow" w:hAnsi="Arial Narrow" w:eastAsia="仿宋_GB2312" w:cs="Arial Narrow"/>
          <w:sz w:val="24"/>
          <w:szCs w:val="24"/>
        </w:rPr>
        <w:t>武汉经济技术开发区（汉南区）</w:t>
      </w:r>
      <w:r>
        <w:rPr>
          <w:rFonts w:ascii="Arial Narrow" w:hAnsi="Arial Narrow" w:eastAsia="仿宋_GB2312" w:cs="Arial Narrow"/>
          <w:color w:val="000000" w:themeColor="text1"/>
          <w:sz w:val="24"/>
          <w:szCs w:val="24"/>
          <w14:textFill>
            <w14:solidFill>
              <w14:schemeClr w14:val="tx1"/>
            </w14:solidFill>
          </w14:textFill>
        </w:rPr>
        <w:t>政府机关后勤服务中心</w:t>
      </w:r>
      <w:r>
        <w:rPr>
          <w:rFonts w:hint="eastAsia" w:ascii="Arial Narrow" w:hAnsi="Arial Narrow" w:eastAsia="仿宋_GB2312" w:cs="Arial Narrow"/>
          <w:sz w:val="24"/>
          <w:szCs w:val="24"/>
        </w:rPr>
        <w:t>预算收入实际</w:t>
      </w:r>
      <w:r>
        <w:rPr>
          <w:rFonts w:ascii="Arial Narrow" w:hAnsi="Arial Narrow" w:eastAsia="仿宋_GB2312" w:cs="Arial Narrow"/>
          <w:sz w:val="24"/>
          <w:szCs w:val="24"/>
        </w:rPr>
        <w:t>总</w:t>
      </w:r>
      <w:r>
        <w:rPr>
          <w:rFonts w:hint="eastAsia" w:ascii="Arial Narrow" w:hAnsi="Arial Narrow" w:eastAsia="仿宋_GB2312" w:cs="Arial Narrow"/>
          <w:sz w:val="24"/>
          <w:szCs w:val="24"/>
        </w:rPr>
        <w:t>额为996.74</w:t>
      </w:r>
      <w:r>
        <w:rPr>
          <w:rFonts w:ascii="Arial Narrow" w:hAnsi="Arial Narrow" w:eastAsia="仿宋_GB2312" w:cs="Arial Narrow"/>
          <w:sz w:val="24"/>
          <w:szCs w:val="24"/>
        </w:rPr>
        <w:t>万元。201</w:t>
      </w:r>
      <w:r>
        <w:rPr>
          <w:rFonts w:hint="eastAsia" w:ascii="Arial Narrow" w:hAnsi="Arial Narrow" w:eastAsia="仿宋_GB2312" w:cs="Arial Narrow"/>
          <w:sz w:val="24"/>
          <w:szCs w:val="24"/>
        </w:rPr>
        <w:t>8</w:t>
      </w:r>
      <w:r>
        <w:rPr>
          <w:rFonts w:ascii="Arial Narrow" w:hAnsi="Arial Narrow" w:eastAsia="仿宋_GB2312" w:cs="Arial Narrow"/>
          <w:sz w:val="24"/>
          <w:szCs w:val="24"/>
        </w:rPr>
        <w:t>年度实际共支出</w:t>
      </w:r>
      <w:r>
        <w:rPr>
          <w:rFonts w:hint="eastAsia" w:ascii="Arial Narrow" w:hAnsi="Arial Narrow" w:eastAsia="仿宋_GB2312" w:cs="Arial Narrow"/>
          <w:sz w:val="24"/>
          <w:szCs w:val="24"/>
        </w:rPr>
        <w:t>897.53</w:t>
      </w:r>
      <w:r>
        <w:rPr>
          <w:rFonts w:ascii="Arial Narrow" w:hAnsi="Arial Narrow" w:eastAsia="仿宋_GB2312" w:cs="Arial Narrow"/>
          <w:sz w:val="24"/>
          <w:szCs w:val="24"/>
        </w:rPr>
        <w:t>万元</w:t>
      </w:r>
      <w:r>
        <w:rPr>
          <w:rFonts w:ascii="Arial Narrow" w:hAnsi="Arial Narrow" w:eastAsia="仿宋_GB2312" w:cs="Arial Narrow"/>
          <w:color w:val="000000" w:themeColor="text1"/>
          <w:sz w:val="24"/>
          <w:szCs w:val="24"/>
          <w14:textFill>
            <w14:solidFill>
              <w14:schemeClr w14:val="tx1"/>
            </w14:solidFill>
          </w14:textFill>
        </w:rPr>
        <w:t>，包括基本支出</w:t>
      </w:r>
      <w:r>
        <w:rPr>
          <w:rFonts w:hint="eastAsia" w:ascii="Arial Narrow" w:hAnsi="Arial Narrow" w:eastAsia="仿宋_GB2312" w:cs="Arial Narrow"/>
          <w:color w:val="000000" w:themeColor="text1"/>
          <w:sz w:val="24"/>
          <w:szCs w:val="24"/>
          <w14:textFill>
            <w14:solidFill>
              <w14:schemeClr w14:val="tx1"/>
            </w14:solidFill>
          </w14:textFill>
        </w:rPr>
        <w:t>620.90</w:t>
      </w:r>
      <w:r>
        <w:rPr>
          <w:rFonts w:ascii="Arial Narrow" w:hAnsi="Arial Narrow" w:eastAsia="仿宋_GB2312" w:cs="Arial Narrow"/>
          <w:color w:val="000000" w:themeColor="text1"/>
          <w:sz w:val="24"/>
          <w:szCs w:val="24"/>
          <w14:textFill>
            <w14:solidFill>
              <w14:schemeClr w14:val="tx1"/>
            </w14:solidFill>
          </w14:textFill>
        </w:rPr>
        <w:t>万元，项目支出</w:t>
      </w:r>
      <w:r>
        <w:rPr>
          <w:rFonts w:hint="eastAsia" w:ascii="Arial Narrow" w:hAnsi="Arial Narrow" w:eastAsia="仿宋_GB2312" w:cs="Arial Narrow"/>
          <w:color w:val="000000" w:themeColor="text1"/>
          <w:sz w:val="24"/>
          <w:szCs w:val="24"/>
          <w14:textFill>
            <w14:solidFill>
              <w14:schemeClr w14:val="tx1"/>
            </w14:solidFill>
          </w14:textFill>
        </w:rPr>
        <w:t>276.63</w:t>
      </w:r>
      <w:r>
        <w:rPr>
          <w:rFonts w:ascii="Arial Narrow" w:hAnsi="Arial Narrow" w:eastAsia="仿宋_GB2312" w:cs="Arial Narrow"/>
          <w:color w:val="000000" w:themeColor="text1"/>
          <w:sz w:val="24"/>
          <w:szCs w:val="24"/>
          <w14:textFill>
            <w14:solidFill>
              <w14:schemeClr w14:val="tx1"/>
            </w14:solidFill>
          </w14:textFill>
        </w:rPr>
        <w:t>万元，其中：</w:t>
      </w:r>
      <w:r>
        <w:rPr>
          <w:rFonts w:hint="eastAsia" w:ascii="Arial Narrow" w:hAnsi="Arial Narrow" w:eastAsia="仿宋_GB2312" w:cs="Arial Narrow"/>
          <w:color w:val="000000" w:themeColor="text1"/>
          <w:sz w:val="24"/>
          <w:szCs w:val="24"/>
          <w14:textFill>
            <w14:solidFill>
              <w14:schemeClr w14:val="tx1"/>
            </w14:solidFill>
          </w14:textFill>
        </w:rPr>
        <w:t>购买服务</w:t>
      </w:r>
      <w:r>
        <w:rPr>
          <w:rFonts w:ascii="Arial Narrow" w:hAnsi="Arial Narrow" w:eastAsia="仿宋_GB2312" w:cs="Arial Narrow"/>
          <w:color w:val="000000" w:themeColor="text1"/>
          <w:sz w:val="24"/>
          <w:szCs w:val="24"/>
          <w14:textFill>
            <w14:solidFill>
              <w14:schemeClr w14:val="tx1"/>
            </w14:solidFill>
          </w14:textFill>
        </w:rPr>
        <w:t>支出</w:t>
      </w:r>
      <w:r>
        <w:rPr>
          <w:rFonts w:hint="eastAsia" w:ascii="Arial Narrow" w:hAnsi="Arial Narrow" w:eastAsia="仿宋_GB2312" w:cs="Arial Narrow"/>
          <w:color w:val="000000" w:themeColor="text1"/>
          <w:sz w:val="24"/>
          <w:szCs w:val="24"/>
          <w14:textFill>
            <w14:solidFill>
              <w14:schemeClr w14:val="tx1"/>
            </w14:solidFill>
          </w14:textFill>
        </w:rPr>
        <w:t>104.64</w:t>
      </w:r>
      <w:r>
        <w:rPr>
          <w:rFonts w:ascii="Arial Narrow" w:hAnsi="Arial Narrow" w:eastAsia="仿宋_GB2312" w:cs="Arial Narrow"/>
          <w:color w:val="000000" w:themeColor="text1"/>
          <w:sz w:val="24"/>
          <w:szCs w:val="24"/>
          <w14:textFill>
            <w14:solidFill>
              <w14:schemeClr w14:val="tx1"/>
            </w14:solidFill>
          </w14:textFill>
        </w:rPr>
        <w:t>万元，</w:t>
      </w:r>
      <w:r>
        <w:rPr>
          <w:rFonts w:hint="eastAsia" w:ascii="Arial Narrow" w:hAnsi="Arial Narrow" w:eastAsia="仿宋_GB2312" w:cs="Arial Narrow"/>
          <w:color w:val="000000" w:themeColor="text1"/>
          <w:sz w:val="24"/>
          <w:szCs w:val="24"/>
          <w14:textFill>
            <w14:solidFill>
              <w14:schemeClr w14:val="tx1"/>
            </w14:solidFill>
          </w14:textFill>
        </w:rPr>
        <w:t>原招待所人员经费</w:t>
      </w:r>
      <w:r>
        <w:rPr>
          <w:rFonts w:ascii="Arial Narrow" w:hAnsi="Arial Narrow" w:eastAsia="仿宋_GB2312" w:cs="Arial Narrow"/>
          <w:color w:val="000000" w:themeColor="text1"/>
          <w:sz w:val="24"/>
          <w:szCs w:val="24"/>
          <w14:textFill>
            <w14:solidFill>
              <w14:schemeClr w14:val="tx1"/>
            </w14:solidFill>
          </w14:textFill>
        </w:rPr>
        <w:t>支出</w:t>
      </w:r>
      <w:r>
        <w:rPr>
          <w:rFonts w:hint="eastAsia" w:ascii="Arial Narrow" w:hAnsi="Arial Narrow" w:eastAsia="仿宋_GB2312" w:cs="Arial Narrow"/>
          <w:color w:val="000000" w:themeColor="text1"/>
          <w:sz w:val="24"/>
          <w:szCs w:val="24"/>
          <w14:textFill>
            <w14:solidFill>
              <w14:schemeClr w14:val="tx1"/>
            </w14:solidFill>
          </w14:textFill>
        </w:rPr>
        <w:t>111.68</w:t>
      </w:r>
      <w:r>
        <w:rPr>
          <w:rFonts w:ascii="Arial Narrow" w:hAnsi="Arial Narrow" w:eastAsia="仿宋_GB2312" w:cs="Arial Narrow"/>
          <w:color w:val="000000" w:themeColor="text1"/>
          <w:sz w:val="24"/>
          <w:szCs w:val="24"/>
          <w14:textFill>
            <w14:solidFill>
              <w14:schemeClr w14:val="tx1"/>
            </w14:solidFill>
          </w14:textFill>
        </w:rPr>
        <w:t>万元，</w:t>
      </w:r>
      <w:r>
        <w:rPr>
          <w:rFonts w:hint="eastAsia" w:ascii="Arial Narrow" w:hAnsi="Arial Narrow" w:eastAsia="仿宋_GB2312" w:cs="Arial Narrow"/>
          <w:color w:val="000000" w:themeColor="text1"/>
          <w:sz w:val="24"/>
          <w:szCs w:val="24"/>
          <w:highlight w:val="none"/>
          <w:lang w:val="en-US" w:eastAsia="zh-CN"/>
          <w14:textFill>
            <w14:solidFill>
              <w14:schemeClr w14:val="tx1"/>
            </w14:solidFill>
          </w14:textFill>
        </w:rPr>
        <w:t>生活补助</w:t>
      </w:r>
      <w:r>
        <w:rPr>
          <w:rFonts w:hint="eastAsia" w:ascii="Arial Narrow" w:hAnsi="Arial Narrow" w:eastAsia="仿宋_GB2312" w:cs="Arial Narrow"/>
          <w:color w:val="000000" w:themeColor="text1"/>
          <w:sz w:val="24"/>
          <w:szCs w:val="24"/>
          <w:highlight w:val="none"/>
          <w14:textFill>
            <w14:solidFill>
              <w14:schemeClr w14:val="tx1"/>
            </w14:solidFill>
          </w14:textFill>
        </w:rPr>
        <w:t>3</w:t>
      </w:r>
      <w:r>
        <w:rPr>
          <w:rFonts w:hint="eastAsia" w:ascii="Arial Narrow" w:hAnsi="Arial Narrow" w:eastAsia="仿宋_GB2312" w:cs="Arial Narrow"/>
          <w:color w:val="000000" w:themeColor="text1"/>
          <w:sz w:val="24"/>
          <w:szCs w:val="24"/>
          <w14:textFill>
            <w14:solidFill>
              <w14:schemeClr w14:val="tx1"/>
            </w14:solidFill>
          </w14:textFill>
        </w:rPr>
        <w:t>3.05</w:t>
      </w:r>
      <w:r>
        <w:rPr>
          <w:rFonts w:ascii="Arial Narrow" w:hAnsi="Arial Narrow" w:eastAsia="仿宋_GB2312" w:cs="Arial Narrow"/>
          <w:color w:val="000000" w:themeColor="text1"/>
          <w:sz w:val="24"/>
          <w:szCs w:val="24"/>
          <w14:textFill>
            <w14:solidFill>
              <w14:schemeClr w14:val="tx1"/>
            </w14:solidFill>
          </w14:textFill>
        </w:rPr>
        <w:t>万元，</w:t>
      </w:r>
      <w:r>
        <w:rPr>
          <w:rFonts w:hint="eastAsia" w:ascii="Arial Narrow" w:hAnsi="Arial Narrow" w:eastAsia="仿宋_GB2312" w:cs="Arial Narrow"/>
          <w:color w:val="000000" w:themeColor="text1"/>
          <w:sz w:val="24"/>
          <w:szCs w:val="24"/>
          <w14:textFill>
            <w14:solidFill>
              <w14:schemeClr w14:val="tx1"/>
            </w14:solidFill>
          </w14:textFill>
        </w:rPr>
        <w:t>机关食堂茶水</w:t>
      </w:r>
      <w:r>
        <w:rPr>
          <w:rFonts w:ascii="Arial Narrow" w:hAnsi="Arial Narrow" w:eastAsia="仿宋_GB2312" w:cs="Arial Narrow"/>
          <w:color w:val="000000" w:themeColor="text1"/>
          <w:sz w:val="24"/>
          <w:szCs w:val="24"/>
          <w14:textFill>
            <w14:solidFill>
              <w14:schemeClr w14:val="tx1"/>
            </w14:solidFill>
          </w14:textFill>
        </w:rPr>
        <w:t>支出</w:t>
      </w:r>
      <w:r>
        <w:rPr>
          <w:rFonts w:hint="eastAsia" w:ascii="Arial Narrow" w:hAnsi="Arial Narrow" w:eastAsia="仿宋_GB2312" w:cs="Arial Narrow"/>
          <w:color w:val="000000" w:themeColor="text1"/>
          <w:sz w:val="24"/>
          <w:szCs w:val="24"/>
          <w14:textFill>
            <w14:solidFill>
              <w14:schemeClr w14:val="tx1"/>
            </w14:solidFill>
          </w14:textFill>
        </w:rPr>
        <w:t>27.26</w:t>
      </w:r>
      <w:r>
        <w:rPr>
          <w:rFonts w:ascii="Arial Narrow" w:hAnsi="Arial Narrow" w:eastAsia="仿宋_GB2312" w:cs="Arial Narrow"/>
          <w:color w:val="000000" w:themeColor="text1"/>
          <w:sz w:val="24"/>
          <w:szCs w:val="24"/>
          <w14:textFill>
            <w14:solidFill>
              <w14:schemeClr w14:val="tx1"/>
            </w14:solidFill>
          </w14:textFill>
        </w:rPr>
        <w:t>万元。</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三、绩效评价情况</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（一）绩效目标完成情况</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1、年度目标一：加强制度建设</w:t>
      </w:r>
      <w:r>
        <w:rPr>
          <w:rFonts w:hint="eastAsia" w:ascii="Arial Narrow" w:hAnsi="Arial Narrow" w:eastAsia="仿宋_GB2312" w:cs="Arial Narrow"/>
          <w:sz w:val="24"/>
          <w:szCs w:val="24"/>
        </w:rPr>
        <w:t>，规范相关制度，全面推进后勤中心发展。</w:t>
      </w:r>
    </w:p>
    <w:p>
      <w:pPr>
        <w:spacing w:line="360" w:lineRule="auto"/>
        <w:ind w:firstLine="480" w:firstLineChars="200"/>
        <w:rPr>
          <w:rFonts w:ascii="Arial Narrow" w:hAnsi="Arial Narrow" w:eastAsia="仿宋_GB2312" w:cs="Arial Narrow"/>
          <w:sz w:val="24"/>
          <w:szCs w:val="24"/>
        </w:rPr>
      </w:pPr>
      <w:r>
        <w:rPr>
          <w:rFonts w:ascii="Arial Narrow" w:hAnsi="Arial Narrow" w:eastAsia="MingLiU_HKSCS-ExtB" w:cs="Arial Narrow"/>
          <w:sz w:val="24"/>
          <w:szCs w:val="24"/>
        </w:rPr>
        <w:t>①</w:t>
      </w:r>
      <w:r>
        <w:rPr>
          <w:rFonts w:ascii="Arial Narrow" w:hAnsi="Arial Narrow" w:eastAsia="仿宋_GB2312" w:cs="Arial Narrow"/>
          <w:sz w:val="24"/>
          <w:szCs w:val="24"/>
        </w:rPr>
        <w:t>制度执行有效性（4分）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项目单位在项目实施过程中严格执行相关管理制度，如购买服务时，均会按要求签订合同。实际得分4分。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②财务制度健全性（</w:t>
      </w:r>
      <w:r>
        <w:rPr>
          <w:rFonts w:hint="eastAsia" w:ascii="Arial Narrow" w:hAnsi="Arial Narrow" w:eastAsia="仿宋_GB2312" w:cs="Arial Narrow"/>
          <w:sz w:val="24"/>
          <w:szCs w:val="24"/>
        </w:rPr>
        <w:t>4</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项目单位依据武汉经济技术开发区（汉南区）党政办公室财务管理制度进行财务管理，制度内规定了财务人员岗位职责，经费使用管理办法，政府采购管理，固定资产管理，费用报销程序及要求，项目资金管理办法符合相关财务会计制度的规定。实际得分</w:t>
      </w:r>
      <w:r>
        <w:rPr>
          <w:rFonts w:hint="eastAsia" w:ascii="Arial Narrow" w:hAnsi="Arial Narrow" w:eastAsia="仿宋_GB2312" w:cs="Arial Narrow"/>
          <w:sz w:val="24"/>
          <w:szCs w:val="24"/>
        </w:rPr>
        <w:t>4</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hint="eastAsia" w:ascii="仿宋_GB2312" w:hAnsi="仿宋_GB2312" w:eastAsia="仿宋_GB2312" w:cs="仿宋_GB2312"/>
          <w:sz w:val="24"/>
          <w:szCs w:val="24"/>
        </w:rPr>
        <w:t>③</w:t>
      </w:r>
      <w:r>
        <w:rPr>
          <w:rFonts w:ascii="Arial Narrow" w:hAnsi="Arial Narrow" w:eastAsia="仿宋_GB2312" w:cs="Arial Narrow"/>
          <w:sz w:val="24"/>
          <w:szCs w:val="24"/>
        </w:rPr>
        <w:t>管理制度健全性（4分）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项目单位依照武汉经济技术开发区管委会机关事务服务中心相关管理制度对项目单位工作内容、要求等进行了规定，各项制度的制定均合法、合规，但</w:t>
      </w:r>
      <w:r>
        <w:rPr>
          <w:rFonts w:hint="eastAsia" w:ascii="Arial Narrow" w:hAnsi="Arial Narrow" w:eastAsia="仿宋_GB2312" w:cs="Arial Narrow"/>
          <w:sz w:val="24"/>
          <w:szCs w:val="24"/>
        </w:rPr>
        <w:t>部分</w:t>
      </w:r>
      <w:r>
        <w:rPr>
          <w:rFonts w:ascii="Arial Narrow" w:hAnsi="Arial Narrow" w:eastAsia="仿宋_GB2312" w:cs="Arial Narrow"/>
          <w:sz w:val="24"/>
          <w:szCs w:val="24"/>
        </w:rPr>
        <w:t>项目单位未专门制定项目相关的管理制度，扣1分。</w:t>
      </w:r>
      <w:r>
        <w:rPr>
          <w:rFonts w:hint="eastAsia" w:ascii="Arial Narrow" w:hAnsi="Arial Narrow" w:eastAsia="仿宋_GB2312" w:cs="Arial Narrow"/>
          <w:sz w:val="24"/>
          <w:szCs w:val="24"/>
        </w:rPr>
        <w:t>实际得分3分。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④工作完成及时性（</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通过对比武汉经济开发区（汉南区）政府采购计划备案表的计划采购时间和相关记账凭证的实际到位时间，了解到工作人员2018年均能在规定时间内完成领导安排的相关工作。实际得分</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⑤</w:t>
      </w:r>
      <w:r>
        <w:rPr>
          <w:rFonts w:hint="eastAsia" w:ascii="Arial Narrow" w:hAnsi="Arial Narrow" w:eastAsia="仿宋_GB2312" w:cs="Arial Narrow"/>
          <w:sz w:val="24"/>
          <w:szCs w:val="24"/>
        </w:rPr>
        <w:t>设备采购及工程验收合格率</w:t>
      </w:r>
      <w:r>
        <w:rPr>
          <w:rFonts w:ascii="Arial Narrow" w:hAnsi="Arial Narrow" w:eastAsia="仿宋_GB2312" w:cs="Arial Narrow"/>
          <w:sz w:val="24"/>
          <w:szCs w:val="24"/>
        </w:rPr>
        <w:t>（4分）</w:t>
      </w:r>
    </w:p>
    <w:p>
      <w:pPr>
        <w:spacing w:line="360" w:lineRule="auto"/>
        <w:ind w:firstLine="480"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项目单位2018年购置了电脑2台，打印机1台，空调6台。完成车辆平台办公室维修、机关大院大门维修及安装车架、政府大楼1-3楼卫生间隔板和2楼防水工程、机关大院车棚更新维护。设备采购及工程未形成验收报告，扣1分，实际得分3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⑥</w:t>
      </w:r>
      <w:r>
        <w:rPr>
          <w:rFonts w:hint="eastAsia" w:ascii="Arial Narrow" w:hAnsi="Arial Narrow" w:eastAsia="仿宋_GB2312" w:cs="Arial Narrow"/>
          <w:sz w:val="24"/>
          <w:szCs w:val="24"/>
        </w:rPr>
        <w:t>工作环境稳定程度（5分）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通过查阅《武汉经济技术开发</w:t>
      </w:r>
      <w:r>
        <w:rPr>
          <w:rFonts w:ascii="Arial Narrow" w:hAnsi="Arial Narrow" w:eastAsia="仿宋_GB2312" w:cs="Arial Narrow"/>
          <w:sz w:val="24"/>
          <w:szCs w:val="24"/>
          <w:highlight w:val="none"/>
        </w:rPr>
        <w:t>区市民服务中心办公楼物业管理委托合同补充协议（2018年度）》、保安保洁工资发放</w:t>
      </w:r>
      <w:r>
        <w:rPr>
          <w:rFonts w:hint="eastAsia" w:ascii="Arial Narrow" w:hAnsi="Arial Narrow" w:eastAsia="仿宋_GB2312" w:cs="Arial Narrow"/>
          <w:sz w:val="24"/>
          <w:szCs w:val="24"/>
          <w:highlight w:val="none"/>
        </w:rPr>
        <w:t>凭证</w:t>
      </w:r>
      <w:r>
        <w:rPr>
          <w:rFonts w:ascii="Arial Narrow" w:hAnsi="Arial Narrow" w:eastAsia="仿宋_GB2312" w:cs="Arial Narrow"/>
          <w:sz w:val="24"/>
          <w:szCs w:val="24"/>
          <w:highlight w:val="none"/>
        </w:rPr>
        <w:t>，了解到项目单位聘</w:t>
      </w:r>
      <w:r>
        <w:rPr>
          <w:rFonts w:ascii="Arial Narrow" w:hAnsi="Arial Narrow" w:eastAsia="仿宋_GB2312" w:cs="Arial Narrow"/>
          <w:sz w:val="24"/>
          <w:szCs w:val="24"/>
        </w:rPr>
        <w:t>请了秩序维护员、保洁员维护工作秩序和和环境。通过查阅项目单位2018年项目支出明细账、原始凭证等资料，向项目单位工作人员发放问卷，了解到项目单位已及时缴纳了水电费及物业费。</w:t>
      </w:r>
      <w:r>
        <w:rPr>
          <w:rFonts w:hint="eastAsia" w:ascii="Arial Narrow" w:hAnsi="Arial Narrow" w:eastAsia="仿宋_GB2312" w:cs="Arial Narrow"/>
          <w:sz w:val="24"/>
          <w:szCs w:val="24"/>
        </w:rPr>
        <w:t>实际得分5分。</w:t>
      </w:r>
    </w:p>
    <w:p>
      <w:pPr>
        <w:spacing w:line="360" w:lineRule="auto"/>
        <w:ind w:firstLine="480"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2、</w:t>
      </w:r>
      <w:r>
        <w:rPr>
          <w:rFonts w:ascii="Arial Narrow" w:hAnsi="Arial Narrow" w:eastAsia="仿宋_GB2312" w:cs="Arial Narrow"/>
          <w:sz w:val="24"/>
          <w:szCs w:val="24"/>
        </w:rPr>
        <w:t>年度目标二：</w:t>
      </w:r>
      <w:r>
        <w:rPr>
          <w:rFonts w:hint="eastAsia" w:ascii="Arial Narrow" w:hAnsi="Arial Narrow" w:eastAsia="仿宋_GB2312" w:cs="Arial Narrow"/>
          <w:sz w:val="24"/>
          <w:szCs w:val="24"/>
        </w:rPr>
        <w:t>推进精细化管理，全面提升机关事务管理工作水平</w:t>
      </w:r>
      <w:r>
        <w:rPr>
          <w:rFonts w:ascii="Arial Narrow" w:hAnsi="Arial Narrow" w:eastAsia="仿宋_GB2312" w:cs="Arial Narrow"/>
          <w:sz w:val="24"/>
          <w:szCs w:val="24"/>
        </w:rPr>
        <w:t>。</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①项目质量可控性（</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项目单位根据</w:t>
      </w:r>
      <w:r>
        <w:rPr>
          <w:rFonts w:hint="eastAsia" w:ascii="Arial Narrow" w:hAnsi="Arial Narrow" w:eastAsia="仿宋_GB2312" w:cs="Arial Narrow"/>
          <w:sz w:val="24"/>
          <w:szCs w:val="24"/>
        </w:rPr>
        <w:t>规定</w:t>
      </w:r>
      <w:r>
        <w:rPr>
          <w:rFonts w:ascii="Arial Narrow" w:hAnsi="Arial Narrow" w:eastAsia="仿宋_GB2312" w:cs="Arial Narrow"/>
          <w:sz w:val="24"/>
          <w:szCs w:val="24"/>
        </w:rPr>
        <w:t>对项目单位工作人员进行绩效考核和检查</w:t>
      </w:r>
      <w:r>
        <w:rPr>
          <w:rFonts w:hint="eastAsia" w:ascii="Arial Narrow" w:hAnsi="Arial Narrow" w:eastAsia="仿宋_GB2312" w:cs="Arial Narrow"/>
          <w:sz w:val="24"/>
          <w:szCs w:val="24"/>
        </w:rPr>
        <w:t>，</w:t>
      </w:r>
      <w:r>
        <w:rPr>
          <w:rFonts w:ascii="Arial Narrow" w:hAnsi="Arial Narrow" w:eastAsia="仿宋_GB2312" w:cs="Arial Narrow"/>
          <w:sz w:val="24"/>
          <w:szCs w:val="24"/>
        </w:rPr>
        <w:t>也制定了临时工作人员绩效考核办法，来控制项目质量。项目单位档案资料完整，档案由项目经办人和</w:t>
      </w:r>
      <w:r>
        <w:rPr>
          <w:rFonts w:hint="eastAsia" w:ascii="Arial Narrow" w:hAnsi="Arial Narrow" w:eastAsia="仿宋_GB2312" w:cs="Arial Narrow"/>
          <w:sz w:val="24"/>
          <w:szCs w:val="24"/>
          <w:highlight w:val="none"/>
          <w:lang w:val="en-US" w:eastAsia="zh-CN"/>
        </w:rPr>
        <w:t>机关后勤服务中心</w:t>
      </w:r>
      <w:r>
        <w:rPr>
          <w:rFonts w:ascii="Arial Narrow" w:hAnsi="Arial Narrow" w:eastAsia="仿宋_GB2312" w:cs="Arial Narrow"/>
          <w:sz w:val="24"/>
          <w:szCs w:val="24"/>
        </w:rPr>
        <w:t>共同管理，签订的合同一般会留存两份由项目经办人和</w:t>
      </w:r>
      <w:r>
        <w:rPr>
          <w:rFonts w:hint="eastAsia" w:ascii="Arial Narrow" w:hAnsi="Arial Narrow" w:eastAsia="仿宋_GB2312" w:cs="Arial Narrow"/>
          <w:sz w:val="24"/>
          <w:szCs w:val="24"/>
          <w:lang w:val="en-US" w:eastAsia="zh-CN"/>
        </w:rPr>
        <w:t>机关</w:t>
      </w:r>
      <w:r>
        <w:rPr>
          <w:rFonts w:hint="eastAsia" w:ascii="Arial Narrow" w:hAnsi="Arial Narrow" w:eastAsia="仿宋_GB2312" w:cs="Arial Narrow"/>
          <w:sz w:val="24"/>
          <w:szCs w:val="24"/>
          <w:highlight w:val="none"/>
          <w:lang w:val="en-US" w:eastAsia="zh-CN"/>
        </w:rPr>
        <w:t>后勤服务中心</w:t>
      </w:r>
      <w:r>
        <w:rPr>
          <w:rFonts w:ascii="Arial Narrow" w:hAnsi="Arial Narrow" w:eastAsia="仿宋_GB2312" w:cs="Arial Narrow"/>
          <w:sz w:val="24"/>
          <w:szCs w:val="24"/>
        </w:rPr>
        <w:t>别存档。实际得分</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②资金使用合规性（</w:t>
      </w:r>
      <w:r>
        <w:rPr>
          <w:rFonts w:hint="eastAsia" w:ascii="Arial Narrow" w:hAnsi="Arial Narrow" w:eastAsia="仿宋_GB2312" w:cs="Arial Narrow"/>
          <w:sz w:val="24"/>
          <w:szCs w:val="24"/>
        </w:rPr>
        <w:t>4</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通过查阅项目支出明细表，抽查相关支出凭证，了解到项目支出符合国家财经法规和财务管理制度，资金的拨付有完整的审批程序和手续。实际得分</w:t>
      </w:r>
      <w:r>
        <w:rPr>
          <w:rFonts w:hint="eastAsia" w:ascii="Arial Narrow" w:hAnsi="Arial Narrow" w:eastAsia="仿宋_GB2312" w:cs="Arial Narrow"/>
          <w:sz w:val="24"/>
          <w:szCs w:val="24"/>
        </w:rPr>
        <w:t>4</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③财务监控有效性（4分）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项目单位严格执行《武汉经济技术开发区（汉南区）党政办公室财务管理制度》规定，重要支出事前均</w:t>
      </w:r>
      <w:r>
        <w:rPr>
          <w:rFonts w:ascii="Arial Narrow" w:hAnsi="Arial Narrow" w:eastAsia="仿宋_GB2312" w:cs="Arial Narrow"/>
          <w:sz w:val="24"/>
          <w:szCs w:val="24"/>
          <w:highlight w:val="none"/>
        </w:rPr>
        <w:t>经过</w:t>
      </w:r>
      <w:r>
        <w:rPr>
          <w:rFonts w:hint="eastAsia" w:ascii="Arial Narrow" w:hAnsi="Arial Narrow" w:eastAsia="仿宋_GB2312" w:cs="Arial Narrow"/>
          <w:sz w:val="24"/>
          <w:szCs w:val="24"/>
          <w:highlight w:val="none"/>
        </w:rPr>
        <w:t>武汉经济技术开发区管理委员会机关事务服务中心主任</w:t>
      </w:r>
      <w:r>
        <w:rPr>
          <w:rFonts w:ascii="Arial Narrow" w:hAnsi="Arial Narrow" w:eastAsia="仿宋_GB2312" w:cs="Arial Narrow"/>
          <w:sz w:val="24"/>
          <w:szCs w:val="24"/>
          <w:highlight w:val="none"/>
        </w:rPr>
        <w:t>和党政办公室副主任签批，审批程序和手续完整</w:t>
      </w:r>
      <w:r>
        <w:rPr>
          <w:rFonts w:hint="eastAsia" w:ascii="Arial Narrow" w:hAnsi="Arial Narrow" w:eastAsia="仿宋_GB2312" w:cs="Arial Narrow"/>
          <w:sz w:val="24"/>
          <w:szCs w:val="24"/>
          <w:highlight w:val="none"/>
        </w:rPr>
        <w:t>，且经查阅项目单位资金支出明细账</w:t>
      </w:r>
      <w:r>
        <w:rPr>
          <w:rFonts w:hint="eastAsia" w:ascii="Arial Narrow" w:hAnsi="Arial Narrow" w:eastAsia="仿宋_GB2312" w:cs="Arial Narrow"/>
          <w:sz w:val="24"/>
          <w:szCs w:val="24"/>
        </w:rPr>
        <w:t>及原始凭证，了解到该项目资金拨付均有完整的审批程序和手续</w:t>
      </w:r>
      <w:r>
        <w:rPr>
          <w:rFonts w:ascii="Arial Narrow" w:hAnsi="Arial Narrow" w:eastAsia="仿宋_GB2312" w:cs="Arial Narrow"/>
          <w:sz w:val="24"/>
          <w:szCs w:val="24"/>
        </w:rPr>
        <w:t>。实际得分</w:t>
      </w:r>
      <w:r>
        <w:rPr>
          <w:rFonts w:hint="eastAsia" w:ascii="Arial Narrow" w:hAnsi="Arial Narrow" w:eastAsia="仿宋_GB2312" w:cs="Arial Narrow"/>
          <w:sz w:val="24"/>
          <w:szCs w:val="24"/>
        </w:rPr>
        <w:t>4</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④设备购置及物业服务完成率（</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根据现场访谈和抽查凭证，了解到项目单位划购置了电脑2台，打印机1台，空调6台，但未设置相应的年初目标，扣1分。签订的绿化养护合同包含保持色块凭证美观、修剪及时等4块服务内容，均较好完成；签订的</w:t>
      </w:r>
      <w:r>
        <w:rPr>
          <w:rFonts w:hint="eastAsia" w:ascii="Arial Narrow" w:hAnsi="Arial Narrow" w:eastAsia="仿宋_GB2312" w:cs="Arial Narrow"/>
          <w:sz w:val="24"/>
          <w:szCs w:val="24"/>
        </w:rPr>
        <w:t>物业合</w:t>
      </w:r>
      <w:r>
        <w:rPr>
          <w:rFonts w:ascii="Arial Narrow" w:hAnsi="Arial Narrow" w:eastAsia="仿宋_GB2312" w:cs="Arial Narrow"/>
          <w:sz w:val="24"/>
          <w:szCs w:val="24"/>
        </w:rPr>
        <w:t>同包含提供秩序维护服务，秩序维护服务时间每天24小时，均较好完成</w:t>
      </w:r>
      <w:r>
        <w:rPr>
          <w:rFonts w:hint="eastAsia" w:ascii="Arial Narrow" w:hAnsi="Arial Narrow" w:eastAsia="仿宋_GB2312" w:cs="Arial Narrow"/>
          <w:sz w:val="24"/>
          <w:szCs w:val="24"/>
          <w:lang w:eastAsia="zh-CN"/>
        </w:rPr>
        <w:t>，</w:t>
      </w:r>
      <w:r>
        <w:rPr>
          <w:rFonts w:ascii="Arial Narrow" w:hAnsi="Arial Narrow" w:eastAsia="仿宋_GB2312" w:cs="Arial Narrow"/>
          <w:sz w:val="24"/>
          <w:szCs w:val="24"/>
        </w:rPr>
        <w:t>但部分服务内容未形成记录，仅留存考勤记录，扣2分。实际得分</w:t>
      </w:r>
      <w:r>
        <w:rPr>
          <w:rFonts w:hint="eastAsia" w:ascii="Arial Narrow" w:hAnsi="Arial Narrow" w:eastAsia="仿宋_GB2312" w:cs="Arial Narrow"/>
          <w:sz w:val="24"/>
          <w:szCs w:val="24"/>
        </w:rPr>
        <w:t>2</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⑤机关物业及后勤人员配备完成率（</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年初计划配备主管1名，秩序维护员6名，通讯员1名，理发师2名，保洁人员1名，水电工1名，共计12人。实际按计划配备了按计划配备了</w:t>
      </w:r>
      <w:r>
        <w:rPr>
          <w:rFonts w:hint="eastAsia" w:ascii="Arial Narrow" w:hAnsi="Arial Narrow" w:eastAsia="仿宋_GB2312" w:cs="Arial Narrow"/>
          <w:sz w:val="24"/>
          <w:szCs w:val="24"/>
        </w:rPr>
        <w:t>主管、秩序维护员、</w:t>
      </w:r>
      <w:r>
        <w:rPr>
          <w:rFonts w:ascii="Arial Narrow" w:hAnsi="Arial Narrow" w:eastAsia="仿宋_GB2312" w:cs="Arial Narrow"/>
          <w:sz w:val="24"/>
          <w:szCs w:val="24"/>
        </w:rPr>
        <w:t>保洁、理发师、通讯、</w:t>
      </w:r>
      <w:r>
        <w:rPr>
          <w:rFonts w:hint="eastAsia" w:ascii="Arial Narrow" w:hAnsi="Arial Narrow" w:eastAsia="仿宋_GB2312" w:cs="Arial Narrow"/>
          <w:sz w:val="24"/>
          <w:szCs w:val="24"/>
        </w:rPr>
        <w:t>水</w:t>
      </w:r>
      <w:r>
        <w:rPr>
          <w:rFonts w:ascii="Arial Narrow" w:hAnsi="Arial Narrow" w:eastAsia="仿宋_GB2312" w:cs="Arial Narrow"/>
          <w:sz w:val="24"/>
          <w:szCs w:val="24"/>
        </w:rPr>
        <w:t>电工相关工作人员12名，机关物业及后勤人员配备完成率</w:t>
      </w:r>
      <w:r>
        <w:rPr>
          <w:rFonts w:hint="eastAsia" w:ascii="Arial Narrow" w:hAnsi="Arial Narrow" w:eastAsia="仿宋_GB2312" w:cs="Arial Narrow"/>
          <w:sz w:val="24"/>
          <w:szCs w:val="24"/>
        </w:rPr>
        <w:t>100%。</w:t>
      </w:r>
      <w:r>
        <w:rPr>
          <w:rFonts w:ascii="Arial Narrow" w:hAnsi="Arial Narrow" w:eastAsia="仿宋_GB2312" w:cs="Arial Narrow"/>
          <w:sz w:val="24"/>
          <w:szCs w:val="24"/>
        </w:rPr>
        <w:t>实际得分</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⑥</w:t>
      </w:r>
      <w:r>
        <w:rPr>
          <w:rFonts w:hint="eastAsia" w:ascii="Arial Narrow" w:hAnsi="Arial Narrow" w:eastAsia="仿宋_GB2312" w:cs="Arial Narrow"/>
          <w:sz w:val="24"/>
          <w:szCs w:val="24"/>
        </w:rPr>
        <w:t>公</w:t>
      </w:r>
      <w:r>
        <w:rPr>
          <w:rFonts w:ascii="Arial Narrow" w:hAnsi="Arial Narrow" w:eastAsia="仿宋_GB2312" w:cs="Arial Narrow"/>
          <w:sz w:val="24"/>
          <w:szCs w:val="24"/>
        </w:rPr>
        <w:t>文交换车维修工程完成率（</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通过抽查凭证及现场访谈了解到，项目单位已按年初计划完成公文交换车维修</w:t>
      </w:r>
      <w:r>
        <w:rPr>
          <w:rFonts w:hint="eastAsia" w:ascii="Arial Narrow" w:hAnsi="Arial Narrow" w:eastAsia="仿宋_GB2312" w:cs="Arial Narrow"/>
          <w:sz w:val="24"/>
          <w:szCs w:val="24"/>
        </w:rPr>
        <w:t>，公文交换车维修工程完成率100%。</w:t>
      </w:r>
      <w:r>
        <w:rPr>
          <w:rFonts w:ascii="Arial Narrow" w:hAnsi="Arial Narrow" w:eastAsia="仿宋_GB2312" w:cs="Arial Narrow"/>
          <w:sz w:val="24"/>
          <w:szCs w:val="24"/>
        </w:rPr>
        <w:t>实际得分</w:t>
      </w:r>
      <w:r>
        <w:rPr>
          <w:rFonts w:hint="eastAsia" w:ascii="Arial Narrow" w:hAnsi="Arial Narrow" w:eastAsia="仿宋_GB2312" w:cs="Arial Narrow"/>
          <w:sz w:val="24"/>
          <w:szCs w:val="24"/>
        </w:rPr>
        <w:t>5</w:t>
      </w:r>
      <w:r>
        <w:rPr>
          <w:rFonts w:ascii="Arial Narrow" w:hAnsi="Arial Narrow" w:eastAsia="仿宋_GB2312" w:cs="Arial Narrow"/>
          <w:sz w:val="24"/>
          <w:szCs w:val="24"/>
        </w:rPr>
        <w:t>分。</w:t>
      </w:r>
    </w:p>
    <w:p>
      <w:pPr>
        <w:pStyle w:val="3"/>
        <w:numPr>
          <w:ilvl w:val="0"/>
          <w:numId w:val="1"/>
        </w:numPr>
        <w:spacing w:before="100" w:after="100" w:line="360" w:lineRule="auto"/>
        <w:ind w:firstLine="482"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未完成指标的原因以及已完成指标且超出指标目标值30%以上的原因分析</w:t>
      </w:r>
    </w:p>
    <w:p>
      <w:pPr>
        <w:numPr>
          <w:ilvl w:val="0"/>
          <w:numId w:val="2"/>
        </w:numPr>
        <w:spacing w:line="360" w:lineRule="auto"/>
        <w:ind w:firstLine="480"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年度目标一中，</w:t>
      </w:r>
      <w:r>
        <w:rPr>
          <w:rFonts w:ascii="Arial Narrow" w:hAnsi="Arial Narrow" w:eastAsia="仿宋_GB2312" w:cs="Arial Narrow"/>
          <w:sz w:val="24"/>
          <w:szCs w:val="24"/>
        </w:rPr>
        <w:t>项目单位在项目实施过程中严格执行相关管理制度</w:t>
      </w:r>
      <w:r>
        <w:rPr>
          <w:rFonts w:hint="eastAsia" w:ascii="Arial Narrow" w:hAnsi="Arial Narrow" w:eastAsia="仿宋_GB2312" w:cs="Arial Narrow"/>
          <w:sz w:val="24"/>
          <w:szCs w:val="24"/>
        </w:rPr>
        <w:t>，也</w:t>
      </w:r>
      <w:r>
        <w:rPr>
          <w:rFonts w:ascii="Arial Narrow" w:hAnsi="Arial Narrow" w:eastAsia="仿宋_GB2312" w:cs="Arial Narrow"/>
          <w:sz w:val="24"/>
          <w:szCs w:val="24"/>
        </w:rPr>
        <w:t>根据</w:t>
      </w:r>
      <w:r>
        <w:rPr>
          <w:rFonts w:hint="eastAsia" w:ascii="Arial Narrow" w:hAnsi="Arial Narrow" w:eastAsia="仿宋_GB2312" w:cs="Arial Narrow"/>
          <w:sz w:val="24"/>
          <w:szCs w:val="24"/>
        </w:rPr>
        <w:t>规定</w:t>
      </w:r>
      <w:r>
        <w:rPr>
          <w:rFonts w:ascii="Arial Narrow" w:hAnsi="Arial Narrow" w:eastAsia="仿宋_GB2312" w:cs="Arial Narrow"/>
          <w:sz w:val="24"/>
          <w:szCs w:val="24"/>
        </w:rPr>
        <w:t>对项目单位工作人员进行绩效考核和检查</w:t>
      </w:r>
      <w:r>
        <w:rPr>
          <w:rFonts w:hint="eastAsia" w:ascii="Arial Narrow" w:hAnsi="Arial Narrow" w:eastAsia="仿宋_GB2312" w:cs="Arial Narrow"/>
          <w:sz w:val="24"/>
          <w:szCs w:val="24"/>
        </w:rPr>
        <w:t>，</w:t>
      </w:r>
      <w:r>
        <w:rPr>
          <w:rFonts w:ascii="Arial Narrow" w:hAnsi="Arial Narrow" w:eastAsia="仿宋_GB2312" w:cs="Arial Narrow"/>
          <w:sz w:val="24"/>
          <w:szCs w:val="24"/>
        </w:rPr>
        <w:t>也制定了临时工作人员绩效考核办法，来控制项目质量</w:t>
      </w:r>
      <w:r>
        <w:rPr>
          <w:rFonts w:hint="eastAsia" w:ascii="Arial Narrow" w:hAnsi="Arial Narrow" w:eastAsia="仿宋_GB2312" w:cs="Arial Narrow"/>
          <w:sz w:val="24"/>
          <w:szCs w:val="24"/>
        </w:rPr>
        <w:t>，扣分原因系部分</w:t>
      </w:r>
      <w:r>
        <w:rPr>
          <w:rFonts w:ascii="Arial Narrow" w:hAnsi="Arial Narrow" w:eastAsia="仿宋_GB2312" w:cs="Arial Narrow"/>
          <w:sz w:val="24"/>
          <w:szCs w:val="24"/>
        </w:rPr>
        <w:t>项目单位未专门制定项目相关的管理制度</w:t>
      </w:r>
      <w:r>
        <w:rPr>
          <w:rFonts w:hint="eastAsia" w:ascii="Arial Narrow" w:hAnsi="Arial Narrow" w:eastAsia="仿宋_GB2312" w:cs="Arial Narrow"/>
          <w:sz w:val="24"/>
          <w:szCs w:val="24"/>
        </w:rPr>
        <w:t>，反映出管理制度不够完善，且设备采购及工程未形成验收报告，反映出其制度执行程度不够高。</w:t>
      </w:r>
    </w:p>
    <w:p>
      <w:pPr>
        <w:numPr>
          <w:ilvl w:val="0"/>
          <w:numId w:val="2"/>
        </w:numPr>
        <w:spacing w:line="360" w:lineRule="auto"/>
        <w:ind w:firstLine="480"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年度目标二中，</w:t>
      </w:r>
      <w:r>
        <w:rPr>
          <w:rFonts w:ascii="Arial Narrow" w:hAnsi="Arial Narrow" w:eastAsia="仿宋_GB2312" w:cs="Arial Narrow"/>
          <w:sz w:val="24"/>
          <w:szCs w:val="24"/>
        </w:rPr>
        <w:t>项目单位根据</w:t>
      </w:r>
      <w:r>
        <w:rPr>
          <w:rFonts w:hint="eastAsia" w:ascii="Arial Narrow" w:hAnsi="Arial Narrow" w:eastAsia="仿宋_GB2312" w:cs="Arial Narrow"/>
          <w:sz w:val="24"/>
          <w:szCs w:val="24"/>
        </w:rPr>
        <w:t>规定</w:t>
      </w:r>
      <w:r>
        <w:rPr>
          <w:rFonts w:ascii="Arial Narrow" w:hAnsi="Arial Narrow" w:eastAsia="仿宋_GB2312" w:cs="Arial Narrow"/>
          <w:sz w:val="24"/>
          <w:szCs w:val="24"/>
        </w:rPr>
        <w:t>对项目单位工作人员进行绩效考核和检查</w:t>
      </w:r>
      <w:r>
        <w:rPr>
          <w:rFonts w:hint="eastAsia" w:ascii="Arial Narrow" w:hAnsi="Arial Narrow" w:eastAsia="仿宋_GB2312" w:cs="Arial Narrow"/>
          <w:sz w:val="24"/>
          <w:szCs w:val="24"/>
        </w:rPr>
        <w:t>，</w:t>
      </w:r>
      <w:r>
        <w:rPr>
          <w:rFonts w:ascii="Arial Narrow" w:hAnsi="Arial Narrow" w:eastAsia="仿宋_GB2312" w:cs="Arial Narrow"/>
          <w:sz w:val="24"/>
          <w:szCs w:val="24"/>
        </w:rPr>
        <w:t>也制定了临时工作人员绩效考核办法来控制项目质量。项目单位档案资料完整</w:t>
      </w:r>
      <w:r>
        <w:rPr>
          <w:rFonts w:hint="eastAsia" w:ascii="Arial Narrow" w:hAnsi="Arial Narrow" w:eastAsia="仿宋_GB2312" w:cs="Arial Narrow"/>
          <w:sz w:val="24"/>
          <w:szCs w:val="24"/>
        </w:rPr>
        <w:t>，项</w:t>
      </w:r>
      <w:r>
        <w:rPr>
          <w:rFonts w:ascii="Arial Narrow" w:hAnsi="Arial Narrow" w:eastAsia="仿宋_GB2312" w:cs="Arial Narrow"/>
          <w:sz w:val="24"/>
          <w:szCs w:val="24"/>
        </w:rPr>
        <w:t>目支出</w:t>
      </w:r>
      <w:r>
        <w:rPr>
          <w:rFonts w:hint="eastAsia" w:ascii="Arial Narrow" w:hAnsi="Arial Narrow" w:eastAsia="仿宋_GB2312" w:cs="Arial Narrow"/>
          <w:sz w:val="24"/>
          <w:szCs w:val="24"/>
        </w:rPr>
        <w:t>也</w:t>
      </w:r>
      <w:r>
        <w:rPr>
          <w:rFonts w:ascii="Arial Narrow" w:hAnsi="Arial Narrow" w:eastAsia="仿宋_GB2312" w:cs="Arial Narrow"/>
          <w:sz w:val="24"/>
          <w:szCs w:val="24"/>
        </w:rPr>
        <w:t>符合国家财经法规和财务管理制度，资金的拨付有完整的审批程序和手续</w:t>
      </w:r>
      <w:r>
        <w:rPr>
          <w:rFonts w:hint="eastAsia" w:ascii="Arial Narrow" w:hAnsi="Arial Narrow" w:eastAsia="仿宋_GB2312" w:cs="Arial Narrow"/>
          <w:sz w:val="24"/>
          <w:szCs w:val="24"/>
        </w:rPr>
        <w:t>。扣分原因系</w:t>
      </w:r>
      <w:r>
        <w:rPr>
          <w:rFonts w:ascii="Arial Narrow" w:hAnsi="Arial Narrow" w:eastAsia="仿宋_GB2312" w:cs="Arial Narrow"/>
          <w:sz w:val="24"/>
          <w:szCs w:val="24"/>
        </w:rPr>
        <w:t>设备购置及物业服务</w:t>
      </w:r>
      <w:r>
        <w:rPr>
          <w:rFonts w:hint="eastAsia" w:ascii="Arial Narrow" w:hAnsi="Arial Narrow" w:eastAsia="仿宋_GB2312" w:cs="Arial Narrow"/>
          <w:sz w:val="24"/>
          <w:szCs w:val="24"/>
        </w:rPr>
        <w:t>的</w:t>
      </w:r>
      <w:r>
        <w:rPr>
          <w:rFonts w:ascii="Arial Narrow" w:hAnsi="Arial Narrow" w:eastAsia="仿宋_GB2312" w:cs="Arial Narrow"/>
          <w:sz w:val="24"/>
          <w:szCs w:val="24"/>
        </w:rPr>
        <w:t>部分服务内容未形成记录</w:t>
      </w:r>
      <w:r>
        <w:rPr>
          <w:rFonts w:hint="eastAsia" w:ascii="Arial Narrow" w:hAnsi="Arial Narrow" w:eastAsia="仿宋_GB2312" w:cs="Arial Narrow"/>
          <w:sz w:val="24"/>
          <w:szCs w:val="24"/>
        </w:rPr>
        <w:t xml:space="preserve">，反映出该单位管理不够精细，不利于其发展。 </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w:t>
      </w:r>
      <w:r>
        <w:rPr>
          <w:rFonts w:hint="eastAsia" w:ascii="Arial Narrow" w:hAnsi="Arial Narrow" w:eastAsia="仿宋_GB2312" w:cs="Arial Narrow"/>
          <w:sz w:val="24"/>
          <w:szCs w:val="24"/>
        </w:rPr>
        <w:t>三</w:t>
      </w:r>
      <w:r>
        <w:rPr>
          <w:rFonts w:ascii="Arial Narrow" w:hAnsi="Arial Narrow" w:eastAsia="仿宋_GB2312" w:cs="Arial Narrow"/>
          <w:sz w:val="24"/>
          <w:szCs w:val="24"/>
        </w:rPr>
        <w:t>）绩效指标数据来源及获取方式</w:t>
      </w:r>
    </w:p>
    <w:p>
      <w:pPr>
        <w:spacing w:line="360" w:lineRule="auto"/>
        <w:ind w:firstLine="480" w:firstLineChars="200"/>
        <w:rPr>
          <w:rFonts w:ascii="Arial Narrow" w:hAnsi="Arial Narrow" w:eastAsia="仿宋_GB2312" w:cs="Arial Narrow"/>
          <w:sz w:val="24"/>
          <w:szCs w:val="24"/>
          <w:highlight w:val="yellow"/>
        </w:rPr>
      </w:pPr>
      <w:r>
        <w:rPr>
          <w:rFonts w:ascii="Arial Narrow" w:hAnsi="Arial Narrow" w:eastAsia="仿宋_GB2312" w:cs="Arial Narrow"/>
          <w:sz w:val="24"/>
          <w:szCs w:val="24"/>
        </w:rPr>
        <w:t>武汉经济技术开发区（汉南区）政府机关后勤服务中心整体支出绩效评价采取深入预算执行单位实地察看、面访、座谈、查阅相关资料、核查财务凭证等证据收集方法，同时对项目实施相关机构进行访谈，收集绩效评价所需的基础性资料。如：</w:t>
      </w:r>
      <w:r>
        <w:rPr>
          <w:rFonts w:hint="eastAsia" w:ascii="仿宋_GB2312" w:eastAsia="仿宋_GB2312"/>
          <w:sz w:val="24"/>
          <w:szCs w:val="24"/>
        </w:rPr>
        <w:t>《武汉开发区管委会机关事务服务中心劳动管理规定》</w:t>
      </w:r>
      <w:r>
        <w:rPr>
          <w:rFonts w:ascii="Arial Narrow" w:hAnsi="Arial Narrow" w:eastAsia="仿宋_GB2312" w:cs="Arial Narrow"/>
          <w:sz w:val="24"/>
          <w:szCs w:val="24"/>
        </w:rPr>
        <w:t>、</w:t>
      </w:r>
      <w:r>
        <w:rPr>
          <w:rFonts w:hint="eastAsia" w:ascii="Arial Narrow" w:hAnsi="Arial Narrow" w:eastAsia="仿宋_GB2312" w:cs="Arial Narrow"/>
          <w:sz w:val="24"/>
          <w:szCs w:val="24"/>
        </w:rPr>
        <w:t>2018年度项目支出明细账</w:t>
      </w:r>
      <w:r>
        <w:rPr>
          <w:rFonts w:ascii="Arial Narrow" w:hAnsi="Arial Narrow" w:eastAsia="仿宋_GB2312" w:cs="Arial Narrow"/>
          <w:sz w:val="24"/>
          <w:szCs w:val="24"/>
        </w:rPr>
        <w:t>等资料。</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四、下一步工作安排</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（一）改进下一步工作的措施</w:t>
      </w:r>
    </w:p>
    <w:p>
      <w:pPr>
        <w:spacing w:line="360" w:lineRule="auto"/>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1</w:t>
      </w:r>
      <w:r>
        <w:rPr>
          <w:rFonts w:hint="eastAsia" w:ascii="Arial Narrow" w:hAnsi="Arial Narrow" w:eastAsia="仿宋_GB2312" w:cs="Arial Narrow"/>
          <w:sz w:val="24"/>
          <w:szCs w:val="24"/>
        </w:rPr>
        <w:t>、在加强管理上取得新突破，进一步完善项目管理制度。进一步规范管理，进一步加强制度建设，规范工作流程和标准，严格遵守各项规定和制度，做守纪的带头人。</w:t>
      </w:r>
    </w:p>
    <w:p>
      <w:pPr>
        <w:spacing w:line="360" w:lineRule="auto"/>
        <w:ind w:firstLine="480" w:firstLineChars="200"/>
        <w:rPr>
          <w:rFonts w:ascii="Arial Narrow" w:hAnsi="Arial Narrow" w:eastAsia="仿宋_GB2312" w:cs="Arial Narrow"/>
          <w:sz w:val="24"/>
          <w:szCs w:val="24"/>
        </w:rPr>
      </w:pPr>
      <w:r>
        <w:rPr>
          <w:rFonts w:hint="eastAsia" w:ascii="Arial Narrow" w:hAnsi="Arial Narrow" w:eastAsia="仿宋_GB2312" w:cs="Arial Narrow"/>
          <w:sz w:val="24"/>
          <w:szCs w:val="24"/>
        </w:rPr>
        <w:t>2、完善目标体系，设立项目长期目标和年度目标，将项目目标细化成具体的绩效指标，并且严格按照目标体系开展相应工作。</w:t>
      </w:r>
    </w:p>
    <w:p>
      <w:pPr>
        <w:pStyle w:val="3"/>
        <w:spacing w:before="100" w:after="100" w:line="360" w:lineRule="auto"/>
        <w:ind w:firstLine="482" w:firstLineChars="200"/>
        <w:rPr>
          <w:rFonts w:ascii="Arial Narrow" w:hAnsi="Arial Narrow" w:eastAsia="仿宋_GB2312" w:cs="Arial Narrow"/>
          <w:sz w:val="24"/>
          <w:szCs w:val="24"/>
        </w:rPr>
      </w:pPr>
      <w:r>
        <w:rPr>
          <w:rFonts w:ascii="Arial Narrow" w:hAnsi="Arial Narrow" w:eastAsia="仿宋_GB2312" w:cs="Arial Narrow"/>
          <w:sz w:val="24"/>
          <w:szCs w:val="24"/>
        </w:rPr>
        <w:t>（二）指标体系改进建议</w:t>
      </w:r>
    </w:p>
    <w:p>
      <w:pPr>
        <w:spacing w:line="360" w:lineRule="auto"/>
        <w:ind w:firstLine="480" w:firstLineChars="200"/>
        <w:rPr>
          <w:rFonts w:ascii="Arial Narrow" w:hAnsi="Arial Narrow" w:eastAsia="仿宋_GB2312" w:cs="Arial Narrow"/>
          <w:color w:val="000000" w:themeColor="text1"/>
          <w:sz w:val="24"/>
          <w:szCs w:val="24"/>
          <w14:textFill>
            <w14:solidFill>
              <w14:schemeClr w14:val="tx1"/>
            </w14:solidFill>
          </w14:textFill>
        </w:rPr>
      </w:pPr>
      <w:r>
        <w:rPr>
          <w:rFonts w:ascii="Arial Narrow" w:hAnsi="Arial Narrow" w:eastAsia="仿宋_GB2312" w:cs="Arial Narrow"/>
          <w:color w:val="000000" w:themeColor="text1"/>
          <w:sz w:val="24"/>
          <w:szCs w:val="24"/>
          <w14:textFill>
            <w14:solidFill>
              <w14:schemeClr w14:val="tx1"/>
            </w14:solidFill>
          </w14:textFill>
        </w:rPr>
        <w:t>1、对项目进行梳理，使绩效指标与部门职能及工作重点更加贴切。根据职能和确定的201</w:t>
      </w:r>
      <w:r>
        <w:rPr>
          <w:rFonts w:hint="eastAsia" w:ascii="Arial Narrow" w:hAnsi="Arial Narrow" w:eastAsia="仿宋_GB2312" w:cs="Arial Narrow"/>
          <w:color w:val="000000" w:themeColor="text1"/>
          <w:sz w:val="24"/>
          <w:szCs w:val="24"/>
          <w14:textFill>
            <w14:solidFill>
              <w14:schemeClr w14:val="tx1"/>
            </w14:solidFill>
          </w14:textFill>
        </w:rPr>
        <w:t>8</w:t>
      </w:r>
      <w:r>
        <w:rPr>
          <w:rFonts w:ascii="Arial Narrow" w:hAnsi="Arial Narrow" w:eastAsia="仿宋_GB2312" w:cs="Arial Narrow"/>
          <w:color w:val="000000" w:themeColor="text1"/>
          <w:sz w:val="24"/>
          <w:szCs w:val="24"/>
          <w14:textFill>
            <w14:solidFill>
              <w14:schemeClr w14:val="tx1"/>
            </w14:solidFill>
          </w14:textFill>
        </w:rPr>
        <w:t xml:space="preserve">年工作目标及主要任务对各部门的主要工作任务进行梳理，结合工作重点设置相应的绩效指标，不设置难以考核或者无法获取数据的指标。   </w:t>
      </w:r>
    </w:p>
    <w:p>
      <w:pPr>
        <w:pStyle w:val="3"/>
        <w:adjustRightInd w:val="0"/>
        <w:snapToGrid w:val="0"/>
        <w:spacing w:before="100" w:after="100" w:line="360" w:lineRule="auto"/>
        <w:ind w:firstLine="480" w:firstLineChars="200"/>
        <w:rPr>
          <w:rFonts w:ascii="Arial Narrow" w:hAnsi="Arial Narrow" w:eastAsia="仿宋_GB2312" w:cs="Arial Narrow"/>
          <w:b w:val="0"/>
          <w:bCs w:val="0"/>
          <w:sz w:val="24"/>
          <w:szCs w:val="24"/>
        </w:rPr>
      </w:pPr>
      <w:r>
        <w:rPr>
          <w:rFonts w:ascii="Arial Narrow" w:hAnsi="Arial Narrow" w:eastAsia="仿宋_GB2312" w:cs="Arial Narrow"/>
          <w:b w:val="0"/>
          <w:bCs w:val="0"/>
          <w:sz w:val="24"/>
          <w:szCs w:val="24"/>
        </w:rPr>
        <w:t>2、加强绩效指标设定的科学性。预算编制部门应结合工作实际，并与业务处室沟通，制定科学合理的绩效指标，同时将不合理的历史指标弃用，同时，加强绩效评价工作的有效性，科学合理地设置指标值与安排本年度项目预算资金。</w:t>
      </w:r>
    </w:p>
    <w:p>
      <w:pPr>
        <w:spacing w:line="360" w:lineRule="auto"/>
        <w:ind w:firstLine="480" w:firstLineChars="200"/>
        <w:rPr>
          <w:rFonts w:ascii="Arial Narrow" w:hAnsi="Arial Narrow" w:eastAsia="仿宋_GB2312" w:cs="Arial Narrow"/>
          <w:color w:val="000000" w:themeColor="text1"/>
          <w:sz w:val="24"/>
          <w:szCs w:val="24"/>
          <w14:textFill>
            <w14:solidFill>
              <w14:schemeClr w14:val="tx1"/>
            </w14:solidFill>
          </w14:textFill>
        </w:rPr>
      </w:pPr>
    </w:p>
    <w:p/>
    <w:p>
      <w:pPr>
        <w:rPr>
          <w:rFonts w:ascii="Arial Narrow" w:hAnsi="Arial Narrow" w:eastAsia="仿宋_GB2312" w:cs="Arial Narrow"/>
          <w:sz w:val="24"/>
          <w:szCs w:val="24"/>
        </w:rPr>
      </w:pPr>
    </w:p>
    <w:p>
      <w:pPr>
        <w:rPr>
          <w:rFonts w:ascii="Arial Narrow" w:hAnsi="Arial Narrow" w:eastAsia="仿宋_GB2312" w:cs="Arial Narrow"/>
          <w:sz w:val="24"/>
          <w:szCs w:val="24"/>
        </w:rPr>
      </w:pPr>
    </w:p>
    <w:p>
      <w:pPr>
        <w:rPr>
          <w:rFonts w:ascii="Arial Narrow" w:hAnsi="Arial Narrow" w:eastAsia="仿宋_GB2312" w:cs="Arial Narrow"/>
          <w:sz w:val="24"/>
          <w:szCs w:val="24"/>
        </w:rPr>
      </w:pPr>
    </w:p>
    <w:p>
      <w:pPr>
        <w:rPr>
          <w:rFonts w:ascii="Arial Narrow" w:hAnsi="Arial Narrow" w:eastAsia="仿宋_GB2312" w:cs="Arial Narrow"/>
          <w:sz w:val="24"/>
          <w:szCs w:val="24"/>
        </w:rPr>
      </w:pPr>
    </w:p>
    <w:p>
      <w:pPr>
        <w:rPr>
          <w:rFonts w:ascii="Arial Narrow" w:hAnsi="Arial Narrow" w:eastAsia="仿宋_GB2312" w:cs="Arial Narrow"/>
          <w:sz w:val="24"/>
          <w:szCs w:val="24"/>
        </w:rPr>
      </w:pPr>
      <w:r>
        <w:rPr>
          <w:rFonts w:ascii="Arial Narrow" w:hAnsi="Arial Narrow" w:eastAsia="仿宋_GB2312" w:cs="Arial Narrow"/>
          <w:sz w:val="24"/>
          <w:szCs w:val="24"/>
        </w:rPr>
        <w:t>附件1：武汉经济技术开发区（汉南区）201</w:t>
      </w:r>
      <w:r>
        <w:rPr>
          <w:rFonts w:hint="eastAsia" w:ascii="Arial Narrow" w:hAnsi="Arial Narrow" w:eastAsia="仿宋_GB2312" w:cs="Arial Narrow"/>
          <w:sz w:val="24"/>
          <w:szCs w:val="24"/>
        </w:rPr>
        <w:t>8</w:t>
      </w:r>
      <w:r>
        <w:rPr>
          <w:rFonts w:ascii="Arial Narrow" w:hAnsi="Arial Narrow" w:eastAsia="仿宋_GB2312" w:cs="Arial Narrow"/>
          <w:sz w:val="24"/>
          <w:szCs w:val="24"/>
        </w:rPr>
        <w:t>年整体支出绩效自评表</w:t>
      </w:r>
    </w:p>
    <w:p>
      <w:pPr>
        <w:rPr>
          <w:rFonts w:ascii="Arial Narrow" w:hAnsi="Arial Narrow" w:eastAsia="仿宋_GB2312" w:cs="Arial Narrow"/>
          <w:sz w:val="24"/>
          <w:szCs w:val="24"/>
        </w:rPr>
      </w:pPr>
    </w:p>
    <w:p>
      <w:pPr>
        <w:spacing w:line="540" w:lineRule="exact"/>
        <w:ind w:firstLine="480" w:firstLineChars="200"/>
        <w:rPr>
          <w:rFonts w:ascii="Arial Narrow" w:hAnsi="Arial Narrow" w:eastAsia="仿宋_GB2312" w:cs="Arial Narrow"/>
          <w:sz w:val="24"/>
          <w:szCs w:val="24"/>
        </w:rPr>
      </w:pPr>
      <w:r>
        <w:rPr>
          <w:rFonts w:ascii="Arial Narrow" w:hAnsi="Arial Narrow" w:eastAsia="仿宋_GB2312" w:cs="Arial Narrow"/>
          <w:sz w:val="24"/>
          <w:szCs w:val="24"/>
        </w:rPr>
        <w:t xml:space="preserve">                                   </w:t>
      </w:r>
    </w:p>
    <w:p>
      <w:pPr>
        <w:spacing w:line="540" w:lineRule="exact"/>
        <w:ind w:firstLine="480" w:firstLineChars="200"/>
        <w:rPr>
          <w:rFonts w:ascii="Arial Narrow" w:hAnsi="Arial Narrow" w:eastAsia="仿宋_GB2312" w:cs="Arial Narrow"/>
          <w:sz w:val="24"/>
          <w:szCs w:val="24"/>
        </w:rPr>
      </w:pPr>
    </w:p>
    <w:p>
      <w:pPr>
        <w:spacing w:line="540" w:lineRule="exact"/>
        <w:ind w:firstLine="480" w:firstLineChars="200"/>
        <w:jc w:val="right"/>
        <w:rPr>
          <w:rFonts w:ascii="Arial Narrow" w:hAnsi="Arial Narrow" w:eastAsia="仿宋_GB2312" w:cs="Arial Narrow"/>
          <w:sz w:val="24"/>
          <w:szCs w:val="24"/>
        </w:rPr>
      </w:pPr>
      <w:r>
        <w:rPr>
          <w:rFonts w:ascii="Arial Narrow" w:hAnsi="Arial Narrow" w:eastAsia="仿宋_GB2312" w:cs="Arial Narrow"/>
          <w:sz w:val="24"/>
          <w:szCs w:val="24"/>
        </w:rPr>
        <w:t>武汉经济技术开发区（汉南区</w:t>
      </w:r>
      <w:r>
        <w:rPr>
          <w:rFonts w:hint="eastAsia" w:ascii="Arial Narrow" w:hAnsi="Arial Narrow" w:eastAsia="仿宋_GB2312" w:cs="Arial Narrow"/>
          <w:sz w:val="24"/>
          <w:szCs w:val="24"/>
        </w:rPr>
        <w:t>）</w:t>
      </w:r>
      <w:r>
        <w:rPr>
          <w:rFonts w:ascii="Arial Narrow" w:hAnsi="Arial Narrow" w:eastAsia="仿宋_GB2312" w:cs="Arial Narrow"/>
          <w:sz w:val="24"/>
          <w:szCs w:val="24"/>
        </w:rPr>
        <w:t>政府机关后勤服务中心</w:t>
      </w:r>
    </w:p>
    <w:p>
      <w:pPr>
        <w:spacing w:line="540" w:lineRule="exact"/>
        <w:ind w:firstLine="480" w:firstLineChars="200"/>
        <w:jc w:val="right"/>
        <w:rPr>
          <w:rFonts w:ascii="Arial Narrow" w:hAnsi="Arial Narrow" w:eastAsia="仿宋_GB2312" w:cs="Arial Narrow"/>
          <w:sz w:val="24"/>
          <w:szCs w:val="24"/>
        </w:rPr>
      </w:pPr>
      <w:r>
        <w:rPr>
          <w:rFonts w:ascii="Arial Narrow" w:hAnsi="Arial Narrow" w:eastAsia="仿宋_GB2312" w:cs="Arial Narrow"/>
          <w:sz w:val="24"/>
          <w:szCs w:val="24"/>
        </w:rPr>
        <w:t xml:space="preserve">                                     201</w:t>
      </w:r>
      <w:r>
        <w:rPr>
          <w:rFonts w:hint="eastAsia" w:ascii="Arial Narrow" w:hAnsi="Arial Narrow" w:eastAsia="仿宋_GB2312" w:cs="Arial Narrow"/>
          <w:sz w:val="24"/>
          <w:szCs w:val="24"/>
        </w:rPr>
        <w:t>9</w:t>
      </w:r>
      <w:r>
        <w:rPr>
          <w:rFonts w:ascii="Arial Narrow" w:hAnsi="Arial Narrow" w:eastAsia="仿宋_GB2312" w:cs="Arial Narrow"/>
          <w:sz w:val="24"/>
          <w:szCs w:val="24"/>
        </w:rPr>
        <w:t>年</w:t>
      </w:r>
      <w:r>
        <w:rPr>
          <w:rFonts w:hint="eastAsia" w:ascii="Arial Narrow" w:hAnsi="Arial Narrow" w:eastAsia="仿宋_GB2312" w:cs="Arial Narrow"/>
          <w:sz w:val="24"/>
          <w:szCs w:val="24"/>
        </w:rPr>
        <w:t>7</w:t>
      </w:r>
      <w:r>
        <w:rPr>
          <w:rFonts w:ascii="Arial Narrow" w:hAnsi="Arial Narrow" w:eastAsia="仿宋_GB2312" w:cs="Arial Narrow"/>
          <w:sz w:val="24"/>
          <w:szCs w:val="24"/>
        </w:rPr>
        <w:t>月</w:t>
      </w:r>
      <w:r>
        <w:rPr>
          <w:rFonts w:hint="eastAsia" w:ascii="Arial Narrow" w:hAnsi="Arial Narrow" w:eastAsia="仿宋_GB2312" w:cs="Arial Narrow"/>
          <w:sz w:val="24"/>
          <w:szCs w:val="24"/>
          <w:lang w:val="en-US" w:eastAsia="zh-CN"/>
        </w:rPr>
        <w:t>29</w:t>
      </w:r>
      <w:r>
        <w:rPr>
          <w:rFonts w:ascii="Arial Narrow" w:hAnsi="Arial Narrow" w:eastAsia="仿宋_GB2312" w:cs="Arial Narrow"/>
          <w:sz w:val="24"/>
          <w:szCs w:val="24"/>
        </w:rPr>
        <w:t>日</w:t>
      </w:r>
    </w:p>
    <w:sectPr>
      <w:pgSz w:w="11906" w:h="16838"/>
      <w:pgMar w:top="2098" w:right="1474" w:bottom="1985" w:left="1588" w:header="851" w:footer="992" w:gutter="0"/>
      <w:pgNumType w:fmt="numberInDash"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MingLiU_HKSCS-ExtB">
    <w:panose1 w:val="02020500000000000000"/>
    <w:charset w:val="88"/>
    <w:family w:val="roman"/>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0126174"/>
    </w:sdtPr>
    <w:sdtContent>
      <w:p>
        <w:pPr>
          <w:pStyle w:val="7"/>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4D636"/>
    <w:multiLevelType w:val="singleLevel"/>
    <w:tmpl w:val="1FE4D636"/>
    <w:lvl w:ilvl="0" w:tentative="0">
      <w:start w:val="1"/>
      <w:numFmt w:val="decimal"/>
      <w:suff w:val="nothing"/>
      <w:lvlText w:val="%1、"/>
      <w:lvlJc w:val="left"/>
    </w:lvl>
  </w:abstractNum>
  <w:abstractNum w:abstractNumId="1">
    <w:nsid w:val="3BD802DF"/>
    <w:multiLevelType w:val="singleLevel"/>
    <w:tmpl w:val="3BD802D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47"/>
    <w:rsid w:val="00012D24"/>
    <w:rsid w:val="00014A98"/>
    <w:rsid w:val="00016561"/>
    <w:rsid w:val="00026A49"/>
    <w:rsid w:val="00031CBC"/>
    <w:rsid w:val="00050D7E"/>
    <w:rsid w:val="00057991"/>
    <w:rsid w:val="00072AE6"/>
    <w:rsid w:val="00081064"/>
    <w:rsid w:val="00081EA6"/>
    <w:rsid w:val="00087356"/>
    <w:rsid w:val="00090C70"/>
    <w:rsid w:val="00095CD8"/>
    <w:rsid w:val="00096527"/>
    <w:rsid w:val="000A1ADE"/>
    <w:rsid w:val="000B2D93"/>
    <w:rsid w:val="000E6F8A"/>
    <w:rsid w:val="001045F5"/>
    <w:rsid w:val="00106348"/>
    <w:rsid w:val="00107431"/>
    <w:rsid w:val="00112E6A"/>
    <w:rsid w:val="00123269"/>
    <w:rsid w:val="00130024"/>
    <w:rsid w:val="001340C6"/>
    <w:rsid w:val="001412BB"/>
    <w:rsid w:val="00143BBB"/>
    <w:rsid w:val="00147069"/>
    <w:rsid w:val="00170B42"/>
    <w:rsid w:val="001A6E77"/>
    <w:rsid w:val="001B0E97"/>
    <w:rsid w:val="001B3D8D"/>
    <w:rsid w:val="001B7082"/>
    <w:rsid w:val="001C04F0"/>
    <w:rsid w:val="001D29C0"/>
    <w:rsid w:val="001E28CD"/>
    <w:rsid w:val="001E4418"/>
    <w:rsid w:val="001F258F"/>
    <w:rsid w:val="001F47C8"/>
    <w:rsid w:val="00206F6A"/>
    <w:rsid w:val="002239E9"/>
    <w:rsid w:val="00251073"/>
    <w:rsid w:val="00253078"/>
    <w:rsid w:val="0028290C"/>
    <w:rsid w:val="0028381C"/>
    <w:rsid w:val="00293CF6"/>
    <w:rsid w:val="002973F7"/>
    <w:rsid w:val="002A2254"/>
    <w:rsid w:val="002B3BD4"/>
    <w:rsid w:val="002D49D0"/>
    <w:rsid w:val="002D5602"/>
    <w:rsid w:val="002D6EAE"/>
    <w:rsid w:val="00300612"/>
    <w:rsid w:val="00301342"/>
    <w:rsid w:val="00303120"/>
    <w:rsid w:val="0030348F"/>
    <w:rsid w:val="003274C8"/>
    <w:rsid w:val="003349FF"/>
    <w:rsid w:val="00343031"/>
    <w:rsid w:val="00346083"/>
    <w:rsid w:val="003649CA"/>
    <w:rsid w:val="00367016"/>
    <w:rsid w:val="003706A4"/>
    <w:rsid w:val="0037365A"/>
    <w:rsid w:val="00375503"/>
    <w:rsid w:val="00375EE1"/>
    <w:rsid w:val="00376730"/>
    <w:rsid w:val="003811E6"/>
    <w:rsid w:val="00383752"/>
    <w:rsid w:val="003954B6"/>
    <w:rsid w:val="003A59CD"/>
    <w:rsid w:val="00400C8B"/>
    <w:rsid w:val="00406D6C"/>
    <w:rsid w:val="00422E68"/>
    <w:rsid w:val="00453A43"/>
    <w:rsid w:val="00456232"/>
    <w:rsid w:val="004619C8"/>
    <w:rsid w:val="0047301A"/>
    <w:rsid w:val="00480DC7"/>
    <w:rsid w:val="004A24E3"/>
    <w:rsid w:val="004B5367"/>
    <w:rsid w:val="004B5E16"/>
    <w:rsid w:val="004B752F"/>
    <w:rsid w:val="004C4CB7"/>
    <w:rsid w:val="004D301B"/>
    <w:rsid w:val="004D35D7"/>
    <w:rsid w:val="004D44FE"/>
    <w:rsid w:val="004D4F68"/>
    <w:rsid w:val="004D541B"/>
    <w:rsid w:val="004E32C3"/>
    <w:rsid w:val="004E482D"/>
    <w:rsid w:val="004E6FFB"/>
    <w:rsid w:val="005000EC"/>
    <w:rsid w:val="005002AE"/>
    <w:rsid w:val="00530380"/>
    <w:rsid w:val="005368F0"/>
    <w:rsid w:val="005374EC"/>
    <w:rsid w:val="00543AA5"/>
    <w:rsid w:val="005620DF"/>
    <w:rsid w:val="00581B6E"/>
    <w:rsid w:val="00584A39"/>
    <w:rsid w:val="00584DA4"/>
    <w:rsid w:val="00587B99"/>
    <w:rsid w:val="00597AA7"/>
    <w:rsid w:val="005A0A3C"/>
    <w:rsid w:val="005A3A94"/>
    <w:rsid w:val="005B0E5C"/>
    <w:rsid w:val="005B47F9"/>
    <w:rsid w:val="005C4D00"/>
    <w:rsid w:val="005D3D93"/>
    <w:rsid w:val="00603204"/>
    <w:rsid w:val="00603BEF"/>
    <w:rsid w:val="00606120"/>
    <w:rsid w:val="00613E8A"/>
    <w:rsid w:val="00641AAF"/>
    <w:rsid w:val="0066444A"/>
    <w:rsid w:val="00670FF7"/>
    <w:rsid w:val="00673022"/>
    <w:rsid w:val="00674438"/>
    <w:rsid w:val="006A012D"/>
    <w:rsid w:val="006A05A1"/>
    <w:rsid w:val="006A10BD"/>
    <w:rsid w:val="006B5736"/>
    <w:rsid w:val="006C703E"/>
    <w:rsid w:val="006D3D4E"/>
    <w:rsid w:val="006D6DCF"/>
    <w:rsid w:val="006E1F2A"/>
    <w:rsid w:val="006E2D90"/>
    <w:rsid w:val="006E7CBD"/>
    <w:rsid w:val="006F1F53"/>
    <w:rsid w:val="00701CD8"/>
    <w:rsid w:val="00720ECC"/>
    <w:rsid w:val="00722254"/>
    <w:rsid w:val="00734778"/>
    <w:rsid w:val="00734B6A"/>
    <w:rsid w:val="0074311F"/>
    <w:rsid w:val="0074526C"/>
    <w:rsid w:val="00747F85"/>
    <w:rsid w:val="007548AD"/>
    <w:rsid w:val="00755E89"/>
    <w:rsid w:val="00764B7C"/>
    <w:rsid w:val="00764C29"/>
    <w:rsid w:val="007654C6"/>
    <w:rsid w:val="00770BD1"/>
    <w:rsid w:val="007748C1"/>
    <w:rsid w:val="00781085"/>
    <w:rsid w:val="00791465"/>
    <w:rsid w:val="007A6F98"/>
    <w:rsid w:val="007B57B9"/>
    <w:rsid w:val="007D3990"/>
    <w:rsid w:val="007D3D5C"/>
    <w:rsid w:val="00803785"/>
    <w:rsid w:val="008245C9"/>
    <w:rsid w:val="00827A06"/>
    <w:rsid w:val="008361C3"/>
    <w:rsid w:val="008556B7"/>
    <w:rsid w:val="00865DE3"/>
    <w:rsid w:val="00871E1A"/>
    <w:rsid w:val="00877C2A"/>
    <w:rsid w:val="0088020F"/>
    <w:rsid w:val="00880847"/>
    <w:rsid w:val="008814A6"/>
    <w:rsid w:val="00886B5E"/>
    <w:rsid w:val="00886F69"/>
    <w:rsid w:val="008940FC"/>
    <w:rsid w:val="008A56D3"/>
    <w:rsid w:val="008B7B9A"/>
    <w:rsid w:val="008C75F3"/>
    <w:rsid w:val="008D1C61"/>
    <w:rsid w:val="008F5CB3"/>
    <w:rsid w:val="00915CD7"/>
    <w:rsid w:val="009172EE"/>
    <w:rsid w:val="00930BE0"/>
    <w:rsid w:val="0093465F"/>
    <w:rsid w:val="009434F7"/>
    <w:rsid w:val="00944180"/>
    <w:rsid w:val="00950415"/>
    <w:rsid w:val="00955CDB"/>
    <w:rsid w:val="0096329E"/>
    <w:rsid w:val="00970B1F"/>
    <w:rsid w:val="00971E42"/>
    <w:rsid w:val="00975BDE"/>
    <w:rsid w:val="009959AD"/>
    <w:rsid w:val="00995AEB"/>
    <w:rsid w:val="009A2EAE"/>
    <w:rsid w:val="009D4629"/>
    <w:rsid w:val="009E4148"/>
    <w:rsid w:val="009E4248"/>
    <w:rsid w:val="009E5BC3"/>
    <w:rsid w:val="009E5F1F"/>
    <w:rsid w:val="00A11660"/>
    <w:rsid w:val="00A14ACF"/>
    <w:rsid w:val="00A232D3"/>
    <w:rsid w:val="00A24278"/>
    <w:rsid w:val="00A27DEC"/>
    <w:rsid w:val="00A3482F"/>
    <w:rsid w:val="00A45398"/>
    <w:rsid w:val="00A53F6B"/>
    <w:rsid w:val="00A56C02"/>
    <w:rsid w:val="00A57077"/>
    <w:rsid w:val="00A76637"/>
    <w:rsid w:val="00A9043E"/>
    <w:rsid w:val="00A91B20"/>
    <w:rsid w:val="00AC2931"/>
    <w:rsid w:val="00AD6015"/>
    <w:rsid w:val="00AE4AF7"/>
    <w:rsid w:val="00AE55E7"/>
    <w:rsid w:val="00AF41D0"/>
    <w:rsid w:val="00AF79A0"/>
    <w:rsid w:val="00AF7A9A"/>
    <w:rsid w:val="00B14DC3"/>
    <w:rsid w:val="00B40E9C"/>
    <w:rsid w:val="00B44432"/>
    <w:rsid w:val="00B605DC"/>
    <w:rsid w:val="00B626C6"/>
    <w:rsid w:val="00B807DF"/>
    <w:rsid w:val="00B80B95"/>
    <w:rsid w:val="00BA55C6"/>
    <w:rsid w:val="00BC72A5"/>
    <w:rsid w:val="00BD2D75"/>
    <w:rsid w:val="00BE02C6"/>
    <w:rsid w:val="00BE7270"/>
    <w:rsid w:val="00BF7E22"/>
    <w:rsid w:val="00C028AF"/>
    <w:rsid w:val="00C05216"/>
    <w:rsid w:val="00C07D6F"/>
    <w:rsid w:val="00C1027D"/>
    <w:rsid w:val="00C12C56"/>
    <w:rsid w:val="00C13A80"/>
    <w:rsid w:val="00C20DED"/>
    <w:rsid w:val="00C35287"/>
    <w:rsid w:val="00C62018"/>
    <w:rsid w:val="00C62641"/>
    <w:rsid w:val="00C62B78"/>
    <w:rsid w:val="00C77824"/>
    <w:rsid w:val="00C77B29"/>
    <w:rsid w:val="00C9226B"/>
    <w:rsid w:val="00CA2031"/>
    <w:rsid w:val="00CA60DD"/>
    <w:rsid w:val="00CB4A50"/>
    <w:rsid w:val="00CC621F"/>
    <w:rsid w:val="00CD5775"/>
    <w:rsid w:val="00CF20A8"/>
    <w:rsid w:val="00D04347"/>
    <w:rsid w:val="00D237C1"/>
    <w:rsid w:val="00D304E5"/>
    <w:rsid w:val="00D5283C"/>
    <w:rsid w:val="00D543DD"/>
    <w:rsid w:val="00D62022"/>
    <w:rsid w:val="00D66829"/>
    <w:rsid w:val="00D72093"/>
    <w:rsid w:val="00D84E31"/>
    <w:rsid w:val="00D938EF"/>
    <w:rsid w:val="00DA6AD3"/>
    <w:rsid w:val="00DB168C"/>
    <w:rsid w:val="00DB626A"/>
    <w:rsid w:val="00DB7B0C"/>
    <w:rsid w:val="00DC231F"/>
    <w:rsid w:val="00DD2666"/>
    <w:rsid w:val="00DE08EC"/>
    <w:rsid w:val="00E14A8F"/>
    <w:rsid w:val="00E1585A"/>
    <w:rsid w:val="00E26464"/>
    <w:rsid w:val="00E309FE"/>
    <w:rsid w:val="00E35859"/>
    <w:rsid w:val="00E413F2"/>
    <w:rsid w:val="00E426BC"/>
    <w:rsid w:val="00E60D95"/>
    <w:rsid w:val="00E92F53"/>
    <w:rsid w:val="00E9765E"/>
    <w:rsid w:val="00EA278E"/>
    <w:rsid w:val="00EA27CC"/>
    <w:rsid w:val="00EA5A1C"/>
    <w:rsid w:val="00EA61FB"/>
    <w:rsid w:val="00EB6EFD"/>
    <w:rsid w:val="00EB6FB2"/>
    <w:rsid w:val="00ED00AD"/>
    <w:rsid w:val="00EE6F83"/>
    <w:rsid w:val="00EF0B8D"/>
    <w:rsid w:val="00F04613"/>
    <w:rsid w:val="00F04C96"/>
    <w:rsid w:val="00F2026F"/>
    <w:rsid w:val="00F265FF"/>
    <w:rsid w:val="00F351FE"/>
    <w:rsid w:val="00F51E7C"/>
    <w:rsid w:val="00F651B6"/>
    <w:rsid w:val="00F7208C"/>
    <w:rsid w:val="00F93A7F"/>
    <w:rsid w:val="00FA3D68"/>
    <w:rsid w:val="00FB2A52"/>
    <w:rsid w:val="00FB6EBD"/>
    <w:rsid w:val="00FC7DF3"/>
    <w:rsid w:val="00FD4DC3"/>
    <w:rsid w:val="00FD5A54"/>
    <w:rsid w:val="00FE33B8"/>
    <w:rsid w:val="00FF60A2"/>
    <w:rsid w:val="01845863"/>
    <w:rsid w:val="0279170B"/>
    <w:rsid w:val="02C06412"/>
    <w:rsid w:val="02E70A4F"/>
    <w:rsid w:val="030D7ADA"/>
    <w:rsid w:val="035C57A6"/>
    <w:rsid w:val="041312AD"/>
    <w:rsid w:val="048B4755"/>
    <w:rsid w:val="059D1F5D"/>
    <w:rsid w:val="06403E2A"/>
    <w:rsid w:val="06510FE5"/>
    <w:rsid w:val="077F6C80"/>
    <w:rsid w:val="079012E4"/>
    <w:rsid w:val="082024FC"/>
    <w:rsid w:val="089C5DCD"/>
    <w:rsid w:val="09704C7C"/>
    <w:rsid w:val="09755971"/>
    <w:rsid w:val="09E23926"/>
    <w:rsid w:val="0A455BE1"/>
    <w:rsid w:val="0A651975"/>
    <w:rsid w:val="0C122105"/>
    <w:rsid w:val="0C8A211F"/>
    <w:rsid w:val="0DC52B01"/>
    <w:rsid w:val="0F4C3C3F"/>
    <w:rsid w:val="0FCA6FEE"/>
    <w:rsid w:val="0FD20DDB"/>
    <w:rsid w:val="0FF810EC"/>
    <w:rsid w:val="100F3DA6"/>
    <w:rsid w:val="10676044"/>
    <w:rsid w:val="10F47DD6"/>
    <w:rsid w:val="11845FD5"/>
    <w:rsid w:val="11B76A15"/>
    <w:rsid w:val="12071840"/>
    <w:rsid w:val="13147CDC"/>
    <w:rsid w:val="13B24833"/>
    <w:rsid w:val="13D60F16"/>
    <w:rsid w:val="13F82604"/>
    <w:rsid w:val="1428549D"/>
    <w:rsid w:val="1444315D"/>
    <w:rsid w:val="169C6C3A"/>
    <w:rsid w:val="17231EE4"/>
    <w:rsid w:val="188A7E7C"/>
    <w:rsid w:val="189A5F62"/>
    <w:rsid w:val="195E6E0E"/>
    <w:rsid w:val="197530AD"/>
    <w:rsid w:val="19B672ED"/>
    <w:rsid w:val="1A381D11"/>
    <w:rsid w:val="1B811406"/>
    <w:rsid w:val="1BFF3F4E"/>
    <w:rsid w:val="1C4E1486"/>
    <w:rsid w:val="1CA118E7"/>
    <w:rsid w:val="1CD042B8"/>
    <w:rsid w:val="1CDB1858"/>
    <w:rsid w:val="1D323234"/>
    <w:rsid w:val="1DBB0113"/>
    <w:rsid w:val="1DDC7B11"/>
    <w:rsid w:val="1E127518"/>
    <w:rsid w:val="1E262A70"/>
    <w:rsid w:val="1E8E7D69"/>
    <w:rsid w:val="1EC41650"/>
    <w:rsid w:val="1FBA7A88"/>
    <w:rsid w:val="1FD31A7F"/>
    <w:rsid w:val="21290524"/>
    <w:rsid w:val="21392D40"/>
    <w:rsid w:val="215C25E7"/>
    <w:rsid w:val="216F3605"/>
    <w:rsid w:val="224D3DEF"/>
    <w:rsid w:val="236A4511"/>
    <w:rsid w:val="242C770F"/>
    <w:rsid w:val="2472216D"/>
    <w:rsid w:val="24791691"/>
    <w:rsid w:val="251442B5"/>
    <w:rsid w:val="253770B3"/>
    <w:rsid w:val="258B56B9"/>
    <w:rsid w:val="26527B00"/>
    <w:rsid w:val="268F20D2"/>
    <w:rsid w:val="28BF4D98"/>
    <w:rsid w:val="29A37673"/>
    <w:rsid w:val="2B216065"/>
    <w:rsid w:val="2BCB2711"/>
    <w:rsid w:val="2BE64A03"/>
    <w:rsid w:val="2CBC0055"/>
    <w:rsid w:val="2CD0621B"/>
    <w:rsid w:val="2D1B28E2"/>
    <w:rsid w:val="2F436070"/>
    <w:rsid w:val="2FC14874"/>
    <w:rsid w:val="30085628"/>
    <w:rsid w:val="318E20C8"/>
    <w:rsid w:val="319E0928"/>
    <w:rsid w:val="339F1F3E"/>
    <w:rsid w:val="34C41B0D"/>
    <w:rsid w:val="353E7315"/>
    <w:rsid w:val="3554189D"/>
    <w:rsid w:val="36115B9D"/>
    <w:rsid w:val="36295489"/>
    <w:rsid w:val="363E0199"/>
    <w:rsid w:val="36575F16"/>
    <w:rsid w:val="366908AE"/>
    <w:rsid w:val="36BC0FED"/>
    <w:rsid w:val="37377D7B"/>
    <w:rsid w:val="37994DAB"/>
    <w:rsid w:val="38657C8F"/>
    <w:rsid w:val="38B63E70"/>
    <w:rsid w:val="39416371"/>
    <w:rsid w:val="3B1C7E30"/>
    <w:rsid w:val="3B3B67A2"/>
    <w:rsid w:val="3B8878FC"/>
    <w:rsid w:val="3BB10C12"/>
    <w:rsid w:val="3C746125"/>
    <w:rsid w:val="3CBE6EA8"/>
    <w:rsid w:val="3CDC449E"/>
    <w:rsid w:val="3CED363E"/>
    <w:rsid w:val="3D616D9D"/>
    <w:rsid w:val="3D871517"/>
    <w:rsid w:val="3E0833F6"/>
    <w:rsid w:val="3E2B16DA"/>
    <w:rsid w:val="3E6902EA"/>
    <w:rsid w:val="3E765AAF"/>
    <w:rsid w:val="3F146310"/>
    <w:rsid w:val="3F7B770A"/>
    <w:rsid w:val="41305C0C"/>
    <w:rsid w:val="415A412E"/>
    <w:rsid w:val="41AD2139"/>
    <w:rsid w:val="425657B5"/>
    <w:rsid w:val="426D2570"/>
    <w:rsid w:val="42B5025D"/>
    <w:rsid w:val="43632BF2"/>
    <w:rsid w:val="44F46D84"/>
    <w:rsid w:val="452F7253"/>
    <w:rsid w:val="454053F6"/>
    <w:rsid w:val="45462738"/>
    <w:rsid w:val="4576159D"/>
    <w:rsid w:val="475A1C90"/>
    <w:rsid w:val="477038B0"/>
    <w:rsid w:val="47910223"/>
    <w:rsid w:val="483B3C77"/>
    <w:rsid w:val="4A45081C"/>
    <w:rsid w:val="4AAB5706"/>
    <w:rsid w:val="4AB96881"/>
    <w:rsid w:val="4AD77C6B"/>
    <w:rsid w:val="4B960927"/>
    <w:rsid w:val="4BD13BE9"/>
    <w:rsid w:val="4C08625C"/>
    <w:rsid w:val="4C4A0772"/>
    <w:rsid w:val="4C8372BE"/>
    <w:rsid w:val="4DC75423"/>
    <w:rsid w:val="4EA82779"/>
    <w:rsid w:val="4EF73FB5"/>
    <w:rsid w:val="4F5E02B7"/>
    <w:rsid w:val="4FF977F2"/>
    <w:rsid w:val="50452AE7"/>
    <w:rsid w:val="506F5051"/>
    <w:rsid w:val="51DF7EBD"/>
    <w:rsid w:val="523130FD"/>
    <w:rsid w:val="52AB72D6"/>
    <w:rsid w:val="52C6711E"/>
    <w:rsid w:val="531504EB"/>
    <w:rsid w:val="538C6F8D"/>
    <w:rsid w:val="53C00594"/>
    <w:rsid w:val="54031BA5"/>
    <w:rsid w:val="547542E0"/>
    <w:rsid w:val="548816F3"/>
    <w:rsid w:val="559D0A4E"/>
    <w:rsid w:val="55AC1C9D"/>
    <w:rsid w:val="55FC70B9"/>
    <w:rsid w:val="576207B1"/>
    <w:rsid w:val="581F0BEB"/>
    <w:rsid w:val="59CB4BB2"/>
    <w:rsid w:val="5A170A08"/>
    <w:rsid w:val="5A884542"/>
    <w:rsid w:val="5ADD2E2F"/>
    <w:rsid w:val="5B412712"/>
    <w:rsid w:val="5C023588"/>
    <w:rsid w:val="5CA174D7"/>
    <w:rsid w:val="5D9F122F"/>
    <w:rsid w:val="5DC204C1"/>
    <w:rsid w:val="5E5623A4"/>
    <w:rsid w:val="5F9D534C"/>
    <w:rsid w:val="5FFE1B1B"/>
    <w:rsid w:val="600D252E"/>
    <w:rsid w:val="60E2525E"/>
    <w:rsid w:val="61196FFC"/>
    <w:rsid w:val="61274F93"/>
    <w:rsid w:val="61B934C6"/>
    <w:rsid w:val="621630D9"/>
    <w:rsid w:val="625B3478"/>
    <w:rsid w:val="626B47BF"/>
    <w:rsid w:val="633352AE"/>
    <w:rsid w:val="63435A69"/>
    <w:rsid w:val="64BC1892"/>
    <w:rsid w:val="65FC2AC3"/>
    <w:rsid w:val="65FD75B4"/>
    <w:rsid w:val="66A26403"/>
    <w:rsid w:val="66D721E7"/>
    <w:rsid w:val="66E90C77"/>
    <w:rsid w:val="67117409"/>
    <w:rsid w:val="676B75C2"/>
    <w:rsid w:val="67810F35"/>
    <w:rsid w:val="67CE382C"/>
    <w:rsid w:val="67F11FB1"/>
    <w:rsid w:val="68201216"/>
    <w:rsid w:val="687563EF"/>
    <w:rsid w:val="69403DBF"/>
    <w:rsid w:val="69780653"/>
    <w:rsid w:val="6A061F65"/>
    <w:rsid w:val="6A1750FD"/>
    <w:rsid w:val="6A3C4B39"/>
    <w:rsid w:val="6A473B51"/>
    <w:rsid w:val="6AD56B3C"/>
    <w:rsid w:val="6B3F7E9D"/>
    <w:rsid w:val="6BA81271"/>
    <w:rsid w:val="6CAD2808"/>
    <w:rsid w:val="6D081A4A"/>
    <w:rsid w:val="6E2D1197"/>
    <w:rsid w:val="6F3B6D2E"/>
    <w:rsid w:val="70D43639"/>
    <w:rsid w:val="71ED395A"/>
    <w:rsid w:val="7231018E"/>
    <w:rsid w:val="72504D3F"/>
    <w:rsid w:val="72823304"/>
    <w:rsid w:val="73A27E5E"/>
    <w:rsid w:val="73A649A6"/>
    <w:rsid w:val="74083A0B"/>
    <w:rsid w:val="74E776C8"/>
    <w:rsid w:val="75BE4F6F"/>
    <w:rsid w:val="775D51D7"/>
    <w:rsid w:val="77DC58DB"/>
    <w:rsid w:val="78135174"/>
    <w:rsid w:val="78673350"/>
    <w:rsid w:val="78764220"/>
    <w:rsid w:val="788C78B3"/>
    <w:rsid w:val="78A9525D"/>
    <w:rsid w:val="7938725F"/>
    <w:rsid w:val="795A479E"/>
    <w:rsid w:val="79E17818"/>
    <w:rsid w:val="7A203F5A"/>
    <w:rsid w:val="7B8765B6"/>
    <w:rsid w:val="7BEE62BB"/>
    <w:rsid w:val="7C1979B3"/>
    <w:rsid w:val="7D0F5AC7"/>
    <w:rsid w:val="7D564F10"/>
    <w:rsid w:val="7DE56E3D"/>
    <w:rsid w:val="7EC83B3A"/>
    <w:rsid w:val="7EE472B3"/>
    <w:rsid w:val="7F2C1BD5"/>
    <w:rsid w:val="7F8F4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20"/>
    <w:semiHidden/>
    <w:unhideWhenUsed/>
    <w:qFormat/>
    <w:uiPriority w:val="99"/>
    <w:pPr>
      <w:jc w:val="left"/>
    </w:pPr>
  </w:style>
  <w:style w:type="paragraph" w:styleId="5">
    <w:name w:val="Date"/>
    <w:basedOn w:val="1"/>
    <w:next w:val="1"/>
    <w:link w:val="17"/>
    <w:semiHidden/>
    <w:unhideWhenUsed/>
    <w:qFormat/>
    <w:uiPriority w:val="99"/>
    <w:pPr>
      <w:ind w:left="100" w:leftChars="2500"/>
    </w:pPr>
  </w:style>
  <w:style w:type="paragraph" w:styleId="6">
    <w:name w:val="Balloon Text"/>
    <w:basedOn w:val="1"/>
    <w:link w:val="16"/>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日期 Char"/>
    <w:basedOn w:val="11"/>
    <w:link w:val="5"/>
    <w:semiHidden/>
    <w:qFormat/>
    <w:uiPriority w:val="99"/>
  </w:style>
  <w:style w:type="character" w:customStyle="1" w:styleId="18">
    <w:name w:val="标题 1 Char"/>
    <w:basedOn w:val="11"/>
    <w:link w:val="2"/>
    <w:qFormat/>
    <w:uiPriority w:val="9"/>
    <w:rPr>
      <w:b/>
      <w:bCs/>
      <w:kern w:val="44"/>
      <w:sz w:val="44"/>
      <w:szCs w:val="44"/>
    </w:rPr>
  </w:style>
  <w:style w:type="character" w:customStyle="1" w:styleId="19">
    <w:name w:val="标题 2 Char"/>
    <w:basedOn w:val="11"/>
    <w:link w:val="3"/>
    <w:semiHidden/>
    <w:qFormat/>
    <w:uiPriority w:val="9"/>
    <w:rPr>
      <w:rFonts w:asciiTheme="majorHAnsi" w:hAnsiTheme="majorHAnsi" w:eastAsiaTheme="majorEastAsia" w:cstheme="majorBidi"/>
      <w:b/>
      <w:bCs/>
      <w:sz w:val="32"/>
      <w:szCs w:val="32"/>
    </w:rPr>
  </w:style>
  <w:style w:type="character" w:customStyle="1" w:styleId="20">
    <w:name w:val="批注文字 Char"/>
    <w:basedOn w:val="11"/>
    <w:link w:val="4"/>
    <w:semiHidden/>
    <w:qFormat/>
    <w:uiPriority w:val="99"/>
    <w:rPr>
      <w:rFonts w:asciiTheme="minorHAnsi" w:hAnsiTheme="minorHAnsi" w:eastAsiaTheme="minorEastAsia" w:cstheme="minorBidi"/>
      <w:kern w:val="2"/>
      <w:sz w:val="21"/>
      <w:szCs w:val="22"/>
    </w:rPr>
  </w:style>
  <w:style w:type="character" w:customStyle="1" w:styleId="21">
    <w:name w:val="批注主题 Char"/>
    <w:basedOn w:val="20"/>
    <w:link w:val="9"/>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A3C4F-3026-4130-B02E-397824DB0A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479</Words>
  <Characters>2735</Characters>
  <Lines>22</Lines>
  <Paragraphs>6</Paragraphs>
  <TotalTime>4</TotalTime>
  <ScaleCrop>false</ScaleCrop>
  <LinksUpToDate>false</LinksUpToDate>
  <CharactersWithSpaces>3208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2018-04-25T03:29:00Z</dcterms:created>
  <dc:creator>冯妍妍/预算绩效管理处（行资处）/湖北省财政厅</dc:creator>
  <cp:lastModifiedBy>文鱼</cp:lastModifiedBy>
  <cp:lastPrinted>2018-04-23T02:36:00Z</cp:lastPrinted>
  <dcterms:modified xsi:type="dcterms:W3CDTF">2019-07-30T04:44:10Z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