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360" w:lineRule="auto"/>
        <w:jc w:val="center"/>
        <w:rPr>
          <w:rFonts w:ascii="Times New Roman" w:hAnsi="Times New Roman" w:cs="Times New Roman" w:eastAsiaTheme="majorEastAsia"/>
          <w:color w:val="000000" w:themeColor="text1"/>
          <w:sz w:val="36"/>
          <w:szCs w:val="36"/>
          <w14:textFill>
            <w14:solidFill>
              <w14:schemeClr w14:val="tx1"/>
            </w14:solidFill>
          </w14:textFill>
        </w:rPr>
      </w:pPr>
      <w:r>
        <w:rPr>
          <w:rFonts w:hint="eastAsia" w:ascii="Times New Roman" w:hAnsi="Times New Roman" w:cs="Times New Roman" w:eastAsiaTheme="majorEastAsia"/>
          <w:color w:val="000000" w:themeColor="text1"/>
          <w:sz w:val="36"/>
          <w:szCs w:val="36"/>
          <w14:textFill>
            <w14:solidFill>
              <w14:schemeClr w14:val="tx1"/>
            </w14:solidFill>
          </w14:textFill>
        </w:rPr>
        <w:t>202</w:t>
      </w:r>
      <w:r>
        <w:rPr>
          <w:rFonts w:hint="eastAsia" w:ascii="Times New Roman" w:hAnsi="Times New Roman" w:cs="Times New Roman" w:eastAsiaTheme="majorEastAsia"/>
          <w:color w:val="000000" w:themeColor="text1"/>
          <w:sz w:val="36"/>
          <w:szCs w:val="36"/>
          <w:lang w:val="en-US" w:eastAsia="zh-CN"/>
          <w14:textFill>
            <w14:solidFill>
              <w14:schemeClr w14:val="tx1"/>
            </w14:solidFill>
          </w14:textFill>
        </w:rPr>
        <w:t>2</w:t>
      </w:r>
      <w:r>
        <w:rPr>
          <w:rFonts w:hint="eastAsia" w:ascii="Times New Roman" w:hAnsi="Times New Roman" w:cs="Times New Roman" w:eastAsiaTheme="majorEastAsia"/>
          <w:color w:val="000000" w:themeColor="text1"/>
          <w:sz w:val="36"/>
          <w:szCs w:val="36"/>
          <w14:textFill>
            <w14:solidFill>
              <w14:schemeClr w14:val="tx1"/>
            </w14:solidFill>
          </w14:textFill>
        </w:rPr>
        <w:t>年度</w:t>
      </w:r>
      <w:r>
        <w:rPr>
          <w:rFonts w:hint="eastAsia" w:ascii="Times New Roman" w:hAnsi="Times New Roman" w:cs="Times New Roman" w:eastAsiaTheme="majorEastAsia"/>
          <w:color w:val="000000" w:themeColor="text1"/>
          <w:sz w:val="36"/>
          <w:szCs w:val="36"/>
          <w:lang w:val="en-US" w:eastAsia="zh-CN"/>
          <w14:textFill>
            <w14:solidFill>
              <w14:schemeClr w14:val="tx1"/>
            </w14:solidFill>
          </w14:textFill>
        </w:rPr>
        <w:t>规划设计经费</w:t>
      </w:r>
      <w:r>
        <w:rPr>
          <w:rFonts w:hint="eastAsia" w:ascii="Times New Roman" w:hAnsi="Times New Roman" w:cs="Times New Roman" w:eastAsiaTheme="majorEastAsia"/>
          <w:color w:val="000000" w:themeColor="text1"/>
          <w:sz w:val="36"/>
          <w:szCs w:val="36"/>
          <w14:textFill>
            <w14:solidFill>
              <w14:schemeClr w14:val="tx1"/>
            </w14:solidFill>
          </w14:textFill>
        </w:rPr>
        <w:t>项目自评结果</w:t>
      </w:r>
    </w:p>
    <w:p>
      <w:pPr>
        <w:pStyle w:val="9"/>
        <w:shd w:val="clear" w:color="auto" w:fill="FFFFFF" w:themeFill="background1"/>
        <w:spacing w:line="360" w:lineRule="auto"/>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widowControl/>
        <w:spacing w:line="360" w:lineRule="auto"/>
        <w:ind w:firstLine="643" w:firstLineChars="200"/>
        <w:outlineLvl w:val="0"/>
        <w:rPr>
          <w:rFonts w:eastAsia="黑体"/>
          <w:b/>
          <w:bCs/>
          <w:color w:val="000000" w:themeColor="text1"/>
          <w:kern w:val="0"/>
          <w:sz w:val="32"/>
          <w:szCs w:val="32"/>
          <w14:textFill>
            <w14:solidFill>
              <w14:schemeClr w14:val="tx1"/>
            </w14:solidFill>
          </w14:textFill>
        </w:rPr>
      </w:pPr>
      <w:r>
        <w:rPr>
          <w:rFonts w:hint="eastAsia" w:eastAsia="黑体"/>
          <w:b/>
          <w:bCs/>
          <w:color w:val="000000" w:themeColor="text1"/>
          <w:kern w:val="0"/>
          <w:sz w:val="32"/>
          <w:szCs w:val="32"/>
          <w14:textFill>
            <w14:solidFill>
              <w14:schemeClr w14:val="tx1"/>
            </w14:solidFill>
          </w14:textFill>
        </w:rPr>
        <w:t>一、自评结论</w:t>
      </w:r>
    </w:p>
    <w:p>
      <w:pPr>
        <w:widowControl/>
        <w:spacing w:line="360" w:lineRule="auto"/>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（一）自评得分</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202</w:t>
      </w:r>
      <w:r>
        <w:rPr>
          <w:rFonts w:hint="eastAsia" w:eastAsia="仿宋"/>
          <w:color w:val="000000" w:themeColor="text1"/>
          <w:sz w:val="32"/>
          <w:szCs w:val="32"/>
          <w:lang w:val="en-US" w:eastAsia="zh-CN"/>
          <w14:textFill>
            <w14:solidFill>
              <w14:schemeClr w14:val="tx1"/>
            </w14:solidFill>
          </w14:textFill>
        </w:rPr>
        <w:t>2</w:t>
      </w:r>
      <w:r>
        <w:rPr>
          <w:rFonts w:hint="eastAsia" w:eastAsia="仿宋"/>
          <w:color w:val="000000" w:themeColor="text1"/>
          <w:sz w:val="32"/>
          <w:szCs w:val="32"/>
          <w14:textFill>
            <w14:solidFill>
              <w14:schemeClr w14:val="tx1"/>
            </w14:solidFill>
          </w14:textFill>
        </w:rPr>
        <w:t>年度</w:t>
      </w:r>
      <w:r>
        <w:rPr>
          <w:rFonts w:hint="eastAsia" w:eastAsia="仿宋"/>
          <w:color w:val="000000" w:themeColor="text1"/>
          <w:sz w:val="32"/>
          <w:szCs w:val="32"/>
          <w:lang w:eastAsia="zh-CN"/>
          <w14:textFill>
            <w14:solidFill>
              <w14:schemeClr w14:val="tx1"/>
            </w14:solidFill>
          </w14:textFill>
        </w:rPr>
        <w:t>规划设计经费</w:t>
      </w:r>
      <w:r>
        <w:rPr>
          <w:rFonts w:hint="eastAsia" w:eastAsia="仿宋"/>
          <w:color w:val="000000" w:themeColor="text1"/>
          <w:sz w:val="32"/>
          <w:szCs w:val="32"/>
          <w14:textFill>
            <w14:solidFill>
              <w14:schemeClr w14:val="tx1"/>
            </w14:solidFill>
          </w14:textFill>
        </w:rPr>
        <w:t>项目绩效评价综合得分为</w:t>
      </w:r>
      <w:r>
        <w:rPr>
          <w:rFonts w:hint="eastAsia" w:eastAsia="仿宋"/>
          <w:color w:val="000000" w:themeColor="text1"/>
          <w:sz w:val="32"/>
          <w:szCs w:val="32"/>
          <w:lang w:val="en-US" w:eastAsia="zh-CN"/>
          <w14:textFill>
            <w14:solidFill>
              <w14:schemeClr w14:val="tx1"/>
            </w14:solidFill>
          </w14:textFill>
        </w:rPr>
        <w:t>85.6</w:t>
      </w:r>
      <w:r>
        <w:rPr>
          <w:rFonts w:hint="eastAsia" w:eastAsia="仿宋"/>
          <w:color w:val="000000" w:themeColor="text1"/>
          <w:sz w:val="32"/>
          <w:szCs w:val="32"/>
          <w14:textFill>
            <w14:solidFill>
              <w14:schemeClr w14:val="tx1"/>
            </w14:solidFill>
          </w14:textFill>
        </w:rPr>
        <w:t>分。</w:t>
      </w:r>
    </w:p>
    <w:p>
      <w:pPr>
        <w:widowControl/>
        <w:spacing w:line="360" w:lineRule="auto"/>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（二）绩效目标完成情况</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1.执行率情况。本项目预算总额</w:t>
      </w:r>
      <w:r>
        <w:rPr>
          <w:rFonts w:hint="eastAsia" w:eastAsia="仿宋"/>
          <w:color w:val="000000" w:themeColor="text1"/>
          <w:sz w:val="32"/>
          <w:szCs w:val="32"/>
          <w:lang w:val="en-US" w:eastAsia="zh-CN"/>
          <w14:textFill>
            <w14:solidFill>
              <w14:schemeClr w14:val="tx1"/>
            </w14:solidFill>
          </w14:textFill>
        </w:rPr>
        <w:t>4,641.00</w:t>
      </w:r>
      <w:r>
        <w:rPr>
          <w:rFonts w:hint="eastAsia" w:eastAsia="仿宋"/>
          <w:color w:val="000000" w:themeColor="text1"/>
          <w:sz w:val="32"/>
          <w:szCs w:val="32"/>
          <w14:textFill>
            <w14:solidFill>
              <w14:schemeClr w14:val="tx1"/>
            </w14:solidFill>
          </w14:textFill>
        </w:rPr>
        <w:t>万元，执行数</w:t>
      </w:r>
      <w:r>
        <w:rPr>
          <w:rFonts w:hint="eastAsia" w:eastAsia="仿宋"/>
          <w:color w:val="000000" w:themeColor="text1"/>
          <w:sz w:val="32"/>
          <w:szCs w:val="32"/>
          <w:lang w:val="en-US" w:eastAsia="zh-CN"/>
          <w14:textFill>
            <w14:solidFill>
              <w14:schemeClr w14:val="tx1"/>
            </w14:solidFill>
          </w14:textFill>
        </w:rPr>
        <w:t>1,762.45</w:t>
      </w:r>
      <w:r>
        <w:rPr>
          <w:rFonts w:hint="eastAsia" w:eastAsia="仿宋"/>
          <w:color w:val="000000" w:themeColor="text1"/>
          <w:sz w:val="32"/>
          <w:szCs w:val="32"/>
          <w14:textFill>
            <w14:solidFill>
              <w14:schemeClr w14:val="tx1"/>
            </w14:solidFill>
          </w14:textFill>
        </w:rPr>
        <w:t>万元，预算执行率</w:t>
      </w:r>
      <w:r>
        <w:rPr>
          <w:rFonts w:hint="eastAsia" w:eastAsia="仿宋"/>
          <w:color w:val="000000" w:themeColor="text1"/>
          <w:sz w:val="32"/>
          <w:szCs w:val="32"/>
          <w:lang w:val="en-US" w:eastAsia="zh-CN"/>
          <w14:textFill>
            <w14:solidFill>
              <w14:schemeClr w14:val="tx1"/>
            </w14:solidFill>
          </w14:textFill>
        </w:rPr>
        <w:t>37.98</w:t>
      </w:r>
      <w:r>
        <w:rPr>
          <w:rFonts w:eastAsia="仿宋"/>
          <w:color w:val="000000" w:themeColor="text1"/>
          <w:sz w:val="32"/>
          <w:szCs w:val="32"/>
          <w14:textFill>
            <w14:solidFill>
              <w14:schemeClr w14:val="tx1"/>
            </w14:solidFill>
          </w14:textFill>
        </w:rPr>
        <w:t>%</w:t>
      </w:r>
      <w:r>
        <w:rPr>
          <w:rFonts w:hint="eastAsia" w:eastAsia="仿宋"/>
          <w:color w:val="000000" w:themeColor="text1"/>
          <w:sz w:val="32"/>
          <w:szCs w:val="32"/>
          <w14:textFill>
            <w14:solidFill>
              <w14:schemeClr w14:val="tx1"/>
            </w14:solidFill>
          </w14:textFill>
        </w:rPr>
        <w:t>。</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2.完成的绩效目标。项目共设置</w:t>
      </w:r>
      <w:r>
        <w:rPr>
          <w:rFonts w:hint="eastAsia" w:eastAsia="仿宋"/>
          <w:color w:val="000000" w:themeColor="text1"/>
          <w:sz w:val="32"/>
          <w:szCs w:val="32"/>
          <w:lang w:val="en-US" w:eastAsia="zh-CN"/>
          <w14:textFill>
            <w14:solidFill>
              <w14:schemeClr w14:val="tx1"/>
            </w14:solidFill>
          </w14:textFill>
        </w:rPr>
        <w:t>9</w:t>
      </w:r>
      <w:r>
        <w:rPr>
          <w:rFonts w:hint="eastAsia" w:eastAsia="仿宋"/>
          <w:color w:val="000000" w:themeColor="text1"/>
          <w:sz w:val="32"/>
          <w:szCs w:val="32"/>
          <w14:textFill>
            <w14:solidFill>
              <w14:schemeClr w14:val="tx1"/>
            </w14:solidFill>
          </w14:textFill>
        </w:rPr>
        <w:t>个绩效指标，完成了</w:t>
      </w:r>
      <w:r>
        <w:rPr>
          <w:rFonts w:hint="eastAsia" w:eastAsia="仿宋"/>
          <w:color w:val="000000" w:themeColor="text1"/>
          <w:sz w:val="32"/>
          <w:szCs w:val="32"/>
          <w:lang w:val="en-US" w:eastAsia="zh-CN"/>
          <w14:textFill>
            <w14:solidFill>
              <w14:schemeClr w14:val="tx1"/>
            </w14:solidFill>
          </w14:textFill>
        </w:rPr>
        <w:t>8</w:t>
      </w:r>
      <w:r>
        <w:rPr>
          <w:rFonts w:hint="eastAsia" w:eastAsia="仿宋"/>
          <w:color w:val="000000" w:themeColor="text1"/>
          <w:sz w:val="32"/>
          <w:szCs w:val="32"/>
          <w14:textFill>
            <w14:solidFill>
              <w14:schemeClr w14:val="tx1"/>
            </w14:solidFill>
          </w14:textFill>
        </w:rPr>
        <w:t>个</w:t>
      </w:r>
      <w:r>
        <w:rPr>
          <w:rFonts w:hint="eastAsia" w:eastAsia="仿宋"/>
          <w:color w:val="000000" w:themeColor="text1"/>
          <w:sz w:val="32"/>
          <w:szCs w:val="32"/>
          <w:lang w:eastAsia="zh-CN"/>
          <w14:textFill>
            <w14:solidFill>
              <w14:schemeClr w14:val="tx1"/>
            </w14:solidFill>
          </w14:textFill>
        </w:rPr>
        <w:t>，</w:t>
      </w:r>
      <w:r>
        <w:rPr>
          <w:rFonts w:hint="eastAsia" w:eastAsia="仿宋"/>
          <w:color w:val="000000" w:themeColor="text1"/>
          <w:sz w:val="32"/>
          <w:szCs w:val="32"/>
          <w14:textFill>
            <w14:solidFill>
              <w14:schemeClr w14:val="tx1"/>
            </w14:solidFill>
          </w14:textFill>
        </w:rPr>
        <w:t>项目产出较好。</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3.未完成的绩效目标。大部分项目已按年初预定的进度目标启动项目或完成了规划方案</w:t>
      </w:r>
      <w:r>
        <w:rPr>
          <w:rFonts w:hint="eastAsia" w:eastAsia="仿宋"/>
          <w:color w:val="000000" w:themeColor="text1"/>
          <w:sz w:val="32"/>
          <w:szCs w:val="32"/>
          <w:lang w:eastAsia="zh-CN"/>
          <w14:textFill>
            <w14:solidFill>
              <w14:schemeClr w14:val="tx1"/>
            </w14:solidFill>
          </w14:textFill>
        </w:rPr>
        <w:t>，</w:t>
      </w:r>
      <w:r>
        <w:rPr>
          <w:rFonts w:hint="eastAsia" w:eastAsia="仿宋"/>
          <w:color w:val="000000" w:themeColor="text1"/>
          <w:sz w:val="32"/>
          <w:szCs w:val="32"/>
          <w14:textFill>
            <w14:solidFill>
              <w14:schemeClr w14:val="tx1"/>
            </w14:solidFill>
          </w14:textFill>
        </w:rPr>
        <w:t>有部分项目因省厅工作部署、相关规划未出台等原因开展较为缓慢</w:t>
      </w:r>
      <w:r>
        <w:rPr>
          <w:rFonts w:hint="eastAsia" w:eastAsia="仿宋"/>
          <w:color w:val="000000" w:themeColor="text1"/>
          <w:sz w:val="32"/>
          <w:szCs w:val="32"/>
          <w:lang w:eastAsia="zh-CN"/>
          <w14:textFill>
            <w14:solidFill>
              <w14:schemeClr w14:val="tx1"/>
            </w14:solidFill>
          </w14:textFill>
        </w:rPr>
        <w:t>，</w:t>
      </w:r>
      <w:r>
        <w:rPr>
          <w:rFonts w:hint="eastAsia" w:eastAsia="仿宋"/>
          <w:color w:val="000000" w:themeColor="text1"/>
          <w:sz w:val="32"/>
          <w:szCs w:val="32"/>
          <w:lang w:val="en-US" w:eastAsia="zh-CN"/>
          <w14:textFill>
            <w14:solidFill>
              <w14:schemeClr w14:val="tx1"/>
            </w14:solidFill>
          </w14:textFill>
        </w:rPr>
        <w:t>未按照合同约定工期完成</w:t>
      </w:r>
      <w:r>
        <w:rPr>
          <w:rFonts w:hint="eastAsia" w:eastAsia="仿宋"/>
          <w:color w:val="000000" w:themeColor="text1"/>
          <w:sz w:val="32"/>
          <w:szCs w:val="32"/>
          <w14:textFill>
            <w14:solidFill>
              <w14:schemeClr w14:val="tx1"/>
            </w14:solidFill>
          </w14:textFill>
        </w:rPr>
        <w:t>。规划项目的特点是规划控制与引导，实施过程长，社会效益及其他效益短期内不明显，难以量化进行考量。</w:t>
      </w:r>
    </w:p>
    <w:p>
      <w:pPr>
        <w:widowControl/>
        <w:spacing w:line="360" w:lineRule="auto"/>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（三）存在的问题和原因</w:t>
      </w:r>
    </w:p>
    <w:p>
      <w:pPr>
        <w:widowControl/>
        <w:spacing w:line="360" w:lineRule="auto"/>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1.上年度绩效评价结果应用情况</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本项目上年度实施了绩效自评并形成了项目自评表及项目自评报告。通过上年度的绩效自评工作，梳理了绩效指标体系。</w:t>
      </w:r>
    </w:p>
    <w:p>
      <w:pPr>
        <w:widowControl/>
        <w:spacing w:line="360" w:lineRule="auto"/>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2.本年度绩效存在的问题和原因</w:t>
      </w:r>
    </w:p>
    <w:p>
      <w:pPr>
        <w:widowControl/>
        <w:spacing w:line="360" w:lineRule="auto"/>
        <w:ind w:firstLine="640" w:firstLineChars="200"/>
        <w:rPr>
          <w:rFonts w:hint="eastAsia" w:eastAsia="仿宋"/>
          <w:color w:val="000000" w:themeColor="text1"/>
          <w:sz w:val="32"/>
          <w:szCs w:val="32"/>
          <w:lang w:val="en-US" w:eastAsia="zh-CN"/>
          <w14:textFill>
            <w14:solidFill>
              <w14:schemeClr w14:val="tx1"/>
            </w14:solidFill>
          </w14:textFill>
        </w:rPr>
      </w:pPr>
      <w:r>
        <w:rPr>
          <w:rFonts w:hint="eastAsia" w:eastAsia="仿宋"/>
          <w:color w:val="000000" w:themeColor="text1"/>
          <w:sz w:val="32"/>
          <w:szCs w:val="32"/>
          <w14:textFill>
            <w14:solidFill>
              <w14:schemeClr w14:val="tx1"/>
            </w14:solidFill>
          </w14:textFill>
        </w:rPr>
        <w:t>（1）绩效指标体系有待进一步优化。一是本项目202</w:t>
      </w:r>
      <w:r>
        <w:rPr>
          <w:rFonts w:hint="eastAsia" w:eastAsia="仿宋"/>
          <w:color w:val="000000" w:themeColor="text1"/>
          <w:sz w:val="32"/>
          <w:szCs w:val="32"/>
          <w:lang w:val="en-US" w:eastAsia="zh-CN"/>
          <w14:textFill>
            <w14:solidFill>
              <w14:schemeClr w14:val="tx1"/>
            </w14:solidFill>
          </w14:textFill>
        </w:rPr>
        <w:t>2</w:t>
      </w:r>
      <w:r>
        <w:rPr>
          <w:rFonts w:hint="eastAsia" w:eastAsia="仿宋"/>
          <w:color w:val="000000" w:themeColor="text1"/>
          <w:sz w:val="32"/>
          <w:szCs w:val="32"/>
          <w14:textFill>
            <w14:solidFill>
              <w14:schemeClr w14:val="tx1"/>
            </w14:solidFill>
          </w14:textFill>
        </w:rPr>
        <w:t>年项目申报表中项目年度绩效“指标值”</w:t>
      </w:r>
      <w:r>
        <w:rPr>
          <w:rFonts w:hint="eastAsia" w:eastAsia="仿宋"/>
          <w:color w:val="000000" w:themeColor="text1"/>
          <w:sz w:val="32"/>
          <w:szCs w:val="32"/>
          <w:lang w:val="en-US" w:eastAsia="zh-CN"/>
          <w14:textFill>
            <w14:solidFill>
              <w14:schemeClr w14:val="tx1"/>
            </w14:solidFill>
          </w14:textFill>
        </w:rPr>
        <w:t>缺乏数量指标。</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（2）规划设计工作的实施及验收不够及时。项目</w:t>
      </w:r>
      <w:r>
        <w:rPr>
          <w:rFonts w:hint="eastAsia" w:eastAsia="仿宋"/>
          <w:color w:val="000000" w:themeColor="text1"/>
          <w:sz w:val="32"/>
          <w:szCs w:val="32"/>
          <w:lang w:val="en-US" w:eastAsia="zh-CN"/>
          <w14:textFill>
            <w14:solidFill>
              <w14:schemeClr w14:val="tx1"/>
            </w14:solidFill>
          </w14:textFill>
        </w:rPr>
        <w:t>对规划</w:t>
      </w:r>
      <w:r>
        <w:rPr>
          <w:rFonts w:hint="eastAsia" w:eastAsia="仿宋"/>
          <w:color w:val="000000" w:themeColor="text1"/>
          <w:sz w:val="32"/>
          <w:szCs w:val="32"/>
          <w14:textFill>
            <w14:solidFill>
              <w14:schemeClr w14:val="tx1"/>
            </w14:solidFill>
          </w14:textFill>
        </w:rPr>
        <w:t>工作进展监控不足，未形成项目相关的管理制度。规划设计工作</w:t>
      </w:r>
      <w:r>
        <w:rPr>
          <w:rFonts w:hint="eastAsia" w:eastAsia="仿宋"/>
          <w:color w:val="000000" w:themeColor="text1"/>
          <w:sz w:val="32"/>
          <w:szCs w:val="32"/>
          <w:lang w:val="en-US" w:eastAsia="zh-CN"/>
          <w14:textFill>
            <w14:solidFill>
              <w14:schemeClr w14:val="tx1"/>
            </w14:solidFill>
          </w14:textFill>
        </w:rPr>
        <w:t>中武汉开发区产城融合发展规划工作已验收，十四五测绘工作已完成年度任务，其他规划项目如经开区控制性详细规划导则、</w:t>
      </w:r>
      <w:r>
        <w:rPr>
          <w:rFonts w:hint="eastAsia" w:eastAsia="仿宋"/>
          <w:color w:val="000000" w:themeColor="text1"/>
          <w:sz w:val="32"/>
          <w:szCs w:val="32"/>
          <w14:textFill>
            <w14:solidFill>
              <w14:schemeClr w14:val="tx1"/>
            </w14:solidFill>
          </w14:textFill>
        </w:rPr>
        <w:t>武汉经济技术开发区区街两级国土空间总体规划（2021-2035）编制等主要项目仍在实施阶段，未正式投入使用。</w:t>
      </w:r>
    </w:p>
    <w:p>
      <w:pPr>
        <w:widowControl/>
        <w:spacing w:line="360" w:lineRule="auto"/>
        <w:ind w:firstLine="643" w:firstLineChars="200"/>
        <w:jc w:val="left"/>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（四）下一步拟改进措施</w:t>
      </w:r>
    </w:p>
    <w:p>
      <w:pPr>
        <w:widowControl/>
        <w:spacing w:line="360" w:lineRule="auto"/>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1.下一步拟改进措施</w:t>
      </w:r>
    </w:p>
    <w:p>
      <w:pPr>
        <w:widowControl/>
        <w:spacing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（1）梳理项目内容，合理设置绩效目标。紧贴年度工作计划和要点，制定科学合理的绩效目标和年度指标值。通过本次自评，在第三方专业机构的辅导下，完善本项目绩效指标。</w:t>
      </w:r>
    </w:p>
    <w:p>
      <w:pPr>
        <w:widowControl/>
        <w:spacing w:line="360" w:lineRule="auto"/>
        <w:ind w:firstLine="640" w:firstLineChars="200"/>
      </w:pPr>
      <w:r>
        <w:rPr>
          <w:rFonts w:hint="eastAsia" w:eastAsia="仿宋"/>
          <w:color w:val="000000" w:themeColor="text1"/>
          <w:sz w:val="32"/>
          <w:szCs w:val="32"/>
          <w14:textFill>
            <w14:solidFill>
              <w14:schemeClr w14:val="tx1"/>
            </w14:solidFill>
          </w14:textFill>
        </w:rPr>
        <w:t>（2）针对“支撑引导服务经济发展、城市功能品质提升”指标的改进措施是形成规划设计经费项目管理制度，明确时间节点，细化职责任务，强化统筹协调，确保高质量及时完成好规划设计工作。</w:t>
      </w:r>
    </w:p>
    <w:p>
      <w:pPr>
        <w:widowControl/>
        <w:spacing w:line="360" w:lineRule="auto"/>
        <w:ind w:firstLine="643"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2.拟与预算安排相结合情况</w:t>
      </w:r>
    </w:p>
    <w:p>
      <w:pPr>
        <w:pStyle w:val="2"/>
        <w:spacing w:after="0"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本项目绩效指标设置不够</w:t>
      </w:r>
      <w:r>
        <w:rPr>
          <w:rFonts w:hint="eastAsia" w:eastAsia="仿宋"/>
          <w:color w:val="000000" w:themeColor="text1"/>
          <w:sz w:val="32"/>
          <w:szCs w:val="32"/>
          <w:lang w:val="en-US" w:eastAsia="zh-CN"/>
          <w14:textFill>
            <w14:solidFill>
              <w14:schemeClr w14:val="tx1"/>
            </w14:solidFill>
          </w14:textFill>
        </w:rPr>
        <w:t>完善</w:t>
      </w:r>
      <w:r>
        <w:rPr>
          <w:rFonts w:hint="eastAsia" w:eastAsia="仿宋"/>
          <w:color w:val="000000" w:themeColor="text1"/>
          <w:sz w:val="32"/>
          <w:szCs w:val="32"/>
          <w14:textFill>
            <w14:solidFill>
              <w14:schemeClr w14:val="tx1"/>
            </w14:solidFill>
          </w14:textFill>
        </w:rPr>
        <w:t>。通过本次自评，梳理项目内容，完善绩效指标编制。拟对</w:t>
      </w:r>
      <w:r>
        <w:rPr>
          <w:rFonts w:hint="eastAsia" w:eastAsia="仿宋"/>
          <w:color w:val="000000" w:themeColor="text1"/>
          <w:sz w:val="32"/>
          <w:szCs w:val="32"/>
          <w:lang w:val="en-US" w:eastAsia="zh-CN"/>
          <w14:textFill>
            <w14:solidFill>
              <w14:schemeClr w14:val="tx1"/>
            </w14:solidFill>
          </w14:textFill>
        </w:rPr>
        <w:t>数量指标进行量化，</w:t>
      </w:r>
      <w:r>
        <w:rPr>
          <w:rFonts w:hint="eastAsia" w:eastAsia="仿宋"/>
          <w:color w:val="000000" w:themeColor="text1"/>
          <w:sz w:val="32"/>
          <w:szCs w:val="32"/>
          <w14:textFill>
            <w14:solidFill>
              <w14:schemeClr w14:val="tx1"/>
            </w14:solidFill>
          </w14:textFill>
        </w:rPr>
        <w:t>效益指标</w:t>
      </w:r>
      <w:r>
        <w:rPr>
          <w:rFonts w:hint="eastAsia" w:eastAsia="仿宋"/>
          <w:color w:val="000000" w:themeColor="text1"/>
          <w:sz w:val="32"/>
          <w:szCs w:val="32"/>
          <w:lang w:val="en-US" w:eastAsia="zh-CN"/>
          <w14:textFill>
            <w14:solidFill>
              <w14:schemeClr w14:val="tx1"/>
            </w14:solidFill>
          </w14:textFill>
        </w:rPr>
        <w:t>中从规划项目特点设置指导性、特色性、完善性</w:t>
      </w:r>
      <w:r>
        <w:rPr>
          <w:rFonts w:hint="eastAsia" w:eastAsia="仿宋"/>
          <w:color w:val="000000" w:themeColor="text1"/>
          <w:sz w:val="32"/>
          <w:szCs w:val="32"/>
          <w14:textFill>
            <w14:solidFill>
              <w14:schemeClr w14:val="tx1"/>
            </w14:solidFill>
          </w14:textFill>
        </w:rPr>
        <w:t>的</w:t>
      </w:r>
      <w:r>
        <w:rPr>
          <w:rFonts w:hint="eastAsia" w:eastAsia="仿宋"/>
          <w:color w:val="000000" w:themeColor="text1"/>
          <w:sz w:val="32"/>
          <w:szCs w:val="32"/>
          <w:lang w:val="en-US" w:eastAsia="zh-CN"/>
          <w14:textFill>
            <w14:solidFill>
              <w14:schemeClr w14:val="tx1"/>
            </w14:solidFill>
          </w14:textFill>
        </w:rPr>
        <w:t>三个</w:t>
      </w:r>
      <w:r>
        <w:rPr>
          <w:rFonts w:hint="eastAsia" w:eastAsia="仿宋"/>
          <w:color w:val="000000" w:themeColor="text1"/>
          <w:sz w:val="32"/>
          <w:szCs w:val="32"/>
          <w14:textFill>
            <w14:solidFill>
              <w14:schemeClr w14:val="tx1"/>
            </w14:solidFill>
          </w14:textFill>
        </w:rPr>
        <w:t>指标值</w:t>
      </w:r>
      <w:r>
        <w:rPr>
          <w:rFonts w:hint="eastAsia" w:eastAsia="仿宋"/>
          <w:color w:val="000000" w:themeColor="text1"/>
          <w:sz w:val="32"/>
          <w:szCs w:val="32"/>
          <w:lang w:val="en-US" w:eastAsia="zh-CN"/>
          <w14:textFill>
            <w14:solidFill>
              <w14:schemeClr w14:val="tx1"/>
            </w14:solidFill>
          </w14:textFill>
        </w:rPr>
        <w:t>进行考核</w:t>
      </w:r>
      <w:r>
        <w:rPr>
          <w:rFonts w:hint="eastAsia" w:eastAsia="仿宋"/>
          <w:color w:val="000000" w:themeColor="text1"/>
          <w:sz w:val="32"/>
          <w:szCs w:val="32"/>
          <w14:textFill>
            <w14:solidFill>
              <w14:schemeClr w14:val="tx1"/>
            </w14:solidFill>
          </w14:textFill>
        </w:rPr>
        <w:t>。</w:t>
      </w:r>
    </w:p>
    <w:p>
      <w:pPr>
        <w:pStyle w:val="2"/>
        <w:spacing w:after="0" w:line="560" w:lineRule="exact"/>
        <w:ind w:firstLine="640" w:firstLineChars="200"/>
        <w:rPr>
          <w:rFonts w:eastAsia="仿宋"/>
          <w:color w:val="000000" w:themeColor="text1"/>
          <w:sz w:val="32"/>
          <w:szCs w:val="32"/>
          <w14:textFill>
            <w14:solidFill>
              <w14:schemeClr w14:val="tx1"/>
            </w14:solidFill>
          </w14:textFill>
        </w:rPr>
      </w:pPr>
    </w:p>
    <w:p>
      <w:pPr>
        <w:pStyle w:val="2"/>
        <w:spacing w:after="0" w:line="560" w:lineRule="exact"/>
        <w:ind w:firstLine="640" w:firstLineChars="200"/>
        <w:rPr>
          <w:rFonts w:eastAsia="楷体"/>
          <w:color w:val="000000" w:themeColor="text1"/>
          <w:sz w:val="32"/>
          <w:szCs w:val="32"/>
          <w14:textFill>
            <w14:solidFill>
              <w14:schemeClr w14:val="tx1"/>
            </w14:solidFill>
          </w14:textFill>
        </w:rPr>
        <w:sectPr>
          <w:footerReference r:id="rId3" w:type="default"/>
          <w:pgSz w:w="11906" w:h="16838"/>
          <w:pgMar w:top="2098" w:right="1474" w:bottom="1984" w:left="1587" w:header="851" w:footer="992" w:gutter="0"/>
          <w:cols w:space="720" w:num="1"/>
          <w:docGrid w:type="lines" w:linePitch="312" w:charSpace="0"/>
        </w:sectPr>
      </w:pPr>
      <w:r>
        <w:rPr>
          <w:rFonts w:hint="eastAsia" w:eastAsia="楷体"/>
          <w:color w:val="000000" w:themeColor="text1"/>
          <w:sz w:val="32"/>
          <w:szCs w:val="32"/>
          <w14:textFill>
            <w14:solidFill>
              <w14:schemeClr w14:val="tx1"/>
            </w14:solidFill>
          </w14:textFill>
        </w:rPr>
        <w:t>附件：2022年度规划设计经费项目自评表</w:t>
      </w:r>
    </w:p>
    <w:p>
      <w:pPr>
        <w:pStyle w:val="2"/>
        <w:spacing w:after="0"/>
        <w:ind w:firstLine="643" w:firstLineChars="200"/>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附件：</w:t>
      </w:r>
    </w:p>
    <w:tbl>
      <w:tblPr>
        <w:tblStyle w:val="11"/>
        <w:tblW w:w="8431" w:type="dxa"/>
        <w:tblInd w:w="108" w:type="dxa"/>
        <w:tblLayout w:type="fixed"/>
        <w:tblCellMar>
          <w:top w:w="0" w:type="dxa"/>
          <w:left w:w="108" w:type="dxa"/>
          <w:bottom w:w="0" w:type="dxa"/>
          <w:right w:w="108" w:type="dxa"/>
        </w:tblCellMar>
      </w:tblPr>
      <w:tblGrid>
        <w:gridCol w:w="616"/>
        <w:gridCol w:w="616"/>
        <w:gridCol w:w="1164"/>
        <w:gridCol w:w="1143"/>
        <w:gridCol w:w="1923"/>
        <w:gridCol w:w="2248"/>
        <w:gridCol w:w="721"/>
      </w:tblGrid>
      <w:tr>
        <w:trPr>
          <w:trHeight w:val="942" w:hRule="atLeast"/>
        </w:trPr>
        <w:tc>
          <w:tcPr>
            <w:tcW w:w="8431" w:type="dxa"/>
            <w:gridSpan w:val="7"/>
            <w:tcBorders>
              <w:top w:val="nil"/>
              <w:left w:val="nil"/>
              <w:bottom w:val="nil"/>
              <w:right w:val="nil"/>
            </w:tcBorders>
            <w:shd w:val="clear" w:color="auto" w:fill="auto"/>
            <w:vAlign w:val="center"/>
          </w:tcPr>
          <w:p>
            <w:pPr>
              <w:widowControl/>
              <w:jc w:val="center"/>
              <w:rPr>
                <w:rFonts w:ascii="仿宋" w:hAnsi="仿宋" w:eastAsia="仿宋" w:cs="宋体"/>
                <w:b/>
                <w:bCs/>
                <w:color w:val="000000"/>
                <w:kern w:val="0"/>
                <w:sz w:val="32"/>
                <w:szCs w:val="32"/>
              </w:rPr>
            </w:pPr>
            <w:r>
              <w:rPr>
                <w:rFonts w:hint="eastAsia" w:ascii="仿宋" w:hAnsi="仿宋" w:eastAsia="仿宋" w:cs="宋体"/>
                <w:b/>
                <w:bCs/>
                <w:color w:val="000000"/>
                <w:kern w:val="0"/>
                <w:sz w:val="32"/>
                <w:szCs w:val="32"/>
              </w:rPr>
              <w:t>2022年度规划设计经费项目自评表</w:t>
            </w:r>
          </w:p>
        </w:tc>
      </w:tr>
      <w:tr>
        <w:tblPrEx>
          <w:tblCellMar>
            <w:top w:w="0" w:type="dxa"/>
            <w:left w:w="108" w:type="dxa"/>
            <w:bottom w:w="0" w:type="dxa"/>
            <w:right w:w="108" w:type="dxa"/>
          </w:tblCellMar>
        </w:tblPrEx>
        <w:trPr>
          <w:trHeight w:val="432" w:hRule="atLeast"/>
        </w:trPr>
        <w:tc>
          <w:tcPr>
            <w:tcW w:w="8431" w:type="dxa"/>
            <w:gridSpan w:val="7"/>
            <w:tcBorders>
              <w:top w:val="nil"/>
              <w:left w:val="nil"/>
              <w:bottom w:val="single" w:color="auto" w:sz="4" w:space="0"/>
              <w:right w:val="nil"/>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单位名称：武汉经济技术开发区（汉南区）国土资源和规划局                               填报日期：202</w:t>
            </w:r>
            <w:r>
              <w:rPr>
                <w:rFonts w:hint="eastAsia" w:ascii="仿宋" w:hAnsi="仿宋" w:eastAsia="仿宋" w:cs="宋体"/>
                <w:color w:val="000000"/>
                <w:kern w:val="0"/>
                <w:sz w:val="20"/>
                <w:szCs w:val="20"/>
                <w:lang w:val="en-US" w:eastAsia="zh-CN"/>
              </w:rPr>
              <w:t>3</w:t>
            </w:r>
            <w:r>
              <w:rPr>
                <w:rFonts w:hint="eastAsia" w:ascii="仿宋" w:hAnsi="仿宋" w:eastAsia="仿宋" w:cs="宋体"/>
                <w:color w:val="000000"/>
                <w:kern w:val="0"/>
                <w:sz w:val="20"/>
                <w:szCs w:val="20"/>
              </w:rPr>
              <w:t>年</w:t>
            </w:r>
            <w:r>
              <w:rPr>
                <w:rFonts w:hint="eastAsia" w:ascii="仿宋" w:hAnsi="仿宋" w:eastAsia="仿宋" w:cs="宋体"/>
                <w:color w:val="000000"/>
                <w:kern w:val="0"/>
                <w:sz w:val="20"/>
                <w:szCs w:val="20"/>
                <w:lang w:val="en-US" w:eastAsia="zh-CN"/>
              </w:rPr>
              <w:t>4</w:t>
            </w:r>
            <w:r>
              <w:rPr>
                <w:rFonts w:hint="eastAsia" w:ascii="仿宋" w:hAnsi="仿宋" w:eastAsia="仿宋" w:cs="宋体"/>
                <w:color w:val="000000"/>
                <w:kern w:val="0"/>
                <w:sz w:val="20"/>
                <w:szCs w:val="20"/>
              </w:rPr>
              <w:t>月1</w:t>
            </w:r>
            <w:r>
              <w:rPr>
                <w:rFonts w:hint="eastAsia" w:ascii="仿宋" w:hAnsi="仿宋" w:eastAsia="仿宋" w:cs="宋体"/>
                <w:color w:val="000000"/>
                <w:kern w:val="0"/>
                <w:sz w:val="20"/>
                <w:szCs w:val="20"/>
                <w:lang w:val="en-US" w:eastAsia="zh-CN"/>
              </w:rPr>
              <w:t>2</w:t>
            </w:r>
            <w:r>
              <w:rPr>
                <w:rFonts w:hint="eastAsia" w:ascii="仿宋" w:hAnsi="仿宋" w:eastAsia="仿宋" w:cs="宋体"/>
                <w:color w:val="000000"/>
                <w:kern w:val="0"/>
                <w:sz w:val="20"/>
                <w:szCs w:val="20"/>
              </w:rPr>
              <w:t>日</w:t>
            </w:r>
          </w:p>
        </w:tc>
      </w:tr>
      <w:tr>
        <w:tblPrEx>
          <w:tblCellMar>
            <w:top w:w="0" w:type="dxa"/>
            <w:left w:w="108" w:type="dxa"/>
            <w:bottom w:w="0" w:type="dxa"/>
            <w:right w:w="108" w:type="dxa"/>
          </w:tblCellMar>
        </w:tblPrEx>
        <w:trPr>
          <w:trHeight w:val="420" w:hRule="atLeast"/>
        </w:trPr>
        <w:tc>
          <w:tcPr>
            <w:tcW w:w="12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项目名称</w:t>
            </w:r>
          </w:p>
        </w:tc>
        <w:tc>
          <w:tcPr>
            <w:tcW w:w="719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规划设计经费项目</w:t>
            </w:r>
          </w:p>
        </w:tc>
      </w:tr>
      <w:tr>
        <w:tblPrEx>
          <w:tblCellMar>
            <w:top w:w="0" w:type="dxa"/>
            <w:left w:w="108" w:type="dxa"/>
            <w:bottom w:w="0" w:type="dxa"/>
            <w:right w:w="108" w:type="dxa"/>
          </w:tblCellMar>
        </w:tblPrEx>
        <w:trPr>
          <w:trHeight w:val="720" w:hRule="atLeast"/>
        </w:trPr>
        <w:tc>
          <w:tcPr>
            <w:tcW w:w="12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主管部门</w:t>
            </w:r>
          </w:p>
        </w:tc>
        <w:tc>
          <w:tcPr>
            <w:tcW w:w="23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武汉经济技术开发区（汉南区）自然资源和规划局</w:t>
            </w:r>
          </w:p>
        </w:tc>
        <w:tc>
          <w:tcPr>
            <w:tcW w:w="19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项目实施单位</w:t>
            </w:r>
          </w:p>
        </w:tc>
        <w:tc>
          <w:tcPr>
            <w:tcW w:w="2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武汉经济技术开发区（汉南区）自然资源和规划局</w:t>
            </w:r>
          </w:p>
        </w:tc>
      </w:tr>
      <w:tr>
        <w:tblPrEx>
          <w:tblCellMar>
            <w:top w:w="0" w:type="dxa"/>
            <w:left w:w="108" w:type="dxa"/>
            <w:bottom w:w="0" w:type="dxa"/>
            <w:right w:w="108" w:type="dxa"/>
          </w:tblCellMar>
        </w:tblPrEx>
        <w:trPr>
          <w:trHeight w:val="720" w:hRule="atLeast"/>
        </w:trPr>
        <w:tc>
          <w:tcPr>
            <w:tcW w:w="123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项目类别</w:t>
            </w:r>
          </w:p>
        </w:tc>
        <w:tc>
          <w:tcPr>
            <w:tcW w:w="7199"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1.部门预算项目   </w:t>
            </w:r>
            <w:r>
              <w:rPr>
                <w:rFonts w:ascii="Wingdings" w:hAnsi="Wingdings" w:eastAsia="仿宋" w:cs="宋体"/>
                <w:color w:val="000000"/>
                <w:kern w:val="0"/>
                <w:sz w:val="20"/>
                <w:szCs w:val="20"/>
              </w:rPr>
              <w:t>þ</w:t>
            </w:r>
            <w:r>
              <w:rPr>
                <w:rFonts w:hint="eastAsia" w:ascii="仿宋" w:hAnsi="仿宋" w:eastAsia="仿宋" w:cs="宋体"/>
                <w:color w:val="000000"/>
                <w:kern w:val="0"/>
                <w:sz w:val="20"/>
                <w:szCs w:val="20"/>
              </w:rPr>
              <w:t xml:space="preserve">            2.财政专项资金   □</w:t>
            </w:r>
          </w:p>
        </w:tc>
      </w:tr>
      <w:tr>
        <w:tblPrEx>
          <w:tblCellMar>
            <w:top w:w="0" w:type="dxa"/>
            <w:left w:w="108" w:type="dxa"/>
            <w:bottom w:w="0" w:type="dxa"/>
            <w:right w:w="108" w:type="dxa"/>
          </w:tblCellMar>
        </w:tblPrEx>
        <w:trPr>
          <w:trHeight w:val="720" w:hRule="atLeast"/>
        </w:trPr>
        <w:tc>
          <w:tcPr>
            <w:tcW w:w="123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项目属性</w:t>
            </w:r>
          </w:p>
        </w:tc>
        <w:tc>
          <w:tcPr>
            <w:tcW w:w="7199"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1.持续性项目     </w:t>
            </w:r>
            <w:r>
              <w:rPr>
                <w:rFonts w:ascii="Wingdings" w:hAnsi="Wingdings" w:eastAsia="仿宋" w:cs="宋体"/>
                <w:color w:val="000000"/>
                <w:kern w:val="0"/>
                <w:sz w:val="20"/>
                <w:szCs w:val="20"/>
              </w:rPr>
              <w:t>þ</w:t>
            </w:r>
            <w:r>
              <w:rPr>
                <w:rFonts w:hint="eastAsia" w:ascii="仿宋" w:hAnsi="仿宋" w:eastAsia="仿宋" w:cs="宋体"/>
                <w:color w:val="000000"/>
                <w:kern w:val="0"/>
                <w:sz w:val="20"/>
                <w:szCs w:val="20"/>
              </w:rPr>
              <w:t xml:space="preserve">            2.新增性项目     □</w:t>
            </w:r>
          </w:p>
        </w:tc>
      </w:tr>
      <w:tr>
        <w:tblPrEx>
          <w:tblCellMar>
            <w:top w:w="0" w:type="dxa"/>
            <w:left w:w="108" w:type="dxa"/>
            <w:bottom w:w="0" w:type="dxa"/>
            <w:right w:w="108" w:type="dxa"/>
          </w:tblCellMar>
        </w:tblPrEx>
        <w:trPr>
          <w:trHeight w:val="720" w:hRule="atLeast"/>
        </w:trPr>
        <w:tc>
          <w:tcPr>
            <w:tcW w:w="123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项目类型</w:t>
            </w:r>
          </w:p>
        </w:tc>
        <w:tc>
          <w:tcPr>
            <w:tcW w:w="7199"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 xml:space="preserve">1.常年性项目     </w:t>
            </w:r>
            <w:r>
              <w:rPr>
                <w:rFonts w:ascii="Wingdings" w:hAnsi="Wingdings" w:eastAsia="仿宋" w:cs="宋体"/>
                <w:color w:val="000000"/>
                <w:kern w:val="0"/>
                <w:sz w:val="20"/>
                <w:szCs w:val="20"/>
              </w:rPr>
              <w:t>þ</w:t>
            </w:r>
            <w:r>
              <w:rPr>
                <w:rFonts w:hint="eastAsia" w:ascii="仿宋" w:hAnsi="仿宋" w:eastAsia="仿宋" w:cs="宋体"/>
                <w:color w:val="000000"/>
                <w:kern w:val="0"/>
                <w:sz w:val="20"/>
                <w:szCs w:val="20"/>
              </w:rPr>
              <w:t xml:space="preserve">       2.延续性项目    □    3.一次性项目    □</w:t>
            </w:r>
          </w:p>
        </w:tc>
      </w:tr>
      <w:tr>
        <w:tblPrEx>
          <w:tblCellMar>
            <w:top w:w="0" w:type="dxa"/>
            <w:left w:w="108" w:type="dxa"/>
            <w:bottom w:w="0" w:type="dxa"/>
            <w:right w:w="108" w:type="dxa"/>
          </w:tblCellMar>
        </w:tblPrEx>
        <w:trPr>
          <w:trHeight w:val="705" w:hRule="atLeast"/>
        </w:trPr>
        <w:tc>
          <w:tcPr>
            <w:tcW w:w="12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预算执行情况</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（万元）</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（20分）</w:t>
            </w:r>
          </w:p>
        </w:tc>
        <w:tc>
          <w:tcPr>
            <w:tcW w:w="1164"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　</w:t>
            </w:r>
          </w:p>
        </w:tc>
        <w:tc>
          <w:tcPr>
            <w:tcW w:w="114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预算数（A）</w:t>
            </w:r>
          </w:p>
        </w:tc>
        <w:tc>
          <w:tcPr>
            <w:tcW w:w="19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执行数（B）</w:t>
            </w:r>
          </w:p>
        </w:tc>
        <w:tc>
          <w:tcPr>
            <w:tcW w:w="22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执行率(B/A)</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得分(20分*执行率)</w:t>
            </w:r>
          </w:p>
        </w:tc>
      </w:tr>
      <w:tr>
        <w:tblPrEx>
          <w:tblCellMar>
            <w:top w:w="0" w:type="dxa"/>
            <w:left w:w="108" w:type="dxa"/>
            <w:bottom w:w="0" w:type="dxa"/>
            <w:right w:w="108" w:type="dxa"/>
          </w:tblCellMar>
        </w:tblPrEx>
        <w:trPr>
          <w:trHeight w:val="525" w:hRule="atLeast"/>
        </w:trPr>
        <w:tc>
          <w:tcPr>
            <w:tcW w:w="12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1164" w:type="dxa"/>
            <w:tcBorders>
              <w:top w:val="nil"/>
              <w:left w:val="nil"/>
              <w:bottom w:val="single" w:color="auto" w:sz="4" w:space="0"/>
              <w:right w:val="single" w:color="auto" w:sz="4" w:space="0"/>
            </w:tcBorders>
            <w:shd w:val="clear" w:color="auto" w:fill="auto"/>
            <w:vAlign w:val="center"/>
          </w:tcPr>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年度财政资金总额</w:t>
            </w: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4,641.00</w:t>
            </w:r>
            <w:r>
              <w:rPr>
                <w:rFonts w:hint="eastAsia" w:ascii="仿宋" w:hAnsi="仿宋" w:eastAsia="仿宋" w:cs="宋体"/>
                <w:kern w:val="0"/>
                <w:sz w:val="20"/>
                <w:szCs w:val="20"/>
              </w:rPr>
              <w:t xml:space="preserve"> </w:t>
            </w:r>
          </w:p>
        </w:tc>
        <w:tc>
          <w:tcPr>
            <w:tcW w:w="19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1,762.45</w:t>
            </w:r>
          </w:p>
        </w:tc>
        <w:tc>
          <w:tcPr>
            <w:tcW w:w="22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37.98</w:t>
            </w:r>
            <w:r>
              <w:rPr>
                <w:rFonts w:hint="eastAsia" w:ascii="仿宋" w:hAnsi="仿宋" w:eastAsia="仿宋" w:cs="宋体"/>
                <w:kern w:val="0"/>
                <w:sz w:val="20"/>
                <w:szCs w:val="20"/>
              </w:rPr>
              <w:t>%</w:t>
            </w:r>
          </w:p>
        </w:tc>
        <w:tc>
          <w:tcPr>
            <w:tcW w:w="721" w:type="dxa"/>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lang w:val="en-US" w:eastAsia="zh-CN"/>
              </w:rPr>
              <w:t>7.6</w:t>
            </w:r>
            <w:r>
              <w:rPr>
                <w:rFonts w:hint="eastAsia" w:ascii="仿宋" w:hAnsi="仿宋" w:eastAsia="仿宋" w:cs="宋体"/>
                <w:kern w:val="0"/>
                <w:sz w:val="20"/>
                <w:szCs w:val="20"/>
              </w:rPr>
              <w:t xml:space="preserve"> </w:t>
            </w:r>
          </w:p>
        </w:tc>
      </w:tr>
      <w:tr>
        <w:tblPrEx>
          <w:tblCellMar>
            <w:top w:w="0" w:type="dxa"/>
            <w:left w:w="108" w:type="dxa"/>
            <w:bottom w:w="0" w:type="dxa"/>
            <w:right w:w="108" w:type="dxa"/>
          </w:tblCellMar>
        </w:tblPrEx>
        <w:trPr>
          <w:trHeight w:val="822" w:hRule="atLeast"/>
        </w:trPr>
        <w:tc>
          <w:tcPr>
            <w:tcW w:w="616" w:type="dxa"/>
            <w:vMerge w:val="restart"/>
            <w:tcBorders>
              <w:top w:val="nil"/>
              <w:left w:val="single" w:color="auto" w:sz="4" w:space="0"/>
              <w:bottom w:val="single" w:color="auto" w:sz="4" w:space="0"/>
              <w:right w:val="single" w:color="auto" w:sz="4" w:space="0"/>
            </w:tcBorders>
            <w:shd w:val="clear" w:color="auto" w:fill="auto"/>
            <w:noWrap/>
            <w:textDirection w:val="tbRlV"/>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年度绩效目标</w:t>
            </w:r>
          </w:p>
        </w:tc>
        <w:tc>
          <w:tcPr>
            <w:tcW w:w="616"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一级</w:t>
            </w:r>
            <w:r>
              <w:rPr>
                <w:rFonts w:hint="eastAsia" w:ascii="仿宋" w:hAnsi="仿宋" w:eastAsia="仿宋" w:cs="宋体"/>
                <w:color w:val="000000"/>
                <w:kern w:val="0"/>
                <w:sz w:val="20"/>
                <w:szCs w:val="20"/>
              </w:rPr>
              <w:br w:type="textWrapping"/>
            </w:r>
            <w:r>
              <w:rPr>
                <w:rFonts w:hint="eastAsia" w:ascii="仿宋" w:hAnsi="仿宋" w:eastAsia="仿宋" w:cs="宋体"/>
                <w:color w:val="000000"/>
                <w:kern w:val="0"/>
                <w:sz w:val="20"/>
                <w:szCs w:val="20"/>
              </w:rPr>
              <w:t>指标</w:t>
            </w:r>
          </w:p>
        </w:tc>
        <w:tc>
          <w:tcPr>
            <w:tcW w:w="1164" w:type="dxa"/>
            <w:tcBorders>
              <w:top w:val="nil"/>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二级指标</w:t>
            </w:r>
          </w:p>
        </w:tc>
        <w:tc>
          <w:tcPr>
            <w:tcW w:w="11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指标名称</w:t>
            </w:r>
          </w:p>
        </w:tc>
        <w:tc>
          <w:tcPr>
            <w:tcW w:w="19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年初目标值（A）</w:t>
            </w:r>
          </w:p>
        </w:tc>
        <w:tc>
          <w:tcPr>
            <w:tcW w:w="224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实际完成值（B）</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得分</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产出指标（40分）</w:t>
            </w:r>
          </w:p>
        </w:tc>
        <w:tc>
          <w:tcPr>
            <w:tcW w:w="1164" w:type="dxa"/>
            <w:vMerge w:val="restart"/>
            <w:tcBorders>
              <w:top w:val="nil"/>
              <w:left w:val="nil"/>
              <w:right w:val="single" w:color="auto" w:sz="4" w:space="0"/>
            </w:tcBorders>
            <w:shd w:val="clear" w:color="auto" w:fill="auto"/>
            <w:noWrap/>
            <w:vAlign w:val="center"/>
          </w:tcPr>
          <w:p>
            <w:pPr>
              <w:widowControl/>
              <w:jc w:val="cente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数量指标</w:t>
            </w:r>
          </w:p>
          <w:p>
            <w:pPr>
              <w:pStyle w:val="2"/>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（15分）</w:t>
            </w:r>
          </w:p>
          <w:p>
            <w:pPr>
              <w:pStyle w:val="2"/>
              <w:rPr>
                <w:rFonts w:hint="default" w:ascii="仿宋" w:hAnsi="仿宋" w:eastAsia="仿宋" w:cs="宋体"/>
                <w:color w:val="000000"/>
                <w:kern w:val="0"/>
                <w:sz w:val="20"/>
                <w:szCs w:val="20"/>
                <w:lang w:val="en-US" w:eastAsia="zh-CN"/>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实施控规（2.5分）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3项，按要求完成阶段性年度任务</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编制汉南区控规导则规划评估工作、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纱帽南部城市扩展区域控规导则工作、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武汉经济技术开发区控制性详细规划导则升级版工作</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rPr>
            </w:pPr>
          </w:p>
        </w:tc>
        <w:tc>
          <w:tcPr>
            <w:tcW w:w="1164" w:type="dxa"/>
            <w:vMerge w:val="continue"/>
            <w:tcBorders>
              <w:left w:val="nil"/>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实施区域城市设计（2.5分）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2项，按要求完成阶段性年度任务</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编制武汉开发区（汉南区）长江主轴城市设计及纱帽生态宜居中心实施性城市规划设计工作</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rPr>
            </w:pPr>
          </w:p>
        </w:tc>
        <w:tc>
          <w:tcPr>
            <w:tcW w:w="1164" w:type="dxa"/>
            <w:vMerge w:val="continue"/>
            <w:tcBorders>
              <w:left w:val="nil"/>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实施专项规划（2.5分）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1项，按要求完成阶段性年度任务</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编制武汉开发区产城融合发展规划</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2.5</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left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rPr>
            </w:pPr>
          </w:p>
        </w:tc>
        <w:tc>
          <w:tcPr>
            <w:tcW w:w="1164" w:type="dxa"/>
            <w:vMerge w:val="continue"/>
            <w:tcBorders>
              <w:left w:val="nil"/>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实施国土空间规划（2.5分）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1项，按要求完成阶段性年度任务</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编制武汉经济技术开发区区街两级国土空间总体规划（2021-2023）</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2.5</w:t>
            </w:r>
          </w:p>
        </w:tc>
      </w:tr>
      <w:tr>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1164" w:type="dxa"/>
            <w:vMerge w:val="continue"/>
            <w:tcBorders>
              <w:left w:val="nil"/>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实施十四五测绘（3分）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1项，按要求完成阶段性年度任务</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武汉经开区基础测绘“十四五”规划</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3</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1164" w:type="dxa"/>
            <w:vMerge w:val="continue"/>
            <w:tcBorders>
              <w:left w:val="nil"/>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p>
        </w:tc>
        <w:tc>
          <w:tcPr>
            <w:tcW w:w="114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实施其他类规划设计工作多于5项（2分）</w:t>
            </w:r>
          </w:p>
        </w:tc>
        <w:tc>
          <w:tcPr>
            <w:tcW w:w="1923"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＞5项</w:t>
            </w:r>
          </w:p>
        </w:tc>
        <w:tc>
          <w:tcPr>
            <w:tcW w:w="224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编制各类规划论证、选址论证、规划实施方案等工作</w:t>
            </w:r>
          </w:p>
        </w:tc>
        <w:tc>
          <w:tcPr>
            <w:tcW w:w="72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2</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restart"/>
            <w:tcBorders>
              <w:top w:val="nil"/>
              <w:left w:val="single" w:color="auto" w:sz="4" w:space="0"/>
              <w:right w:val="single" w:color="auto" w:sz="4" w:space="0"/>
            </w:tcBorders>
            <w:vAlign w:val="center"/>
          </w:tcPr>
          <w:p>
            <w:pPr>
              <w:widowControl/>
              <w:jc w:val="left"/>
              <w:rPr>
                <w:rFonts w:hint="default"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产出指标</w:t>
            </w:r>
          </w:p>
        </w:tc>
        <w:tc>
          <w:tcPr>
            <w:tcW w:w="11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质量指标（15分）</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规划可指导性</w:t>
            </w:r>
          </w:p>
        </w:tc>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规划工作能够保质完成验收</w:t>
            </w:r>
          </w:p>
        </w:tc>
        <w:tc>
          <w:tcPr>
            <w:tcW w:w="224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完成《武汉经济技术开发区空间规划》方案编制工作</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15</w:t>
            </w:r>
          </w:p>
        </w:tc>
      </w:tr>
      <w:tr>
        <w:tblPrEx>
          <w:tblCellMar>
            <w:top w:w="0" w:type="dxa"/>
            <w:left w:w="108" w:type="dxa"/>
            <w:bottom w:w="0" w:type="dxa"/>
            <w:right w:w="108" w:type="dxa"/>
          </w:tblCellMar>
        </w:tblPrEx>
        <w:trPr>
          <w:trHeight w:val="822"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vMerge w:val="continue"/>
            <w:tcBorders>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11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时效指标（10分）</w:t>
            </w:r>
          </w:p>
        </w:tc>
        <w:tc>
          <w:tcPr>
            <w:tcW w:w="11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规划设计进度控制</w:t>
            </w:r>
          </w:p>
        </w:tc>
        <w:tc>
          <w:tcPr>
            <w:tcW w:w="19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按合同约定时间执行</w:t>
            </w:r>
          </w:p>
        </w:tc>
        <w:tc>
          <w:tcPr>
            <w:tcW w:w="2248"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项目基本完成阶段性目标，但开发区控制性详细规划导则升级版晚于合同约定时间。</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8</w:t>
            </w:r>
          </w:p>
        </w:tc>
      </w:tr>
      <w:tr>
        <w:tblPrEx>
          <w:tblCellMar>
            <w:top w:w="0" w:type="dxa"/>
            <w:left w:w="108" w:type="dxa"/>
            <w:bottom w:w="0" w:type="dxa"/>
            <w:right w:w="108" w:type="dxa"/>
          </w:tblCellMar>
        </w:tblPrEx>
        <w:trPr>
          <w:trHeight w:val="559"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color w:val="000000"/>
                <w:kern w:val="0"/>
                <w:sz w:val="20"/>
                <w:szCs w:val="20"/>
                <w:lang w:val="en-US" w:eastAsia="zh-CN" w:bidi="ar-SA"/>
              </w:rPr>
            </w:pPr>
            <w:r>
              <w:rPr>
                <w:rFonts w:hint="eastAsia" w:ascii="仿宋" w:hAnsi="仿宋" w:eastAsia="仿宋" w:cs="宋体"/>
                <w:color w:val="000000"/>
                <w:kern w:val="0"/>
                <w:sz w:val="20"/>
                <w:szCs w:val="20"/>
              </w:rPr>
              <w:t>效益指标（</w:t>
            </w:r>
            <w:r>
              <w:rPr>
                <w:rFonts w:hint="eastAsia" w:ascii="仿宋" w:hAnsi="仿宋" w:eastAsia="仿宋" w:cs="宋体"/>
                <w:color w:val="000000"/>
                <w:kern w:val="0"/>
                <w:sz w:val="20"/>
                <w:szCs w:val="20"/>
                <w:lang w:val="en-US" w:eastAsia="zh-CN"/>
              </w:rPr>
              <w:t>3</w:t>
            </w:r>
            <w:r>
              <w:rPr>
                <w:rFonts w:hint="eastAsia" w:ascii="仿宋" w:hAnsi="仿宋" w:eastAsia="仿宋" w:cs="宋体"/>
                <w:color w:val="000000"/>
                <w:kern w:val="0"/>
                <w:sz w:val="20"/>
                <w:szCs w:val="20"/>
              </w:rPr>
              <w:t>0分）</w:t>
            </w:r>
          </w:p>
        </w:tc>
        <w:tc>
          <w:tcPr>
            <w:tcW w:w="116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宋体"/>
                <w:color w:val="000000"/>
                <w:kern w:val="0"/>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社会效益（30分）</w:t>
            </w:r>
          </w:p>
        </w:tc>
        <w:tc>
          <w:tcPr>
            <w:tcW w:w="114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宋体"/>
                <w:color w:val="000000"/>
                <w:kern w:val="0"/>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提升城市品质、彰显区域特色、编制体系完善</w:t>
            </w:r>
          </w:p>
        </w:tc>
        <w:tc>
          <w:tcPr>
            <w:tcW w:w="192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宋体"/>
                <w:color w:val="000000"/>
                <w:kern w:val="0"/>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具有指导性、特色性、健全性</w:t>
            </w:r>
          </w:p>
        </w:tc>
        <w:tc>
          <w:tcPr>
            <w:tcW w:w="22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宋体"/>
                <w:color w:val="000000"/>
                <w:kern w:val="0"/>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完成</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宋体"/>
                <w:color w:val="000000"/>
                <w:kern w:val="0"/>
                <w:sz w:val="20"/>
                <w:szCs w:val="20"/>
                <w:lang w:val="en-US" w:eastAsia="zh-CN" w:bidi="ar-SA"/>
              </w:rPr>
            </w:pPr>
            <w:r>
              <w:rPr>
                <w:rFonts w:hint="eastAsia" w:ascii="仿宋" w:hAnsi="仿宋" w:eastAsia="仿宋" w:cs="仿宋"/>
                <w:i w:val="0"/>
                <w:iCs w:val="0"/>
                <w:color w:val="000000"/>
                <w:kern w:val="0"/>
                <w:sz w:val="20"/>
                <w:szCs w:val="20"/>
                <w:u w:val="none"/>
                <w:lang w:val="en-US" w:eastAsia="zh-CN" w:bidi="ar"/>
              </w:rPr>
              <w:t>30</w:t>
            </w:r>
          </w:p>
        </w:tc>
      </w:tr>
      <w:tr>
        <w:tblPrEx>
          <w:tblCellMar>
            <w:top w:w="0" w:type="dxa"/>
            <w:left w:w="108" w:type="dxa"/>
            <w:bottom w:w="0" w:type="dxa"/>
            <w:right w:w="108" w:type="dxa"/>
          </w:tblCellMar>
        </w:tblPrEx>
        <w:trPr>
          <w:trHeight w:val="559" w:hRule="atLeast"/>
        </w:trPr>
        <w:tc>
          <w:tcPr>
            <w:tcW w:w="61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color w:val="000000"/>
                <w:kern w:val="0"/>
                <w:sz w:val="20"/>
                <w:szCs w:val="20"/>
              </w:rPr>
            </w:pPr>
          </w:p>
        </w:tc>
        <w:tc>
          <w:tcPr>
            <w:tcW w:w="6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满意度指标（10分）</w:t>
            </w:r>
          </w:p>
        </w:tc>
        <w:tc>
          <w:tcPr>
            <w:tcW w:w="116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服务对象满意度</w:t>
            </w:r>
          </w:p>
          <w:p>
            <w:pPr>
              <w:keepNext w:val="0"/>
              <w:keepLines w:val="0"/>
              <w:widowControl/>
              <w:suppressLineNumbers w:val="0"/>
              <w:jc w:val="center"/>
              <w:textAlignment w:val="center"/>
              <w:rPr>
                <w:rFonts w:hint="default" w:ascii="仿宋" w:hAnsi="仿宋" w:eastAsia="仿宋" w:cs="宋体"/>
                <w:color w:val="000000"/>
                <w:kern w:val="0"/>
                <w:sz w:val="20"/>
                <w:szCs w:val="20"/>
                <w:lang w:val="en-US"/>
              </w:rPr>
            </w:pPr>
            <w:r>
              <w:rPr>
                <w:rFonts w:hint="eastAsia" w:ascii="仿宋" w:hAnsi="仿宋" w:eastAsia="仿宋" w:cs="仿宋"/>
                <w:i w:val="0"/>
                <w:iCs w:val="0"/>
                <w:color w:val="000000"/>
                <w:kern w:val="0"/>
                <w:sz w:val="20"/>
                <w:szCs w:val="20"/>
                <w:u w:val="none"/>
                <w:lang w:val="en-US" w:eastAsia="zh-CN" w:bidi="ar"/>
              </w:rPr>
              <w:t>（10分）</w:t>
            </w:r>
          </w:p>
        </w:tc>
        <w:tc>
          <w:tcPr>
            <w:tcW w:w="114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服务对象满意度</w:t>
            </w:r>
          </w:p>
        </w:tc>
        <w:tc>
          <w:tcPr>
            <w:tcW w:w="192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≥85%</w:t>
            </w:r>
          </w:p>
        </w:tc>
        <w:tc>
          <w:tcPr>
            <w:tcW w:w="22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完成</w:t>
            </w:r>
          </w:p>
        </w:tc>
        <w:tc>
          <w:tcPr>
            <w:tcW w:w="7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仿宋" w:hAnsi="仿宋" w:eastAsia="仿宋" w:cs="宋体"/>
                <w:color w:val="000000"/>
                <w:kern w:val="0"/>
                <w:sz w:val="20"/>
                <w:szCs w:val="20"/>
              </w:rPr>
            </w:pPr>
            <w:r>
              <w:rPr>
                <w:rFonts w:hint="eastAsia" w:ascii="仿宋" w:hAnsi="仿宋" w:eastAsia="仿宋" w:cs="仿宋"/>
                <w:i w:val="0"/>
                <w:iCs w:val="0"/>
                <w:color w:val="000000"/>
                <w:kern w:val="0"/>
                <w:sz w:val="20"/>
                <w:szCs w:val="20"/>
                <w:u w:val="none"/>
                <w:lang w:val="en-US" w:eastAsia="zh-CN" w:bidi="ar"/>
              </w:rPr>
              <w:t>10</w:t>
            </w:r>
          </w:p>
        </w:tc>
      </w:tr>
      <w:tr>
        <w:tblPrEx>
          <w:tblCellMar>
            <w:top w:w="0" w:type="dxa"/>
            <w:left w:w="108" w:type="dxa"/>
            <w:bottom w:w="0" w:type="dxa"/>
            <w:right w:w="108" w:type="dxa"/>
          </w:tblCellMar>
        </w:tblPrEx>
        <w:trPr>
          <w:trHeight w:val="465" w:hRule="atLeast"/>
        </w:trPr>
        <w:tc>
          <w:tcPr>
            <w:tcW w:w="6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总分</w:t>
            </w:r>
          </w:p>
        </w:tc>
        <w:tc>
          <w:tcPr>
            <w:tcW w:w="781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lang w:val="en-US" w:eastAsia="zh-CN"/>
              </w:rPr>
              <w:t>85.6</w:t>
            </w:r>
            <w:r>
              <w:rPr>
                <w:rFonts w:hint="eastAsia" w:ascii="仿宋" w:hAnsi="仿宋" w:eastAsia="仿宋" w:cs="宋体"/>
                <w:color w:val="000000"/>
                <w:kern w:val="0"/>
                <w:sz w:val="20"/>
                <w:szCs w:val="20"/>
              </w:rPr>
              <w:t>分</w:t>
            </w:r>
          </w:p>
        </w:tc>
      </w:tr>
      <w:tr>
        <w:tblPrEx>
          <w:tblCellMar>
            <w:top w:w="0" w:type="dxa"/>
            <w:left w:w="108" w:type="dxa"/>
            <w:bottom w:w="0" w:type="dxa"/>
            <w:right w:w="108" w:type="dxa"/>
          </w:tblCellMar>
        </w:tblPrEx>
        <w:trPr>
          <w:trHeight w:val="1039" w:hRule="atLeast"/>
        </w:trPr>
        <w:tc>
          <w:tcPr>
            <w:tcW w:w="12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偏差大或目标未完成原因分析</w:t>
            </w:r>
          </w:p>
        </w:tc>
        <w:tc>
          <w:tcPr>
            <w:tcW w:w="7199" w:type="dxa"/>
            <w:gridSpan w:val="5"/>
            <w:tcBorders>
              <w:top w:val="nil"/>
              <w:left w:val="nil"/>
              <w:bottom w:val="single" w:color="auto" w:sz="4" w:space="0"/>
              <w:right w:val="single" w:color="auto" w:sz="4" w:space="0"/>
            </w:tcBorders>
            <w:shd w:val="clear" w:color="auto" w:fill="auto"/>
            <w:vAlign w:val="center"/>
          </w:tcPr>
          <w:p>
            <w:pPr>
              <w:widowControl/>
              <w:jc w:val="left"/>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rPr>
              <w:t>1、绩效指标体系有待进一步优化。一是本项目202</w:t>
            </w:r>
            <w:r>
              <w:rPr>
                <w:rFonts w:hint="eastAsia" w:ascii="仿宋" w:hAnsi="仿宋" w:eastAsia="仿宋" w:cs="宋体"/>
                <w:color w:val="000000"/>
                <w:kern w:val="0"/>
                <w:sz w:val="20"/>
                <w:szCs w:val="20"/>
                <w:lang w:val="en-US" w:eastAsia="zh-CN"/>
              </w:rPr>
              <w:t>2</w:t>
            </w:r>
            <w:r>
              <w:rPr>
                <w:rFonts w:hint="eastAsia" w:ascii="仿宋" w:hAnsi="仿宋" w:eastAsia="仿宋" w:cs="宋体"/>
                <w:color w:val="000000"/>
                <w:kern w:val="0"/>
                <w:sz w:val="20"/>
                <w:szCs w:val="20"/>
              </w:rPr>
              <w:t>年项目申报表中项目年度绩效指标的“指标值”</w:t>
            </w:r>
            <w:r>
              <w:rPr>
                <w:rFonts w:hint="eastAsia" w:ascii="仿宋" w:hAnsi="仿宋" w:eastAsia="仿宋" w:cs="宋体"/>
                <w:color w:val="000000"/>
                <w:kern w:val="0"/>
                <w:sz w:val="20"/>
                <w:szCs w:val="20"/>
                <w:lang w:val="en-US" w:eastAsia="zh-CN"/>
              </w:rPr>
              <w:t>缺乏数量指标。</w:t>
            </w:r>
          </w:p>
          <w:p>
            <w:pPr>
              <w:widowControl/>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lang w:val="en-US" w:eastAsia="zh-CN"/>
              </w:rPr>
              <w:t>2、</w:t>
            </w:r>
            <w:r>
              <w:rPr>
                <w:rFonts w:hint="eastAsia" w:ascii="仿宋" w:hAnsi="仿宋" w:eastAsia="仿宋" w:cs="宋体"/>
                <w:color w:val="000000"/>
                <w:kern w:val="0"/>
                <w:sz w:val="20"/>
                <w:szCs w:val="20"/>
              </w:rPr>
              <w:t>规划设计工作的实施及验收不够及时。项目</w:t>
            </w:r>
            <w:r>
              <w:rPr>
                <w:rFonts w:hint="eastAsia" w:ascii="仿宋" w:hAnsi="仿宋" w:eastAsia="仿宋" w:cs="宋体"/>
                <w:color w:val="000000"/>
                <w:kern w:val="0"/>
                <w:sz w:val="20"/>
                <w:szCs w:val="20"/>
                <w:lang w:val="en-US" w:eastAsia="zh-CN"/>
              </w:rPr>
              <w:t>对规划</w:t>
            </w:r>
            <w:r>
              <w:rPr>
                <w:rFonts w:hint="eastAsia" w:ascii="仿宋" w:hAnsi="仿宋" w:eastAsia="仿宋" w:cs="宋体"/>
                <w:color w:val="000000"/>
                <w:kern w:val="0"/>
                <w:sz w:val="20"/>
                <w:szCs w:val="20"/>
              </w:rPr>
              <w:t>工作进展监控不足，未形成项目相关的管理制度。规划设计工作</w:t>
            </w:r>
            <w:r>
              <w:rPr>
                <w:rFonts w:hint="eastAsia" w:ascii="仿宋" w:hAnsi="仿宋" w:eastAsia="仿宋" w:cs="宋体"/>
                <w:color w:val="000000"/>
                <w:kern w:val="0"/>
                <w:sz w:val="20"/>
                <w:szCs w:val="20"/>
                <w:lang w:val="en-US" w:eastAsia="zh-CN"/>
              </w:rPr>
              <w:t>中武汉开发区产城融合发展规划工作已验收，十四五测绘工作已完成年度任务，其他规划项目如经开区控制性详细规划导则、</w:t>
            </w:r>
            <w:r>
              <w:rPr>
                <w:rFonts w:hint="eastAsia" w:ascii="仿宋" w:hAnsi="仿宋" w:eastAsia="仿宋" w:cs="宋体"/>
                <w:color w:val="000000"/>
                <w:kern w:val="0"/>
                <w:sz w:val="20"/>
                <w:szCs w:val="20"/>
              </w:rPr>
              <w:t>武汉经济技术开发区区街两级国土空间总体规划（2021-2035）编制等主要项目仍在实施阶段，未正式投入使用。</w:t>
            </w:r>
          </w:p>
        </w:tc>
      </w:tr>
      <w:tr>
        <w:tblPrEx>
          <w:tblCellMar>
            <w:top w:w="0" w:type="dxa"/>
            <w:left w:w="108" w:type="dxa"/>
            <w:bottom w:w="0" w:type="dxa"/>
            <w:right w:w="108" w:type="dxa"/>
          </w:tblCellMar>
        </w:tblPrEx>
        <w:trPr>
          <w:trHeight w:val="1140" w:hRule="atLeast"/>
        </w:trPr>
        <w:tc>
          <w:tcPr>
            <w:tcW w:w="12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改进措施及结果应用方案</w:t>
            </w:r>
          </w:p>
        </w:tc>
        <w:tc>
          <w:tcPr>
            <w:tcW w:w="7199" w:type="dxa"/>
            <w:gridSpan w:val="5"/>
            <w:tcBorders>
              <w:top w:val="single" w:color="auto" w:sz="4" w:space="0"/>
              <w:left w:val="nil"/>
              <w:bottom w:val="single" w:color="auto" w:sz="4" w:space="0"/>
              <w:right w:val="single" w:color="auto" w:sz="4" w:space="0"/>
            </w:tcBorders>
            <w:shd w:val="clear" w:color="auto" w:fill="auto"/>
            <w:vAlign w:val="center"/>
          </w:tcPr>
          <w:p>
            <w:pPr>
              <w:widowControl/>
              <w:numPr>
                <w:ilvl w:val="0"/>
                <w:numId w:val="1"/>
              </w:numPr>
              <w:jc w:val="left"/>
              <w:rPr>
                <w:rFonts w:hint="eastAsia" w:ascii="仿宋" w:hAnsi="仿宋" w:eastAsia="仿宋" w:cs="宋体"/>
                <w:kern w:val="0"/>
                <w:sz w:val="20"/>
                <w:szCs w:val="20"/>
              </w:rPr>
            </w:pPr>
            <w:r>
              <w:rPr>
                <w:rFonts w:hint="eastAsia" w:ascii="仿宋" w:hAnsi="仿宋" w:eastAsia="仿宋" w:cs="宋体"/>
                <w:kern w:val="0"/>
                <w:sz w:val="20"/>
                <w:szCs w:val="20"/>
                <w:lang w:val="en-US" w:eastAsia="zh-CN"/>
              </w:rPr>
              <w:t>结合实际工作需求设计量化数量考核指标</w:t>
            </w:r>
            <w:r>
              <w:rPr>
                <w:rFonts w:hint="eastAsia" w:ascii="仿宋" w:hAnsi="仿宋" w:eastAsia="仿宋" w:cs="宋体"/>
                <w:kern w:val="0"/>
                <w:sz w:val="20"/>
                <w:szCs w:val="20"/>
              </w:rPr>
              <w:t>。</w:t>
            </w:r>
          </w:p>
          <w:p>
            <w:pPr>
              <w:widowControl/>
              <w:numPr>
                <w:ilvl w:val="0"/>
                <w:numId w:val="1"/>
              </w:numPr>
              <w:jc w:val="left"/>
              <w:rPr>
                <w:rFonts w:ascii="仿宋" w:hAnsi="仿宋" w:eastAsia="仿宋" w:cs="宋体"/>
                <w:kern w:val="0"/>
                <w:sz w:val="20"/>
                <w:szCs w:val="20"/>
              </w:rPr>
            </w:pPr>
            <w:r>
              <w:rPr>
                <w:rFonts w:hint="eastAsia" w:ascii="仿宋" w:hAnsi="仿宋" w:eastAsia="仿宋" w:cs="宋体"/>
                <w:kern w:val="0"/>
                <w:sz w:val="20"/>
                <w:szCs w:val="20"/>
              </w:rPr>
              <w:t>针对“支撑引导服务经济发展、城市功能品质提升”指标的改进措施是形成规划设计经费项目管理制度，明确时间节点，细化职责任务，强化统筹协调，确保高质量及时完成好规划设计工作；</w:t>
            </w:r>
          </w:p>
        </w:tc>
      </w:tr>
    </w:tbl>
    <w:p>
      <w:pPr>
        <w:pStyle w:val="2"/>
        <w:sectPr>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0"/>
        <w:rPr>
          <w:rFonts w:eastAsia="黑体"/>
          <w:b/>
          <w:bCs/>
          <w:color w:val="000000" w:themeColor="text1"/>
          <w:kern w:val="0"/>
          <w:sz w:val="32"/>
          <w:szCs w:val="32"/>
          <w14:textFill>
            <w14:solidFill>
              <w14:schemeClr w14:val="tx1"/>
            </w14:solidFill>
          </w14:textFill>
        </w:rPr>
      </w:pPr>
      <w:r>
        <w:rPr>
          <w:rFonts w:hint="eastAsia" w:eastAsia="黑体"/>
          <w:b/>
          <w:bCs/>
          <w:color w:val="000000" w:themeColor="text1"/>
          <w:kern w:val="0"/>
          <w:sz w:val="32"/>
          <w:szCs w:val="32"/>
          <w14:textFill>
            <w14:solidFill>
              <w14:schemeClr w14:val="tx1"/>
            </w14:solidFill>
          </w14:textFill>
        </w:rPr>
        <w:t>二、佐证材料</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（一）基本情况</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1.项目立项目的</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为了履行</w:t>
      </w:r>
      <w:r>
        <w:rPr>
          <w:rFonts w:ascii="仿宋" w:hAnsi="仿宋" w:eastAsia="仿宋"/>
          <w:color w:val="000000" w:themeColor="text1"/>
          <w:sz w:val="32"/>
          <w:szCs w:val="32"/>
          <w14:textFill>
            <w14:solidFill>
              <w14:schemeClr w14:val="tx1"/>
            </w14:solidFill>
          </w14:textFill>
        </w:rPr>
        <w:t>建立健全空间规划体系</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推进主体功能区战略和制度</w:t>
      </w:r>
      <w:r>
        <w:rPr>
          <w:rFonts w:hint="eastAsia" w:ascii="仿宋" w:hAnsi="仿宋" w:eastAsia="仿宋"/>
          <w:color w:val="000000" w:themeColor="text1"/>
          <w:sz w:val="32"/>
          <w:szCs w:val="32"/>
          <w14:textFill>
            <w14:solidFill>
              <w14:schemeClr w14:val="tx1"/>
            </w14:solidFill>
          </w14:textFill>
        </w:rPr>
        <w:t>建设的职责，</w:t>
      </w:r>
      <w:r>
        <w:rPr>
          <w:rFonts w:hint="eastAsia" w:ascii="仿宋" w:hAnsi="仿宋" w:eastAsia="仿宋"/>
          <w:color w:val="000000" w:themeColor="text1"/>
          <w:sz w:val="32"/>
          <w:szCs w:val="32"/>
          <w:lang w:val="en-US" w:eastAsia="zh-CN"/>
          <w14:textFill>
            <w14:solidFill>
              <w14:schemeClr w14:val="tx1"/>
            </w14:solidFill>
          </w14:textFill>
        </w:rPr>
        <w:t>围绕</w:t>
      </w:r>
      <w:r>
        <w:rPr>
          <w:rFonts w:hint="eastAsia" w:ascii="仿宋" w:hAnsi="仿宋" w:eastAsia="仿宋"/>
          <w:color w:val="000000" w:themeColor="text1"/>
          <w:sz w:val="32"/>
          <w:szCs w:val="32"/>
          <w14:textFill>
            <w14:solidFill>
              <w14:schemeClr w14:val="tx1"/>
            </w14:solidFill>
          </w14:textFill>
        </w:rPr>
        <w:t>组织编制并监督实施</w:t>
      </w:r>
      <w:r>
        <w:rPr>
          <w:rFonts w:hint="eastAsia" w:ascii="仿宋" w:hAnsi="仿宋" w:eastAsia="仿宋"/>
          <w:color w:val="000000" w:themeColor="text1"/>
          <w:sz w:val="32"/>
          <w:szCs w:val="32"/>
          <w:lang w:val="en-US" w:eastAsia="zh-CN"/>
          <w14:textFill>
            <w14:solidFill>
              <w14:schemeClr w14:val="tx1"/>
            </w14:solidFill>
          </w14:textFill>
        </w:rPr>
        <w:t>经开区</w:t>
      </w:r>
      <w:r>
        <w:rPr>
          <w:rFonts w:hint="eastAsia" w:ascii="仿宋" w:hAnsi="仿宋" w:eastAsia="仿宋"/>
          <w:color w:val="000000" w:themeColor="text1"/>
          <w:sz w:val="32"/>
          <w:szCs w:val="32"/>
          <w14:textFill>
            <w14:solidFill>
              <w14:schemeClr w14:val="tx1"/>
            </w14:solidFill>
          </w14:textFill>
        </w:rPr>
        <w:t>国土空间总体规划、综合交通及地下空间等专项规划、详细规划，推动实施“多规合一”。组织开展国土空间开发适宜性评价，建立国土空间规划实施监测、评估和预警体系。参与编制国民经济和社会发展规划、区域规划及其他涉及空间布局的专项规划等方面的工作需求，开展一系列的国土规划设计和研究项目编制，按年度安排预算经费。</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2.年度绩效目标</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因年初申报绩效目标部分指标表述不规范，不便于考核和衡量，本项目在不改变原考核指标的基础上对相应指标规范性做了梳理和调整，以便尽可能量化考核，本项目调整后绩效目标如下：</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lang w:val="en-US" w:eastAsia="zh-CN"/>
          <w14:textFill>
            <w14:solidFill>
              <w14:schemeClr w14:val="tx1"/>
            </w14:solidFill>
          </w14:textFill>
        </w:rPr>
      </w:pPr>
      <w:r>
        <w:rPr>
          <w:rFonts w:hint="eastAsia" w:eastAsia="仿宋"/>
          <w:color w:val="000000" w:themeColor="text1"/>
          <w:sz w:val="32"/>
          <w:szCs w:val="32"/>
          <w:lang w:val="en-US" w:eastAsia="zh-CN"/>
          <w14:textFill>
            <w14:solidFill>
              <w14:schemeClr w14:val="tx1"/>
            </w14:solidFill>
          </w14:textFill>
        </w:rPr>
        <w:t>数量指标：实施控制性规划3项、区域城市设计2项、专项规划1项、国土空间规划1项、十四五测绘1项、其他类规划设计工作大于5项。</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3.项目资金情况</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本项目预算总额</w:t>
      </w:r>
      <w:r>
        <w:rPr>
          <w:rFonts w:hint="eastAsia" w:eastAsia="仿宋"/>
          <w:color w:val="000000" w:themeColor="text1"/>
          <w:sz w:val="32"/>
          <w:szCs w:val="32"/>
          <w:lang w:val="en-US" w:eastAsia="zh-CN"/>
          <w14:textFill>
            <w14:solidFill>
              <w14:schemeClr w14:val="tx1"/>
            </w14:solidFill>
          </w14:textFill>
        </w:rPr>
        <w:t>4,641.00</w:t>
      </w:r>
      <w:r>
        <w:rPr>
          <w:rFonts w:hint="eastAsia" w:eastAsia="仿宋"/>
          <w:color w:val="000000" w:themeColor="text1"/>
          <w:sz w:val="32"/>
          <w:szCs w:val="32"/>
          <w14:textFill>
            <w14:solidFill>
              <w14:schemeClr w14:val="tx1"/>
            </w14:solidFill>
          </w14:textFill>
        </w:rPr>
        <w:t>万元，执行数</w:t>
      </w:r>
      <w:r>
        <w:rPr>
          <w:rFonts w:hint="eastAsia" w:eastAsia="仿宋"/>
          <w:color w:val="000000" w:themeColor="text1"/>
          <w:sz w:val="32"/>
          <w:szCs w:val="32"/>
          <w:lang w:val="en-US" w:eastAsia="zh-CN"/>
          <w14:textFill>
            <w14:solidFill>
              <w14:schemeClr w14:val="tx1"/>
            </w14:solidFill>
          </w14:textFill>
        </w:rPr>
        <w:t>1,762.45</w:t>
      </w:r>
      <w:r>
        <w:rPr>
          <w:rFonts w:hint="eastAsia" w:eastAsia="仿宋"/>
          <w:color w:val="000000" w:themeColor="text1"/>
          <w:sz w:val="32"/>
          <w:szCs w:val="32"/>
          <w14:textFill>
            <w14:solidFill>
              <w14:schemeClr w14:val="tx1"/>
            </w14:solidFill>
          </w14:textFill>
        </w:rPr>
        <w:t>万元，预算执行率</w:t>
      </w:r>
      <w:r>
        <w:rPr>
          <w:rFonts w:hint="eastAsia" w:eastAsia="仿宋"/>
          <w:color w:val="000000" w:themeColor="text1"/>
          <w:sz w:val="32"/>
          <w:szCs w:val="32"/>
          <w:lang w:val="en-US" w:eastAsia="zh-CN"/>
          <w14:textFill>
            <w14:solidFill>
              <w14:schemeClr w14:val="tx1"/>
            </w14:solidFill>
          </w14:textFill>
        </w:rPr>
        <w:t>37.98</w:t>
      </w:r>
      <w:r>
        <w:rPr>
          <w:rFonts w:hint="eastAsia" w:eastAsia="仿宋"/>
          <w:color w:val="000000" w:themeColor="text1"/>
          <w:sz w:val="32"/>
          <w:szCs w:val="32"/>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1"/>
        <w:rPr>
          <w:rFonts w:eastAsia="宋体"/>
          <w:color w:val="000000" w:themeColor="text1"/>
          <w:kern w:val="0"/>
          <w:sz w:val="24"/>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（二）部门自评工作开展情况</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本次自评时间从202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4</w:t>
      </w:r>
      <w:r>
        <w:rPr>
          <w:rFonts w:hint="eastAsia" w:eastAsia="仿宋"/>
          <w:color w:val="000000" w:themeColor="text1"/>
          <w:sz w:val="32"/>
          <w:szCs w:val="32"/>
          <w14:textFill>
            <w14:solidFill>
              <w14:schemeClr w14:val="tx1"/>
            </w14:solidFill>
          </w14:textFill>
        </w:rPr>
        <w:t>月</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日至202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w:t>
      </w:r>
      <w:r>
        <w:rPr>
          <w:rFonts w:hint="eastAsia" w:eastAsia="仿宋"/>
          <w:color w:val="000000" w:themeColor="text1"/>
          <w:sz w:val="32"/>
          <w:szCs w:val="32"/>
          <w:lang w:val="en-US" w:eastAsia="zh-CN"/>
          <w14:textFill>
            <w14:solidFill>
              <w14:schemeClr w14:val="tx1"/>
            </w14:solidFill>
          </w14:textFill>
        </w:rPr>
        <w:t>4</w:t>
      </w:r>
      <w:r>
        <w:rPr>
          <w:rFonts w:hint="eastAsia" w:eastAsia="仿宋"/>
          <w:color w:val="000000" w:themeColor="text1"/>
          <w:sz w:val="32"/>
          <w:szCs w:val="32"/>
          <w14:textFill>
            <w14:solidFill>
              <w14:schemeClr w14:val="tx1"/>
            </w14:solidFill>
          </w14:textFill>
        </w:rPr>
        <w:t>月</w:t>
      </w:r>
      <w:r>
        <w:rPr>
          <w:rFonts w:hint="eastAsia" w:eastAsia="仿宋"/>
          <w:color w:val="000000" w:themeColor="text1"/>
          <w:sz w:val="32"/>
          <w:szCs w:val="32"/>
          <w:lang w:val="en-US" w:eastAsia="zh-CN"/>
          <w14:textFill>
            <w14:solidFill>
              <w14:schemeClr w14:val="tx1"/>
            </w14:solidFill>
          </w14:textFill>
        </w:rPr>
        <w:t>21</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w:t>
      </w:r>
      <w:r>
        <w:rPr>
          <w:rFonts w:hint="eastAsia" w:eastAsia="仿宋"/>
          <w:color w:val="000000" w:themeColor="text1"/>
          <w:sz w:val="32"/>
          <w:szCs w:val="32"/>
          <w:lang w:val="en-US" w:eastAsia="zh-CN"/>
          <w14:textFill>
            <w14:solidFill>
              <w14:schemeClr w14:val="tx1"/>
            </w14:solidFill>
          </w14:textFill>
        </w:rPr>
        <w:t>5</w:t>
      </w:r>
      <w:r>
        <w:rPr>
          <w:rFonts w:hint="eastAsia" w:eastAsia="仿宋"/>
          <w:color w:val="000000" w:themeColor="text1"/>
          <w:sz w:val="32"/>
          <w:szCs w:val="32"/>
          <w14:textFill>
            <w14:solidFill>
              <w14:schemeClr w14:val="tx1"/>
            </w14:solidFill>
          </w14:textFill>
        </w:rPr>
        <w:t>天。自评工作程序如下：</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rPr>
          <w:rFonts w:eastAsia="仿宋"/>
          <w:b/>
          <w:bCs/>
          <w:color w:val="000000" w:themeColor="text1"/>
          <w:sz w:val="32"/>
          <w:szCs w:val="32"/>
          <w14:textFill>
            <w14:solidFill>
              <w14:schemeClr w14:val="tx1"/>
            </w14:solidFill>
          </w14:textFill>
        </w:rPr>
      </w:pPr>
      <w:r>
        <w:rPr>
          <w:rFonts w:eastAsia="仿宋"/>
          <w:b/>
          <w:bCs/>
          <w:color w:val="000000" w:themeColor="text1"/>
          <w:sz w:val="32"/>
          <w:szCs w:val="32"/>
          <w14:textFill>
            <w14:solidFill>
              <w14:schemeClr w14:val="tx1"/>
            </w14:solidFill>
          </w14:textFill>
        </w:rPr>
        <w:t>1.</w:t>
      </w:r>
      <w:r>
        <w:rPr>
          <w:rFonts w:hint="eastAsia" w:eastAsia="仿宋"/>
          <w:b/>
          <w:bCs/>
          <w:color w:val="000000" w:themeColor="text1"/>
          <w:sz w:val="32"/>
          <w:szCs w:val="32"/>
          <w14:textFill>
            <w14:solidFill>
              <w14:schemeClr w14:val="tx1"/>
            </w14:solidFill>
          </w14:textFill>
        </w:rPr>
        <w:t>制定工作方案</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w:t>
      </w:r>
      <w:r>
        <w:rPr>
          <w:rFonts w:hint="eastAsia" w:eastAsia="仿宋"/>
          <w:sz w:val="32"/>
          <w:szCs w:val="32"/>
          <w:lang w:val="en-US" w:eastAsia="zh-CN"/>
        </w:rPr>
        <w:t>3</w:t>
      </w:r>
      <w:r>
        <w:rPr>
          <w:rFonts w:hint="eastAsia" w:eastAsia="仿宋"/>
          <w:sz w:val="32"/>
          <w:szCs w:val="32"/>
        </w:rPr>
        <w:t>年预算绩效评价及项目支出绩效运行监控的通知》（武经开〔202</w:t>
      </w:r>
      <w:r>
        <w:rPr>
          <w:rFonts w:hint="eastAsia" w:eastAsia="仿宋"/>
          <w:sz w:val="32"/>
          <w:szCs w:val="32"/>
          <w:lang w:val="en-US" w:eastAsia="zh-CN"/>
        </w:rPr>
        <w:t>3</w:t>
      </w:r>
      <w:r>
        <w:rPr>
          <w:rFonts w:hint="eastAsia" w:eastAsia="仿宋"/>
          <w:sz w:val="32"/>
          <w:szCs w:val="32"/>
        </w:rPr>
        <w:t>〕</w:t>
      </w:r>
      <w:r>
        <w:rPr>
          <w:rFonts w:hint="eastAsia" w:eastAsia="仿宋"/>
          <w:sz w:val="32"/>
          <w:szCs w:val="32"/>
          <w:lang w:val="en-US" w:eastAsia="zh-CN"/>
        </w:rPr>
        <w:t>19</w:t>
      </w:r>
      <w:r>
        <w:rPr>
          <w:rFonts w:hint="eastAsia" w:eastAsia="仿宋"/>
          <w:sz w:val="32"/>
          <w:szCs w:val="32"/>
        </w:rPr>
        <w:t>号）</w:t>
      </w:r>
      <w:r>
        <w:rPr>
          <w:rFonts w:hint="eastAsia" w:eastAsia="仿宋"/>
          <w:color w:val="000000" w:themeColor="text1"/>
          <w:sz w:val="32"/>
          <w:szCs w:val="32"/>
          <w14:textFill>
            <w14:solidFill>
              <w14:schemeClr w14:val="tx1"/>
            </w14:solidFill>
          </w14:textFill>
        </w:rPr>
        <w:t>启动部门自评工作。</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2.组织实施自评</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财务部门会同第三方机构及时成立工作组，通过调研访谈、电话访谈等方式收集、核实数据和信息，并对这些数据和信息进行整理分析。</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3.撰写部门项目自评结果</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在整理分析基础上，形成部门项目自评结果。</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4.建立部门项目自评档案</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部门项目自评结果按时报送财政部门备案并及时归档备查。</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（三）绩效目标完成情况分析</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1.预算执行情况分析（满分20分，得分</w:t>
      </w:r>
      <w:r>
        <w:rPr>
          <w:rFonts w:hint="eastAsia" w:eastAsia="仿宋"/>
          <w:b/>
          <w:color w:val="000000" w:themeColor="text1"/>
          <w:sz w:val="32"/>
          <w:szCs w:val="32"/>
          <w:lang w:val="en-US" w:eastAsia="zh-CN"/>
          <w14:textFill>
            <w14:solidFill>
              <w14:schemeClr w14:val="tx1"/>
            </w14:solidFill>
          </w14:textFill>
        </w:rPr>
        <w:t>7.6</w:t>
      </w:r>
      <w:r>
        <w:rPr>
          <w:rFonts w:hint="eastAsia" w:eastAsia="仿宋"/>
          <w:b/>
          <w:color w:val="000000" w:themeColor="text1"/>
          <w:sz w:val="32"/>
          <w:szCs w:val="32"/>
          <w14:textFill>
            <w14:solidFill>
              <w14:schemeClr w14:val="tx1"/>
            </w14:solidFill>
          </w14:textFill>
        </w:rPr>
        <w:t>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本项目预算总额</w:t>
      </w:r>
      <w:r>
        <w:rPr>
          <w:rFonts w:hint="eastAsia" w:eastAsia="仿宋"/>
          <w:color w:val="000000" w:themeColor="text1"/>
          <w:sz w:val="32"/>
          <w:szCs w:val="32"/>
          <w:lang w:val="en-US" w:eastAsia="zh-CN"/>
          <w14:textFill>
            <w14:solidFill>
              <w14:schemeClr w14:val="tx1"/>
            </w14:solidFill>
          </w14:textFill>
        </w:rPr>
        <w:t>4,641.00</w:t>
      </w:r>
      <w:r>
        <w:rPr>
          <w:rFonts w:hint="eastAsia" w:eastAsia="仿宋"/>
          <w:color w:val="000000" w:themeColor="text1"/>
          <w:sz w:val="32"/>
          <w:szCs w:val="32"/>
          <w14:textFill>
            <w14:solidFill>
              <w14:schemeClr w14:val="tx1"/>
            </w14:solidFill>
          </w14:textFill>
        </w:rPr>
        <w:t>万元，执行数</w:t>
      </w:r>
      <w:r>
        <w:rPr>
          <w:rFonts w:hint="eastAsia" w:eastAsia="仿宋"/>
          <w:color w:val="000000" w:themeColor="text1"/>
          <w:sz w:val="32"/>
          <w:szCs w:val="32"/>
          <w:lang w:val="en-US" w:eastAsia="zh-CN"/>
          <w14:textFill>
            <w14:solidFill>
              <w14:schemeClr w14:val="tx1"/>
            </w14:solidFill>
          </w14:textFill>
        </w:rPr>
        <w:t>1,762.45</w:t>
      </w:r>
      <w:r>
        <w:rPr>
          <w:rFonts w:hint="eastAsia" w:eastAsia="仿宋"/>
          <w:color w:val="000000" w:themeColor="text1"/>
          <w:sz w:val="32"/>
          <w:szCs w:val="32"/>
          <w14:textFill>
            <w14:solidFill>
              <w14:schemeClr w14:val="tx1"/>
            </w14:solidFill>
          </w14:textFill>
        </w:rPr>
        <w:t>万元，预算执行率</w:t>
      </w:r>
      <w:r>
        <w:rPr>
          <w:rFonts w:hint="eastAsia" w:eastAsia="仿宋"/>
          <w:color w:val="000000" w:themeColor="text1"/>
          <w:sz w:val="32"/>
          <w:szCs w:val="32"/>
          <w:lang w:val="en-US" w:eastAsia="zh-CN"/>
          <w14:textFill>
            <w14:solidFill>
              <w14:schemeClr w14:val="tx1"/>
            </w14:solidFill>
          </w14:textFill>
        </w:rPr>
        <w:t>37.98</w:t>
      </w:r>
      <w:r>
        <w:rPr>
          <w:rFonts w:hint="eastAsia" w:eastAsia="仿宋"/>
          <w:color w:val="000000" w:themeColor="text1"/>
          <w:sz w:val="32"/>
          <w:szCs w:val="32"/>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ind w:firstLine="643"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2.绩效目标完成情况分析（满分80分，得分</w:t>
      </w:r>
      <w:r>
        <w:rPr>
          <w:rFonts w:hint="eastAsia" w:eastAsia="仿宋"/>
          <w:b/>
          <w:color w:val="000000" w:themeColor="text1"/>
          <w:sz w:val="32"/>
          <w:szCs w:val="32"/>
          <w:lang w:val="en-US" w:eastAsia="zh-CN"/>
          <w14:textFill>
            <w14:solidFill>
              <w14:schemeClr w14:val="tx1"/>
            </w14:solidFill>
          </w14:textFill>
        </w:rPr>
        <w:t>78</w:t>
      </w:r>
      <w:r>
        <w:rPr>
          <w:rFonts w:hint="eastAsia" w:eastAsia="仿宋"/>
          <w:b/>
          <w:color w:val="000000" w:themeColor="text1"/>
          <w:sz w:val="32"/>
          <w:szCs w:val="32"/>
          <w14:textFill>
            <w14:solidFill>
              <w14:schemeClr w14:val="tx1"/>
            </w14:solidFill>
          </w14:textFill>
        </w:rPr>
        <w:t>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w:t>
      </w:r>
      <w:r>
        <w:rPr>
          <w:rFonts w:eastAsia="仿宋"/>
          <w:color w:val="000000" w:themeColor="text1"/>
          <w:sz w:val="32"/>
          <w:szCs w:val="32"/>
          <w14:textFill>
            <w14:solidFill>
              <w14:schemeClr w14:val="tx1"/>
            </w14:solidFill>
          </w14:textFill>
        </w:rPr>
        <w:t>1</w:t>
      </w:r>
      <w:r>
        <w:rPr>
          <w:rFonts w:hint="eastAsia" w:eastAsia="仿宋"/>
          <w:color w:val="000000" w:themeColor="text1"/>
          <w:sz w:val="32"/>
          <w:szCs w:val="32"/>
          <w14:textFill>
            <w14:solidFill>
              <w14:schemeClr w14:val="tx1"/>
            </w14:solidFill>
          </w14:textFill>
        </w:rPr>
        <w:t>）产出指标完成情况分析（满分</w:t>
      </w:r>
      <w:r>
        <w:rPr>
          <w:rFonts w:eastAsia="仿宋"/>
          <w:color w:val="000000" w:themeColor="text1"/>
          <w:sz w:val="32"/>
          <w:szCs w:val="32"/>
          <w14:textFill>
            <w14:solidFill>
              <w14:schemeClr w14:val="tx1"/>
            </w14:solidFill>
          </w14:textFill>
        </w:rPr>
        <w:t>40</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38</w:t>
      </w:r>
      <w:r>
        <w:rPr>
          <w:rFonts w:hint="eastAsia" w:eastAsia="仿宋"/>
          <w:color w:val="000000" w:themeColor="text1"/>
          <w:sz w:val="32"/>
          <w:szCs w:val="32"/>
          <w14:textFill>
            <w14:solidFill>
              <w14:schemeClr w14:val="tx1"/>
            </w14:solidFill>
          </w14:textFill>
        </w:rPr>
        <w:t>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①</w:t>
      </w:r>
      <w:r>
        <w:rPr>
          <w:rFonts w:hint="eastAsia" w:eastAsia="仿宋"/>
          <w:color w:val="000000" w:themeColor="text1"/>
          <w:sz w:val="32"/>
          <w:szCs w:val="32"/>
          <w:lang w:val="en-US" w:eastAsia="zh-CN"/>
          <w14:textFill>
            <w14:solidFill>
              <w14:schemeClr w14:val="tx1"/>
            </w14:solidFill>
          </w14:textFill>
        </w:rPr>
        <w:t>控制性规划实施</w:t>
      </w:r>
      <w:r>
        <w:rPr>
          <w:rFonts w:hint="eastAsia" w:eastAsia="仿宋"/>
          <w:color w:val="000000" w:themeColor="text1"/>
          <w:sz w:val="32"/>
          <w:szCs w:val="32"/>
          <w14:textFill>
            <w14:solidFill>
              <w14:schemeClr w14:val="tx1"/>
            </w14:solidFill>
          </w14:textFill>
        </w:rPr>
        <w:t>率：满分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ascii="仿宋" w:hAnsi="仿宋" w:eastAsia="仿宋" w:cs="Times New Roman"/>
          <w:kern w:val="0"/>
          <w:sz w:val="32"/>
          <w:szCs w:val="32"/>
          <w:lang w:bidi="ar"/>
        </w:rPr>
      </w:pPr>
      <w:r>
        <w:rPr>
          <w:rFonts w:hint="eastAsia" w:eastAsia="仿宋"/>
          <w:color w:val="000000" w:themeColor="text1"/>
          <w:sz w:val="32"/>
          <w:szCs w:val="32"/>
          <w14:textFill>
            <w14:solidFill>
              <w14:schemeClr w14:val="tx1"/>
            </w14:solidFill>
          </w14:textFill>
        </w:rPr>
        <w:t>目标为</w:t>
      </w:r>
      <w:r>
        <w:rPr>
          <w:rFonts w:hint="eastAsia" w:eastAsia="仿宋"/>
          <w:color w:val="000000" w:themeColor="text1"/>
          <w:sz w:val="32"/>
          <w:szCs w:val="32"/>
          <w:lang w:val="en-US" w:eastAsia="zh-CN"/>
          <w14:textFill>
            <w14:solidFill>
              <w14:schemeClr w14:val="tx1"/>
            </w14:solidFill>
          </w14:textFill>
        </w:rPr>
        <w:t>有序开展控制性规划编制工作，2022年</w:t>
      </w:r>
      <w:r>
        <w:rPr>
          <w:rFonts w:hint="eastAsia" w:ascii="仿宋" w:hAnsi="仿宋" w:eastAsia="仿宋" w:cs="Times New Roman"/>
          <w:kern w:val="0"/>
          <w:sz w:val="32"/>
          <w:szCs w:val="32"/>
          <w:lang w:bidi="ar"/>
        </w:rPr>
        <w:t>在</w:t>
      </w:r>
      <w:r>
        <w:rPr>
          <w:rFonts w:ascii="仿宋" w:hAnsi="仿宋" w:eastAsia="仿宋" w:cs="Times New Roman"/>
          <w:kern w:val="0"/>
          <w:sz w:val="32"/>
          <w:szCs w:val="32"/>
          <w:lang w:bidi="ar"/>
        </w:rPr>
        <w:t>落实武汉市国土空间总体规划、过渡版总图、经开区分区规划、各类专项规划等上位规划控制要求基础上，明确城市主导功能</w:t>
      </w:r>
      <w:r>
        <w:rPr>
          <w:rFonts w:hint="eastAsia" w:ascii="仿宋" w:hAnsi="仿宋" w:eastAsia="仿宋" w:cs="Times New Roman"/>
          <w:kern w:val="0"/>
          <w:sz w:val="32"/>
          <w:szCs w:val="32"/>
          <w:lang w:bidi="ar"/>
        </w:rPr>
        <w:t>，</w:t>
      </w:r>
      <w:r>
        <w:rPr>
          <w:rFonts w:ascii="仿宋" w:hAnsi="仿宋" w:eastAsia="仿宋" w:cs="Times New Roman"/>
          <w:kern w:val="0"/>
          <w:sz w:val="32"/>
          <w:szCs w:val="32"/>
          <w:lang w:bidi="ar"/>
        </w:rPr>
        <w:t>深化、细化并合理安排各类用地</w:t>
      </w:r>
      <w:r>
        <w:rPr>
          <w:rFonts w:hint="eastAsia" w:ascii="仿宋" w:hAnsi="仿宋" w:eastAsia="仿宋" w:cs="Times New Roman"/>
          <w:kern w:val="0"/>
          <w:sz w:val="32"/>
          <w:szCs w:val="32"/>
          <w:lang w:bidi="ar"/>
        </w:rPr>
        <w:t>，并</w:t>
      </w:r>
      <w:r>
        <w:rPr>
          <w:rFonts w:ascii="仿宋" w:hAnsi="仿宋" w:eastAsia="仿宋" w:cs="Times New Roman"/>
          <w:kern w:val="0"/>
          <w:sz w:val="32"/>
          <w:szCs w:val="32"/>
          <w:lang w:bidi="ar"/>
        </w:rPr>
        <w:t>对“五线”、公共服务设施、建设强度、建筑高度等提出规划控制要求。该规划已通过市规划局技委会审议，按要求与新版“三区三线”核实后，将</w:t>
      </w:r>
      <w:r>
        <w:rPr>
          <w:rFonts w:ascii="Times New Roman" w:hAnsi="Times New Roman" w:eastAsia="仿宋" w:cs="Times New Roman"/>
          <w:kern w:val="0"/>
          <w:sz w:val="32"/>
          <w:szCs w:val="32"/>
          <w:lang w:bidi="ar"/>
        </w:rPr>
        <w:t>G040702</w:t>
      </w:r>
      <w:r>
        <w:rPr>
          <w:rFonts w:ascii="仿宋" w:hAnsi="仿宋" w:eastAsia="仿宋" w:cs="Times New Roman"/>
          <w:kern w:val="0"/>
          <w:sz w:val="32"/>
          <w:szCs w:val="32"/>
          <w:lang w:bidi="ar"/>
        </w:rPr>
        <w:t>管理单元编制方案报市规委会审议</w:t>
      </w:r>
      <w:r>
        <w:rPr>
          <w:rFonts w:hint="eastAsia" w:ascii="仿宋" w:hAnsi="仿宋" w:eastAsia="仿宋" w:cs="Times New Roman"/>
          <w:kern w:val="0"/>
          <w:sz w:val="32"/>
          <w:szCs w:val="32"/>
          <w:lang w:eastAsia="zh-CN" w:bidi="ar"/>
        </w:rPr>
        <w:t>，</w:t>
      </w:r>
      <w:r>
        <w:rPr>
          <w:rFonts w:hint="eastAsia" w:ascii="仿宋" w:hAnsi="仿宋" w:eastAsia="仿宋" w:cs="Times New Roman"/>
          <w:kern w:val="0"/>
          <w:sz w:val="32"/>
          <w:szCs w:val="32"/>
          <w:lang w:val="en-US" w:eastAsia="zh-CN" w:bidi="ar"/>
        </w:rPr>
        <w:t>完成目标</w:t>
      </w:r>
      <w:r>
        <w:rPr>
          <w:rFonts w:ascii="仿宋" w:hAnsi="仿宋" w:eastAsia="仿宋" w:cs="Times New Roman"/>
          <w:kern w:val="0"/>
          <w:sz w:val="32"/>
          <w:szCs w:val="32"/>
          <w:lang w:bidi="ar"/>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②</w:t>
      </w:r>
      <w:r>
        <w:rPr>
          <w:rFonts w:hint="eastAsia" w:eastAsia="仿宋"/>
          <w:color w:val="000000" w:themeColor="text1"/>
          <w:sz w:val="32"/>
          <w:szCs w:val="32"/>
          <w14:textFill>
            <w14:solidFill>
              <w14:schemeClr w14:val="tx1"/>
            </w14:solidFill>
          </w14:textFill>
        </w:rPr>
        <w:t>区域城市设计</w:t>
      </w:r>
      <w:r>
        <w:rPr>
          <w:rFonts w:hint="eastAsia" w:eastAsia="仿宋"/>
          <w:color w:val="000000" w:themeColor="text1"/>
          <w:sz w:val="32"/>
          <w:szCs w:val="32"/>
          <w:lang w:val="en-US" w:eastAsia="zh-CN"/>
          <w14:textFill>
            <w14:solidFill>
              <w14:schemeClr w14:val="tx1"/>
            </w14:solidFill>
          </w14:textFill>
        </w:rPr>
        <w:t>实施率</w:t>
      </w:r>
      <w:r>
        <w:rPr>
          <w:rFonts w:hint="eastAsia" w:eastAsia="仿宋"/>
          <w:color w:val="000000" w:themeColor="text1"/>
          <w:sz w:val="32"/>
          <w:szCs w:val="32"/>
          <w14:textFill>
            <w14:solidFill>
              <w14:schemeClr w14:val="tx1"/>
            </w14:solidFill>
          </w14:textFill>
        </w:rPr>
        <w:t>：满分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ascii="仿宋" w:hAnsi="仿宋" w:eastAsia="仿宋" w:cs="Times New Roman"/>
          <w:kern w:val="0"/>
          <w:sz w:val="32"/>
          <w:szCs w:val="32"/>
          <w:lang w:bidi="ar"/>
        </w:rPr>
      </w:pPr>
      <w:r>
        <w:rPr>
          <w:rFonts w:hint="eastAsia" w:eastAsia="仿宋"/>
          <w:color w:val="000000" w:themeColor="text1"/>
          <w:sz w:val="32"/>
          <w:szCs w:val="32"/>
          <w14:textFill>
            <w14:solidFill>
              <w14:schemeClr w14:val="tx1"/>
            </w14:solidFill>
          </w14:textFill>
        </w:rPr>
        <w:t>目标为</w:t>
      </w:r>
      <w:r>
        <w:rPr>
          <w:rFonts w:hint="eastAsia" w:eastAsia="仿宋"/>
          <w:color w:val="000000" w:themeColor="text1"/>
          <w:sz w:val="32"/>
          <w:szCs w:val="32"/>
          <w:lang w:val="en-US" w:eastAsia="zh-CN"/>
          <w14:textFill>
            <w14:solidFill>
              <w14:schemeClr w14:val="tx1"/>
            </w14:solidFill>
          </w14:textFill>
        </w:rPr>
        <w:t>有序开展</w:t>
      </w:r>
      <w:r>
        <w:rPr>
          <w:rFonts w:hint="eastAsia" w:eastAsia="仿宋"/>
          <w:color w:val="000000" w:themeColor="text1"/>
          <w:sz w:val="32"/>
          <w:szCs w:val="32"/>
          <w14:textFill>
            <w14:solidFill>
              <w14:schemeClr w14:val="tx1"/>
            </w14:solidFill>
          </w14:textFill>
        </w:rPr>
        <w:t>区域城市设计</w:t>
      </w:r>
      <w:r>
        <w:rPr>
          <w:rFonts w:hint="eastAsia" w:eastAsia="仿宋"/>
          <w:color w:val="000000" w:themeColor="text1"/>
          <w:sz w:val="32"/>
          <w:szCs w:val="32"/>
          <w:lang w:val="en-US" w:eastAsia="zh-CN"/>
          <w14:textFill>
            <w14:solidFill>
              <w14:schemeClr w14:val="tx1"/>
            </w14:solidFill>
          </w14:textFill>
        </w:rPr>
        <w:t>工作</w:t>
      </w:r>
      <w:r>
        <w:rPr>
          <w:rFonts w:hint="eastAsia" w:eastAsia="仿宋"/>
          <w:color w:val="000000" w:themeColor="text1"/>
          <w:sz w:val="32"/>
          <w:szCs w:val="32"/>
          <w14:textFill>
            <w14:solidFill>
              <w14:schemeClr w14:val="tx1"/>
            </w14:solidFill>
          </w14:textFill>
        </w:rPr>
        <w:t>，</w:t>
      </w:r>
      <w:r>
        <w:rPr>
          <w:rFonts w:hint="eastAsia" w:eastAsia="仿宋"/>
          <w:color w:val="000000" w:themeColor="text1"/>
          <w:sz w:val="32"/>
          <w:szCs w:val="32"/>
          <w:lang w:val="en-US" w:eastAsia="zh-CN"/>
          <w14:textFill>
            <w14:solidFill>
              <w14:schemeClr w14:val="tx1"/>
            </w14:solidFill>
          </w14:textFill>
        </w:rPr>
        <w:t>2022年度</w:t>
      </w:r>
      <w:r>
        <w:rPr>
          <w:rFonts w:hint="eastAsia" w:ascii="仿宋" w:hAnsi="仿宋" w:eastAsia="仿宋" w:cs="Times New Roman"/>
          <w:kern w:val="0"/>
          <w:sz w:val="32"/>
          <w:szCs w:val="32"/>
          <w:lang w:bidi="ar"/>
        </w:rPr>
        <w:t>已</w:t>
      </w:r>
      <w:r>
        <w:rPr>
          <w:rFonts w:ascii="仿宋" w:hAnsi="仿宋" w:eastAsia="仿宋" w:cs="Times New Roman"/>
          <w:kern w:val="0"/>
          <w:sz w:val="32"/>
          <w:szCs w:val="32"/>
          <w:lang w:bidi="ar"/>
        </w:rPr>
        <w:t>完成《车谷中心城整体城市设计》编制及审查工作，同时开展了</w:t>
      </w:r>
      <w:r>
        <w:rPr>
          <w:rFonts w:ascii="Times New Roman" w:hAnsi="Times New Roman" w:eastAsia="仿宋" w:cs="Times New Roman"/>
          <w:kern w:val="0"/>
          <w:sz w:val="32"/>
          <w:szCs w:val="32"/>
          <w:lang w:bidi="ar"/>
        </w:rPr>
        <w:t>31C2</w:t>
      </w:r>
      <w:r>
        <w:rPr>
          <w:rFonts w:ascii="仿宋" w:hAnsi="仿宋" w:eastAsia="仿宋" w:cs="Times New Roman"/>
          <w:kern w:val="0"/>
          <w:sz w:val="32"/>
          <w:szCs w:val="32"/>
          <w:lang w:bidi="ar"/>
        </w:rPr>
        <w:t>地块（东软项目）、</w:t>
      </w:r>
      <w:r>
        <w:rPr>
          <w:rFonts w:ascii="Times New Roman" w:hAnsi="Times New Roman" w:eastAsia="仿宋" w:cs="Times New Roman"/>
          <w:kern w:val="0"/>
          <w:sz w:val="32"/>
          <w:szCs w:val="32"/>
          <w:lang w:bidi="ar"/>
        </w:rPr>
        <w:t>148R2</w:t>
      </w:r>
      <w:r>
        <w:rPr>
          <w:rFonts w:ascii="仿宋" w:hAnsi="仿宋" w:eastAsia="仿宋" w:cs="Times New Roman"/>
          <w:kern w:val="0"/>
          <w:sz w:val="32"/>
          <w:szCs w:val="32"/>
          <w:lang w:bidi="ar"/>
        </w:rPr>
        <w:t>地块（军山综合商业体项目）、龙灵山南侧地块（</w:t>
      </w:r>
      <w:r>
        <w:rPr>
          <w:rFonts w:ascii="Times New Roman" w:hAnsi="Times New Roman" w:eastAsia="仿宋" w:cs="Times New Roman"/>
          <w:kern w:val="0"/>
          <w:sz w:val="32"/>
          <w:szCs w:val="32"/>
          <w:lang w:bidi="ar"/>
        </w:rPr>
        <w:t>Discovery</w:t>
      </w:r>
      <w:r>
        <w:rPr>
          <w:rFonts w:ascii="仿宋" w:hAnsi="仿宋" w:eastAsia="仿宋" w:cs="Times New Roman"/>
          <w:kern w:val="0"/>
          <w:sz w:val="32"/>
          <w:szCs w:val="32"/>
          <w:lang w:bidi="ar"/>
        </w:rPr>
        <w:t>项目）等多项地段城市设计编制工作，并配合市</w:t>
      </w:r>
      <w:r>
        <w:rPr>
          <w:rFonts w:hint="eastAsia" w:ascii="仿宋" w:hAnsi="仿宋" w:eastAsia="仿宋" w:cs="Times New Roman"/>
          <w:kern w:val="0"/>
          <w:sz w:val="32"/>
          <w:szCs w:val="32"/>
          <w:lang w:bidi="ar"/>
        </w:rPr>
        <w:t>自然资源</w:t>
      </w:r>
      <w:r>
        <w:rPr>
          <w:rFonts w:ascii="仿宋" w:hAnsi="仿宋" w:eastAsia="仿宋" w:cs="Times New Roman"/>
          <w:kern w:val="0"/>
          <w:sz w:val="32"/>
          <w:szCs w:val="32"/>
          <w:lang w:bidi="ar"/>
        </w:rPr>
        <w:t>和规划局完成城市设计审查工作，保障了</w:t>
      </w:r>
      <w:r>
        <w:rPr>
          <w:rFonts w:hint="eastAsia" w:ascii="仿宋" w:hAnsi="仿宋" w:eastAsia="仿宋" w:cs="Times New Roman"/>
          <w:kern w:val="0"/>
          <w:sz w:val="32"/>
          <w:szCs w:val="32"/>
          <w:lang w:bidi="ar"/>
        </w:rPr>
        <w:t>前</w:t>
      </w:r>
      <w:r>
        <w:rPr>
          <w:rFonts w:ascii="仿宋" w:hAnsi="仿宋" w:eastAsia="仿宋" w:cs="Times New Roman"/>
          <w:kern w:val="0"/>
          <w:sz w:val="32"/>
          <w:szCs w:val="32"/>
          <w:lang w:bidi="ar"/>
        </w:rPr>
        <w:t>三季度集中供地。编制的《南太子湖北片整体城市设计》《车谷中心城整体城市设计》《车谷副城中心重点地块城市设计》等多项城市设计入选武汉市新城区（开发区）城市设计成果展</w:t>
      </w:r>
      <w:r>
        <w:rPr>
          <w:rFonts w:hint="eastAsia" w:ascii="仿宋" w:hAnsi="仿宋" w:eastAsia="仿宋" w:cs="Times New Roman"/>
          <w:kern w:val="0"/>
          <w:sz w:val="32"/>
          <w:szCs w:val="32"/>
          <w:lang w:eastAsia="zh-CN" w:bidi="ar"/>
        </w:rPr>
        <w:t>，</w:t>
      </w:r>
      <w:r>
        <w:rPr>
          <w:rFonts w:hint="eastAsia" w:ascii="仿宋" w:hAnsi="仿宋" w:eastAsia="仿宋" w:cs="Times New Roman"/>
          <w:kern w:val="0"/>
          <w:sz w:val="32"/>
          <w:szCs w:val="32"/>
          <w:lang w:val="en-US" w:eastAsia="zh-CN" w:bidi="ar"/>
        </w:rPr>
        <w:t>完成目标</w:t>
      </w:r>
      <w:r>
        <w:rPr>
          <w:rFonts w:ascii="仿宋" w:hAnsi="仿宋" w:eastAsia="仿宋" w:cs="Times New Roman"/>
          <w:kern w:val="0"/>
          <w:sz w:val="32"/>
          <w:szCs w:val="32"/>
          <w:lang w:bidi="ar"/>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③专项规划</w:t>
      </w:r>
      <w:r>
        <w:rPr>
          <w:rFonts w:hint="eastAsia" w:eastAsia="仿宋"/>
          <w:color w:val="000000" w:themeColor="text1"/>
          <w:sz w:val="32"/>
          <w:szCs w:val="32"/>
          <w:lang w:val="en-US" w:eastAsia="zh-CN"/>
          <w14:textFill>
            <w14:solidFill>
              <w14:schemeClr w14:val="tx1"/>
            </w14:solidFill>
          </w14:textFill>
        </w:rPr>
        <w:t>实施率</w:t>
      </w:r>
      <w:r>
        <w:rPr>
          <w:rFonts w:hint="eastAsia" w:eastAsia="仿宋"/>
          <w:color w:val="000000" w:themeColor="text1"/>
          <w:sz w:val="32"/>
          <w:szCs w:val="32"/>
          <w14:textFill>
            <w14:solidFill>
              <w14:schemeClr w14:val="tx1"/>
            </w14:solidFill>
          </w14:textFill>
        </w:rPr>
        <w:t>：满分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40" w:firstLineChars="200"/>
        <w:jc w:val="left"/>
        <w:textAlignment w:val="auto"/>
        <w:rPr>
          <w:rFonts w:hint="eastAsia"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w:t>
      </w:r>
      <w:r>
        <w:rPr>
          <w:rFonts w:hint="eastAsia" w:eastAsia="仿宋"/>
          <w:color w:val="000000" w:themeColor="text1"/>
          <w:sz w:val="32"/>
          <w:szCs w:val="32"/>
          <w:lang w:val="en-US" w:eastAsia="zh-CN"/>
          <w14:textFill>
            <w14:solidFill>
              <w14:schemeClr w14:val="tx1"/>
            </w14:solidFill>
          </w14:textFill>
        </w:rPr>
        <w:t>完成武汉开发区产城融合发展规划</w:t>
      </w:r>
      <w:r>
        <w:rPr>
          <w:rFonts w:hint="eastAsia" w:eastAsia="仿宋"/>
          <w:color w:val="000000" w:themeColor="text1"/>
          <w:sz w:val="32"/>
          <w:szCs w:val="32"/>
          <w14:textFill>
            <w14:solidFill>
              <w14:schemeClr w14:val="tx1"/>
            </w14:solidFill>
          </w14:textFill>
        </w:rPr>
        <w:t>工作，</w:t>
      </w:r>
      <w:r>
        <w:rPr>
          <w:rFonts w:hint="eastAsia" w:eastAsia="仿宋"/>
          <w:color w:val="000000" w:themeColor="text1"/>
          <w:sz w:val="32"/>
          <w:szCs w:val="32"/>
          <w:lang w:val="en-US" w:eastAsia="zh-CN"/>
          <w14:textFill>
            <w14:solidFill>
              <w14:schemeClr w14:val="tx1"/>
            </w14:solidFill>
          </w14:textFill>
        </w:rPr>
        <w:t>该项</w:t>
      </w:r>
      <w:r>
        <w:rPr>
          <w:rFonts w:hint="eastAsia" w:ascii="仿宋" w:hAnsi="仿宋" w:eastAsia="仿宋" w:cs="Times New Roman"/>
          <w:kern w:val="0"/>
          <w:sz w:val="32"/>
          <w:szCs w:val="32"/>
          <w:lang w:val="en-US" w:eastAsia="zh-CN" w:bidi="ar"/>
        </w:rPr>
        <w:t>目由</w:t>
      </w:r>
      <w:r>
        <w:rPr>
          <w:rFonts w:ascii="仿宋" w:hAnsi="仿宋" w:eastAsia="仿宋" w:cs="Times New Roman"/>
          <w:kern w:val="0"/>
          <w:sz w:val="32"/>
          <w:szCs w:val="32"/>
          <w:lang w:val="en-US" w:eastAsia="zh-CN" w:bidi="ar"/>
        </w:rPr>
        <w:t>中国城市规划设计研究院</w:t>
      </w:r>
      <w:r>
        <w:rPr>
          <w:rFonts w:hint="eastAsia" w:ascii="仿宋" w:hAnsi="仿宋" w:eastAsia="仿宋" w:cs="Times New Roman"/>
          <w:kern w:val="0"/>
          <w:sz w:val="32"/>
          <w:szCs w:val="32"/>
          <w:lang w:val="en-US" w:eastAsia="zh-CN" w:bidi="ar"/>
        </w:rPr>
        <w:t>承担编制，项目自2020年10月份开展以来，已对接重点项目100余项，落实各部门重大专题反馈30余条，并于2022年度</w:t>
      </w:r>
      <w:r>
        <w:rPr>
          <w:rFonts w:hint="eastAsia" w:eastAsia="仿宋"/>
          <w:color w:val="000000" w:themeColor="text1"/>
          <w:sz w:val="32"/>
          <w:szCs w:val="32"/>
          <w:lang w:val="en-US" w:eastAsia="zh-CN"/>
          <w14:textFill>
            <w14:solidFill>
              <w14:schemeClr w14:val="tx1"/>
            </w14:solidFill>
          </w14:textFill>
        </w:rPr>
        <w:t>完成验收</w:t>
      </w:r>
      <w:r>
        <w:rPr>
          <w:rFonts w:hint="eastAsia" w:eastAsia="仿宋"/>
          <w:color w:val="000000" w:themeColor="text1"/>
          <w:sz w:val="32"/>
          <w:szCs w:val="32"/>
          <w14:textFill>
            <w14:solidFill>
              <w14:schemeClr w14:val="tx1"/>
            </w14:solidFill>
          </w14:textFill>
        </w:rPr>
        <w:t>，完成目标。</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lang w:val="en-US" w:eastAsia="zh-CN"/>
          <w14:textFill>
            <w14:solidFill>
              <w14:schemeClr w14:val="tx1"/>
            </w14:solidFill>
          </w14:textFill>
        </w:rPr>
        <w:t>④实施国土空间规划实施率：满分2.5</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2.5</w:t>
      </w:r>
      <w:r>
        <w:rPr>
          <w:rFonts w:hint="eastAsia" w:eastAsia="仿宋"/>
          <w:color w:val="000000" w:themeColor="text1"/>
          <w:sz w:val="32"/>
          <w:szCs w:val="32"/>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Times New Roman"/>
          <w:color w:val="000000"/>
          <w:sz w:val="32"/>
          <w:szCs w:val="32"/>
          <w:shd w:val="clear" w:color="auto" w:fill="FFFFFF"/>
          <w:lang w:eastAsia="zh-CN"/>
        </w:rPr>
      </w:pPr>
      <w:r>
        <w:rPr>
          <w:rFonts w:hint="eastAsia" w:ascii="仿宋" w:hAnsi="仿宋" w:eastAsia="仿宋" w:cs="Times New Roman"/>
          <w:color w:val="000000"/>
          <w:sz w:val="32"/>
          <w:szCs w:val="32"/>
          <w:shd w:val="clear" w:color="auto" w:fill="FFFFFF"/>
          <w:lang w:val="en-US" w:eastAsia="zh-CN"/>
        </w:rPr>
        <w:t>2022年度《</w:t>
      </w:r>
      <w:r>
        <w:rPr>
          <w:rFonts w:hint="eastAsia" w:ascii="仿宋" w:hAnsi="仿宋" w:eastAsia="仿宋" w:cs="Times New Roman"/>
          <w:color w:val="000000"/>
          <w:sz w:val="32"/>
          <w:szCs w:val="32"/>
          <w:shd w:val="clear" w:color="auto" w:fill="FFFFFF"/>
        </w:rPr>
        <w:t>武汉经济技术开发区空间规划</w:t>
      </w:r>
      <w:r>
        <w:rPr>
          <w:rFonts w:hint="eastAsia" w:ascii="仿宋" w:hAnsi="仿宋" w:eastAsia="仿宋" w:cs="Times New Roman"/>
          <w:color w:val="000000"/>
          <w:sz w:val="32"/>
          <w:szCs w:val="32"/>
          <w:shd w:val="clear" w:color="auto" w:fill="FFFFFF"/>
          <w:lang w:eastAsia="zh-CN"/>
        </w:rPr>
        <w:t>》</w:t>
      </w:r>
      <w:r>
        <w:rPr>
          <w:rFonts w:ascii="仿宋" w:hAnsi="仿宋" w:eastAsia="仿宋" w:cs="Times New Roman"/>
          <w:color w:val="000000"/>
          <w:sz w:val="32"/>
          <w:szCs w:val="32"/>
          <w:shd w:val="clear" w:color="auto" w:fill="FFFFFF"/>
        </w:rPr>
        <w:t>明确了规划目标、空间结构，着力“筑城、聚人、强产”，从强化辐射带动作用、提升城市功能、彰显城市特色等方面提出了城人产融合发展的具体实施策略。规划成果</w:t>
      </w:r>
      <w:r>
        <w:rPr>
          <w:rFonts w:hint="eastAsia" w:ascii="仿宋" w:hAnsi="仿宋" w:eastAsia="仿宋" w:cs="Times New Roman"/>
          <w:color w:val="000000"/>
          <w:sz w:val="32"/>
          <w:szCs w:val="32"/>
          <w:shd w:val="clear" w:color="auto" w:fill="FFFFFF"/>
        </w:rPr>
        <w:t>已</w:t>
      </w:r>
      <w:r>
        <w:rPr>
          <w:rFonts w:ascii="仿宋" w:hAnsi="仿宋" w:eastAsia="仿宋" w:cs="Times New Roman"/>
          <w:color w:val="000000"/>
          <w:sz w:val="32"/>
          <w:szCs w:val="32"/>
          <w:shd w:val="clear" w:color="auto" w:fill="FFFFFF"/>
        </w:rPr>
        <w:t>多次向省、市领导汇报并向社会公示，得到了具有影响力的本地公众号转载，收到公众反馈意见</w:t>
      </w:r>
      <w:r>
        <w:rPr>
          <w:rFonts w:ascii="Times New Roman" w:hAnsi="Times New Roman" w:eastAsia="仿宋" w:cs="Times New Roman"/>
          <w:color w:val="000000"/>
          <w:sz w:val="32"/>
          <w:szCs w:val="32"/>
          <w:shd w:val="clear" w:color="auto" w:fill="FFFFFF"/>
        </w:rPr>
        <w:t>40</w:t>
      </w:r>
      <w:r>
        <w:rPr>
          <w:rFonts w:ascii="仿宋" w:hAnsi="仿宋" w:eastAsia="仿宋" w:cs="Times New Roman"/>
          <w:color w:val="000000"/>
          <w:sz w:val="32"/>
          <w:szCs w:val="32"/>
          <w:shd w:val="clear" w:color="auto" w:fill="FFFFFF"/>
        </w:rPr>
        <w:t>余条。</w:t>
      </w:r>
      <w:r>
        <w:rPr>
          <w:rFonts w:hint="eastAsia" w:ascii="仿宋" w:hAnsi="仿宋" w:eastAsia="仿宋" w:cs="Times New Roman"/>
          <w:color w:val="000000"/>
          <w:sz w:val="32"/>
          <w:szCs w:val="32"/>
          <w:shd w:val="clear" w:color="auto" w:fill="FFFFFF"/>
        </w:rPr>
        <w:t>已通过</w:t>
      </w:r>
      <w:r>
        <w:rPr>
          <w:rFonts w:ascii="仿宋" w:hAnsi="仿宋" w:eastAsia="仿宋" w:cs="Times New Roman"/>
          <w:color w:val="000000"/>
          <w:sz w:val="32"/>
          <w:szCs w:val="32"/>
          <w:shd w:val="clear" w:color="auto" w:fill="FFFFFF"/>
        </w:rPr>
        <w:t>全国知名专家组成的专家会评审</w:t>
      </w:r>
      <w:r>
        <w:rPr>
          <w:rFonts w:hint="eastAsia" w:eastAsia="仿宋"/>
          <w:color w:val="000000" w:themeColor="text1"/>
          <w:sz w:val="32"/>
          <w:szCs w:val="32"/>
          <w14:textFill>
            <w14:solidFill>
              <w14:schemeClr w14:val="tx1"/>
            </w14:solidFill>
          </w14:textFill>
        </w:rPr>
        <w:t>，完成目标</w:t>
      </w:r>
      <w:r>
        <w:rPr>
          <w:rFonts w:hint="eastAsia" w:ascii="仿宋" w:hAnsi="仿宋" w:eastAsia="仿宋" w:cs="Times New Roman"/>
          <w:color w:val="000000"/>
          <w:sz w:val="32"/>
          <w:szCs w:val="32"/>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lang w:val="en-US" w:eastAsia="zh-CN"/>
          <w14:textFill>
            <w14:solidFill>
              <w14:schemeClr w14:val="tx1"/>
            </w14:solidFill>
          </w14:textFill>
        </w:rPr>
      </w:pPr>
      <w:r>
        <w:rPr>
          <w:rFonts w:hint="eastAsia" w:eastAsia="仿宋"/>
          <w:color w:val="000000" w:themeColor="text1"/>
          <w:sz w:val="32"/>
          <w:szCs w:val="32"/>
          <w:lang w:val="en-US" w:eastAsia="zh-CN"/>
          <w14:textFill>
            <w14:solidFill>
              <w14:schemeClr w14:val="tx1"/>
            </w14:solidFill>
          </w14:textFill>
        </w:rPr>
        <w:t>⑤实施十四五测绘工作：满分3分，得分3分</w:t>
      </w:r>
    </w:p>
    <w:p>
      <w:pPr>
        <w:pStyle w:val="2"/>
        <w:keepNext w:val="0"/>
        <w:keepLines w:val="0"/>
        <w:pageBreakBefore w:val="0"/>
        <w:kinsoku/>
        <w:wordWrap/>
        <w:overflowPunct/>
        <w:topLinePunct w:val="0"/>
        <w:autoSpaceDE/>
        <w:autoSpaceDN/>
        <w:bidi w:val="0"/>
        <w:adjustRightInd/>
        <w:snapToGrid/>
        <w:spacing w:after="0" w:line="360" w:lineRule="auto"/>
        <w:ind w:firstLine="640" w:firstLineChars="200"/>
        <w:textAlignment w:val="auto"/>
        <w:rPr>
          <w:rFonts w:hint="eastAsia" w:ascii="仿宋" w:hAnsi="仿宋" w:eastAsia="仿宋" w:cs="Times New Roman"/>
          <w:color w:val="000000"/>
          <w:sz w:val="32"/>
          <w:szCs w:val="32"/>
          <w:shd w:val="clear" w:color="auto" w:fill="FFFFFF"/>
          <w:lang w:val="en-US" w:eastAsia="zh-CN"/>
        </w:rPr>
      </w:pPr>
      <w:r>
        <w:rPr>
          <w:rFonts w:hint="eastAsia" w:ascii="仿宋" w:hAnsi="仿宋" w:eastAsia="仿宋" w:cs="Times New Roman"/>
          <w:color w:val="000000"/>
          <w:sz w:val="32"/>
          <w:szCs w:val="32"/>
          <w:shd w:val="clear" w:color="auto" w:fill="FFFFFF"/>
        </w:rPr>
        <w:t>有序推进测量标志调查与基础控制网复测、高精度航空航天影像获取、高精度数字地形图测制与更新等</w:t>
      </w:r>
      <w:r>
        <w:rPr>
          <w:rFonts w:hint="eastAsia" w:ascii="Times New Roman" w:hAnsi="Times New Roman" w:eastAsia="仿宋" w:cs="Times New Roman"/>
          <w:color w:val="000000"/>
          <w:sz w:val="32"/>
          <w:szCs w:val="32"/>
          <w:shd w:val="clear" w:color="auto" w:fill="FFFFFF"/>
        </w:rPr>
        <w:t>8</w:t>
      </w:r>
      <w:r>
        <w:rPr>
          <w:rFonts w:hint="eastAsia" w:ascii="仿宋" w:hAnsi="仿宋" w:eastAsia="仿宋" w:cs="Times New Roman"/>
          <w:color w:val="000000"/>
          <w:sz w:val="32"/>
          <w:szCs w:val="32"/>
          <w:shd w:val="clear" w:color="auto" w:fill="FFFFFF"/>
        </w:rPr>
        <w:t>个</w:t>
      </w:r>
      <w:r>
        <w:rPr>
          <w:rFonts w:hint="eastAsia" w:ascii="Times New Roman" w:hAnsi="Times New Roman" w:eastAsia="仿宋" w:cs="Times New Roman"/>
          <w:color w:val="000000"/>
          <w:sz w:val="32"/>
          <w:szCs w:val="32"/>
          <w:shd w:val="clear" w:color="auto" w:fill="FFFFFF"/>
        </w:rPr>
        <w:t>2022</w:t>
      </w:r>
      <w:r>
        <w:rPr>
          <w:rFonts w:hint="eastAsia" w:ascii="仿宋" w:hAnsi="仿宋" w:eastAsia="仿宋" w:cs="Times New Roman"/>
          <w:color w:val="000000"/>
          <w:sz w:val="32"/>
          <w:szCs w:val="32"/>
          <w:shd w:val="clear" w:color="auto" w:fill="FFFFFF"/>
        </w:rPr>
        <w:t>年度分项任务实施，组织项目承担方市测绘研究院、汉南区勘察测量队就项目需求、技术细节等方面进行了多轮沟通、讨论，编制完成项目</w:t>
      </w:r>
      <w:r>
        <w:rPr>
          <w:rFonts w:hint="eastAsia" w:ascii="Times New Roman" w:hAnsi="Times New Roman" w:eastAsia="仿宋" w:cs="Times New Roman"/>
          <w:color w:val="000000"/>
          <w:sz w:val="32"/>
          <w:szCs w:val="32"/>
          <w:shd w:val="clear" w:color="auto" w:fill="FFFFFF"/>
        </w:rPr>
        <w:t>2022</w:t>
      </w:r>
      <w:r>
        <w:rPr>
          <w:rFonts w:hint="eastAsia" w:ascii="仿宋" w:hAnsi="仿宋" w:eastAsia="仿宋" w:cs="Times New Roman"/>
          <w:color w:val="000000"/>
          <w:sz w:val="32"/>
          <w:szCs w:val="32"/>
          <w:shd w:val="clear" w:color="auto" w:fill="FFFFFF"/>
        </w:rPr>
        <w:t>年度任务整体实施方案和分项技术设计书</w:t>
      </w:r>
      <w:r>
        <w:rPr>
          <w:rFonts w:hint="eastAsia" w:ascii="仿宋" w:hAnsi="仿宋" w:eastAsia="仿宋" w:cs="Times New Roman"/>
          <w:color w:val="000000"/>
          <w:sz w:val="32"/>
          <w:szCs w:val="32"/>
          <w:shd w:val="clear" w:color="auto" w:fill="FFFFFF"/>
          <w:lang w:eastAsia="zh-CN"/>
        </w:rPr>
        <w:t>，</w:t>
      </w:r>
      <w:r>
        <w:rPr>
          <w:rFonts w:hint="eastAsia" w:ascii="仿宋" w:hAnsi="仿宋" w:eastAsia="仿宋" w:cs="Times New Roman"/>
          <w:color w:val="000000"/>
          <w:sz w:val="32"/>
          <w:szCs w:val="32"/>
          <w:shd w:val="clear" w:color="auto" w:fill="FFFFFF"/>
          <w:lang w:val="en-US" w:eastAsia="zh-CN"/>
        </w:rPr>
        <w:t>完成目标。</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ascii="仿宋" w:hAnsi="仿宋" w:eastAsia="仿宋" w:cs="Times New Roman"/>
          <w:color w:val="000000"/>
          <w:sz w:val="32"/>
          <w:szCs w:val="32"/>
          <w:shd w:val="clear" w:color="auto" w:fill="FFFFFF"/>
          <w:lang w:val="en-US" w:eastAsia="zh-CN"/>
        </w:rPr>
        <w:t>⑥实施其他类规划设计工作：</w:t>
      </w:r>
      <w:r>
        <w:rPr>
          <w:rFonts w:hint="eastAsia" w:eastAsia="仿宋"/>
          <w:color w:val="000000" w:themeColor="text1"/>
          <w:sz w:val="32"/>
          <w:szCs w:val="32"/>
          <w:lang w:val="en-US" w:eastAsia="zh-CN"/>
          <w14:textFill>
            <w14:solidFill>
              <w14:schemeClr w14:val="tx1"/>
            </w14:solidFill>
          </w14:textFill>
        </w:rPr>
        <w:t>满分2</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2</w:t>
      </w:r>
      <w:r>
        <w:rPr>
          <w:rFonts w:hint="eastAsia" w:eastAsia="仿宋"/>
          <w:color w:val="000000" w:themeColor="text1"/>
          <w:sz w:val="32"/>
          <w:szCs w:val="32"/>
          <w14:textFill>
            <w14:solidFill>
              <w14:schemeClr w14:val="tx1"/>
            </w14:solidFill>
          </w14:textFill>
        </w:rPr>
        <w:t>分</w:t>
      </w:r>
    </w:p>
    <w:p>
      <w:pPr>
        <w:pStyle w:val="2"/>
        <w:keepNext w:val="0"/>
        <w:keepLines w:val="0"/>
        <w:pageBreakBefore w:val="0"/>
        <w:kinsoku/>
        <w:wordWrap/>
        <w:overflowPunct/>
        <w:topLinePunct w:val="0"/>
        <w:autoSpaceDE/>
        <w:autoSpaceDN/>
        <w:bidi w:val="0"/>
        <w:adjustRightInd/>
        <w:snapToGrid/>
        <w:spacing w:after="0" w:line="360" w:lineRule="auto"/>
        <w:ind w:firstLine="640" w:firstLineChars="200"/>
        <w:textAlignment w:val="auto"/>
        <w:rPr>
          <w:rFonts w:hint="default" w:ascii="仿宋" w:hAnsi="仿宋" w:eastAsia="仿宋" w:cs="Times New Roman"/>
          <w:color w:val="000000"/>
          <w:sz w:val="32"/>
          <w:szCs w:val="32"/>
          <w:shd w:val="clear" w:color="auto" w:fill="FFFFFF"/>
          <w:lang w:val="en-US" w:eastAsia="zh-CN"/>
        </w:rPr>
      </w:pPr>
      <w:r>
        <w:rPr>
          <w:rFonts w:hint="default" w:ascii="仿宋" w:hAnsi="仿宋" w:eastAsia="仿宋" w:cs="Times New Roman"/>
          <w:color w:val="000000"/>
          <w:sz w:val="32"/>
          <w:szCs w:val="32"/>
          <w:shd w:val="clear" w:color="auto" w:fill="FFFFFF"/>
          <w:lang w:val="en-US" w:eastAsia="zh-CN"/>
        </w:rPr>
        <w:t>完成并报批万家湖南太子湖公园、左岸大道（万家湖路-小军山段）、轨道交通16号线起点调整等3个落地实施方案，武汉至松滋高速武汉段土地用途调整方案暨永久基本农田补划方案；另有江河幕墙、银莲湖垸泵站新建工程、窑头泵站新建工程等3个落地实施方案已编制完成，待市局签批；湘洪污水处理厂扩大用地项目、港口物流园两块仓储用地项目、华科大一期和华科大二期用地项目落地方案正在编制过程中</w:t>
      </w:r>
      <w:r>
        <w:rPr>
          <w:rFonts w:hint="eastAsia" w:ascii="仿宋" w:hAnsi="仿宋" w:eastAsia="仿宋" w:cs="Times New Roman"/>
          <w:color w:val="000000"/>
          <w:sz w:val="32"/>
          <w:szCs w:val="32"/>
          <w:shd w:val="clear" w:color="auto" w:fill="FFFFFF"/>
          <w:lang w:eastAsia="zh-CN"/>
        </w:rPr>
        <w:t>，</w:t>
      </w:r>
      <w:r>
        <w:rPr>
          <w:rFonts w:hint="eastAsia" w:ascii="仿宋" w:hAnsi="仿宋" w:eastAsia="仿宋" w:cs="Times New Roman"/>
          <w:color w:val="000000"/>
          <w:sz w:val="32"/>
          <w:szCs w:val="32"/>
          <w:shd w:val="clear" w:color="auto" w:fill="FFFFFF"/>
          <w:lang w:val="en-US" w:eastAsia="zh-CN"/>
        </w:rPr>
        <w:t>完成目标</w:t>
      </w:r>
      <w:r>
        <w:rPr>
          <w:rFonts w:hint="default" w:ascii="仿宋" w:hAnsi="仿宋" w:eastAsia="仿宋" w:cs="Times New Roman"/>
          <w:color w:val="000000"/>
          <w:sz w:val="32"/>
          <w:szCs w:val="32"/>
          <w:shd w:val="clear" w:color="auto" w:fill="FFFFFF"/>
          <w:lang w:val="en-US" w:eastAsia="zh-CN"/>
        </w:rPr>
        <w:t>。</w:t>
      </w:r>
    </w:p>
    <w:p>
      <w:pPr>
        <w:spacing w:line="640" w:lineRule="exact"/>
        <w:ind w:firstLine="640" w:firstLineChars="200"/>
        <w:rPr>
          <w:rFonts w:ascii="Times New Roman" w:hAnsi="Times New Roman" w:eastAsia="仿宋" w:cs="Times New Roman"/>
          <w:b w:val="0"/>
          <w:bCs w:val="0"/>
          <w:kern w:val="0"/>
          <w:sz w:val="32"/>
          <w:szCs w:val="32"/>
          <w:lang w:bidi="ar"/>
        </w:rPr>
      </w:pPr>
      <w:r>
        <w:rPr>
          <w:rFonts w:hint="eastAsia" w:ascii="仿宋" w:hAnsi="仿宋" w:eastAsia="仿宋" w:cs="Times New Roman"/>
          <w:color w:val="000000"/>
          <w:sz w:val="32"/>
          <w:szCs w:val="32"/>
          <w:shd w:val="clear" w:color="auto" w:fill="FFFFFF"/>
          <w:lang w:val="en-US" w:eastAsia="zh-CN"/>
        </w:rPr>
        <w:t>⑦2022年度追加预算1141万元，其中</w:t>
      </w:r>
      <w:r>
        <w:rPr>
          <w:rFonts w:hint="eastAsia" w:ascii="仿宋" w:hAnsi="仿宋" w:eastAsia="仿宋" w:cs="Times New Roman"/>
          <w:b w:val="0"/>
          <w:bCs w:val="0"/>
          <w:color w:val="000000"/>
          <w:sz w:val="32"/>
          <w:szCs w:val="32"/>
          <w:shd w:val="clear" w:color="auto" w:fill="FFFFFF"/>
          <w:lang w:val="en-US" w:eastAsia="zh-CN"/>
        </w:rPr>
        <w:t>包括</w:t>
      </w:r>
      <w:r>
        <w:rPr>
          <w:rFonts w:ascii="Times New Roman" w:hAnsi="Times New Roman" w:eastAsia="仿宋" w:cs="Times New Roman"/>
          <w:b w:val="0"/>
          <w:bCs w:val="0"/>
          <w:kern w:val="0"/>
          <w:sz w:val="32"/>
          <w:szCs w:val="32"/>
          <w:lang w:bidi="ar"/>
        </w:rPr>
        <w:t>联合区交通局开展全区公共交通规划编制工作</w:t>
      </w:r>
      <w:r>
        <w:rPr>
          <w:rFonts w:hint="eastAsia" w:eastAsia="仿宋" w:cs="Times New Roman"/>
          <w:b w:val="0"/>
          <w:bCs w:val="0"/>
          <w:kern w:val="0"/>
          <w:sz w:val="32"/>
          <w:szCs w:val="32"/>
          <w:lang w:val="en-US" w:eastAsia="zh-CN" w:bidi="ar"/>
        </w:rPr>
        <w:t>经费678万元与军山新城南部扩展区域控制性详细规划导则工作经费463万元</w:t>
      </w:r>
      <w:r>
        <w:rPr>
          <w:rFonts w:ascii="Times New Roman" w:hAnsi="Times New Roman" w:eastAsia="仿宋" w:cs="Times New Roman"/>
          <w:b w:val="0"/>
          <w:bCs w:val="0"/>
          <w:kern w:val="0"/>
          <w:sz w:val="32"/>
          <w:szCs w:val="32"/>
          <w:lang w:bidi="ar"/>
        </w:rPr>
        <w:t>。</w:t>
      </w:r>
    </w:p>
    <w:p>
      <w:pPr>
        <w:spacing w:line="640" w:lineRule="exact"/>
        <w:ind w:firstLine="640" w:firstLineChars="200"/>
        <w:rPr>
          <w:rFonts w:ascii="Times New Roman" w:hAnsi="Times New Roman" w:eastAsia="仿宋" w:cs="Times New Roman"/>
          <w:kern w:val="0"/>
          <w:sz w:val="32"/>
          <w:szCs w:val="32"/>
          <w:lang w:bidi="ar"/>
        </w:rPr>
      </w:pPr>
      <w:r>
        <w:rPr>
          <w:rFonts w:ascii="Times New Roman" w:hAnsi="Times New Roman" w:eastAsia="仿宋" w:cs="Times New Roman"/>
          <w:b w:val="0"/>
          <w:bCs w:val="0"/>
          <w:kern w:val="0"/>
          <w:sz w:val="32"/>
          <w:szCs w:val="32"/>
          <w:lang w:bidi="ar"/>
        </w:rPr>
        <w:t>公共交通规划编制工作</w:t>
      </w:r>
      <w:r>
        <w:rPr>
          <w:rFonts w:hint="eastAsia" w:eastAsia="仿宋" w:cs="Times New Roman"/>
          <w:b w:val="0"/>
          <w:bCs w:val="0"/>
          <w:kern w:val="0"/>
          <w:sz w:val="32"/>
          <w:szCs w:val="32"/>
          <w:lang w:val="en-US" w:eastAsia="zh-CN" w:bidi="ar"/>
        </w:rPr>
        <w:t>经费</w:t>
      </w:r>
      <w:r>
        <w:rPr>
          <w:rFonts w:ascii="Times New Roman" w:hAnsi="Times New Roman" w:eastAsia="仿宋" w:cs="Times New Roman"/>
          <w:kern w:val="0"/>
          <w:sz w:val="32"/>
          <w:szCs w:val="32"/>
          <w:lang w:bidi="ar"/>
        </w:rPr>
        <w:t>为实现对外高效衔接、内部舒适畅达的目标，委托武汉市交通发展战略研究院编制全区公共交通规划，已形成</w:t>
      </w:r>
      <w:r>
        <w:rPr>
          <w:rFonts w:hint="eastAsia" w:ascii="Times New Roman" w:hAnsi="Times New Roman" w:eastAsia="仿宋" w:cs="Times New Roman"/>
          <w:kern w:val="0"/>
          <w:sz w:val="32"/>
          <w:szCs w:val="32"/>
          <w:lang w:bidi="ar"/>
        </w:rPr>
        <w:t>中期</w:t>
      </w:r>
      <w:r>
        <w:rPr>
          <w:rFonts w:ascii="Times New Roman" w:hAnsi="Times New Roman" w:eastAsia="仿宋" w:cs="Times New Roman"/>
          <w:kern w:val="0"/>
          <w:sz w:val="32"/>
          <w:szCs w:val="32"/>
          <w:lang w:bidi="ar"/>
        </w:rPr>
        <w:t>成果，并征求相关园区及部门意见。合理确定了车谷副城公共交通发展模式，提出层次清晰、结构合理、规模适宜的多层次轨道交通线网和常规公交线网，加强各种交通方式衔接，完善扩展军山新城公共交通服务范围、提升沌口和纱帽片区公共交通服务水平，提高经开区公共交通运营效率和效益。下一步，根据园区及部门意见进行修改完善，报区领导审议。</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eastAsia="仿宋" w:cs="Times New Roman"/>
          <w:kern w:val="0"/>
          <w:sz w:val="32"/>
          <w:szCs w:val="32"/>
          <w:lang w:val="en-US" w:eastAsia="zh-CN" w:bidi="ar"/>
        </w:rPr>
      </w:pPr>
      <w:r>
        <w:rPr>
          <w:rFonts w:hint="eastAsia" w:eastAsia="仿宋" w:cs="Times New Roman"/>
          <w:kern w:val="0"/>
          <w:sz w:val="32"/>
          <w:szCs w:val="32"/>
          <w:lang w:val="en-US" w:eastAsia="zh-CN" w:bidi="ar"/>
        </w:rPr>
        <w:t>⑧质量指标</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firstLineChars="200"/>
        <w:textAlignment w:val="auto"/>
        <w:rPr>
          <w:rFonts w:hint="default" w:eastAsia="仿宋"/>
          <w:color w:val="000000" w:themeColor="text1"/>
          <w:sz w:val="32"/>
          <w:szCs w:val="32"/>
          <w:lang w:val="en-US" w:eastAsia="zh-CN"/>
          <w14:textFill>
            <w14:solidFill>
              <w14:schemeClr w14:val="tx1"/>
            </w14:solidFill>
          </w14:textFill>
        </w:rPr>
      </w:pPr>
      <w:r>
        <w:rPr>
          <w:rFonts w:hint="eastAsia" w:eastAsia="仿宋" w:cs="Times New Roman"/>
          <w:kern w:val="0"/>
          <w:sz w:val="32"/>
          <w:szCs w:val="32"/>
          <w:lang w:val="en-US" w:eastAsia="zh-CN" w:bidi="ar"/>
        </w:rPr>
        <w:t>目标为</w:t>
      </w:r>
      <w:r>
        <w:rPr>
          <w:rFonts w:hint="default" w:eastAsia="仿宋" w:cs="Times New Roman"/>
          <w:kern w:val="0"/>
          <w:sz w:val="32"/>
          <w:szCs w:val="32"/>
          <w:lang w:val="en-US" w:eastAsia="zh-CN" w:bidi="ar"/>
        </w:rPr>
        <w:t>规划</w:t>
      </w:r>
      <w:r>
        <w:rPr>
          <w:rFonts w:hint="eastAsia" w:eastAsia="仿宋" w:cs="Times New Roman"/>
          <w:kern w:val="0"/>
          <w:sz w:val="32"/>
          <w:szCs w:val="32"/>
          <w:lang w:val="en-US" w:eastAsia="zh-CN" w:bidi="ar"/>
        </w:rPr>
        <w:t>具有</w:t>
      </w:r>
      <w:r>
        <w:rPr>
          <w:rFonts w:hint="default" w:eastAsia="仿宋" w:cs="Times New Roman"/>
          <w:kern w:val="0"/>
          <w:sz w:val="32"/>
          <w:szCs w:val="32"/>
          <w:lang w:val="en-US" w:eastAsia="zh-CN" w:bidi="ar"/>
        </w:rPr>
        <w:t>可指导性</w:t>
      </w:r>
      <w:r>
        <w:rPr>
          <w:rFonts w:hint="eastAsia" w:eastAsia="仿宋" w:cs="Times New Roman"/>
          <w:kern w:val="0"/>
          <w:sz w:val="32"/>
          <w:szCs w:val="32"/>
          <w:lang w:val="en-US" w:eastAsia="zh-CN" w:bidi="ar"/>
        </w:rPr>
        <w:t>，</w:t>
      </w:r>
      <w:r>
        <w:rPr>
          <w:rFonts w:hint="eastAsia" w:eastAsia="仿宋"/>
          <w:color w:val="000000" w:themeColor="text1"/>
          <w:sz w:val="32"/>
          <w:szCs w:val="32"/>
          <w:lang w:val="en-US" w:eastAsia="zh-CN"/>
          <w14:textFill>
            <w14:solidFill>
              <w14:schemeClr w14:val="tx1"/>
            </w14:solidFill>
          </w14:textFill>
        </w:rPr>
        <w:t>满分15分，得分15分。规划工作均按照验收标准验收，完成目标。</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firstLineChars="200"/>
        <w:textAlignment w:val="auto"/>
        <w:rPr>
          <w:rFonts w:hint="eastAsia" w:eastAsia="仿宋" w:cs="Times New Roman"/>
          <w:kern w:val="0"/>
          <w:sz w:val="32"/>
          <w:szCs w:val="32"/>
          <w:lang w:val="en-US" w:eastAsia="zh-CN" w:bidi="ar"/>
        </w:rPr>
      </w:pPr>
      <w:r>
        <w:rPr>
          <w:rFonts w:hint="eastAsia" w:eastAsia="仿宋" w:cs="Times New Roman"/>
          <w:kern w:val="0"/>
          <w:sz w:val="32"/>
          <w:szCs w:val="32"/>
          <w:lang w:val="en-US" w:eastAsia="zh-CN" w:bidi="ar"/>
        </w:rPr>
        <w:t>⑨时效指标</w:t>
      </w:r>
    </w:p>
    <w:p>
      <w:pPr>
        <w:pStyle w:val="2"/>
        <w:keepNext w:val="0"/>
        <w:keepLines w:val="0"/>
        <w:pageBreakBefore w:val="0"/>
        <w:widowControl w:val="0"/>
        <w:kinsoku/>
        <w:wordWrap/>
        <w:overflowPunct/>
        <w:topLinePunct w:val="0"/>
        <w:autoSpaceDE/>
        <w:autoSpaceDN/>
        <w:bidi w:val="0"/>
        <w:adjustRightInd/>
        <w:snapToGrid/>
        <w:spacing w:after="0" w:line="360" w:lineRule="auto"/>
        <w:ind w:firstLine="640" w:firstLineChars="200"/>
        <w:textAlignment w:val="auto"/>
        <w:rPr>
          <w:rFonts w:hint="default" w:eastAsia="仿宋" w:cs="Times New Roman"/>
          <w:kern w:val="0"/>
          <w:sz w:val="32"/>
          <w:szCs w:val="32"/>
          <w:lang w:val="en-US" w:eastAsia="zh-CN" w:bidi="ar"/>
        </w:rPr>
      </w:pPr>
      <w:r>
        <w:rPr>
          <w:rFonts w:hint="eastAsia" w:eastAsia="仿宋" w:cs="Times New Roman"/>
          <w:kern w:val="0"/>
          <w:sz w:val="32"/>
          <w:szCs w:val="32"/>
          <w:lang w:val="en-US" w:eastAsia="zh-CN" w:bidi="ar"/>
        </w:rPr>
        <w:t>目标为按合同约定时间执行规划编制工作，</w:t>
      </w:r>
      <w:r>
        <w:rPr>
          <w:rFonts w:hint="eastAsia" w:eastAsia="仿宋"/>
          <w:color w:val="000000" w:themeColor="text1"/>
          <w:sz w:val="32"/>
          <w:szCs w:val="32"/>
          <w:lang w:val="en-US" w:eastAsia="zh-CN"/>
          <w14:textFill>
            <w14:solidFill>
              <w14:schemeClr w14:val="tx1"/>
            </w14:solidFill>
          </w14:textFill>
        </w:rPr>
        <w:t>满分10分，得分8分，</w:t>
      </w:r>
      <w:r>
        <w:rPr>
          <w:rFonts w:hint="eastAsia" w:eastAsia="仿宋" w:cs="Times New Roman"/>
          <w:kern w:val="0"/>
          <w:sz w:val="32"/>
          <w:szCs w:val="32"/>
          <w:lang w:val="en-US" w:eastAsia="zh-CN" w:bidi="ar"/>
        </w:rPr>
        <w:t>项目基本完成阶段性目标，但开发区控制性详细规划导则升级版晚于合同约定时间。</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w:t>
      </w:r>
      <w:r>
        <w:rPr>
          <w:rFonts w:eastAsia="仿宋"/>
          <w:color w:val="000000" w:themeColor="text1"/>
          <w:sz w:val="32"/>
          <w:szCs w:val="32"/>
          <w14:textFill>
            <w14:solidFill>
              <w14:schemeClr w14:val="tx1"/>
            </w14:solidFill>
          </w14:textFill>
        </w:rPr>
        <w:t>2</w:t>
      </w:r>
      <w:r>
        <w:rPr>
          <w:rFonts w:hint="eastAsia" w:eastAsia="仿宋"/>
          <w:color w:val="000000" w:themeColor="text1"/>
          <w:sz w:val="32"/>
          <w:szCs w:val="32"/>
          <w14:textFill>
            <w14:solidFill>
              <w14:schemeClr w14:val="tx1"/>
            </w14:solidFill>
          </w14:textFill>
        </w:rPr>
        <w:t>）效益指标完成情况分析（满分</w:t>
      </w:r>
      <w:r>
        <w:rPr>
          <w:rFonts w:hint="eastAsia" w:eastAsia="仿宋"/>
          <w:color w:val="000000" w:themeColor="text1"/>
          <w:sz w:val="32"/>
          <w:szCs w:val="32"/>
          <w:lang w:val="en-US" w:eastAsia="zh-CN"/>
          <w14:textFill>
            <w14:solidFill>
              <w14:schemeClr w14:val="tx1"/>
            </w14:solidFill>
          </w14:textFill>
        </w:rPr>
        <w:t>30</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30</w:t>
      </w:r>
      <w:r>
        <w:rPr>
          <w:rFonts w:hint="eastAsia" w:eastAsia="仿宋"/>
          <w:color w:val="000000" w:themeColor="text1"/>
          <w:sz w:val="32"/>
          <w:szCs w:val="32"/>
          <w14:textFill>
            <w14:solidFill>
              <w14:schemeClr w14:val="tx1"/>
            </w14:solidFill>
          </w14:textFill>
        </w:rPr>
        <w:t>分）</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lang w:eastAsia="zh-CN"/>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①</w:t>
      </w:r>
      <w:r>
        <w:rPr>
          <w:rFonts w:hint="eastAsia" w:eastAsia="仿宋"/>
          <w:color w:val="000000" w:themeColor="text1"/>
          <w:sz w:val="32"/>
          <w:szCs w:val="32"/>
          <w14:textFill>
            <w14:solidFill>
              <w14:schemeClr w14:val="tx1"/>
            </w14:solidFill>
          </w14:textFill>
        </w:rPr>
        <w:t>提升城市品质、彰显区域特色、编制体系完善：满分</w:t>
      </w:r>
      <w:r>
        <w:rPr>
          <w:rFonts w:hint="eastAsia" w:eastAsia="仿宋"/>
          <w:color w:val="000000" w:themeColor="text1"/>
          <w:sz w:val="32"/>
          <w:szCs w:val="32"/>
          <w:lang w:val="en-US" w:eastAsia="zh-CN"/>
          <w14:textFill>
            <w14:solidFill>
              <w14:schemeClr w14:val="tx1"/>
            </w14:solidFill>
          </w14:textFill>
        </w:rPr>
        <w:t>30</w:t>
      </w:r>
      <w:r>
        <w:rPr>
          <w:rFonts w:hint="eastAsia" w:eastAsia="仿宋"/>
          <w:color w:val="000000" w:themeColor="text1"/>
          <w:sz w:val="32"/>
          <w:szCs w:val="32"/>
          <w14:textFill>
            <w14:solidFill>
              <w14:schemeClr w14:val="tx1"/>
            </w14:solidFill>
          </w14:textFill>
        </w:rPr>
        <w:t>分，得分</w:t>
      </w:r>
      <w:r>
        <w:rPr>
          <w:rFonts w:hint="eastAsia" w:eastAsia="仿宋"/>
          <w:color w:val="000000" w:themeColor="text1"/>
          <w:sz w:val="32"/>
          <w:szCs w:val="32"/>
          <w:lang w:val="en-US" w:eastAsia="zh-CN"/>
          <w14:textFill>
            <w14:solidFill>
              <w14:schemeClr w14:val="tx1"/>
            </w14:solidFill>
          </w14:textFill>
        </w:rPr>
        <w:t>30</w:t>
      </w:r>
      <w:r>
        <w:rPr>
          <w:rFonts w:hint="eastAsia" w:eastAsia="仿宋"/>
          <w:color w:val="000000" w:themeColor="text1"/>
          <w:sz w:val="32"/>
          <w:szCs w:val="32"/>
          <w14:textFill>
            <w14:solidFill>
              <w14:schemeClr w14:val="tx1"/>
            </w14:solidFill>
          </w14:textFill>
        </w:rPr>
        <w:t>分</w:t>
      </w:r>
      <w:r>
        <w:rPr>
          <w:rFonts w:hint="eastAsia" w:eastAsia="仿宋"/>
          <w:color w:val="000000" w:themeColor="text1"/>
          <w:sz w:val="32"/>
          <w:szCs w:val="32"/>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目标为</w:t>
      </w:r>
      <w:r>
        <w:rPr>
          <w:rFonts w:hint="eastAsia" w:eastAsia="仿宋"/>
          <w:color w:val="000000" w:themeColor="text1"/>
          <w:sz w:val="32"/>
          <w:szCs w:val="32"/>
          <w:lang w:val="en-US" w:eastAsia="zh-CN"/>
          <w14:textFill>
            <w14:solidFill>
              <w14:schemeClr w14:val="tx1"/>
            </w14:solidFill>
          </w14:textFill>
        </w:rPr>
        <w:t>规划编制具有指导性、特色性、健全性，</w:t>
      </w:r>
      <w:r>
        <w:rPr>
          <w:rFonts w:hint="eastAsia" w:eastAsia="仿宋"/>
          <w:color w:val="000000" w:themeColor="text1"/>
          <w:sz w:val="32"/>
          <w:szCs w:val="32"/>
          <w14:textFill>
            <w14:solidFill>
              <w14:schemeClr w14:val="tx1"/>
            </w14:solidFill>
          </w14:textFill>
        </w:rPr>
        <w:t>202</w:t>
      </w:r>
      <w:r>
        <w:rPr>
          <w:rFonts w:hint="eastAsia" w:eastAsia="仿宋"/>
          <w:color w:val="000000" w:themeColor="text1"/>
          <w:sz w:val="32"/>
          <w:szCs w:val="32"/>
          <w:lang w:val="en-US" w:eastAsia="zh-CN"/>
          <w14:textFill>
            <w14:solidFill>
              <w14:schemeClr w14:val="tx1"/>
            </w14:solidFill>
          </w14:textFill>
        </w:rPr>
        <w:t>2</w:t>
      </w:r>
      <w:r>
        <w:rPr>
          <w:rFonts w:hint="eastAsia" w:eastAsia="仿宋"/>
          <w:color w:val="000000" w:themeColor="text1"/>
          <w:sz w:val="32"/>
          <w:szCs w:val="32"/>
          <w14:textFill>
            <w14:solidFill>
              <w14:schemeClr w14:val="tx1"/>
            </w14:solidFill>
          </w14:textFill>
        </w:rPr>
        <w:t>年区自然资源和规划局稳步推进全区</w:t>
      </w:r>
      <w:r>
        <w:rPr>
          <w:rFonts w:hint="eastAsia" w:eastAsia="仿宋"/>
          <w:color w:val="000000" w:themeColor="text1"/>
          <w:sz w:val="32"/>
          <w:szCs w:val="32"/>
          <w:lang w:val="en-US" w:eastAsia="zh-CN"/>
          <w14:textFill>
            <w14:solidFill>
              <w14:schemeClr w14:val="tx1"/>
            </w14:solidFill>
          </w14:textFill>
        </w:rPr>
        <w:t>各类规划</w:t>
      </w:r>
      <w:r>
        <w:rPr>
          <w:rFonts w:hint="eastAsia" w:eastAsia="仿宋"/>
          <w:color w:val="000000" w:themeColor="text1"/>
          <w:sz w:val="32"/>
          <w:szCs w:val="32"/>
          <w14:textFill>
            <w14:solidFill>
              <w14:schemeClr w14:val="tx1"/>
            </w14:solidFill>
          </w14:textFill>
        </w:rPr>
        <w:t>编制工作，助力</w:t>
      </w:r>
      <w:r>
        <w:rPr>
          <w:rFonts w:hint="eastAsia" w:eastAsia="仿宋"/>
          <w:color w:val="000000" w:themeColor="text1"/>
          <w:sz w:val="32"/>
          <w:szCs w:val="32"/>
          <w:lang w:val="en-US" w:eastAsia="zh-CN"/>
          <w14:textFill>
            <w14:solidFill>
              <w14:schemeClr w14:val="tx1"/>
            </w14:solidFill>
          </w14:textFill>
        </w:rPr>
        <w:t>经开区</w:t>
      </w:r>
      <w:bookmarkStart w:id="0" w:name="_GoBack"/>
      <w:bookmarkEnd w:id="0"/>
      <w:r>
        <w:rPr>
          <w:rFonts w:hint="eastAsia" w:eastAsia="仿宋"/>
          <w:color w:val="000000" w:themeColor="text1"/>
          <w:sz w:val="32"/>
          <w:szCs w:val="32"/>
          <w14:textFill>
            <w14:solidFill>
              <w14:schemeClr w14:val="tx1"/>
            </w14:solidFill>
          </w14:textFill>
        </w:rPr>
        <w:t>城市功能品质提升和精细化管理</w:t>
      </w:r>
      <w:r>
        <w:rPr>
          <w:rFonts w:hint="eastAsia" w:eastAsia="仿宋"/>
          <w:color w:val="000000" w:themeColor="text1"/>
          <w:sz w:val="32"/>
          <w:szCs w:val="32"/>
          <w:lang w:eastAsia="zh-CN"/>
          <w14:textFill>
            <w14:solidFill>
              <w14:schemeClr w14:val="tx1"/>
            </w14:solidFill>
          </w14:textFill>
        </w:rPr>
        <w:t>，</w:t>
      </w:r>
      <w:r>
        <w:rPr>
          <w:rFonts w:hint="eastAsia" w:eastAsia="仿宋"/>
          <w:color w:val="000000" w:themeColor="text1"/>
          <w:sz w:val="32"/>
          <w:szCs w:val="32"/>
          <w14:textFill>
            <w14:solidFill>
              <w14:schemeClr w14:val="tx1"/>
            </w14:solidFill>
          </w14:textFill>
        </w:rPr>
        <w:t>专项规划年度工作完成情况100%，完成目标。</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（四）上年度部门自评结果应用情况</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本项目上年度实施了绩效自评并形成了项目自评表及项目自评报告。通过上年度的绩效自评工作，梳理了绩效指标体系，但本年绩效指标体系存在部分指标值笼统的问题。</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left"/>
        <w:textAlignment w:val="auto"/>
        <w:outlineLvl w:val="1"/>
        <w:rPr>
          <w:rFonts w:eastAsia="楷体"/>
          <w:b/>
          <w:bCs/>
          <w:color w:val="000000" w:themeColor="text1"/>
          <w:kern w:val="0"/>
          <w:sz w:val="32"/>
          <w:szCs w:val="32"/>
          <w14:textFill>
            <w14:solidFill>
              <w14:schemeClr w14:val="tx1"/>
            </w14:solidFill>
          </w14:textFill>
        </w:rPr>
      </w:pPr>
      <w:r>
        <w:rPr>
          <w:rFonts w:hint="eastAsia" w:eastAsia="楷体"/>
          <w:b/>
          <w:bCs/>
          <w:color w:val="000000" w:themeColor="text1"/>
          <w:kern w:val="0"/>
          <w:sz w:val="32"/>
          <w:szCs w:val="32"/>
          <w14:textFill>
            <w14:solidFill>
              <w14:schemeClr w14:val="tx1"/>
            </w14:solidFill>
          </w14:textFill>
        </w:rPr>
        <w:t>（五）其他佐证材料</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无。</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eastAsia="仿宋"/>
          <w:color w:val="000000" w:themeColor="text1"/>
          <w:sz w:val="32"/>
          <w:szCs w:val="32"/>
          <w14:textFill>
            <w14:solidFill>
              <w14:schemeClr w14:val="tx1"/>
            </w14:solidFill>
          </w14:textFill>
        </w:rPr>
      </w:pPr>
      <w:r>
        <w:rPr>
          <w:rFonts w:eastAsia="宋体"/>
          <w:color w:val="000000" w:themeColor="text1"/>
          <w:kern w:val="0"/>
          <w:sz w:val="24"/>
          <w14:textFill>
            <w14:solidFill>
              <w14:schemeClr w14:val="tx1"/>
            </w14:solidFill>
          </w14:textFill>
        </w:rPr>
        <w:t xml:space="preserve">  </w:t>
      </w:r>
      <w:r>
        <w:rPr>
          <w:rFonts w:hint="eastAsia" w:eastAsia="宋体"/>
          <w:color w:val="000000" w:themeColor="text1"/>
          <w:kern w:val="0"/>
          <w:sz w:val="24"/>
          <w14:textFill>
            <w14:solidFill>
              <w14:schemeClr w14:val="tx1"/>
            </w14:solidFill>
          </w14:textFill>
        </w:rPr>
        <w:t xml:space="preserve"> </w:t>
      </w:r>
      <w:r>
        <w:rPr>
          <w:rFonts w:eastAsia="宋体"/>
          <w:color w:val="000000" w:themeColor="text1"/>
          <w:kern w:val="0"/>
          <w:sz w:val="24"/>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武汉经济技术开发区（汉南区）自然资源和规划局</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color w:val="000000" w:themeColor="text1"/>
          <w14:textFill>
            <w14:solidFill>
              <w14:schemeClr w14:val="tx1"/>
            </w14:solidFill>
          </w14:textFill>
        </w:rPr>
      </w:pPr>
      <w:r>
        <w:rPr>
          <w:rFonts w:eastAsia="仿宋"/>
          <w:color w:val="000000" w:themeColor="text1"/>
          <w:sz w:val="32"/>
          <w:szCs w:val="32"/>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 xml:space="preserve">    </w:t>
      </w:r>
      <w:r>
        <w:rPr>
          <w:rFonts w:eastAsia="仿宋"/>
          <w:color w:val="000000" w:themeColor="text1"/>
          <w:sz w:val="32"/>
          <w:szCs w:val="32"/>
          <w14:textFill>
            <w14:solidFill>
              <w14:schemeClr w14:val="tx1"/>
            </w14:solidFill>
          </w14:textFill>
        </w:rPr>
        <w:t xml:space="preserve">                 </w:t>
      </w:r>
      <w:r>
        <w:rPr>
          <w:rFonts w:hint="eastAsia" w:eastAsia="仿宋"/>
          <w:color w:val="000000" w:themeColor="text1"/>
          <w:sz w:val="32"/>
          <w:szCs w:val="32"/>
          <w14:textFill>
            <w14:solidFill>
              <w14:schemeClr w14:val="tx1"/>
            </w14:solidFill>
          </w14:textFill>
        </w:rPr>
        <w:t xml:space="preserve"> 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w:t>
      </w:r>
      <w:r>
        <w:rPr>
          <w:rFonts w:hint="eastAsia" w:eastAsia="仿宋"/>
          <w:color w:val="000000" w:themeColor="text1"/>
          <w:sz w:val="32"/>
          <w:szCs w:val="32"/>
          <w:lang w:val="en-US" w:eastAsia="zh-CN"/>
          <w14:textFill>
            <w14:solidFill>
              <w14:schemeClr w14:val="tx1"/>
            </w14:solidFill>
          </w14:textFill>
        </w:rPr>
        <w:t>4</w:t>
      </w:r>
      <w:r>
        <w:rPr>
          <w:rFonts w:hint="eastAsia" w:eastAsia="仿宋"/>
          <w:color w:val="000000" w:themeColor="text1"/>
          <w:sz w:val="32"/>
          <w:szCs w:val="32"/>
          <w14:textFill>
            <w14:solidFill>
              <w14:schemeClr w14:val="tx1"/>
            </w14:solidFill>
          </w14:textFill>
        </w:rPr>
        <w:t>月</w:t>
      </w:r>
      <w:r>
        <w:rPr>
          <w:rFonts w:hint="eastAsia" w:eastAsia="仿宋"/>
          <w:color w:val="000000" w:themeColor="text1"/>
          <w:sz w:val="32"/>
          <w:szCs w:val="32"/>
          <w:lang w:val="en-US" w:eastAsia="zh-CN"/>
          <w14:textFill>
            <w14:solidFill>
              <w14:schemeClr w14:val="tx1"/>
            </w14:solidFill>
          </w14:textFill>
        </w:rPr>
        <w:t>21</w:t>
      </w:r>
      <w:r>
        <w:rPr>
          <w:rFonts w:hint="eastAsia" w:eastAsia="仿宋"/>
          <w:color w:val="000000" w:themeColor="text1"/>
          <w:sz w:val="32"/>
          <w:szCs w:val="32"/>
          <w14:textFill>
            <w14:solidFill>
              <w14:schemeClr w14:val="tx1"/>
            </w14:solidFill>
          </w14:textFill>
        </w:rPr>
        <w:t>日</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iconfon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MicrosoftYaHei-Bold">
    <w:altName w:val="Segoe Print"/>
    <w:panose1 w:val="00000000000000000000"/>
    <w:charset w:val="00"/>
    <w:family w:val="auto"/>
    <w:pitch w:val="default"/>
    <w:sig w:usb0="00000000" w:usb1="00000000" w:usb2="00000000" w:usb3="00000000" w:csb0="00000000" w:csb1="00000000"/>
  </w:font>
  <w:font w:name="方正仿宋简体">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10</w:t>
    </w:r>
    <w:r>
      <w:rPr>
        <w:lang w:val="zh-CN"/>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10</w:t>
    </w:r>
    <w:r>
      <w:rPr>
        <w:lang w:val="zh-CN"/>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6DEDC6"/>
    <w:multiLevelType w:val="singleLevel"/>
    <w:tmpl w:val="F26DED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mMDE5MmVhMGM5YjJmZDI0OWU5NDNiYzU3MmIzMzkifQ=="/>
  </w:docVars>
  <w:rsids>
    <w:rsidRoot w:val="00F57F82"/>
    <w:rsid w:val="000101E1"/>
    <w:rsid w:val="00020084"/>
    <w:rsid w:val="00057FFB"/>
    <w:rsid w:val="000732DA"/>
    <w:rsid w:val="00075CDC"/>
    <w:rsid w:val="00097A24"/>
    <w:rsid w:val="000A79ED"/>
    <w:rsid w:val="000B1E8F"/>
    <w:rsid w:val="0010192F"/>
    <w:rsid w:val="00103D16"/>
    <w:rsid w:val="00164D84"/>
    <w:rsid w:val="001C5A40"/>
    <w:rsid w:val="001D628A"/>
    <w:rsid w:val="001F551B"/>
    <w:rsid w:val="00203D57"/>
    <w:rsid w:val="002279D0"/>
    <w:rsid w:val="00250053"/>
    <w:rsid w:val="00287C3C"/>
    <w:rsid w:val="00306C2A"/>
    <w:rsid w:val="00332F8B"/>
    <w:rsid w:val="003476B1"/>
    <w:rsid w:val="0039432D"/>
    <w:rsid w:val="003A26A2"/>
    <w:rsid w:val="003B219D"/>
    <w:rsid w:val="003C6374"/>
    <w:rsid w:val="00415F7C"/>
    <w:rsid w:val="004517EC"/>
    <w:rsid w:val="004531B5"/>
    <w:rsid w:val="00462F73"/>
    <w:rsid w:val="00470168"/>
    <w:rsid w:val="00475F52"/>
    <w:rsid w:val="00494F82"/>
    <w:rsid w:val="00500BDF"/>
    <w:rsid w:val="00502508"/>
    <w:rsid w:val="00504A56"/>
    <w:rsid w:val="005D07CE"/>
    <w:rsid w:val="0060777A"/>
    <w:rsid w:val="00635DAB"/>
    <w:rsid w:val="00641696"/>
    <w:rsid w:val="00642902"/>
    <w:rsid w:val="006469A2"/>
    <w:rsid w:val="00677BA4"/>
    <w:rsid w:val="006858C7"/>
    <w:rsid w:val="006A453E"/>
    <w:rsid w:val="006B653B"/>
    <w:rsid w:val="006D504F"/>
    <w:rsid w:val="00702259"/>
    <w:rsid w:val="00704DD2"/>
    <w:rsid w:val="00710718"/>
    <w:rsid w:val="00716357"/>
    <w:rsid w:val="007553C7"/>
    <w:rsid w:val="00785AF7"/>
    <w:rsid w:val="007870EF"/>
    <w:rsid w:val="007A1DC2"/>
    <w:rsid w:val="007B1C7E"/>
    <w:rsid w:val="007C4F0D"/>
    <w:rsid w:val="007D7B7E"/>
    <w:rsid w:val="007E0470"/>
    <w:rsid w:val="007E7046"/>
    <w:rsid w:val="00801E54"/>
    <w:rsid w:val="00842E84"/>
    <w:rsid w:val="00867C3D"/>
    <w:rsid w:val="0087227F"/>
    <w:rsid w:val="00877BDD"/>
    <w:rsid w:val="008A20F2"/>
    <w:rsid w:val="008B50FA"/>
    <w:rsid w:val="008C3688"/>
    <w:rsid w:val="00905D4C"/>
    <w:rsid w:val="00921154"/>
    <w:rsid w:val="0093106C"/>
    <w:rsid w:val="00937D8E"/>
    <w:rsid w:val="009707E5"/>
    <w:rsid w:val="00981871"/>
    <w:rsid w:val="009821AD"/>
    <w:rsid w:val="00997C33"/>
    <w:rsid w:val="009A3D8F"/>
    <w:rsid w:val="009A6584"/>
    <w:rsid w:val="009F25A2"/>
    <w:rsid w:val="009F652F"/>
    <w:rsid w:val="00A26802"/>
    <w:rsid w:val="00A41340"/>
    <w:rsid w:val="00A63B0D"/>
    <w:rsid w:val="00A72C3E"/>
    <w:rsid w:val="00A72CA8"/>
    <w:rsid w:val="00AA2B82"/>
    <w:rsid w:val="00AC315F"/>
    <w:rsid w:val="00AD0167"/>
    <w:rsid w:val="00AD0FBD"/>
    <w:rsid w:val="00AD5D6F"/>
    <w:rsid w:val="00AF6CB8"/>
    <w:rsid w:val="00B02052"/>
    <w:rsid w:val="00B24C7B"/>
    <w:rsid w:val="00B32B29"/>
    <w:rsid w:val="00B75173"/>
    <w:rsid w:val="00B76608"/>
    <w:rsid w:val="00BD2F34"/>
    <w:rsid w:val="00BF0FAB"/>
    <w:rsid w:val="00C2151C"/>
    <w:rsid w:val="00C24A6D"/>
    <w:rsid w:val="00C61ABD"/>
    <w:rsid w:val="00C84028"/>
    <w:rsid w:val="00C85238"/>
    <w:rsid w:val="00C95A35"/>
    <w:rsid w:val="00CB2349"/>
    <w:rsid w:val="00CC152C"/>
    <w:rsid w:val="00CC4B6D"/>
    <w:rsid w:val="00CD06C3"/>
    <w:rsid w:val="00CE21E1"/>
    <w:rsid w:val="00D31790"/>
    <w:rsid w:val="00D34B03"/>
    <w:rsid w:val="00D63908"/>
    <w:rsid w:val="00D81B27"/>
    <w:rsid w:val="00DB1434"/>
    <w:rsid w:val="00DD09A2"/>
    <w:rsid w:val="00DD16E3"/>
    <w:rsid w:val="00DF0A2D"/>
    <w:rsid w:val="00E02E05"/>
    <w:rsid w:val="00E2291B"/>
    <w:rsid w:val="00E339D5"/>
    <w:rsid w:val="00E54B40"/>
    <w:rsid w:val="00E800C1"/>
    <w:rsid w:val="00EC3B42"/>
    <w:rsid w:val="00ED6D53"/>
    <w:rsid w:val="00EE0803"/>
    <w:rsid w:val="00EE6F1A"/>
    <w:rsid w:val="00F10473"/>
    <w:rsid w:val="00F15068"/>
    <w:rsid w:val="00F31837"/>
    <w:rsid w:val="00F41771"/>
    <w:rsid w:val="00F437B4"/>
    <w:rsid w:val="00F55402"/>
    <w:rsid w:val="00F57F82"/>
    <w:rsid w:val="00F60E7C"/>
    <w:rsid w:val="00F75963"/>
    <w:rsid w:val="00FA357A"/>
    <w:rsid w:val="01745D0A"/>
    <w:rsid w:val="01D434EE"/>
    <w:rsid w:val="01FF3C7D"/>
    <w:rsid w:val="02225B04"/>
    <w:rsid w:val="02C86339"/>
    <w:rsid w:val="03623055"/>
    <w:rsid w:val="037D0BC8"/>
    <w:rsid w:val="03CB0C86"/>
    <w:rsid w:val="050163A6"/>
    <w:rsid w:val="05334471"/>
    <w:rsid w:val="05335DF3"/>
    <w:rsid w:val="07E640F0"/>
    <w:rsid w:val="0845082D"/>
    <w:rsid w:val="085D067E"/>
    <w:rsid w:val="094115EA"/>
    <w:rsid w:val="096A663E"/>
    <w:rsid w:val="09D025E8"/>
    <w:rsid w:val="09E965F2"/>
    <w:rsid w:val="0A130CF6"/>
    <w:rsid w:val="0A170DE6"/>
    <w:rsid w:val="0A87714B"/>
    <w:rsid w:val="0ACF071C"/>
    <w:rsid w:val="0CBF575D"/>
    <w:rsid w:val="0D660F6F"/>
    <w:rsid w:val="0ECA2EFA"/>
    <w:rsid w:val="0F9652C0"/>
    <w:rsid w:val="10426B40"/>
    <w:rsid w:val="11D7196B"/>
    <w:rsid w:val="124E3986"/>
    <w:rsid w:val="125B58E2"/>
    <w:rsid w:val="13511532"/>
    <w:rsid w:val="13970E9E"/>
    <w:rsid w:val="139840D3"/>
    <w:rsid w:val="143E091F"/>
    <w:rsid w:val="14865FC8"/>
    <w:rsid w:val="150C2DB0"/>
    <w:rsid w:val="15137DCE"/>
    <w:rsid w:val="154A657B"/>
    <w:rsid w:val="1732711E"/>
    <w:rsid w:val="176C3857"/>
    <w:rsid w:val="17C34C75"/>
    <w:rsid w:val="19AA2628"/>
    <w:rsid w:val="19FD2B7E"/>
    <w:rsid w:val="1AF225DB"/>
    <w:rsid w:val="1B515EE3"/>
    <w:rsid w:val="1BB80B76"/>
    <w:rsid w:val="1C125FA5"/>
    <w:rsid w:val="1CE94882"/>
    <w:rsid w:val="1D1571CA"/>
    <w:rsid w:val="1D436C02"/>
    <w:rsid w:val="1E3F631C"/>
    <w:rsid w:val="1E5D0198"/>
    <w:rsid w:val="1E761F05"/>
    <w:rsid w:val="1F236DF4"/>
    <w:rsid w:val="1FC7205C"/>
    <w:rsid w:val="20522F58"/>
    <w:rsid w:val="20A221A5"/>
    <w:rsid w:val="211537CA"/>
    <w:rsid w:val="21167BF2"/>
    <w:rsid w:val="215379D9"/>
    <w:rsid w:val="21632834"/>
    <w:rsid w:val="219D6ED7"/>
    <w:rsid w:val="21A23A84"/>
    <w:rsid w:val="228B3D05"/>
    <w:rsid w:val="24822003"/>
    <w:rsid w:val="24CB54E2"/>
    <w:rsid w:val="24E4263B"/>
    <w:rsid w:val="24FD4C67"/>
    <w:rsid w:val="26F84832"/>
    <w:rsid w:val="27125C45"/>
    <w:rsid w:val="271F3ED8"/>
    <w:rsid w:val="276E7926"/>
    <w:rsid w:val="286D5E37"/>
    <w:rsid w:val="287B5BDC"/>
    <w:rsid w:val="2AA42DBD"/>
    <w:rsid w:val="2AC72633"/>
    <w:rsid w:val="2BC20E98"/>
    <w:rsid w:val="2BC51E27"/>
    <w:rsid w:val="2D777BC2"/>
    <w:rsid w:val="2DF34CC0"/>
    <w:rsid w:val="2FB66BD0"/>
    <w:rsid w:val="308849A3"/>
    <w:rsid w:val="31D73965"/>
    <w:rsid w:val="32235DC1"/>
    <w:rsid w:val="3381719A"/>
    <w:rsid w:val="33833DA5"/>
    <w:rsid w:val="35254D91"/>
    <w:rsid w:val="363C0F26"/>
    <w:rsid w:val="37C877E9"/>
    <w:rsid w:val="380E6212"/>
    <w:rsid w:val="38EF7AD8"/>
    <w:rsid w:val="391179DE"/>
    <w:rsid w:val="39B27192"/>
    <w:rsid w:val="39B51B30"/>
    <w:rsid w:val="39E47609"/>
    <w:rsid w:val="3AC26D8D"/>
    <w:rsid w:val="3AD60F72"/>
    <w:rsid w:val="3B5B7385"/>
    <w:rsid w:val="3CA372DD"/>
    <w:rsid w:val="3CA70864"/>
    <w:rsid w:val="3D01780C"/>
    <w:rsid w:val="3D1F0333"/>
    <w:rsid w:val="3DD6679A"/>
    <w:rsid w:val="3E1672E6"/>
    <w:rsid w:val="3EE947C1"/>
    <w:rsid w:val="3FDB0AD7"/>
    <w:rsid w:val="40BC213C"/>
    <w:rsid w:val="40DF3E29"/>
    <w:rsid w:val="415F08D8"/>
    <w:rsid w:val="418F473C"/>
    <w:rsid w:val="433B52D2"/>
    <w:rsid w:val="434010BE"/>
    <w:rsid w:val="43512B3E"/>
    <w:rsid w:val="43616C69"/>
    <w:rsid w:val="43F5336E"/>
    <w:rsid w:val="44117EA6"/>
    <w:rsid w:val="443B5FD6"/>
    <w:rsid w:val="44A95196"/>
    <w:rsid w:val="44D759C2"/>
    <w:rsid w:val="44DC6F9E"/>
    <w:rsid w:val="44E2230F"/>
    <w:rsid w:val="453C0130"/>
    <w:rsid w:val="4549266A"/>
    <w:rsid w:val="45DD6BEA"/>
    <w:rsid w:val="46416261"/>
    <w:rsid w:val="46B5685D"/>
    <w:rsid w:val="46E206AE"/>
    <w:rsid w:val="46F9107C"/>
    <w:rsid w:val="486B28F0"/>
    <w:rsid w:val="488641E0"/>
    <w:rsid w:val="48B51347"/>
    <w:rsid w:val="4A55216A"/>
    <w:rsid w:val="4AA8027E"/>
    <w:rsid w:val="4AAA655F"/>
    <w:rsid w:val="4AAE000A"/>
    <w:rsid w:val="4AB1310B"/>
    <w:rsid w:val="4ADD59A5"/>
    <w:rsid w:val="4D186EB4"/>
    <w:rsid w:val="4D4F4973"/>
    <w:rsid w:val="4F7E7282"/>
    <w:rsid w:val="4FE0696A"/>
    <w:rsid w:val="4FE5476A"/>
    <w:rsid w:val="5124425E"/>
    <w:rsid w:val="51FD19E1"/>
    <w:rsid w:val="52B3077B"/>
    <w:rsid w:val="52C0009F"/>
    <w:rsid w:val="5408455A"/>
    <w:rsid w:val="544E728B"/>
    <w:rsid w:val="54B70621"/>
    <w:rsid w:val="55673508"/>
    <w:rsid w:val="55D05801"/>
    <w:rsid w:val="57AC028E"/>
    <w:rsid w:val="57FF47E1"/>
    <w:rsid w:val="58587667"/>
    <w:rsid w:val="59595A6F"/>
    <w:rsid w:val="599330CA"/>
    <w:rsid w:val="59DF200D"/>
    <w:rsid w:val="5A4C3EF6"/>
    <w:rsid w:val="5B0D23FC"/>
    <w:rsid w:val="5BB47C58"/>
    <w:rsid w:val="5CC85DD9"/>
    <w:rsid w:val="5D7F5BC5"/>
    <w:rsid w:val="5DB076C2"/>
    <w:rsid w:val="5E367F56"/>
    <w:rsid w:val="5F101037"/>
    <w:rsid w:val="5F4015DE"/>
    <w:rsid w:val="5F5D2E4C"/>
    <w:rsid w:val="606362B8"/>
    <w:rsid w:val="60C178B2"/>
    <w:rsid w:val="60D5009F"/>
    <w:rsid w:val="6137540F"/>
    <w:rsid w:val="63DF1591"/>
    <w:rsid w:val="64204EDE"/>
    <w:rsid w:val="64CB2ACC"/>
    <w:rsid w:val="65D630D8"/>
    <w:rsid w:val="660721C9"/>
    <w:rsid w:val="661E6C75"/>
    <w:rsid w:val="662446C4"/>
    <w:rsid w:val="66E0078C"/>
    <w:rsid w:val="67F75FF5"/>
    <w:rsid w:val="681D4831"/>
    <w:rsid w:val="692E4B19"/>
    <w:rsid w:val="69513EF7"/>
    <w:rsid w:val="69BE2A6F"/>
    <w:rsid w:val="69F86A78"/>
    <w:rsid w:val="6A493712"/>
    <w:rsid w:val="6BBF604F"/>
    <w:rsid w:val="6BF3256F"/>
    <w:rsid w:val="6C17459F"/>
    <w:rsid w:val="6CE7018A"/>
    <w:rsid w:val="6E3E3F2D"/>
    <w:rsid w:val="6EFA588C"/>
    <w:rsid w:val="70B367D0"/>
    <w:rsid w:val="711266E1"/>
    <w:rsid w:val="715B2F02"/>
    <w:rsid w:val="715B3F7C"/>
    <w:rsid w:val="71AE5E95"/>
    <w:rsid w:val="727A0B28"/>
    <w:rsid w:val="7281713A"/>
    <w:rsid w:val="72DD275E"/>
    <w:rsid w:val="73067674"/>
    <w:rsid w:val="74292DBE"/>
    <w:rsid w:val="74347374"/>
    <w:rsid w:val="76834D9A"/>
    <w:rsid w:val="76A548F2"/>
    <w:rsid w:val="7765772E"/>
    <w:rsid w:val="778079DD"/>
    <w:rsid w:val="77867685"/>
    <w:rsid w:val="77F04540"/>
    <w:rsid w:val="781F36B6"/>
    <w:rsid w:val="78D705E2"/>
    <w:rsid w:val="790627AD"/>
    <w:rsid w:val="79D67893"/>
    <w:rsid w:val="7A3C4C7A"/>
    <w:rsid w:val="7A5069D3"/>
    <w:rsid w:val="7A571374"/>
    <w:rsid w:val="7A70083D"/>
    <w:rsid w:val="7ADC59FA"/>
    <w:rsid w:val="7BDC27DF"/>
    <w:rsid w:val="7C255834"/>
    <w:rsid w:val="7C5C0642"/>
    <w:rsid w:val="7DC948FC"/>
    <w:rsid w:val="7DCC5590"/>
    <w:rsid w:val="7DDD794F"/>
    <w:rsid w:val="7E8603E1"/>
    <w:rsid w:val="7E8B01A9"/>
    <w:rsid w:val="7EB268B9"/>
    <w:rsid w:val="7EDF39A7"/>
    <w:rsid w:val="7EEF7E56"/>
    <w:rsid w:val="7F323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qFormat/>
    <w:uiPriority w:val="0"/>
    <w:pPr>
      <w:outlineLvl w:val="2"/>
    </w:pPr>
    <w:rPr>
      <w:sz w:val="28"/>
      <w:szCs w:val="28"/>
    </w:rPr>
  </w:style>
  <w:style w:type="paragraph" w:styleId="4">
    <w:name w:val="heading 5"/>
    <w:basedOn w:val="1"/>
    <w:next w:val="1"/>
    <w:qFormat/>
    <w:uiPriority w:val="0"/>
    <w:pPr>
      <w:keepNext/>
      <w:outlineLvl w:val="4"/>
    </w:pPr>
    <w:rPr>
      <w:rFonts w:ascii="宋体" w:hAnsi="宋体" w:cs="宋体"/>
      <w:b/>
      <w:bCs/>
      <w:sz w:val="24"/>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annotation text"/>
    <w:basedOn w:val="1"/>
    <w:link w:val="29"/>
    <w:qFormat/>
    <w:uiPriority w:val="0"/>
    <w:pPr>
      <w:jc w:val="left"/>
    </w:pPr>
  </w:style>
  <w:style w:type="paragraph" w:styleId="6">
    <w:name w:val="Balloon Text"/>
    <w:basedOn w:val="1"/>
    <w:link w:val="25"/>
    <w:qFormat/>
    <w:uiPriority w:val="0"/>
    <w:rPr>
      <w:sz w:val="18"/>
      <w:szCs w:val="18"/>
    </w:rPr>
  </w:style>
  <w:style w:type="paragraph" w:styleId="7">
    <w:name w:val="footer"/>
    <w:basedOn w:val="1"/>
    <w:link w:val="23"/>
    <w:qFormat/>
    <w:uiPriority w:val="99"/>
    <w:pPr>
      <w:tabs>
        <w:tab w:val="center" w:pos="4153"/>
        <w:tab w:val="right" w:pos="8306"/>
      </w:tabs>
      <w:snapToGrid w:val="0"/>
      <w:jc w:val="left"/>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spacing w:line="360" w:lineRule="auto"/>
      <w:ind w:firstLine="200" w:firstLineChars="200"/>
      <w:jc w:val="left"/>
      <w:outlineLvl w:val="3"/>
    </w:pPr>
    <w:rPr>
      <w:rFonts w:ascii="Cambria" w:hAnsi="Cambria"/>
      <w:bCs/>
      <w:sz w:val="24"/>
      <w:szCs w:val="32"/>
    </w:rPr>
  </w:style>
  <w:style w:type="paragraph" w:styleId="10">
    <w:name w:val="annotation subject"/>
    <w:basedOn w:val="5"/>
    <w:next w:val="5"/>
    <w:link w:val="30"/>
    <w:qFormat/>
    <w:uiPriority w:val="0"/>
    <w:rPr>
      <w:b/>
      <w:bCs/>
    </w:rPr>
  </w:style>
  <w:style w:type="character" w:styleId="13">
    <w:name w:val="Strong"/>
    <w:basedOn w:val="12"/>
    <w:qFormat/>
    <w:uiPriority w:val="0"/>
    <w:rPr>
      <w:sz w:val="24"/>
      <w:szCs w:val="24"/>
      <w:bdr w:val="none" w:color="auto" w:sz="0" w:space="0"/>
    </w:rPr>
  </w:style>
  <w:style w:type="character" w:styleId="14">
    <w:name w:val="page number"/>
    <w:basedOn w:val="12"/>
    <w:qFormat/>
    <w:uiPriority w:val="0"/>
  </w:style>
  <w:style w:type="character" w:styleId="15">
    <w:name w:val="FollowedHyperlink"/>
    <w:basedOn w:val="12"/>
    <w:uiPriority w:val="0"/>
    <w:rPr>
      <w:color w:val="333333"/>
      <w:u w:val="none"/>
    </w:rPr>
  </w:style>
  <w:style w:type="character" w:styleId="16">
    <w:name w:val="Emphasis"/>
    <w:basedOn w:val="12"/>
    <w:qFormat/>
    <w:uiPriority w:val="0"/>
    <w:rPr>
      <w:sz w:val="24"/>
      <w:szCs w:val="24"/>
      <w:bdr w:val="none" w:color="auto" w:sz="0" w:space="0"/>
    </w:rPr>
  </w:style>
  <w:style w:type="character" w:styleId="17">
    <w:name w:val="HTML Definition"/>
    <w:basedOn w:val="12"/>
    <w:uiPriority w:val="0"/>
    <w:rPr>
      <w:i/>
      <w:iCs/>
    </w:rPr>
  </w:style>
  <w:style w:type="character" w:styleId="18">
    <w:name w:val="Hyperlink"/>
    <w:basedOn w:val="12"/>
    <w:uiPriority w:val="0"/>
    <w:rPr>
      <w:color w:val="333333"/>
      <w:u w:val="none"/>
    </w:rPr>
  </w:style>
  <w:style w:type="character" w:styleId="19">
    <w:name w:val="HTML Code"/>
    <w:basedOn w:val="12"/>
    <w:uiPriority w:val="0"/>
    <w:rPr>
      <w:rFonts w:hint="default" w:ascii="Consolas" w:hAnsi="Consolas" w:eastAsia="Consolas" w:cs="Consolas"/>
      <w:color w:val="C7254E"/>
      <w:sz w:val="21"/>
      <w:szCs w:val="21"/>
      <w:bdr w:val="none" w:color="auto" w:sz="0" w:space="0"/>
      <w:shd w:val="clear" w:fill="F9F2F4"/>
    </w:rPr>
  </w:style>
  <w:style w:type="character" w:styleId="20">
    <w:name w:val="annotation reference"/>
    <w:basedOn w:val="12"/>
    <w:qFormat/>
    <w:uiPriority w:val="0"/>
    <w:rPr>
      <w:sz w:val="21"/>
      <w:szCs w:val="21"/>
    </w:rPr>
  </w:style>
  <w:style w:type="character" w:styleId="21">
    <w:name w:val="HTML Keyboard"/>
    <w:basedOn w:val="12"/>
    <w:uiPriority w:val="0"/>
    <w:rPr>
      <w:rFonts w:hint="default" w:ascii="Consolas" w:hAnsi="Consolas" w:eastAsia="Consolas" w:cs="Consolas"/>
      <w:color w:val="FFFFFF"/>
      <w:sz w:val="21"/>
      <w:szCs w:val="21"/>
      <w:bdr w:val="none" w:color="auto" w:sz="0" w:space="0"/>
      <w:shd w:val="clear" w:fill="333333"/>
    </w:rPr>
  </w:style>
  <w:style w:type="character" w:styleId="22">
    <w:name w:val="HTML Sample"/>
    <w:basedOn w:val="12"/>
    <w:uiPriority w:val="0"/>
    <w:rPr>
      <w:rFonts w:ascii="Consolas" w:hAnsi="Consolas" w:eastAsia="Consolas" w:cs="Consolas"/>
      <w:sz w:val="21"/>
      <w:szCs w:val="21"/>
    </w:rPr>
  </w:style>
  <w:style w:type="character" w:customStyle="1" w:styleId="23">
    <w:name w:val="页脚 字符"/>
    <w:basedOn w:val="12"/>
    <w:link w:val="7"/>
    <w:qFormat/>
    <w:uiPriority w:val="99"/>
    <w:rPr>
      <w:rFonts w:eastAsia="仿宋_GB2312"/>
      <w:kern w:val="2"/>
      <w:sz w:val="18"/>
      <w:szCs w:val="18"/>
    </w:rPr>
  </w:style>
  <w:style w:type="character" w:customStyle="1" w:styleId="24">
    <w:name w:val="页眉 字符"/>
    <w:basedOn w:val="12"/>
    <w:link w:val="8"/>
    <w:qFormat/>
    <w:uiPriority w:val="0"/>
    <w:rPr>
      <w:rFonts w:eastAsia="仿宋_GB2312"/>
      <w:kern w:val="2"/>
      <w:sz w:val="18"/>
      <w:szCs w:val="18"/>
    </w:rPr>
  </w:style>
  <w:style w:type="character" w:customStyle="1" w:styleId="25">
    <w:name w:val="批注框文本 字符"/>
    <w:basedOn w:val="12"/>
    <w:link w:val="6"/>
    <w:qFormat/>
    <w:uiPriority w:val="0"/>
    <w:rPr>
      <w:rFonts w:eastAsia="仿宋_GB2312"/>
      <w:kern w:val="2"/>
      <w:sz w:val="18"/>
      <w:szCs w:val="18"/>
    </w:rPr>
  </w:style>
  <w:style w:type="paragraph" w:styleId="26">
    <w:name w:val="List Paragraph"/>
    <w:basedOn w:val="1"/>
    <w:qFormat/>
    <w:uiPriority w:val="99"/>
    <w:pPr>
      <w:ind w:firstLine="420" w:firstLineChars="200"/>
    </w:pPr>
  </w:style>
  <w:style w:type="character" w:customStyle="1" w:styleId="27">
    <w:name w:val="font61"/>
    <w:basedOn w:val="12"/>
    <w:qFormat/>
    <w:uiPriority w:val="0"/>
    <w:rPr>
      <w:rFonts w:ascii="Wingdings" w:hAnsi="Wingdings" w:cs="Wingdings"/>
      <w:color w:val="000000"/>
      <w:sz w:val="20"/>
      <w:szCs w:val="20"/>
      <w:u w:val="none"/>
    </w:rPr>
  </w:style>
  <w:style w:type="character" w:customStyle="1" w:styleId="28">
    <w:name w:val="font41"/>
    <w:basedOn w:val="12"/>
    <w:qFormat/>
    <w:uiPriority w:val="0"/>
    <w:rPr>
      <w:rFonts w:hint="eastAsia" w:ascii="仿宋" w:hAnsi="仿宋" w:eastAsia="仿宋" w:cs="仿宋"/>
      <w:color w:val="000000"/>
      <w:sz w:val="20"/>
      <w:szCs w:val="20"/>
      <w:u w:val="none"/>
    </w:rPr>
  </w:style>
  <w:style w:type="character" w:customStyle="1" w:styleId="29">
    <w:name w:val="批注文字 字符"/>
    <w:basedOn w:val="12"/>
    <w:link w:val="5"/>
    <w:qFormat/>
    <w:uiPriority w:val="0"/>
    <w:rPr>
      <w:rFonts w:eastAsia="仿宋_GB2312"/>
      <w:kern w:val="2"/>
      <w:sz w:val="30"/>
      <w:szCs w:val="24"/>
    </w:rPr>
  </w:style>
  <w:style w:type="character" w:customStyle="1" w:styleId="30">
    <w:name w:val="批注主题 字符"/>
    <w:basedOn w:val="29"/>
    <w:link w:val="10"/>
    <w:qFormat/>
    <w:uiPriority w:val="0"/>
    <w:rPr>
      <w:rFonts w:eastAsia="仿宋_GB2312"/>
      <w:b/>
      <w:bCs/>
      <w:kern w:val="2"/>
      <w:sz w:val="30"/>
      <w:szCs w:val="24"/>
    </w:rPr>
  </w:style>
  <w:style w:type="character" w:customStyle="1" w:styleId="31">
    <w:name w:val="gsdate"/>
    <w:basedOn w:val="12"/>
    <w:uiPriority w:val="0"/>
  </w:style>
  <w:style w:type="character" w:customStyle="1" w:styleId="32">
    <w:name w:val="wh"/>
    <w:basedOn w:val="12"/>
    <w:uiPriority w:val="0"/>
  </w:style>
  <w:style w:type="character" w:customStyle="1" w:styleId="33">
    <w:name w:val="hover33"/>
    <w:basedOn w:val="12"/>
    <w:uiPriority w:val="0"/>
    <w:rPr>
      <w:color w:val="000000"/>
      <w:shd w:val="clear" w:fill="FFFFFF"/>
    </w:rPr>
  </w:style>
  <w:style w:type="character" w:customStyle="1" w:styleId="34">
    <w:name w:val="time"/>
    <w:basedOn w:val="12"/>
    <w:uiPriority w:val="0"/>
    <w:rPr>
      <w:rFonts w:ascii="Arial" w:hAnsi="Arial" w:cs="Arial"/>
    </w:rPr>
  </w:style>
  <w:style w:type="character" w:customStyle="1" w:styleId="35">
    <w:name w:val="select2-selection__rendered"/>
    <w:basedOn w:val="12"/>
    <w:uiPriority w:val="0"/>
    <w:rPr>
      <w:sz w:val="18"/>
      <w:szCs w:val="18"/>
      <w:bdr w:val="none" w:color="auto" w:sz="0" w:space="0"/>
    </w:rPr>
  </w:style>
  <w:style w:type="character" w:customStyle="1" w:styleId="36">
    <w:name w:val="bsharetext"/>
    <w:basedOn w:val="12"/>
    <w:uiPriority w:val="0"/>
  </w:style>
  <w:style w:type="character" w:customStyle="1" w:styleId="37">
    <w:name w:val="wx-space"/>
    <w:basedOn w:val="12"/>
    <w:uiPriority w:val="0"/>
  </w:style>
  <w:style w:type="character" w:customStyle="1" w:styleId="38">
    <w:name w:val="wx-space1"/>
    <w:basedOn w:val="12"/>
    <w:uiPriority w:val="0"/>
  </w:style>
  <w:style w:type="character" w:customStyle="1" w:styleId="39">
    <w:name w:val="hover"/>
    <w:basedOn w:val="12"/>
    <w:uiPriority w:val="0"/>
    <w:rPr>
      <w:color w:val="000000"/>
      <w:shd w:val="clear" w:fill="FFFFF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28B6F-1E9B-4ACC-AFE2-694D80EF2B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4580</Words>
  <Characters>4882</Characters>
  <Lines>39</Lines>
  <Paragraphs>11</Paragraphs>
  <TotalTime>3</TotalTime>
  <ScaleCrop>false</ScaleCrop>
  <LinksUpToDate>false</LinksUpToDate>
  <CharactersWithSpaces>5070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2021-02-26T14:13:00Z</dcterms:created>
  <dc:creator>lhn</dc:creator>
  <cp:lastModifiedBy>丫丫</cp:lastModifiedBy>
  <cp:lastPrinted>2021-04-30T00:57:00Z</cp:lastPrinted>
  <dcterms:modified xsi:type="dcterms:W3CDTF">2023-04-12T12:26:03Z</dcterms:modified>
  <dc:title>财政支出绩效评价报告</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C551033B92D14B15A27E7AF26FCE060F</vt:lpwstr>
  </property>
</Properties>
</file>