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 w:ascii="Times New Roman" w:hAnsi="Times New Roman" w:cs="Times New Roman" w:eastAsiaTheme="majorEastAsia"/>
          <w:sz w:val="36"/>
          <w:szCs w:val="36"/>
        </w:rPr>
      </w:pPr>
      <w:r>
        <w:rPr>
          <w:rFonts w:hint="eastAsia" w:ascii="Times New Roman" w:hAnsi="Times New Roman" w:cs="Times New Roman" w:eastAsiaTheme="majorEastAsia"/>
          <w:sz w:val="36"/>
          <w:szCs w:val="36"/>
        </w:rPr>
        <w:t>202</w:t>
      </w:r>
      <w:r>
        <w:rPr>
          <w:rFonts w:hint="eastAsia" w:ascii="Times New Roman" w:hAnsi="Times New Roman" w:cs="Times New Roman" w:eastAsiaTheme="majorEastAsia"/>
          <w:sz w:val="36"/>
          <w:szCs w:val="36"/>
          <w:lang w:val="en-US" w:eastAsia="zh-CN"/>
        </w:rPr>
        <w:t>2</w:t>
      </w:r>
      <w:r>
        <w:rPr>
          <w:rFonts w:hint="eastAsia" w:ascii="Times New Roman" w:hAnsi="Times New Roman" w:cs="Times New Roman" w:eastAsiaTheme="majorEastAsia"/>
          <w:sz w:val="36"/>
          <w:szCs w:val="36"/>
        </w:rPr>
        <w:t>年度</w:t>
      </w:r>
      <w:r>
        <w:rPr>
          <w:rFonts w:hint="eastAsia" w:ascii="Times New Roman" w:hAnsi="Times New Roman" w:cs="Times New Roman" w:eastAsiaTheme="majorEastAsia"/>
          <w:sz w:val="36"/>
          <w:szCs w:val="36"/>
          <w:lang w:eastAsia="zh-CN"/>
        </w:rPr>
        <w:t>沌阳街土地规划服务中心</w:t>
      </w:r>
      <w:r>
        <w:rPr>
          <w:rFonts w:hint="eastAsia" w:ascii="Times New Roman" w:hAnsi="Times New Roman" w:cs="Times New Roman" w:eastAsiaTheme="majorEastAsia"/>
          <w:sz w:val="36"/>
          <w:szCs w:val="36"/>
        </w:rPr>
        <w:t>运行经费项目</w:t>
      </w:r>
    </w:p>
    <w:p>
      <w:pPr>
        <w:pStyle w:val="3"/>
        <w:jc w:val="center"/>
        <w:rPr>
          <w:rFonts w:ascii="Times New Roman" w:hAnsi="Times New Roman" w:cs="Times New Roman" w:eastAsiaTheme="majorEastAsia"/>
          <w:sz w:val="36"/>
          <w:szCs w:val="36"/>
        </w:rPr>
      </w:pPr>
      <w:r>
        <w:rPr>
          <w:rFonts w:ascii="Times New Roman" w:hAnsi="Times New Roman" w:cs="Times New Roman" w:eastAsiaTheme="majorEastAsia"/>
          <w:sz w:val="36"/>
          <w:szCs w:val="36"/>
        </w:rPr>
        <w:t>自评结果</w:t>
      </w:r>
    </w:p>
    <w:p>
      <w:pPr>
        <w:pStyle w:val="7"/>
        <w:shd w:val="clear" w:color="auto" w:fill="FFFFFF" w:themeFill="background1"/>
        <w:spacing w:line="560" w:lineRule="exact"/>
        <w:ind w:firstLine="0" w:firstLineChars="0"/>
        <w:jc w:val="center"/>
        <w:outlineLvl w:val="9"/>
      </w:pPr>
      <w:r>
        <w:rPr>
          <w:rFonts w:hint="eastAsia" w:ascii="楷体" w:hAnsi="楷体" w:eastAsia="楷体" w:cs="楷体"/>
          <w:b/>
          <w:sz w:val="32"/>
        </w:rPr>
        <w:t>（缩略版）</w:t>
      </w:r>
    </w:p>
    <w:p>
      <w:pPr>
        <w:widowControl/>
        <w:spacing w:line="560" w:lineRule="exact"/>
        <w:ind w:firstLine="643" w:firstLineChars="200"/>
        <w:outlineLvl w:val="0"/>
        <w:rPr>
          <w:rFonts w:eastAsia="宋体"/>
          <w:b/>
          <w:bCs/>
          <w:color w:val="000000"/>
          <w:kern w:val="0"/>
          <w:sz w:val="32"/>
          <w:szCs w:val="32"/>
        </w:rPr>
      </w:pPr>
      <w:r>
        <w:rPr>
          <w:rFonts w:eastAsia="黑体"/>
          <w:b/>
          <w:bCs/>
          <w:color w:val="000000"/>
          <w:kern w:val="0"/>
          <w:sz w:val="32"/>
          <w:szCs w:val="32"/>
        </w:rPr>
        <w:t>一、自评结论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（一）自评得分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2022年度沌阳街土地规划服务中心</w:t>
      </w:r>
      <w:r>
        <w:rPr>
          <w:rFonts w:hint="eastAsia" w:eastAsia="仿宋"/>
          <w:sz w:val="32"/>
          <w:szCs w:val="32"/>
        </w:rPr>
        <w:t>运行经费项目</w:t>
      </w:r>
      <w:r>
        <w:rPr>
          <w:rFonts w:eastAsia="仿宋"/>
          <w:sz w:val="32"/>
          <w:szCs w:val="32"/>
        </w:rPr>
        <w:t>绩效评价综合得分为</w:t>
      </w:r>
      <w:r>
        <w:rPr>
          <w:rFonts w:hint="eastAsia" w:eastAsia="仿宋"/>
          <w:sz w:val="32"/>
          <w:szCs w:val="32"/>
        </w:rPr>
        <w:t>94.47</w:t>
      </w:r>
      <w:r>
        <w:rPr>
          <w:rFonts w:eastAsia="仿宋"/>
          <w:sz w:val="32"/>
          <w:szCs w:val="32"/>
        </w:rPr>
        <w:t>分。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（二）绩效目标完成情况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1.执行率情况。本项目预算总额</w:t>
      </w:r>
      <w:r>
        <w:rPr>
          <w:rFonts w:hint="eastAsia" w:eastAsia="仿宋"/>
          <w:sz w:val="32"/>
          <w:szCs w:val="32"/>
        </w:rPr>
        <w:t>838.32</w:t>
      </w:r>
      <w:r>
        <w:rPr>
          <w:rFonts w:eastAsia="仿宋"/>
          <w:sz w:val="32"/>
          <w:szCs w:val="32"/>
        </w:rPr>
        <w:t>万元，执行数</w:t>
      </w:r>
      <w:r>
        <w:rPr>
          <w:rFonts w:hint="eastAsia" w:eastAsia="仿宋"/>
          <w:sz w:val="32"/>
          <w:szCs w:val="32"/>
        </w:rPr>
        <w:t>690.43</w:t>
      </w:r>
      <w:r>
        <w:rPr>
          <w:rFonts w:eastAsia="仿宋"/>
          <w:sz w:val="32"/>
          <w:szCs w:val="32"/>
        </w:rPr>
        <w:t>万元，预算执行率</w:t>
      </w:r>
      <w:r>
        <w:rPr>
          <w:rFonts w:hint="eastAsia" w:eastAsia="仿宋"/>
          <w:sz w:val="32"/>
          <w:szCs w:val="32"/>
        </w:rPr>
        <w:t>82.36%</w:t>
      </w:r>
      <w:r>
        <w:rPr>
          <w:rFonts w:eastAsia="仿宋"/>
          <w:sz w:val="32"/>
          <w:szCs w:val="32"/>
        </w:rPr>
        <w:t>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2.完成的绩效目标。项目共设置</w:t>
      </w:r>
      <w:r>
        <w:rPr>
          <w:rFonts w:hint="eastAsia" w:eastAsia="仿宋"/>
          <w:sz w:val="32"/>
          <w:szCs w:val="32"/>
          <w:lang w:val="en-US" w:eastAsia="zh-CN"/>
        </w:rPr>
        <w:t>8</w:t>
      </w:r>
      <w:r>
        <w:rPr>
          <w:rFonts w:eastAsia="仿宋"/>
          <w:sz w:val="32"/>
          <w:szCs w:val="32"/>
        </w:rPr>
        <w:t>个绩效指标，完成了</w:t>
      </w:r>
      <w:r>
        <w:rPr>
          <w:rFonts w:hint="eastAsia" w:eastAsia="仿宋"/>
          <w:sz w:val="32"/>
          <w:szCs w:val="32"/>
          <w:lang w:val="en-US" w:eastAsia="zh-CN"/>
        </w:rPr>
        <w:t>7</w:t>
      </w:r>
      <w:r>
        <w:rPr>
          <w:rFonts w:eastAsia="仿宋"/>
          <w:sz w:val="32"/>
          <w:szCs w:val="32"/>
        </w:rPr>
        <w:t>个。资金使用较为规范，项目产出较好，并取得了较好的社会效益。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3.未完成的绩效目标。</w:t>
      </w:r>
      <w:r>
        <w:rPr>
          <w:rFonts w:hint="eastAsia" w:eastAsia="仿宋"/>
          <w:sz w:val="32"/>
          <w:szCs w:val="32"/>
        </w:rPr>
        <w:t>“违法用地查处上报及时率”年初指标值为</w:t>
      </w:r>
      <w:r>
        <w:rPr>
          <w:rFonts w:hint="eastAsia" w:eastAsia="仿宋"/>
          <w:sz w:val="32"/>
          <w:szCs w:val="32"/>
          <w:lang w:val="en-US" w:eastAsia="zh-CN"/>
        </w:rPr>
        <w:t>100</w:t>
      </w:r>
      <w:r>
        <w:rPr>
          <w:rFonts w:hint="eastAsia" w:eastAsia="仿宋"/>
          <w:sz w:val="32"/>
          <w:szCs w:val="32"/>
        </w:rPr>
        <w:t>%，实际完成值为</w:t>
      </w:r>
      <w:r>
        <w:rPr>
          <w:rFonts w:hint="eastAsia" w:eastAsia="仿宋"/>
          <w:sz w:val="32"/>
          <w:szCs w:val="32"/>
          <w:lang w:val="en-US" w:eastAsia="zh-CN"/>
        </w:rPr>
        <w:t>90</w:t>
      </w:r>
      <w:r>
        <w:rPr>
          <w:rFonts w:hint="eastAsia" w:eastAsia="仿宋"/>
          <w:sz w:val="32"/>
          <w:szCs w:val="32"/>
        </w:rPr>
        <w:t>%</w:t>
      </w:r>
      <w:r>
        <w:rPr>
          <w:rFonts w:eastAsia="仿宋"/>
          <w:sz w:val="32"/>
          <w:szCs w:val="32"/>
        </w:rPr>
        <w:t>。</w:t>
      </w:r>
      <w:r>
        <w:rPr>
          <w:rFonts w:hint="eastAsia" w:eastAsia="仿宋"/>
          <w:sz w:val="32"/>
          <w:szCs w:val="32"/>
        </w:rPr>
        <w:t>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（三）存在的问题和原因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1.上年度绩效评价结果应用情况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</w:rPr>
        <w:t>本项目上年度实施了绩效自评并形成了项目自评表，但未较好地应用上年度绩效自评结果。上年自评中梳理了绩效评价指标体系</w:t>
      </w:r>
      <w:r>
        <w:rPr>
          <w:rFonts w:hint="eastAsia" w:eastAsia="仿宋"/>
          <w:sz w:val="32"/>
          <w:szCs w:val="32"/>
          <w:lang w:eastAsia="zh-CN"/>
        </w:rPr>
        <w:t>，</w:t>
      </w:r>
      <w:r>
        <w:rPr>
          <w:rFonts w:hint="eastAsia" w:eastAsia="仿宋"/>
          <w:sz w:val="32"/>
          <w:szCs w:val="32"/>
          <w:lang w:val="en-US" w:eastAsia="zh-CN"/>
        </w:rPr>
        <w:t>指出</w:t>
      </w:r>
      <w:r>
        <w:rPr>
          <w:rFonts w:hint="eastAsia" w:eastAsia="仿宋"/>
          <w:sz w:val="32"/>
          <w:szCs w:val="32"/>
        </w:rPr>
        <w:t>绩效评价指标无对应的“发放职工工资人数”、“工资发放及时率”、“职工工资考核合格率”等，</w:t>
      </w:r>
      <w:r>
        <w:rPr>
          <w:rFonts w:hint="eastAsia" w:eastAsia="仿宋"/>
          <w:sz w:val="32"/>
          <w:szCs w:val="32"/>
          <w:lang w:val="en-US" w:eastAsia="zh-CN"/>
        </w:rPr>
        <w:t>本年度绩效指标体系</w:t>
      </w:r>
      <w:r>
        <w:rPr>
          <w:rFonts w:hint="eastAsia" w:eastAsia="仿宋"/>
          <w:sz w:val="32"/>
          <w:szCs w:val="32"/>
        </w:rPr>
        <w:t>未</w:t>
      </w:r>
      <w:r>
        <w:rPr>
          <w:rFonts w:hint="eastAsia" w:eastAsia="仿宋"/>
          <w:sz w:val="32"/>
          <w:szCs w:val="32"/>
          <w:lang w:val="en-US" w:eastAsia="zh-CN"/>
        </w:rPr>
        <w:t>体现上述指标。</w:t>
      </w:r>
      <w:r>
        <w:rPr>
          <w:rFonts w:hint="eastAsia" w:eastAsia="仿宋"/>
          <w:sz w:val="32"/>
          <w:szCs w:val="32"/>
        </w:rPr>
        <w:t>上年自评中“绩效综合考评排名”年初指标值为前20%，实际完成值为前64%</w:t>
      </w:r>
      <w:r>
        <w:rPr>
          <w:rFonts w:hint="eastAsia" w:eastAsia="仿宋"/>
          <w:sz w:val="32"/>
          <w:szCs w:val="32"/>
          <w:lang w:eastAsia="zh-CN"/>
        </w:rPr>
        <w:t>。</w:t>
      </w:r>
      <w:r>
        <w:rPr>
          <w:rFonts w:hint="eastAsia" w:eastAsia="仿宋"/>
          <w:sz w:val="32"/>
          <w:szCs w:val="32"/>
          <w:lang w:val="en-US" w:eastAsia="zh-CN"/>
        </w:rPr>
        <w:t>2022年度</w:t>
      </w:r>
      <w:r>
        <w:rPr>
          <w:rFonts w:hint="eastAsia" w:eastAsia="仿宋"/>
          <w:sz w:val="32"/>
          <w:szCs w:val="32"/>
        </w:rPr>
        <w:t>“绩效综合考评排名”实际完成值为前</w:t>
      </w:r>
      <w:r>
        <w:rPr>
          <w:rFonts w:hint="eastAsia" w:eastAsia="仿宋"/>
          <w:sz w:val="32"/>
          <w:szCs w:val="32"/>
          <w:lang w:val="en-US" w:eastAsia="zh-CN"/>
        </w:rPr>
        <w:t>92</w:t>
      </w:r>
      <w:r>
        <w:rPr>
          <w:rFonts w:hint="eastAsia" w:eastAsia="仿宋"/>
          <w:sz w:val="32"/>
          <w:szCs w:val="32"/>
        </w:rPr>
        <w:t>%</w:t>
      </w:r>
      <w:r>
        <w:rPr>
          <w:rFonts w:hint="eastAsia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整体水平有待进一步提高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2.本年度绩效存在的问题和原因</w:t>
      </w:r>
      <w:r>
        <w:rPr>
          <w:rFonts w:hint="eastAsia" w:eastAsia="仿宋"/>
          <w:b/>
          <w:sz w:val="32"/>
          <w:szCs w:val="32"/>
        </w:rPr>
        <w:t xml:space="preserve">                                                                                                                               </w:t>
      </w:r>
    </w:p>
    <w:p>
      <w:pPr>
        <w:widowControl/>
        <w:spacing w:line="560" w:lineRule="exact"/>
        <w:ind w:firstLine="640" w:firstLineChars="200"/>
        <w:rPr>
          <w:rFonts w:hint="default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</w:rPr>
        <w:t>（1）绩效指标体系有待进一步优化。绩效评价指标体系未与预算资金使用用途紧密结合，预算资金主要用于</w:t>
      </w:r>
      <w:r>
        <w:rPr>
          <w:rFonts w:hint="eastAsia" w:eastAsia="仿宋"/>
          <w:sz w:val="32"/>
          <w:szCs w:val="32"/>
          <w:lang w:eastAsia="zh-CN"/>
        </w:rPr>
        <w:t>沌阳街土地规划服务中心</w:t>
      </w:r>
      <w:r>
        <w:rPr>
          <w:rFonts w:hint="eastAsia" w:eastAsia="仿宋"/>
          <w:sz w:val="32"/>
          <w:szCs w:val="32"/>
        </w:rPr>
        <w:t>工资和福利性支出，购买商品和服务支出以及发放对个人和家庭的补助，但绩效评价指标无对应的“发放职工工资人数”、“工资发放及时率”、“职工工资考核合格率”等，不能较好地考核预算资金使用效率。</w:t>
      </w:r>
      <w:r>
        <w:rPr>
          <w:rFonts w:hint="eastAsia" w:eastAsia="仿宋"/>
          <w:sz w:val="32"/>
          <w:szCs w:val="32"/>
          <w:lang w:val="en-US" w:eastAsia="zh-CN"/>
        </w:rPr>
        <w:t>另外，</w:t>
      </w:r>
      <w:r>
        <w:rPr>
          <w:rFonts w:hint="eastAsia" w:eastAsia="仿宋"/>
          <w:sz w:val="32"/>
          <w:szCs w:val="32"/>
        </w:rPr>
        <w:t>辖区内的土地权属调查</w:t>
      </w:r>
      <w:r>
        <w:rPr>
          <w:rFonts w:hint="eastAsia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预审办证资料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等职能</w:t>
      </w:r>
      <w:r>
        <w:rPr>
          <w:rFonts w:hint="eastAsia" w:eastAsia="仿宋"/>
          <w:sz w:val="32"/>
          <w:szCs w:val="32"/>
          <w:lang w:val="en-US" w:eastAsia="zh-CN"/>
        </w:rPr>
        <w:t>工作无对应产出指标。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</w:t>
      </w:r>
      <w:r>
        <w:rPr>
          <w:rFonts w:hint="eastAsia" w:eastAsia="仿宋"/>
          <w:sz w:val="32"/>
          <w:szCs w:val="32"/>
        </w:rPr>
        <w:t>土地控管水平有待进一步提升</w:t>
      </w:r>
      <w:r>
        <w:rPr>
          <w:rFonts w:eastAsia="仿宋"/>
          <w:sz w:val="32"/>
          <w:szCs w:val="32"/>
        </w:rPr>
        <w:t>。</w:t>
      </w:r>
      <w:r>
        <w:rPr>
          <w:rFonts w:hint="eastAsia" w:eastAsia="仿宋"/>
          <w:sz w:val="32"/>
          <w:szCs w:val="32"/>
        </w:rPr>
        <w:t>202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hint="eastAsia" w:eastAsia="仿宋"/>
          <w:sz w:val="32"/>
          <w:szCs w:val="32"/>
        </w:rPr>
        <w:t>年度绩效综合考评排名第</w:t>
      </w:r>
      <w:r>
        <w:rPr>
          <w:rFonts w:hint="eastAsia" w:eastAsia="仿宋"/>
          <w:sz w:val="32"/>
          <w:szCs w:val="32"/>
          <w:lang w:val="en-US" w:eastAsia="zh-CN"/>
        </w:rPr>
        <w:t>13</w:t>
      </w:r>
      <w:r>
        <w:rPr>
          <w:rFonts w:hint="eastAsia" w:eastAsia="仿宋"/>
          <w:sz w:val="32"/>
          <w:szCs w:val="32"/>
        </w:rPr>
        <w:t>（总共14个部门），等次为“</w:t>
      </w:r>
      <w:r>
        <w:rPr>
          <w:rFonts w:hint="eastAsia" w:eastAsia="仿宋"/>
          <w:sz w:val="32"/>
          <w:szCs w:val="32"/>
          <w:lang w:val="en-US" w:eastAsia="zh-CN"/>
        </w:rPr>
        <w:t>合</w:t>
      </w:r>
      <w:bookmarkStart w:id="1" w:name="_GoBack"/>
      <w:r>
        <w:rPr>
          <w:rFonts w:hint="eastAsia" w:eastAsia="仿宋"/>
          <w:sz w:val="32"/>
          <w:szCs w:val="32"/>
          <w:lang w:val="en-US" w:eastAsia="zh-CN"/>
        </w:rPr>
        <w:t>格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hint="eastAsia" w:eastAsia="仿宋"/>
          <w:sz w:val="32"/>
          <w:szCs w:val="32"/>
        </w:rPr>
        <w:t>。由于职能部门对</w:t>
      </w:r>
      <w:r>
        <w:rPr>
          <w:rFonts w:hint="eastAsia" w:ascii="仿宋" w:hAnsi="仿宋" w:eastAsia="仿宋" w:cs="仿宋"/>
          <w:sz w:val="30"/>
          <w:szCs w:val="30"/>
        </w:rPr>
        <w:t>政治理论学习缺乏系统性、不够全面、不够深入</w:t>
      </w:r>
      <w:r>
        <w:rPr>
          <w:rFonts w:hint="eastAsia" w:eastAsia="仿宋"/>
          <w:sz w:val="32"/>
          <w:szCs w:val="32"/>
        </w:rPr>
        <w:t>，</w:t>
      </w:r>
      <w:bookmarkEnd w:id="1"/>
      <w:r>
        <w:rPr>
          <w:rFonts w:hint="eastAsia" w:ascii="仿宋" w:hAnsi="仿宋" w:eastAsia="仿宋" w:cs="仿宋"/>
          <w:sz w:val="30"/>
          <w:szCs w:val="30"/>
        </w:rPr>
        <w:t>政策水平、业务知识参差不齐，</w:t>
      </w:r>
      <w:r>
        <w:rPr>
          <w:rFonts w:hint="eastAsia" w:eastAsia="仿宋"/>
          <w:sz w:val="32"/>
          <w:szCs w:val="32"/>
        </w:rPr>
        <w:t>对业务应用上有所影响</w:t>
      </w:r>
      <w:r>
        <w:rPr>
          <w:rFonts w:hint="eastAsia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整体水平有待进一步提高</w:t>
      </w:r>
      <w:r>
        <w:rPr>
          <w:rFonts w:hint="eastAsia" w:eastAsia="仿宋"/>
          <w:sz w:val="32"/>
          <w:szCs w:val="32"/>
        </w:rPr>
        <w:t>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宋体"/>
          <w:color w:val="000000"/>
          <w:kern w:val="0"/>
          <w:sz w:val="24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（四）下一步拟改进措施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1.下一步拟改进措施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</w:t>
      </w:r>
      <w:r>
        <w:rPr>
          <w:rFonts w:hint="eastAsia" w:eastAsia="仿宋"/>
          <w:sz w:val="32"/>
          <w:szCs w:val="32"/>
        </w:rPr>
        <w:t>自然资源和规划局</w:t>
      </w:r>
      <w:r>
        <w:rPr>
          <w:rFonts w:eastAsia="仿宋"/>
          <w:sz w:val="32"/>
          <w:szCs w:val="32"/>
        </w:rPr>
        <w:t>应紧贴年度工作计划和要点，制定科学合理的绩效目标和年度指标值。在项目实施过程中，对绩效指标实行动态管理，结合工作实际，及时更新调整绩效</w:t>
      </w:r>
      <w:r>
        <w:rPr>
          <w:rFonts w:hint="eastAsia" w:eastAsia="仿宋"/>
          <w:sz w:val="32"/>
          <w:szCs w:val="32"/>
        </w:rPr>
        <w:t>目标和</w:t>
      </w:r>
      <w:r>
        <w:rPr>
          <w:rFonts w:eastAsia="仿宋"/>
          <w:sz w:val="32"/>
          <w:szCs w:val="32"/>
        </w:rPr>
        <w:t>指标，确保绩效指标与项目内容和资金规模合理匹配。结合项目实际合理设置</w:t>
      </w:r>
      <w:r>
        <w:rPr>
          <w:rFonts w:hint="eastAsia" w:eastAsia="仿宋"/>
          <w:sz w:val="32"/>
          <w:szCs w:val="32"/>
        </w:rPr>
        <w:t>增加设置质量指标“职工考核达标率”，设置时效指标如“工资发放及时率”，使得绩效指标与项目经费紧密结合，更加</w:t>
      </w:r>
      <w:r>
        <w:rPr>
          <w:rFonts w:hint="eastAsia" w:eastAsia="仿宋"/>
          <w:sz w:val="32"/>
          <w:szCs w:val="32"/>
          <w:lang w:eastAsia="zh-CN"/>
        </w:rPr>
        <w:t>全面的考核</w:t>
      </w:r>
      <w:r>
        <w:rPr>
          <w:rFonts w:hint="eastAsia" w:eastAsia="仿宋"/>
          <w:sz w:val="32"/>
          <w:szCs w:val="32"/>
        </w:rPr>
        <w:t>项目实施产出和效果。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</w:t>
      </w:r>
      <w:r>
        <w:rPr>
          <w:rFonts w:hint="eastAsia" w:eastAsia="仿宋"/>
          <w:sz w:val="32"/>
          <w:szCs w:val="32"/>
        </w:rPr>
        <w:t>加强理论学习与现代技术应用</w:t>
      </w:r>
      <w:r>
        <w:rPr>
          <w:rFonts w:eastAsia="仿宋"/>
          <w:sz w:val="32"/>
          <w:szCs w:val="32"/>
        </w:rPr>
        <w:t>，</w:t>
      </w:r>
      <w:r>
        <w:rPr>
          <w:rFonts w:hint="eastAsia" w:eastAsia="仿宋"/>
          <w:sz w:val="32"/>
          <w:szCs w:val="32"/>
        </w:rPr>
        <w:t>提升土地管理水平。一是</w:t>
      </w:r>
      <w:r>
        <w:rPr>
          <w:rFonts w:hint="eastAsia" w:eastAsia="仿宋"/>
          <w:sz w:val="32"/>
          <w:szCs w:val="32"/>
          <w:lang w:eastAsia="zh-CN"/>
        </w:rPr>
        <w:t>沌阳街土地规划服务中心</w:t>
      </w:r>
      <w:r>
        <w:rPr>
          <w:rFonts w:hint="eastAsia" w:eastAsia="仿宋"/>
          <w:sz w:val="32"/>
          <w:szCs w:val="32"/>
        </w:rPr>
        <w:t>职能部门加强学习，组成学习小组钻研土地管理业务新知识、新政策并将新知识、新政策应用到土地管理工作中，在职能部门推广，提升整体业务理论水平；二是提升现代技术应用意识，在职能部门内部组成现代技术应用专家小组，并做好现代技术应用软件及硬件配套工作，支持专家小组结合工作实际摸索出现代技术应用的机制和办法，从而提升整体业务管理实操水平，实现理论与实操双管齐下，切实提升土地管理水平。</w:t>
      </w:r>
    </w:p>
    <w:p>
      <w:pPr>
        <w:pStyle w:val="2"/>
      </w:pPr>
    </w:p>
    <w:p>
      <w:pPr>
        <w:widowControl/>
        <w:spacing w:line="560" w:lineRule="exact"/>
        <w:ind w:firstLine="640" w:firstLineChars="200"/>
        <w:rPr>
          <w:rFonts w:eastAsia="楷体"/>
          <w:sz w:val="32"/>
          <w:szCs w:val="32"/>
        </w:rPr>
      </w:pPr>
      <w:r>
        <w:rPr>
          <w:rFonts w:eastAsia="楷体"/>
          <w:sz w:val="32"/>
          <w:szCs w:val="32"/>
        </w:rPr>
        <w:t>附件：</w:t>
      </w:r>
      <w:r>
        <w:rPr>
          <w:rFonts w:hint="eastAsia" w:eastAsia="楷体"/>
          <w:sz w:val="32"/>
          <w:szCs w:val="32"/>
          <w:lang w:eastAsia="zh-CN"/>
        </w:rPr>
        <w:t>2022年度沌阳街土地规划服务中心</w:t>
      </w:r>
      <w:r>
        <w:rPr>
          <w:rFonts w:eastAsia="楷体"/>
          <w:sz w:val="32"/>
          <w:szCs w:val="32"/>
        </w:rPr>
        <w:t>运行经费项目自评表</w:t>
      </w:r>
    </w:p>
    <w:p>
      <w:pPr>
        <w:widowControl/>
        <w:spacing w:line="560" w:lineRule="exact"/>
        <w:ind w:firstLine="640" w:firstLineChars="200"/>
        <w:rPr>
          <w:rFonts w:eastAsia="楷体"/>
          <w:sz w:val="32"/>
          <w:szCs w:val="32"/>
        </w:rPr>
        <w:sectPr>
          <w:footerReference r:id="rId3" w:type="default"/>
          <w:pgSz w:w="11906" w:h="16838"/>
          <w:pgMar w:top="2098" w:right="1474" w:bottom="1984" w:left="1587" w:header="851" w:footer="992" w:gutter="0"/>
          <w:cols w:space="720" w:num="1"/>
          <w:docGrid w:type="lines" w:linePitch="312" w:charSpace="0"/>
        </w:sectPr>
      </w:pPr>
    </w:p>
    <w:p>
      <w:pPr>
        <w:pStyle w:val="2"/>
        <w:spacing w:after="0"/>
        <w:ind w:firstLine="643" w:firstLineChars="200"/>
        <w:rPr>
          <w:rFonts w:eastAsia="楷体"/>
          <w:b/>
          <w:bCs/>
        </w:rPr>
      </w:pPr>
      <w:r>
        <w:rPr>
          <w:rFonts w:hint="eastAsia" w:eastAsia="楷体"/>
          <w:b/>
          <w:bCs/>
          <w:color w:val="000000"/>
          <w:kern w:val="0"/>
          <w:sz w:val="32"/>
          <w:szCs w:val="32"/>
        </w:rPr>
        <w:t>附件：</w:t>
      </w:r>
    </w:p>
    <w:tbl>
      <w:tblPr>
        <w:tblStyle w:val="8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011"/>
        <w:gridCol w:w="1288"/>
        <w:gridCol w:w="2095"/>
        <w:gridCol w:w="1314"/>
        <w:gridCol w:w="1314"/>
        <w:gridCol w:w="13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2022年度沌阳街土地规划服务中心运行经费项目自评表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单位名称：武汉经济技术开发区（汉南区）自然资源和规划局         填报日期：2023年4月20日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07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沌阳街土地规划服务中心运行经费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86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武汉经济技术开发区（汉南区）自然资源和规划局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14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武汉经济技术开发区（汉南区）自然资源和规划局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407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1.部门预算项目  </w:t>
            </w:r>
            <w:r>
              <w:rPr>
                <w:rStyle w:val="18"/>
                <w:rFonts w:eastAsia="仿宋"/>
                <w:lang w:val="en-US" w:eastAsia="zh-CN" w:bidi="ar"/>
              </w:rPr>
              <w:t>þ</w:t>
            </w:r>
            <w:r>
              <w:rPr>
                <w:rStyle w:val="19"/>
                <w:lang w:val="en-US" w:eastAsia="zh-CN" w:bidi="ar"/>
              </w:rPr>
              <w:t xml:space="preserve">         2.财政专项资金  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407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1.持续性项目    </w:t>
            </w:r>
            <w:r>
              <w:rPr>
                <w:rStyle w:val="18"/>
                <w:rFonts w:eastAsia="仿宋"/>
                <w:lang w:val="en-US" w:eastAsia="zh-CN" w:bidi="ar"/>
              </w:rPr>
              <w:t>þ</w:t>
            </w:r>
            <w:r>
              <w:rPr>
                <w:rStyle w:val="20"/>
                <w:lang w:val="en-US" w:eastAsia="zh-CN" w:bidi="ar"/>
              </w:rPr>
              <w:t xml:space="preserve">         2.新增性项目    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407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1.常年性项目    </w:t>
            </w:r>
            <w:r>
              <w:rPr>
                <w:rStyle w:val="18"/>
                <w:rFonts w:eastAsia="仿宋"/>
                <w:lang w:val="en-US" w:eastAsia="zh-CN" w:bidi="ar"/>
              </w:rPr>
              <w:t>þ</w:t>
            </w:r>
            <w:r>
              <w:rPr>
                <w:rStyle w:val="20"/>
                <w:lang w:val="en-US" w:eastAsia="zh-CN" w:bidi="ar"/>
              </w:rPr>
              <w:t xml:space="preserve">         2.延续性项目     □       3.一次性项目   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2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预算执行情况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7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年度财政资金总额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预算数（A）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执行数（B）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执行率(B/A)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(20分*执行率)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2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838.32 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690.43 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82.36%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6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指标名称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实际完成值（B）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（50分）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土地纠纷调处率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土地巡查频率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520次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1386次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党建活动的开展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4次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12次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土地控管达标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违法用地查处上报及时率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图斑调查协助整改率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土地法规宣传覆盖程度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≥85%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463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94.47分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偏差大或目标未完成原因分析</w:t>
            </w:r>
          </w:p>
        </w:tc>
        <w:tc>
          <w:tcPr>
            <w:tcW w:w="407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1.预算执行率较低，主要原因是2022年财政局较前年提前一个月关库，所有指标被收回，故本年度收入支出减少；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2.“违法用地查处上报及时率”未完成的原因是中心不具备执法主体资格，在土地巡查过程中时常遭到违法对象质疑，造成违法行为得不到及时有效的处置。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改进措施及结果应用方案</w:t>
            </w:r>
          </w:p>
        </w:tc>
        <w:tc>
          <w:tcPr>
            <w:tcW w:w="407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1.按项目实施进度及时支付资金，合理高效利用财政资金；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2.协调解决执法证问题，以便更好地开展土地管理执法工作。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000" w:type="pct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1.预算执行情况口径：预算数为调整后财政资金总额（包括上年结转余额），执行数为资金使用单位财政资金实际支出数。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＞X，得分=权重B/A）,反向指标（即目标值为≤X，得分=权重A/B）,得分不得突破权重总额。定量指标先汇总完成数，再计算得分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（含80%）、80-50（50%）、50-0%合理确定分值。汇总时，以资金额度为权重，对分值进行加权平均计算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000" w:type="pct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5000" w:type="pct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widowControl/>
        <w:spacing w:line="432" w:lineRule="atLeast"/>
        <w:jc w:val="center"/>
        <w:rPr>
          <w:rFonts w:eastAsia="黑体"/>
          <w:b/>
          <w:bCs/>
          <w:color w:val="000000"/>
          <w:kern w:val="0"/>
          <w:sz w:val="32"/>
          <w:szCs w:val="32"/>
        </w:rPr>
        <w:sectPr>
          <w:pgSz w:w="11906" w:h="16838"/>
          <w:pgMar w:top="2098" w:right="1474" w:bottom="1984" w:left="1587" w:header="851" w:footer="992" w:gutter="0"/>
          <w:cols w:space="720" w:num="1"/>
          <w:docGrid w:type="lines" w:linePitch="312" w:charSpace="0"/>
        </w:sectPr>
      </w:pP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>
      <w:pPr>
        <w:widowControl/>
        <w:spacing w:line="560" w:lineRule="exact"/>
        <w:ind w:firstLine="643" w:firstLineChars="200"/>
        <w:outlineLvl w:val="0"/>
        <w:rPr>
          <w:rFonts w:eastAsia="黑体"/>
          <w:b/>
          <w:bCs/>
          <w:color w:val="000000"/>
          <w:kern w:val="0"/>
          <w:sz w:val="32"/>
          <w:szCs w:val="32"/>
        </w:rPr>
      </w:pPr>
      <w:r>
        <w:rPr>
          <w:rFonts w:eastAsia="黑体"/>
          <w:b/>
          <w:bCs/>
          <w:color w:val="000000"/>
          <w:kern w:val="0"/>
          <w:sz w:val="32"/>
          <w:szCs w:val="32"/>
        </w:rPr>
        <w:t>二、佐证材料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宋体"/>
          <w:color w:val="000000"/>
          <w:kern w:val="0"/>
          <w:sz w:val="24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（一）基本情况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1.项目立项目的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为做好土地法律法规宣传、土地动态巡查和控管，日常地籍管理、目标管理以及考核等工作，切实加强区域内土地管理，武汉经济技术开发区管委会于2015年开展了专项会议，会议通过了</w:t>
      </w:r>
      <w:r>
        <w:rPr>
          <w:rFonts w:hint="eastAsia" w:eastAsia="仿宋"/>
          <w:sz w:val="32"/>
          <w:szCs w:val="32"/>
          <w:lang w:eastAsia="zh-CN"/>
        </w:rPr>
        <w:t>沌阳街土地规划服务中心</w:t>
      </w:r>
      <w:r>
        <w:rPr>
          <w:rFonts w:hint="eastAsia" w:eastAsia="仿宋"/>
          <w:sz w:val="32"/>
          <w:szCs w:val="32"/>
        </w:rPr>
        <w:t>划转至武汉经济技术开发区（汉南区）自然资源和规划局垂直管理的决定，并决定自2015年开始将</w:t>
      </w:r>
      <w:r>
        <w:rPr>
          <w:rFonts w:hint="eastAsia" w:eastAsia="仿宋"/>
          <w:sz w:val="32"/>
          <w:szCs w:val="32"/>
          <w:lang w:eastAsia="zh-CN"/>
        </w:rPr>
        <w:t>沌阳街土地规划服务中心</w:t>
      </w:r>
      <w:r>
        <w:rPr>
          <w:rFonts w:hint="eastAsia" w:eastAsia="仿宋"/>
          <w:sz w:val="32"/>
          <w:szCs w:val="32"/>
        </w:rPr>
        <w:t>的运行经费纳入武汉经济技术开发区（汉南区）自然资源和规划局部门预算，不再列入街道预算。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2.年度绩效目标</w:t>
      </w:r>
    </w:p>
    <w:p>
      <w:pPr>
        <w:widowControl/>
        <w:spacing w:line="560" w:lineRule="exact"/>
        <w:ind w:firstLine="600" w:firstLineChars="200"/>
        <w:rPr>
          <w:rFonts w:eastAsia="仿宋"/>
          <w:sz w:val="32"/>
          <w:szCs w:val="32"/>
        </w:rPr>
      </w:pPr>
      <w:r>
        <w:rPr>
          <w:rFonts w:hint="eastAsia" w:cs="Times New Roman"/>
          <w:color w:val="auto"/>
          <w:kern w:val="0"/>
          <w:szCs w:val="32"/>
        </w:rPr>
        <w:t>根据《202</w:t>
      </w:r>
      <w:r>
        <w:rPr>
          <w:rFonts w:hint="eastAsia" w:cs="Times New Roman"/>
          <w:color w:val="auto"/>
          <w:kern w:val="0"/>
          <w:szCs w:val="32"/>
          <w:lang w:val="en-US" w:eastAsia="zh-CN"/>
        </w:rPr>
        <w:t>2</w:t>
      </w:r>
      <w:r>
        <w:rPr>
          <w:rFonts w:hint="eastAsia" w:cs="Times New Roman"/>
          <w:color w:val="auto"/>
          <w:kern w:val="0"/>
          <w:szCs w:val="32"/>
        </w:rPr>
        <w:t>年</w:t>
      </w:r>
      <w:r>
        <w:rPr>
          <w:rFonts w:hint="eastAsia" w:cs="Times New Roman"/>
          <w:color w:val="auto"/>
          <w:kern w:val="0"/>
          <w:szCs w:val="32"/>
          <w:lang w:val="en-US" w:eastAsia="zh-CN"/>
        </w:rPr>
        <w:t>沌阳街土地规划房产服务中心运行经费项目</w:t>
      </w:r>
      <w:r>
        <w:rPr>
          <w:rFonts w:hint="eastAsia" w:cs="Times New Roman"/>
          <w:color w:val="auto"/>
          <w:kern w:val="0"/>
          <w:szCs w:val="32"/>
        </w:rPr>
        <w:t>绩效目标表》，本项目202</w:t>
      </w:r>
      <w:r>
        <w:rPr>
          <w:rFonts w:hint="eastAsia" w:cs="Times New Roman"/>
          <w:color w:val="auto"/>
          <w:kern w:val="0"/>
          <w:szCs w:val="32"/>
          <w:lang w:val="en-US" w:eastAsia="zh-CN"/>
        </w:rPr>
        <w:t>2</w:t>
      </w:r>
      <w:r>
        <w:rPr>
          <w:rFonts w:hint="eastAsia" w:cs="Times New Roman"/>
          <w:color w:val="auto"/>
          <w:kern w:val="0"/>
          <w:szCs w:val="32"/>
        </w:rPr>
        <w:t>年度总目标为：土地纠纷调处率≥90%</w:t>
      </w:r>
      <w:r>
        <w:rPr>
          <w:rFonts w:hint="eastAsia" w:cs="Times New Roman"/>
          <w:color w:val="auto"/>
          <w:kern w:val="0"/>
          <w:szCs w:val="32"/>
          <w:lang w:eastAsia="zh-CN"/>
        </w:rPr>
        <w:t>，</w:t>
      </w:r>
      <w:r>
        <w:rPr>
          <w:rFonts w:hint="eastAsia" w:cs="Times New Roman"/>
          <w:color w:val="auto"/>
          <w:kern w:val="0"/>
          <w:szCs w:val="32"/>
        </w:rPr>
        <w:t>土地巡查频率520次</w:t>
      </w:r>
      <w:r>
        <w:rPr>
          <w:rFonts w:hint="eastAsia" w:cs="Times New Roman"/>
          <w:color w:val="auto"/>
          <w:kern w:val="0"/>
          <w:szCs w:val="32"/>
          <w:lang w:eastAsia="zh-CN"/>
        </w:rPr>
        <w:t>，</w:t>
      </w:r>
      <w:r>
        <w:rPr>
          <w:rFonts w:hint="eastAsia" w:cs="Times New Roman"/>
          <w:color w:val="auto"/>
          <w:kern w:val="0"/>
          <w:szCs w:val="32"/>
        </w:rPr>
        <w:t>党建活动的开展4次</w:t>
      </w:r>
      <w:r>
        <w:rPr>
          <w:rFonts w:hint="eastAsia" w:cs="Times New Roman"/>
          <w:color w:val="auto"/>
          <w:kern w:val="0"/>
          <w:szCs w:val="32"/>
          <w:lang w:eastAsia="zh-CN"/>
        </w:rPr>
        <w:t>，</w:t>
      </w:r>
      <w:r>
        <w:rPr>
          <w:rFonts w:hint="eastAsia" w:cs="Times New Roman"/>
          <w:color w:val="auto"/>
          <w:kern w:val="0"/>
          <w:szCs w:val="32"/>
        </w:rPr>
        <w:t>土地控管达标100%</w:t>
      </w:r>
      <w:r>
        <w:rPr>
          <w:rFonts w:hint="eastAsia" w:cs="Times New Roman"/>
          <w:color w:val="auto"/>
          <w:kern w:val="0"/>
          <w:szCs w:val="32"/>
          <w:lang w:eastAsia="zh-CN"/>
        </w:rPr>
        <w:t>，</w:t>
      </w:r>
      <w:r>
        <w:rPr>
          <w:rFonts w:hint="eastAsia" w:cs="Times New Roman"/>
          <w:color w:val="auto"/>
          <w:kern w:val="0"/>
          <w:szCs w:val="32"/>
        </w:rPr>
        <w:t>违法用地查处上报及时率</w:t>
      </w:r>
      <w:r>
        <w:rPr>
          <w:rFonts w:hint="eastAsia" w:cs="Times New Roman"/>
          <w:color w:val="auto"/>
          <w:kern w:val="0"/>
          <w:szCs w:val="32"/>
          <w:lang w:val="en-US" w:eastAsia="zh-CN"/>
        </w:rPr>
        <w:t>1</w:t>
      </w:r>
      <w:r>
        <w:rPr>
          <w:rFonts w:hint="eastAsia" w:cs="Times New Roman"/>
          <w:color w:val="auto"/>
          <w:kern w:val="0"/>
          <w:szCs w:val="32"/>
        </w:rPr>
        <w:t>00%</w:t>
      </w:r>
      <w:r>
        <w:rPr>
          <w:rFonts w:hint="eastAsia" w:cs="Times New Roman"/>
          <w:color w:val="auto"/>
          <w:kern w:val="0"/>
          <w:szCs w:val="32"/>
          <w:lang w:eastAsia="zh-CN"/>
        </w:rPr>
        <w:t>，</w:t>
      </w:r>
      <w:r>
        <w:rPr>
          <w:rFonts w:hint="eastAsia" w:cs="Times New Roman"/>
          <w:color w:val="auto"/>
          <w:kern w:val="0"/>
          <w:szCs w:val="32"/>
        </w:rPr>
        <w:t>图斑调查协助整改率100%</w:t>
      </w:r>
      <w:r>
        <w:rPr>
          <w:rFonts w:hint="eastAsia" w:cs="Times New Roman"/>
          <w:color w:val="auto"/>
          <w:kern w:val="0"/>
          <w:szCs w:val="32"/>
          <w:lang w:eastAsia="zh-CN"/>
        </w:rPr>
        <w:t>，</w:t>
      </w:r>
      <w:r>
        <w:rPr>
          <w:rFonts w:hint="eastAsia" w:cs="Times New Roman"/>
          <w:color w:val="auto"/>
          <w:kern w:val="0"/>
          <w:szCs w:val="32"/>
        </w:rPr>
        <w:t>土地法规宣传覆盖程度100%</w:t>
      </w:r>
      <w:r>
        <w:rPr>
          <w:rFonts w:hint="eastAsia" w:cs="Times New Roman"/>
          <w:color w:val="auto"/>
          <w:kern w:val="0"/>
          <w:szCs w:val="32"/>
        </w:rPr>
        <w:tab/>
      </w:r>
      <w:r>
        <w:rPr>
          <w:rFonts w:hint="eastAsia" w:cs="Times New Roman"/>
          <w:color w:val="auto"/>
          <w:kern w:val="0"/>
          <w:szCs w:val="32"/>
          <w:lang w:eastAsia="zh-CN"/>
        </w:rPr>
        <w:t>，</w:t>
      </w:r>
      <w:r>
        <w:rPr>
          <w:rFonts w:hint="eastAsia" w:cs="Times New Roman"/>
          <w:color w:val="auto"/>
          <w:kern w:val="0"/>
          <w:szCs w:val="32"/>
        </w:rPr>
        <w:t>服务对象满意度指标≥85%</w:t>
      </w:r>
      <w:r>
        <w:rPr>
          <w:rFonts w:eastAsia="仿宋"/>
          <w:sz w:val="32"/>
          <w:szCs w:val="32"/>
        </w:rPr>
        <w:t>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3.项目资金情况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本项目202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hint="eastAsia" w:eastAsia="仿宋"/>
          <w:sz w:val="32"/>
          <w:szCs w:val="32"/>
        </w:rPr>
        <w:t>年</w:t>
      </w:r>
      <w:r>
        <w:rPr>
          <w:rFonts w:eastAsia="仿宋"/>
          <w:sz w:val="32"/>
          <w:szCs w:val="32"/>
        </w:rPr>
        <w:t>初批复预算资金</w:t>
      </w:r>
      <w:r>
        <w:rPr>
          <w:rFonts w:hint="eastAsia" w:eastAsia="仿宋"/>
          <w:sz w:val="32"/>
          <w:szCs w:val="32"/>
        </w:rPr>
        <w:t>838.32</w:t>
      </w:r>
      <w:r>
        <w:rPr>
          <w:rFonts w:eastAsia="仿宋"/>
          <w:sz w:val="32"/>
          <w:szCs w:val="32"/>
        </w:rPr>
        <w:t>万元，</w:t>
      </w:r>
      <w:r>
        <w:rPr>
          <w:rFonts w:hint="eastAsia" w:eastAsia="仿宋"/>
          <w:sz w:val="32"/>
          <w:szCs w:val="32"/>
        </w:rPr>
        <w:t>用于</w:t>
      </w:r>
      <w:r>
        <w:rPr>
          <w:rFonts w:hint="eastAsia" w:eastAsia="仿宋"/>
          <w:sz w:val="32"/>
          <w:szCs w:val="32"/>
          <w:lang w:eastAsia="zh-CN"/>
        </w:rPr>
        <w:t>沌阳街土地规划服务中心</w:t>
      </w:r>
      <w:r>
        <w:rPr>
          <w:rFonts w:hint="eastAsia" w:eastAsia="仿宋"/>
          <w:sz w:val="32"/>
          <w:szCs w:val="32"/>
        </w:rPr>
        <w:t>支付工资和福利性支出，购买商品和服务以及发放对个人和家庭的补助，</w:t>
      </w:r>
      <w:r>
        <w:rPr>
          <w:rFonts w:eastAsia="仿宋"/>
          <w:sz w:val="32"/>
          <w:szCs w:val="32"/>
        </w:rPr>
        <w:t>202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hint="eastAsia" w:eastAsia="仿宋"/>
          <w:sz w:val="32"/>
          <w:szCs w:val="32"/>
        </w:rPr>
        <w:t>年本项目预算资金共计838.32</w:t>
      </w:r>
      <w:r>
        <w:rPr>
          <w:rFonts w:eastAsia="仿宋"/>
          <w:sz w:val="32"/>
          <w:szCs w:val="32"/>
        </w:rPr>
        <w:t>万元。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宋体"/>
          <w:color w:val="000000"/>
          <w:kern w:val="0"/>
          <w:sz w:val="24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（二）部门自评工作开展情况</w:t>
      </w:r>
    </w:p>
    <w:p>
      <w:pPr>
        <w:widowControl/>
        <w:spacing w:line="560" w:lineRule="exact"/>
        <w:ind w:firstLine="600" w:firstLineChars="200"/>
      </w:pPr>
      <w:r>
        <w:t>本次自评时间从202</w:t>
      </w:r>
      <w:r>
        <w:rPr>
          <w:rFonts w:hint="eastAsia"/>
          <w:lang w:val="en-US" w:eastAsia="zh-CN"/>
        </w:rPr>
        <w:t>3</w:t>
      </w:r>
      <w:r>
        <w:t>年4月</w:t>
      </w:r>
      <w:r>
        <w:rPr>
          <w:rFonts w:hint="eastAsia"/>
          <w:lang w:val="en-US" w:eastAsia="zh-CN"/>
        </w:rPr>
        <w:t>1</w:t>
      </w:r>
      <w:r>
        <w:t>日至202</w:t>
      </w:r>
      <w:r>
        <w:rPr>
          <w:rFonts w:hint="eastAsia"/>
          <w:lang w:val="en-US" w:eastAsia="zh-CN"/>
        </w:rPr>
        <w:t>3</w:t>
      </w:r>
      <w:r>
        <w:t>年</w:t>
      </w:r>
      <w:r>
        <w:rPr>
          <w:rFonts w:hint="eastAsia"/>
          <w:lang w:val="en-US" w:eastAsia="zh-CN"/>
        </w:rPr>
        <w:t>4</w:t>
      </w:r>
      <w:r>
        <w:t>月</w:t>
      </w:r>
      <w:r>
        <w:rPr>
          <w:rFonts w:hint="eastAsia"/>
          <w:lang w:val="en-US" w:eastAsia="zh-CN"/>
        </w:rPr>
        <w:t>20</w:t>
      </w:r>
      <w:r>
        <w:t>日，历时2</w:t>
      </w:r>
      <w:r>
        <w:rPr>
          <w:rFonts w:hint="eastAsia"/>
          <w:lang w:val="en-US" w:eastAsia="zh-CN"/>
        </w:rPr>
        <w:t>0</w:t>
      </w:r>
      <w:r>
        <w:t>天。自评工作程序如下：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（1）制定工作方案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部门自评工作方案由财务部门会同第三方机构共同研究制订。根据部门主要负责同志要求和武汉</w:t>
      </w:r>
      <w:r>
        <w:rPr>
          <w:rFonts w:hint="eastAsia" w:eastAsia="仿宋"/>
          <w:sz w:val="32"/>
          <w:szCs w:val="32"/>
        </w:rPr>
        <w:t>经济技术开发区（汉南区）财政局</w:t>
      </w:r>
      <w:r>
        <w:rPr>
          <w:rFonts w:eastAsia="仿宋"/>
          <w:sz w:val="32"/>
          <w:szCs w:val="32"/>
        </w:rPr>
        <w:t>发布的</w:t>
      </w:r>
      <w:bookmarkStart w:id="0" w:name="_Hlk102643360"/>
      <w:r>
        <w:rPr>
          <w:rFonts w:hint="eastAsia" w:eastAsia="仿宋"/>
          <w:sz w:val="32"/>
          <w:szCs w:val="32"/>
        </w:rPr>
        <w:t>《关于开展 2023年预算绩效评价及项目支出绩效运行监控的通知》（武经开〔202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hint="eastAsia" w:eastAsia="仿宋"/>
          <w:sz w:val="32"/>
          <w:szCs w:val="32"/>
        </w:rPr>
        <w:t>〕</w:t>
      </w:r>
      <w:r>
        <w:rPr>
          <w:rFonts w:hint="eastAsia" w:eastAsia="仿宋"/>
          <w:sz w:val="32"/>
          <w:szCs w:val="32"/>
          <w:lang w:val="en-US" w:eastAsia="zh-CN"/>
        </w:rPr>
        <w:t>10</w:t>
      </w:r>
      <w:r>
        <w:rPr>
          <w:rFonts w:hint="eastAsia" w:eastAsia="仿宋"/>
          <w:sz w:val="32"/>
          <w:szCs w:val="32"/>
        </w:rPr>
        <w:t>号）</w:t>
      </w:r>
      <w:bookmarkEnd w:id="0"/>
      <w:r>
        <w:rPr>
          <w:rFonts w:eastAsia="仿宋"/>
          <w:sz w:val="32"/>
          <w:szCs w:val="32"/>
        </w:rPr>
        <w:t>启动部门</w:t>
      </w:r>
      <w:r>
        <w:rPr>
          <w:rFonts w:hint="eastAsia" w:eastAsia="仿宋"/>
          <w:sz w:val="32"/>
          <w:szCs w:val="32"/>
        </w:rPr>
        <w:t>项目</w:t>
      </w:r>
      <w:r>
        <w:rPr>
          <w:rFonts w:eastAsia="仿宋"/>
          <w:sz w:val="32"/>
          <w:szCs w:val="32"/>
        </w:rPr>
        <w:t>自评工作。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（2）组织实施自评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财务部门会同第三方机构及时成立工作组，通过调研访谈、</w:t>
      </w:r>
      <w:r>
        <w:rPr>
          <w:rFonts w:hint="eastAsia" w:eastAsia="仿宋"/>
          <w:sz w:val="32"/>
          <w:szCs w:val="32"/>
        </w:rPr>
        <w:t>电话访谈</w:t>
      </w:r>
      <w:r>
        <w:rPr>
          <w:rFonts w:eastAsia="仿宋"/>
          <w:sz w:val="32"/>
          <w:szCs w:val="32"/>
        </w:rPr>
        <w:t>等方式收集、核实数据和信息，并对这些数据和信息进行整理分析。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（3）撰写部门自评</w:t>
      </w:r>
      <w:r>
        <w:rPr>
          <w:rFonts w:hint="eastAsia" w:eastAsia="仿宋"/>
          <w:sz w:val="32"/>
          <w:szCs w:val="32"/>
        </w:rPr>
        <w:t>项目</w:t>
      </w:r>
      <w:r>
        <w:rPr>
          <w:rFonts w:eastAsia="仿宋"/>
          <w:sz w:val="32"/>
          <w:szCs w:val="32"/>
        </w:rPr>
        <w:t>结果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在整理分析基础上，形成部门</w:t>
      </w:r>
      <w:r>
        <w:rPr>
          <w:rFonts w:hint="eastAsia" w:eastAsia="仿宋"/>
          <w:sz w:val="32"/>
          <w:szCs w:val="32"/>
        </w:rPr>
        <w:t>项目</w:t>
      </w:r>
      <w:r>
        <w:rPr>
          <w:rFonts w:eastAsia="仿宋"/>
          <w:sz w:val="32"/>
          <w:szCs w:val="32"/>
        </w:rPr>
        <w:t>自评结果。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（4）建立部门自评档案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部门</w:t>
      </w:r>
      <w:r>
        <w:rPr>
          <w:rFonts w:hint="eastAsia" w:eastAsia="仿宋"/>
          <w:sz w:val="32"/>
          <w:szCs w:val="32"/>
        </w:rPr>
        <w:t>项目</w:t>
      </w:r>
      <w:r>
        <w:rPr>
          <w:rFonts w:eastAsia="仿宋"/>
          <w:sz w:val="32"/>
          <w:szCs w:val="32"/>
        </w:rPr>
        <w:t>自评结果按时报送财政部门备案并及时归档备查。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（三）绩效目标完成情况分析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1.预算执行情况分析（满分20分，得分</w:t>
      </w:r>
      <w:r>
        <w:rPr>
          <w:rFonts w:hint="eastAsia" w:eastAsia="仿宋"/>
          <w:b/>
          <w:sz w:val="32"/>
          <w:szCs w:val="32"/>
          <w:lang w:val="en-US" w:eastAsia="zh-CN"/>
        </w:rPr>
        <w:t>16.5</w:t>
      </w:r>
      <w:r>
        <w:rPr>
          <w:rFonts w:eastAsia="仿宋"/>
          <w:b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本项目202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eastAsia="仿宋"/>
          <w:sz w:val="32"/>
          <w:szCs w:val="32"/>
        </w:rPr>
        <w:t>年实际到位资金</w:t>
      </w:r>
      <w:r>
        <w:rPr>
          <w:rFonts w:hint="eastAsia" w:eastAsia="仿宋"/>
          <w:sz w:val="32"/>
          <w:szCs w:val="32"/>
        </w:rPr>
        <w:t>838.32</w:t>
      </w:r>
      <w:r>
        <w:rPr>
          <w:rFonts w:eastAsia="仿宋"/>
          <w:sz w:val="32"/>
          <w:szCs w:val="32"/>
        </w:rPr>
        <w:t>万元，资金到位率100%。实际支出资金</w:t>
      </w:r>
      <w:r>
        <w:rPr>
          <w:rFonts w:hint="eastAsia" w:eastAsia="仿宋"/>
          <w:sz w:val="32"/>
          <w:szCs w:val="32"/>
        </w:rPr>
        <w:t>690.43</w:t>
      </w:r>
      <w:r>
        <w:rPr>
          <w:rFonts w:eastAsia="仿宋"/>
          <w:sz w:val="32"/>
          <w:szCs w:val="32"/>
        </w:rPr>
        <w:t>万元，预算执行率为</w:t>
      </w:r>
      <w:r>
        <w:rPr>
          <w:rFonts w:hint="eastAsia" w:eastAsia="仿宋"/>
          <w:sz w:val="32"/>
          <w:szCs w:val="32"/>
        </w:rPr>
        <w:t>82.36%，预算执行率</w:t>
      </w:r>
      <w:r>
        <w:rPr>
          <w:rFonts w:hint="eastAsia" w:eastAsia="仿宋"/>
          <w:sz w:val="32"/>
          <w:szCs w:val="32"/>
          <w:lang w:val="en-US" w:eastAsia="zh-CN"/>
        </w:rPr>
        <w:t>一般</w:t>
      </w:r>
      <w:r>
        <w:rPr>
          <w:rFonts w:eastAsia="仿宋"/>
          <w:sz w:val="32"/>
          <w:szCs w:val="32"/>
        </w:rPr>
        <w:t>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2.绩效目标完成情况分析（满分80分，得分</w:t>
      </w:r>
      <w:r>
        <w:rPr>
          <w:rFonts w:hint="eastAsia" w:eastAsia="仿宋"/>
          <w:b/>
          <w:sz w:val="32"/>
          <w:szCs w:val="32"/>
          <w:lang w:val="en-US" w:eastAsia="zh-CN"/>
        </w:rPr>
        <w:t>78</w:t>
      </w:r>
      <w:r>
        <w:rPr>
          <w:rFonts w:eastAsia="仿宋"/>
          <w:b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hint="eastAsia" w:eastAsia="仿宋"/>
          <w:sz w:val="32"/>
          <w:szCs w:val="32"/>
        </w:rPr>
        <w:t>1</w:t>
      </w:r>
      <w:r>
        <w:rPr>
          <w:rFonts w:eastAsia="仿宋"/>
          <w:sz w:val="32"/>
          <w:szCs w:val="32"/>
        </w:rPr>
        <w:t>）产出指标完成情况分析（满分</w:t>
      </w:r>
      <w:r>
        <w:rPr>
          <w:rFonts w:hint="eastAsia" w:eastAsia="仿宋"/>
          <w:sz w:val="32"/>
          <w:szCs w:val="32"/>
          <w:lang w:val="en-US" w:eastAsia="zh-CN"/>
        </w:rPr>
        <w:t>50</w:t>
      </w:r>
      <w:r>
        <w:rPr>
          <w:rFonts w:eastAsia="仿宋"/>
          <w:sz w:val="32"/>
          <w:szCs w:val="32"/>
        </w:rPr>
        <w:t>分，得分</w:t>
      </w:r>
      <w:r>
        <w:rPr>
          <w:rFonts w:hint="eastAsia" w:eastAsia="仿宋"/>
          <w:sz w:val="32"/>
          <w:szCs w:val="32"/>
          <w:lang w:val="en-US" w:eastAsia="zh-CN"/>
        </w:rPr>
        <w:t>48</w:t>
      </w:r>
      <w:r>
        <w:rPr>
          <w:rFonts w:eastAsia="仿宋"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①</w:t>
      </w:r>
      <w:r>
        <w:rPr>
          <w:rFonts w:hint="eastAsia" w:eastAsia="仿宋"/>
          <w:sz w:val="32"/>
          <w:szCs w:val="32"/>
        </w:rPr>
        <w:t>土地纠纷调处完成率</w:t>
      </w:r>
      <w:r>
        <w:rPr>
          <w:rFonts w:eastAsia="仿宋"/>
          <w:sz w:val="32"/>
          <w:szCs w:val="32"/>
        </w:rPr>
        <w:t>：满分</w:t>
      </w:r>
      <w:r>
        <w:rPr>
          <w:rFonts w:hint="eastAsia" w:eastAsia="仿宋"/>
          <w:sz w:val="32"/>
          <w:szCs w:val="32"/>
        </w:rPr>
        <w:t>10</w:t>
      </w:r>
      <w:r>
        <w:rPr>
          <w:rFonts w:eastAsia="仿宋"/>
          <w:sz w:val="32"/>
          <w:szCs w:val="32"/>
        </w:rPr>
        <w:t>分，得分</w:t>
      </w:r>
      <w:r>
        <w:rPr>
          <w:rFonts w:hint="eastAsia" w:eastAsia="仿宋"/>
          <w:sz w:val="32"/>
          <w:szCs w:val="32"/>
        </w:rPr>
        <w:t>10</w:t>
      </w:r>
      <w:r>
        <w:rPr>
          <w:rFonts w:eastAsia="仿宋"/>
          <w:sz w:val="32"/>
          <w:szCs w:val="32"/>
        </w:rPr>
        <w:t>分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目标为</w:t>
      </w:r>
      <w:r>
        <w:rPr>
          <w:rFonts w:hint="eastAsia" w:eastAsia="仿宋"/>
          <w:sz w:val="32"/>
          <w:szCs w:val="32"/>
        </w:rPr>
        <w:t>土地纠纷调处完成率</w:t>
      </w:r>
      <w:r>
        <w:rPr>
          <w:rFonts w:eastAsia="仿宋"/>
          <w:sz w:val="32"/>
          <w:szCs w:val="32"/>
        </w:rPr>
        <w:t>90%，202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eastAsia="仿宋"/>
          <w:sz w:val="32"/>
          <w:szCs w:val="32"/>
        </w:rPr>
        <w:t>年</w:t>
      </w:r>
      <w:r>
        <w:rPr>
          <w:rFonts w:hint="eastAsia" w:eastAsia="仿宋"/>
          <w:sz w:val="32"/>
          <w:szCs w:val="32"/>
        </w:rPr>
        <w:t>全年发生了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hint="eastAsia" w:eastAsia="仿宋"/>
          <w:sz w:val="32"/>
          <w:szCs w:val="32"/>
        </w:rPr>
        <w:t>起土地纠纷案件，经过</w:t>
      </w:r>
      <w:r>
        <w:rPr>
          <w:rFonts w:hint="eastAsia" w:eastAsia="仿宋"/>
          <w:sz w:val="32"/>
          <w:szCs w:val="32"/>
          <w:lang w:eastAsia="zh-CN"/>
        </w:rPr>
        <w:t>沌阳街土地规划服务中心</w:t>
      </w:r>
      <w:r>
        <w:rPr>
          <w:rFonts w:hint="eastAsia" w:eastAsia="仿宋"/>
          <w:sz w:val="32"/>
          <w:szCs w:val="32"/>
        </w:rPr>
        <w:t>工作小组协调完成了纠纷处理，土地纠纷调处完成率</w:t>
      </w:r>
      <w:r>
        <w:rPr>
          <w:rFonts w:eastAsia="仿宋"/>
          <w:sz w:val="32"/>
          <w:szCs w:val="32"/>
        </w:rPr>
        <w:t>100%，完成目标。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②违法违规用地巡查频次</w:t>
      </w:r>
      <w:r>
        <w:rPr>
          <w:rFonts w:eastAsia="仿宋"/>
          <w:sz w:val="32"/>
          <w:szCs w:val="32"/>
        </w:rPr>
        <w:t>：满分</w:t>
      </w:r>
      <w:r>
        <w:rPr>
          <w:rFonts w:hint="eastAsia" w:eastAsia="仿宋"/>
          <w:sz w:val="32"/>
          <w:szCs w:val="32"/>
        </w:rPr>
        <w:t>10</w:t>
      </w:r>
      <w:r>
        <w:rPr>
          <w:rFonts w:eastAsia="仿宋"/>
          <w:sz w:val="32"/>
          <w:szCs w:val="32"/>
        </w:rPr>
        <w:t>分，得分</w:t>
      </w:r>
      <w:r>
        <w:rPr>
          <w:rFonts w:hint="eastAsia" w:eastAsia="仿宋"/>
          <w:sz w:val="32"/>
          <w:szCs w:val="32"/>
        </w:rPr>
        <w:t>10</w:t>
      </w:r>
      <w:r>
        <w:rPr>
          <w:rFonts w:eastAsia="仿宋"/>
          <w:sz w:val="32"/>
          <w:szCs w:val="32"/>
        </w:rPr>
        <w:t>分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目标为违法违规用地巡查频次</w:t>
      </w:r>
      <w:r>
        <w:rPr>
          <w:rFonts w:hint="eastAsia" w:eastAsia="仿宋"/>
          <w:sz w:val="32"/>
          <w:szCs w:val="32"/>
          <w:lang w:val="en-US" w:eastAsia="zh-CN"/>
        </w:rPr>
        <w:t>520</w:t>
      </w:r>
      <w:r>
        <w:rPr>
          <w:rFonts w:hint="eastAsia" w:eastAsia="仿宋"/>
          <w:sz w:val="32"/>
          <w:szCs w:val="32"/>
        </w:rPr>
        <w:t>次，202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hint="eastAsia" w:eastAsia="仿宋"/>
          <w:sz w:val="32"/>
          <w:szCs w:val="32"/>
        </w:rPr>
        <w:t>年</w:t>
      </w:r>
      <w:r>
        <w:rPr>
          <w:rFonts w:hint="eastAsia" w:eastAsia="仿宋"/>
          <w:sz w:val="32"/>
          <w:szCs w:val="32"/>
          <w:lang w:eastAsia="zh-CN"/>
        </w:rPr>
        <w:t>沌阳街土地规划服务中心</w:t>
      </w:r>
      <w:r>
        <w:rPr>
          <w:rFonts w:hint="eastAsia" w:eastAsia="仿宋"/>
          <w:sz w:val="32"/>
          <w:szCs w:val="32"/>
        </w:rPr>
        <w:t>开展了土地执法巡查，建立了动态巡查制度，及时查处土地违法行为并</w:t>
      </w:r>
      <w:r>
        <w:rPr>
          <w:rFonts w:hint="eastAsia" w:eastAsia="仿宋"/>
          <w:sz w:val="32"/>
          <w:szCs w:val="32"/>
          <w:lang w:eastAsia="zh-CN"/>
        </w:rPr>
        <w:t>做好</w:t>
      </w:r>
      <w:r>
        <w:rPr>
          <w:rFonts w:hint="eastAsia" w:eastAsia="仿宋"/>
          <w:sz w:val="32"/>
          <w:szCs w:val="32"/>
        </w:rPr>
        <w:t>巡查记录。开展常规动态巡查1386次，完成目标。</w:t>
      </w:r>
    </w:p>
    <w:p>
      <w:pPr>
        <w:widowControl/>
        <w:spacing w:line="560" w:lineRule="exact"/>
        <w:ind w:firstLine="640" w:firstLineChars="200"/>
        <w:rPr>
          <w:rFonts w:hint="default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</w:rPr>
        <w:t>③党建活动的开展</w:t>
      </w:r>
      <w:r>
        <w:rPr>
          <w:rFonts w:hint="eastAsia" w:eastAsia="仿宋"/>
          <w:sz w:val="32"/>
          <w:szCs w:val="32"/>
          <w:lang w:eastAsia="zh-CN"/>
        </w:rPr>
        <w:t>：</w:t>
      </w:r>
      <w:r>
        <w:rPr>
          <w:rFonts w:hint="eastAsia" w:eastAsia="仿宋"/>
          <w:sz w:val="32"/>
          <w:szCs w:val="32"/>
          <w:lang w:val="en-US" w:eastAsia="zh-CN"/>
        </w:rPr>
        <w:t>满分</w:t>
      </w:r>
      <w:r>
        <w:rPr>
          <w:rFonts w:hint="eastAsia" w:eastAsia="仿宋"/>
          <w:sz w:val="32"/>
          <w:szCs w:val="32"/>
        </w:rPr>
        <w:t>10分，得分10分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目标为党建活动的开展频次</w:t>
      </w:r>
      <w:r>
        <w:rPr>
          <w:rFonts w:hint="eastAsia" w:eastAsia="仿宋"/>
          <w:sz w:val="32"/>
          <w:szCs w:val="32"/>
          <w:lang w:val="en-US" w:eastAsia="zh-CN"/>
        </w:rPr>
        <w:t>4</w:t>
      </w:r>
      <w:r>
        <w:rPr>
          <w:rFonts w:hint="eastAsia" w:eastAsia="仿宋"/>
          <w:sz w:val="32"/>
          <w:szCs w:val="32"/>
        </w:rPr>
        <w:t>次，202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hint="eastAsia" w:eastAsia="仿宋"/>
          <w:sz w:val="32"/>
          <w:szCs w:val="32"/>
        </w:rPr>
        <w:t>年</w:t>
      </w:r>
      <w:r>
        <w:rPr>
          <w:rFonts w:hint="eastAsia" w:eastAsia="仿宋"/>
          <w:sz w:val="32"/>
          <w:szCs w:val="32"/>
          <w:lang w:eastAsia="zh-CN"/>
        </w:rPr>
        <w:t>沌阳街土地规划服务中心</w:t>
      </w:r>
      <w:r>
        <w:rPr>
          <w:rFonts w:hint="eastAsia" w:eastAsia="仿宋"/>
          <w:sz w:val="32"/>
          <w:szCs w:val="32"/>
          <w:lang w:val="en-US" w:eastAsia="zh-CN"/>
        </w:rPr>
        <w:t>每月开展一次</w:t>
      </w:r>
      <w:r>
        <w:rPr>
          <w:rFonts w:hint="eastAsia" w:eastAsia="仿宋"/>
          <w:sz w:val="32"/>
          <w:szCs w:val="32"/>
        </w:rPr>
        <w:t>党建活动</w:t>
      </w:r>
      <w:r>
        <w:rPr>
          <w:rFonts w:hint="eastAsia" w:eastAsia="仿宋"/>
          <w:sz w:val="32"/>
          <w:szCs w:val="32"/>
          <w:lang w:eastAsia="zh-CN"/>
        </w:rPr>
        <w:t>，</w:t>
      </w:r>
      <w:r>
        <w:rPr>
          <w:rFonts w:hint="eastAsia" w:eastAsia="仿宋"/>
          <w:sz w:val="32"/>
          <w:szCs w:val="32"/>
          <w:lang w:val="en-US" w:eastAsia="zh-CN"/>
        </w:rPr>
        <w:t>共计</w:t>
      </w:r>
      <w:r>
        <w:rPr>
          <w:rFonts w:hint="eastAsia" w:eastAsia="仿宋"/>
          <w:sz w:val="32"/>
          <w:szCs w:val="32"/>
        </w:rPr>
        <w:t>开展</w:t>
      </w:r>
      <w:r>
        <w:rPr>
          <w:rFonts w:hint="eastAsia" w:eastAsia="仿宋"/>
          <w:sz w:val="32"/>
          <w:szCs w:val="32"/>
          <w:lang w:val="en-US" w:eastAsia="zh-CN"/>
        </w:rPr>
        <w:t>12</w:t>
      </w:r>
      <w:r>
        <w:rPr>
          <w:rFonts w:hint="eastAsia" w:eastAsia="仿宋"/>
          <w:sz w:val="32"/>
          <w:szCs w:val="32"/>
        </w:rPr>
        <w:t>次，完成目标。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val="en-US" w:eastAsia="zh-CN"/>
        </w:rPr>
        <w:t>④</w:t>
      </w:r>
      <w:r>
        <w:rPr>
          <w:rFonts w:hint="eastAsia" w:eastAsia="仿宋"/>
          <w:sz w:val="32"/>
          <w:szCs w:val="32"/>
        </w:rPr>
        <w:t>土地控管达标</w:t>
      </w:r>
      <w:r>
        <w:rPr>
          <w:rFonts w:hint="eastAsia" w:eastAsia="仿宋"/>
          <w:sz w:val="32"/>
          <w:szCs w:val="32"/>
          <w:lang w:eastAsia="zh-CN"/>
        </w:rPr>
        <w:t>：</w:t>
      </w:r>
      <w:r>
        <w:rPr>
          <w:rFonts w:hint="eastAsia" w:eastAsia="仿宋"/>
          <w:sz w:val="32"/>
          <w:szCs w:val="32"/>
          <w:lang w:val="en-US" w:eastAsia="zh-CN"/>
        </w:rPr>
        <w:t>满分</w:t>
      </w:r>
      <w:r>
        <w:rPr>
          <w:rFonts w:hint="eastAsia" w:eastAsia="仿宋"/>
          <w:sz w:val="32"/>
          <w:szCs w:val="32"/>
        </w:rPr>
        <w:t>10分，得分10分</w:t>
      </w:r>
    </w:p>
    <w:p>
      <w:pPr>
        <w:widowControl/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eastAsia="仿宋"/>
          <w:sz w:val="32"/>
          <w:szCs w:val="32"/>
        </w:rPr>
        <w:t>目标为土地控管达标</w:t>
      </w:r>
      <w:r>
        <w:rPr>
          <w:rFonts w:hint="eastAsia" w:eastAsia="仿宋"/>
          <w:sz w:val="32"/>
          <w:szCs w:val="32"/>
          <w:lang w:val="en-US" w:eastAsia="zh-CN"/>
        </w:rPr>
        <w:t>100</w:t>
      </w:r>
      <w:r>
        <w:rPr>
          <w:rFonts w:hint="eastAsia" w:eastAsia="仿宋"/>
          <w:sz w:val="32"/>
          <w:szCs w:val="32"/>
        </w:rPr>
        <w:t>%，202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hint="eastAsia" w:eastAsia="仿宋"/>
          <w:sz w:val="32"/>
          <w:szCs w:val="32"/>
        </w:rPr>
        <w:t>年</w:t>
      </w:r>
      <w:r>
        <w:rPr>
          <w:rFonts w:hint="eastAsia" w:eastAsia="仿宋"/>
          <w:sz w:val="32"/>
          <w:szCs w:val="32"/>
          <w:lang w:eastAsia="zh-CN"/>
        </w:rPr>
        <w:t>沌阳街土地规划服务中心</w:t>
      </w:r>
      <w:r>
        <w:rPr>
          <w:rFonts w:hint="eastAsia" w:ascii="仿宋" w:hAnsi="仿宋" w:eastAsia="仿宋" w:cs="仿宋"/>
          <w:sz w:val="30"/>
          <w:szCs w:val="30"/>
        </w:rPr>
        <w:t>对辖区内储备地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块</w:t>
      </w:r>
      <w:r>
        <w:rPr>
          <w:rFonts w:hint="eastAsia" w:eastAsia="仿宋"/>
          <w:sz w:val="32"/>
          <w:szCs w:val="32"/>
        </w:rPr>
        <w:t>控管</w:t>
      </w:r>
      <w:r>
        <w:rPr>
          <w:rFonts w:hint="eastAsia" w:ascii="仿宋" w:hAnsi="仿宋" w:eastAsia="仿宋" w:cs="仿宋"/>
          <w:sz w:val="30"/>
          <w:szCs w:val="30"/>
        </w:rPr>
        <w:t>排查工作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全覆盖</w:t>
      </w:r>
      <w:r>
        <w:rPr>
          <w:rFonts w:hint="eastAsia" w:eastAsia="仿宋"/>
          <w:sz w:val="32"/>
          <w:szCs w:val="32"/>
        </w:rPr>
        <w:t>，土地控管达标</w:t>
      </w:r>
      <w:r>
        <w:rPr>
          <w:rFonts w:hint="eastAsia" w:eastAsia="仿宋"/>
          <w:sz w:val="32"/>
          <w:szCs w:val="32"/>
          <w:lang w:val="en-US" w:eastAsia="zh-CN"/>
        </w:rPr>
        <w:t>100</w:t>
      </w:r>
      <w:r>
        <w:rPr>
          <w:rFonts w:hint="eastAsia" w:eastAsia="仿宋"/>
          <w:sz w:val="32"/>
          <w:szCs w:val="32"/>
        </w:rPr>
        <w:t>%，完成目标。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val="en-US" w:eastAsia="zh-CN"/>
        </w:rPr>
        <w:t>⑤</w:t>
      </w:r>
      <w:r>
        <w:rPr>
          <w:rFonts w:hint="eastAsia" w:eastAsia="仿宋"/>
          <w:sz w:val="32"/>
          <w:szCs w:val="32"/>
        </w:rPr>
        <w:t>违法用地查处上报及时率</w:t>
      </w:r>
      <w:r>
        <w:rPr>
          <w:rFonts w:eastAsia="仿宋"/>
          <w:sz w:val="32"/>
          <w:szCs w:val="32"/>
        </w:rPr>
        <w:t>：满分</w:t>
      </w:r>
      <w:r>
        <w:rPr>
          <w:rFonts w:hint="eastAsia" w:eastAsia="仿宋"/>
          <w:sz w:val="32"/>
          <w:szCs w:val="32"/>
        </w:rPr>
        <w:t>10</w:t>
      </w:r>
      <w:r>
        <w:rPr>
          <w:rFonts w:eastAsia="仿宋"/>
          <w:sz w:val="32"/>
          <w:szCs w:val="32"/>
        </w:rPr>
        <w:t>分，得分</w:t>
      </w:r>
      <w:r>
        <w:rPr>
          <w:rFonts w:hint="eastAsia" w:eastAsia="仿宋"/>
          <w:sz w:val="32"/>
          <w:szCs w:val="32"/>
          <w:lang w:val="en-US" w:eastAsia="zh-CN"/>
        </w:rPr>
        <w:t>8</w:t>
      </w:r>
      <w:r>
        <w:rPr>
          <w:rFonts w:eastAsia="仿宋"/>
          <w:sz w:val="32"/>
          <w:szCs w:val="32"/>
        </w:rPr>
        <w:t>分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eastAsia="仿宋"/>
          <w:sz w:val="32"/>
          <w:szCs w:val="32"/>
        </w:rPr>
        <w:t>目标为</w:t>
      </w:r>
      <w:r>
        <w:rPr>
          <w:rFonts w:hint="eastAsia" w:eastAsia="仿宋"/>
          <w:sz w:val="32"/>
          <w:szCs w:val="32"/>
        </w:rPr>
        <w:t>违法用地查处上报及时率100%</w:t>
      </w:r>
      <w:r>
        <w:rPr>
          <w:rFonts w:eastAsia="仿宋"/>
          <w:sz w:val="32"/>
          <w:szCs w:val="32"/>
        </w:rPr>
        <w:t>，202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eastAsia="仿宋"/>
          <w:sz w:val="32"/>
          <w:szCs w:val="32"/>
        </w:rPr>
        <w:t>年</w:t>
      </w:r>
      <w:r>
        <w:rPr>
          <w:rFonts w:hint="eastAsia" w:eastAsia="仿宋"/>
          <w:sz w:val="32"/>
          <w:szCs w:val="32"/>
          <w:lang w:eastAsia="zh-CN"/>
        </w:rPr>
        <w:t>沌阳街土地规划服务中心</w:t>
      </w:r>
      <w:r>
        <w:rPr>
          <w:rFonts w:eastAsia="仿宋"/>
          <w:sz w:val="32"/>
          <w:szCs w:val="32"/>
        </w:rPr>
        <w:t>发现土地违法行为共69宗，其中现场制止40宗(13宗已整改)</w:t>
      </w:r>
      <w:r>
        <w:rPr>
          <w:rFonts w:hint="eastAsia" w:eastAsia="仿宋"/>
          <w:sz w:val="32"/>
          <w:szCs w:val="32"/>
          <w:lang w:eastAsia="zh-CN"/>
        </w:rPr>
        <w:t>，</w:t>
      </w:r>
      <w:r>
        <w:rPr>
          <w:rFonts w:eastAsia="仿宋"/>
          <w:sz w:val="32"/>
          <w:szCs w:val="32"/>
        </w:rPr>
        <w:t>以《土地巡查专报》向街执法中心上报29宗</w:t>
      </w:r>
      <w:r>
        <w:rPr>
          <w:rFonts w:hint="eastAsia" w:eastAsia="仿宋"/>
          <w:sz w:val="32"/>
          <w:szCs w:val="32"/>
        </w:rPr>
        <w:t>。</w:t>
      </w:r>
      <w:r>
        <w:rPr>
          <w:rFonts w:hint="eastAsia" w:eastAsia="仿宋"/>
          <w:sz w:val="32"/>
          <w:szCs w:val="32"/>
          <w:lang w:val="en-US" w:eastAsia="zh-CN"/>
        </w:rPr>
        <w:t>由于中心不具备执法主体资格，造成部分违法行为得不到及时有效的处置，</w:t>
      </w:r>
      <w:r>
        <w:rPr>
          <w:rFonts w:hint="eastAsia" w:eastAsia="仿宋"/>
          <w:sz w:val="32"/>
          <w:szCs w:val="32"/>
        </w:rPr>
        <w:t>违法用地查处上报及时率</w:t>
      </w:r>
      <w:r>
        <w:rPr>
          <w:rFonts w:hint="eastAsia" w:eastAsia="仿宋"/>
          <w:sz w:val="32"/>
          <w:szCs w:val="32"/>
          <w:lang w:val="en-US" w:eastAsia="zh-CN"/>
        </w:rPr>
        <w:t>一般</w:t>
      </w:r>
      <w:r>
        <w:rPr>
          <w:rFonts w:hint="eastAsia" w:eastAsia="仿宋"/>
          <w:sz w:val="32"/>
          <w:szCs w:val="32"/>
        </w:rPr>
        <w:t>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hint="eastAsia" w:eastAsia="仿宋"/>
          <w:sz w:val="32"/>
          <w:szCs w:val="32"/>
        </w:rPr>
        <w:t>2</w:t>
      </w:r>
      <w:r>
        <w:rPr>
          <w:rFonts w:eastAsia="仿宋"/>
          <w:sz w:val="32"/>
          <w:szCs w:val="32"/>
        </w:rPr>
        <w:t>）效益指标完成情况分析（满分</w:t>
      </w:r>
      <w:r>
        <w:rPr>
          <w:rFonts w:hint="eastAsia" w:eastAsia="仿宋"/>
          <w:sz w:val="32"/>
          <w:szCs w:val="32"/>
          <w:lang w:val="en-US" w:eastAsia="zh-CN"/>
        </w:rPr>
        <w:t>20</w:t>
      </w:r>
      <w:r>
        <w:rPr>
          <w:rFonts w:eastAsia="仿宋"/>
          <w:sz w:val="32"/>
          <w:szCs w:val="32"/>
        </w:rPr>
        <w:t>分，得分</w:t>
      </w:r>
      <w:r>
        <w:rPr>
          <w:rFonts w:hint="eastAsia" w:eastAsia="仿宋"/>
          <w:sz w:val="32"/>
          <w:szCs w:val="32"/>
          <w:lang w:val="en-US" w:eastAsia="zh-CN"/>
        </w:rPr>
        <w:t>20</w:t>
      </w:r>
      <w:r>
        <w:rPr>
          <w:rFonts w:eastAsia="仿宋"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①</w:t>
      </w:r>
      <w:r>
        <w:rPr>
          <w:rFonts w:hint="eastAsia" w:eastAsia="仿宋"/>
          <w:sz w:val="32"/>
          <w:szCs w:val="32"/>
        </w:rPr>
        <w:t>图斑调查协助整改率</w:t>
      </w:r>
      <w:r>
        <w:rPr>
          <w:rFonts w:eastAsia="仿宋"/>
          <w:sz w:val="32"/>
          <w:szCs w:val="32"/>
        </w:rPr>
        <w:t>：满分</w:t>
      </w:r>
      <w:r>
        <w:rPr>
          <w:rFonts w:hint="eastAsia" w:eastAsia="仿宋"/>
          <w:sz w:val="32"/>
          <w:szCs w:val="32"/>
        </w:rPr>
        <w:t>10</w:t>
      </w:r>
      <w:r>
        <w:rPr>
          <w:rFonts w:eastAsia="仿宋"/>
          <w:sz w:val="32"/>
          <w:szCs w:val="32"/>
        </w:rPr>
        <w:t>分，得分</w:t>
      </w:r>
      <w:r>
        <w:rPr>
          <w:rFonts w:hint="eastAsia" w:eastAsia="仿宋"/>
          <w:sz w:val="32"/>
          <w:szCs w:val="32"/>
        </w:rPr>
        <w:t>10</w:t>
      </w:r>
      <w:r>
        <w:rPr>
          <w:rFonts w:eastAsia="仿宋"/>
          <w:sz w:val="32"/>
          <w:szCs w:val="32"/>
        </w:rPr>
        <w:t>分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目标为</w:t>
      </w:r>
      <w:r>
        <w:rPr>
          <w:rFonts w:hint="eastAsia" w:eastAsia="仿宋"/>
          <w:sz w:val="32"/>
          <w:szCs w:val="32"/>
        </w:rPr>
        <w:t>图斑调查协助整改率1</w:t>
      </w:r>
      <w:r>
        <w:rPr>
          <w:rFonts w:eastAsia="仿宋"/>
          <w:sz w:val="32"/>
          <w:szCs w:val="32"/>
        </w:rPr>
        <w:t>00</w:t>
      </w:r>
      <w:r>
        <w:rPr>
          <w:rFonts w:hint="eastAsia" w:eastAsia="仿宋"/>
          <w:sz w:val="32"/>
          <w:szCs w:val="32"/>
        </w:rPr>
        <w:t>%，202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hint="eastAsia" w:eastAsia="仿宋"/>
          <w:sz w:val="32"/>
          <w:szCs w:val="32"/>
        </w:rPr>
        <w:t>年对上级下发的图斑199宗进行实地核查甄别，图斑调查协助整改率1</w:t>
      </w:r>
      <w:r>
        <w:rPr>
          <w:rFonts w:eastAsia="仿宋"/>
          <w:sz w:val="32"/>
          <w:szCs w:val="32"/>
        </w:rPr>
        <w:t>00</w:t>
      </w:r>
      <w:r>
        <w:rPr>
          <w:rFonts w:hint="eastAsia" w:eastAsia="仿宋"/>
          <w:sz w:val="32"/>
          <w:szCs w:val="32"/>
        </w:rPr>
        <w:t>%，完成目标。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②</w:t>
      </w:r>
      <w:r>
        <w:rPr>
          <w:rFonts w:hint="eastAsia" w:eastAsia="仿宋"/>
          <w:sz w:val="32"/>
          <w:szCs w:val="32"/>
        </w:rPr>
        <w:t>土地法规宣传覆盖程度</w:t>
      </w:r>
      <w:r>
        <w:rPr>
          <w:rFonts w:eastAsia="仿宋"/>
          <w:sz w:val="32"/>
          <w:szCs w:val="32"/>
        </w:rPr>
        <w:t>：满分</w:t>
      </w:r>
      <w:r>
        <w:rPr>
          <w:rFonts w:hint="eastAsia" w:eastAsia="仿宋"/>
          <w:sz w:val="32"/>
          <w:szCs w:val="32"/>
        </w:rPr>
        <w:t>10</w:t>
      </w:r>
      <w:r>
        <w:rPr>
          <w:rFonts w:eastAsia="仿宋"/>
          <w:sz w:val="32"/>
          <w:szCs w:val="32"/>
        </w:rPr>
        <w:t>分，得分10分</w:t>
      </w:r>
    </w:p>
    <w:p>
      <w:pPr>
        <w:widowControl/>
        <w:spacing w:line="560" w:lineRule="exact"/>
        <w:ind w:firstLine="640" w:firstLineChars="200"/>
        <w:jc w:val="left"/>
        <w:outlineLvl w:val="1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目标为</w:t>
      </w:r>
      <w:r>
        <w:rPr>
          <w:rFonts w:hint="eastAsia" w:eastAsia="仿宋"/>
          <w:sz w:val="32"/>
          <w:szCs w:val="32"/>
        </w:rPr>
        <w:t>土地法规宣传覆盖程度1</w:t>
      </w:r>
      <w:r>
        <w:rPr>
          <w:rFonts w:eastAsia="仿宋"/>
          <w:sz w:val="32"/>
          <w:szCs w:val="32"/>
        </w:rPr>
        <w:t>00</w:t>
      </w:r>
      <w:r>
        <w:rPr>
          <w:rFonts w:hint="eastAsia" w:eastAsia="仿宋"/>
          <w:sz w:val="32"/>
          <w:szCs w:val="32"/>
        </w:rPr>
        <w:t>%，</w:t>
      </w:r>
      <w:r>
        <w:rPr>
          <w:rFonts w:hint="eastAsia" w:eastAsia="仿宋"/>
          <w:sz w:val="32"/>
          <w:szCs w:val="32"/>
          <w:lang w:val="en-US" w:eastAsia="zh-CN"/>
        </w:rPr>
        <w:t>2022</w:t>
      </w:r>
      <w:r>
        <w:rPr>
          <w:rFonts w:hint="eastAsia" w:eastAsia="仿宋"/>
          <w:sz w:val="32"/>
          <w:szCs w:val="32"/>
        </w:rPr>
        <w:t>年</w:t>
      </w:r>
      <w:r>
        <w:rPr>
          <w:rFonts w:hint="eastAsia" w:eastAsia="仿宋"/>
          <w:sz w:val="32"/>
          <w:szCs w:val="32"/>
          <w:lang w:eastAsia="zh-CN"/>
        </w:rPr>
        <w:t>沌阳街土地规划服务中心</w:t>
      </w:r>
      <w:r>
        <w:rPr>
          <w:rFonts w:hint="eastAsia" w:eastAsia="仿宋"/>
          <w:sz w:val="32"/>
          <w:szCs w:val="32"/>
        </w:rPr>
        <w:t>大力开展法律法规宣传工作。紧紧抓住“</w:t>
      </w:r>
      <w:r>
        <w:rPr>
          <w:rFonts w:hint="eastAsia" w:ascii="仿宋" w:hAnsi="仿宋" w:eastAsia="仿宋" w:cs="仿宋"/>
          <w:sz w:val="30"/>
          <w:szCs w:val="30"/>
        </w:rPr>
        <w:t>4.22”世界地球日、“6.25”全国土地日宣传时机，采用多渠道、多形式进行土地法律法规的学习和宣传。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全年</w:t>
      </w:r>
      <w:r>
        <w:rPr>
          <w:rFonts w:hint="eastAsia" w:ascii="仿宋" w:hAnsi="仿宋" w:eastAsia="仿宋" w:cs="仿宋"/>
          <w:sz w:val="30"/>
          <w:szCs w:val="30"/>
        </w:rPr>
        <w:t>共投放宣传视频</w:t>
      </w:r>
      <w:r>
        <w:rPr>
          <w:rFonts w:ascii="仿宋" w:hAnsi="仿宋" w:eastAsia="仿宋" w:cs="仿宋"/>
          <w:sz w:val="30"/>
          <w:szCs w:val="30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个，发放宣传资料</w:t>
      </w:r>
      <w:r>
        <w:rPr>
          <w:rFonts w:ascii="仿宋" w:hAnsi="仿宋" w:eastAsia="仿宋" w:cs="仿宋"/>
          <w:sz w:val="30"/>
          <w:szCs w:val="30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000余份，张贴宣传海报16张，设立街头咨询点2次，接受群众咨询</w:t>
      </w:r>
      <w:r>
        <w:rPr>
          <w:rFonts w:ascii="仿宋" w:hAnsi="仿宋" w:eastAsia="仿宋" w:cs="仿宋"/>
          <w:sz w:val="30"/>
          <w:szCs w:val="30"/>
        </w:rPr>
        <w:t>30</w:t>
      </w:r>
      <w:r>
        <w:rPr>
          <w:rFonts w:hint="eastAsia" w:ascii="仿宋" w:hAnsi="仿宋" w:eastAsia="仿宋" w:cs="仿宋"/>
          <w:sz w:val="30"/>
          <w:szCs w:val="30"/>
        </w:rPr>
        <w:t>人次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有效增强了广大干群懂法和守法意识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eastAsia="仿宋"/>
          <w:sz w:val="32"/>
          <w:szCs w:val="32"/>
        </w:rPr>
        <w:t>完成目标。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（3）</w:t>
      </w:r>
      <w:r>
        <w:rPr>
          <w:rFonts w:hint="eastAsia" w:eastAsia="仿宋"/>
          <w:sz w:val="32"/>
          <w:szCs w:val="32"/>
        </w:rPr>
        <w:t>满意度</w:t>
      </w:r>
      <w:r>
        <w:rPr>
          <w:rFonts w:eastAsia="仿宋"/>
          <w:sz w:val="32"/>
          <w:szCs w:val="32"/>
        </w:rPr>
        <w:t>完成情况分析（满分1</w:t>
      </w:r>
      <w:r>
        <w:rPr>
          <w:rFonts w:hint="eastAsia" w:eastAsia="仿宋"/>
          <w:sz w:val="32"/>
          <w:szCs w:val="32"/>
        </w:rPr>
        <w:t>0</w:t>
      </w:r>
      <w:r>
        <w:rPr>
          <w:rFonts w:eastAsia="仿宋"/>
          <w:sz w:val="32"/>
          <w:szCs w:val="32"/>
        </w:rPr>
        <w:t>分，得分10分）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①群众满意度</w:t>
      </w:r>
      <w:r>
        <w:rPr>
          <w:rFonts w:eastAsia="仿宋"/>
          <w:sz w:val="32"/>
          <w:szCs w:val="32"/>
        </w:rPr>
        <w:t>：满分</w:t>
      </w:r>
      <w:r>
        <w:rPr>
          <w:rFonts w:hint="eastAsia" w:eastAsia="仿宋"/>
          <w:sz w:val="32"/>
          <w:szCs w:val="32"/>
        </w:rPr>
        <w:t>10</w:t>
      </w:r>
      <w:r>
        <w:rPr>
          <w:rFonts w:eastAsia="仿宋"/>
          <w:sz w:val="32"/>
          <w:szCs w:val="32"/>
        </w:rPr>
        <w:t>分，得分</w:t>
      </w:r>
      <w:r>
        <w:rPr>
          <w:rFonts w:hint="eastAsia" w:eastAsia="仿宋"/>
          <w:sz w:val="32"/>
          <w:szCs w:val="32"/>
        </w:rPr>
        <w:t>10</w:t>
      </w:r>
      <w:r>
        <w:rPr>
          <w:rFonts w:eastAsia="仿宋"/>
          <w:sz w:val="32"/>
          <w:szCs w:val="32"/>
        </w:rPr>
        <w:t>分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目标为</w:t>
      </w:r>
      <w:r>
        <w:rPr>
          <w:rFonts w:hint="eastAsia" w:eastAsia="仿宋"/>
          <w:sz w:val="32"/>
          <w:szCs w:val="32"/>
        </w:rPr>
        <w:t>群众满意度</w:t>
      </w:r>
      <w:r>
        <w:rPr>
          <w:rFonts w:eastAsia="仿宋"/>
          <w:sz w:val="32"/>
          <w:szCs w:val="32"/>
        </w:rPr>
        <w:t>85</w:t>
      </w:r>
      <w:r>
        <w:rPr>
          <w:rFonts w:hint="eastAsia" w:eastAsia="仿宋"/>
          <w:sz w:val="32"/>
          <w:szCs w:val="32"/>
        </w:rPr>
        <w:t>%，202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hint="eastAsia" w:eastAsia="仿宋"/>
          <w:sz w:val="32"/>
          <w:szCs w:val="32"/>
        </w:rPr>
        <w:t>年满意度调查采用扫码调查方式，均为好评，群众满意度100%，完成目标。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（四）上年度部门自评结果应用情况</w:t>
      </w:r>
    </w:p>
    <w:p>
      <w:pPr>
        <w:widowControl/>
        <w:spacing w:line="560" w:lineRule="exact"/>
        <w:ind w:firstLine="640" w:firstLineChars="200"/>
        <w:jc w:val="left"/>
        <w:outlineLvl w:val="1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本项目上年度实施了绩效自评并形成了项目自评表，但未较好地应用上年度绩效自评结果。上年自评中梳理了绩效评价指标体系</w:t>
      </w:r>
      <w:r>
        <w:rPr>
          <w:rFonts w:hint="eastAsia" w:eastAsia="仿宋"/>
          <w:sz w:val="32"/>
          <w:szCs w:val="32"/>
          <w:lang w:eastAsia="zh-CN"/>
        </w:rPr>
        <w:t>，</w:t>
      </w:r>
      <w:r>
        <w:rPr>
          <w:rFonts w:hint="eastAsia" w:eastAsia="仿宋"/>
          <w:sz w:val="32"/>
          <w:szCs w:val="32"/>
          <w:lang w:val="en-US" w:eastAsia="zh-CN"/>
        </w:rPr>
        <w:t>指出</w:t>
      </w:r>
      <w:r>
        <w:rPr>
          <w:rFonts w:hint="eastAsia" w:eastAsia="仿宋"/>
          <w:sz w:val="32"/>
          <w:szCs w:val="32"/>
        </w:rPr>
        <w:t>绩效评价指标无对应的“发放职工工资人数”、“工资发放及时率”、“职工工资考核合格率”等，</w:t>
      </w:r>
      <w:r>
        <w:rPr>
          <w:rFonts w:hint="eastAsia" w:eastAsia="仿宋"/>
          <w:sz w:val="32"/>
          <w:szCs w:val="32"/>
          <w:lang w:val="en-US" w:eastAsia="zh-CN"/>
        </w:rPr>
        <w:t>本年度绩效指标体系</w:t>
      </w:r>
      <w:r>
        <w:rPr>
          <w:rFonts w:hint="eastAsia" w:eastAsia="仿宋"/>
          <w:sz w:val="32"/>
          <w:szCs w:val="32"/>
        </w:rPr>
        <w:t>未</w:t>
      </w:r>
      <w:r>
        <w:rPr>
          <w:rFonts w:hint="eastAsia" w:eastAsia="仿宋"/>
          <w:sz w:val="32"/>
          <w:szCs w:val="32"/>
          <w:lang w:val="en-US" w:eastAsia="zh-CN"/>
        </w:rPr>
        <w:t>体现上述指标。</w:t>
      </w:r>
      <w:r>
        <w:rPr>
          <w:rFonts w:hint="eastAsia" w:eastAsia="仿宋"/>
          <w:sz w:val="32"/>
          <w:szCs w:val="32"/>
        </w:rPr>
        <w:t>上年自评中“绩效综合考评排名”年初指标值为前20%，实际完成值为前64%</w:t>
      </w:r>
      <w:r>
        <w:rPr>
          <w:rFonts w:hint="eastAsia" w:eastAsia="仿宋"/>
          <w:sz w:val="32"/>
          <w:szCs w:val="32"/>
          <w:lang w:eastAsia="zh-CN"/>
        </w:rPr>
        <w:t>。</w:t>
      </w:r>
      <w:r>
        <w:rPr>
          <w:rFonts w:hint="eastAsia" w:eastAsia="仿宋"/>
          <w:sz w:val="32"/>
          <w:szCs w:val="32"/>
          <w:lang w:val="en-US" w:eastAsia="zh-CN"/>
        </w:rPr>
        <w:t>本年度</w:t>
      </w:r>
      <w:r>
        <w:rPr>
          <w:rFonts w:hint="eastAsia" w:eastAsia="仿宋"/>
          <w:sz w:val="32"/>
          <w:szCs w:val="32"/>
        </w:rPr>
        <w:t>“绩效综合考评排名”实际完成值为前</w:t>
      </w:r>
      <w:r>
        <w:rPr>
          <w:rFonts w:hint="eastAsia" w:eastAsia="仿宋"/>
          <w:sz w:val="32"/>
          <w:szCs w:val="32"/>
          <w:lang w:val="en-US" w:eastAsia="zh-CN"/>
        </w:rPr>
        <w:t>92</w:t>
      </w:r>
      <w:r>
        <w:rPr>
          <w:rFonts w:hint="eastAsia" w:eastAsia="仿宋"/>
          <w:sz w:val="32"/>
          <w:szCs w:val="32"/>
        </w:rPr>
        <w:t>%</w:t>
      </w:r>
      <w:r>
        <w:rPr>
          <w:rFonts w:hint="eastAsia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整体水平有待进一步提高</w:t>
      </w:r>
      <w:r>
        <w:rPr>
          <w:rFonts w:hint="eastAsia" w:eastAsia="仿宋"/>
          <w:sz w:val="32"/>
          <w:szCs w:val="32"/>
        </w:rPr>
        <w:t>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（五）其他佐证材料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无。</w:t>
      </w:r>
    </w:p>
    <w:p>
      <w:pPr>
        <w:pStyle w:val="2"/>
      </w:pPr>
    </w:p>
    <w:p>
      <w:pPr>
        <w:pStyle w:val="2"/>
      </w:pPr>
    </w:p>
    <w:p>
      <w:pPr>
        <w:widowControl/>
        <w:spacing w:line="500" w:lineRule="exact"/>
        <w:ind w:firstLine="480" w:firstLineChars="200"/>
        <w:rPr>
          <w:rFonts w:eastAsia="仿宋"/>
          <w:sz w:val="32"/>
          <w:szCs w:val="32"/>
        </w:rPr>
      </w:pPr>
      <w:r>
        <w:rPr>
          <w:rFonts w:eastAsia="宋体"/>
          <w:color w:val="000000"/>
          <w:kern w:val="0"/>
          <w:sz w:val="24"/>
        </w:rPr>
        <w:t xml:space="preserve">    </w:t>
      </w:r>
      <w:r>
        <w:rPr>
          <w:rFonts w:hint="eastAsia" w:eastAsia="宋体"/>
          <w:color w:val="000000"/>
          <w:kern w:val="0"/>
          <w:sz w:val="24"/>
        </w:rPr>
        <w:t xml:space="preserve">    </w:t>
      </w:r>
      <w:r>
        <w:rPr>
          <w:rFonts w:eastAsia="宋体"/>
          <w:color w:val="000000"/>
          <w:kern w:val="0"/>
          <w:sz w:val="24"/>
        </w:rPr>
        <w:t xml:space="preserve"> </w:t>
      </w:r>
      <w:r>
        <w:rPr>
          <w:rFonts w:hint="eastAsia" w:eastAsia="仿宋"/>
          <w:sz w:val="32"/>
          <w:szCs w:val="32"/>
        </w:rPr>
        <w:t>武汉经济技术开发区（汉南区）自然资源和规划局</w:t>
      </w:r>
    </w:p>
    <w:p>
      <w:pPr>
        <w:widowControl/>
        <w:spacing w:line="500" w:lineRule="exact"/>
        <w:ind w:firstLine="640" w:firstLineChars="200"/>
        <w:rPr>
          <w:rFonts w:eastAsia="宋体"/>
          <w:color w:val="000000"/>
          <w:kern w:val="0"/>
          <w:sz w:val="24"/>
        </w:rPr>
      </w:pPr>
      <w:r>
        <w:rPr>
          <w:rFonts w:hint="eastAsia" w:eastAsia="仿宋"/>
          <w:sz w:val="32"/>
          <w:szCs w:val="32"/>
        </w:rPr>
        <w:t xml:space="preserve">                    </w:t>
      </w:r>
      <w:r>
        <w:rPr>
          <w:rFonts w:hint="eastAsia" w:eastAsia="宋体"/>
          <w:color w:val="000000"/>
          <w:kern w:val="0"/>
          <w:sz w:val="24"/>
        </w:rPr>
        <w:t xml:space="preserve">    </w:t>
      </w:r>
      <w:r>
        <w:rPr>
          <w:rFonts w:eastAsia="宋体"/>
          <w:color w:val="000000"/>
          <w:kern w:val="0"/>
          <w:sz w:val="24"/>
        </w:rPr>
        <w:t xml:space="preserve">            </w:t>
      </w:r>
      <w:r>
        <w:rPr>
          <w:rFonts w:hint="eastAsia" w:eastAsia="仿宋"/>
          <w:sz w:val="32"/>
          <w:szCs w:val="32"/>
        </w:rPr>
        <w:t xml:space="preserve"> </w:t>
      </w:r>
      <w:r>
        <w:rPr>
          <w:rFonts w:eastAsia="仿宋"/>
          <w:sz w:val="32"/>
          <w:szCs w:val="32"/>
        </w:rPr>
        <w:t xml:space="preserve"> 202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eastAsia="仿宋"/>
          <w:sz w:val="32"/>
          <w:szCs w:val="32"/>
        </w:rPr>
        <w:t>年</w:t>
      </w:r>
      <w:r>
        <w:rPr>
          <w:rFonts w:hint="eastAsia" w:eastAsia="仿宋"/>
          <w:sz w:val="32"/>
          <w:szCs w:val="32"/>
          <w:lang w:val="en-US" w:eastAsia="zh-CN"/>
        </w:rPr>
        <w:t>4</w:t>
      </w:r>
      <w:r>
        <w:rPr>
          <w:rFonts w:eastAsia="仿宋"/>
          <w:sz w:val="32"/>
          <w:szCs w:val="32"/>
        </w:rPr>
        <w:t>月</w:t>
      </w:r>
      <w:r>
        <w:rPr>
          <w:rFonts w:hint="eastAsia" w:eastAsia="仿宋"/>
          <w:sz w:val="32"/>
          <w:szCs w:val="32"/>
          <w:lang w:val="en-US" w:eastAsia="zh-CN"/>
        </w:rPr>
        <w:t>20</w:t>
      </w:r>
      <w:r>
        <w:rPr>
          <w:rFonts w:eastAsia="仿宋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12</w:t>
    </w:r>
    <w:r>
      <w:rPr>
        <w:lang w:val="zh-CN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ZmMDYwYzNjNzI5ODA4ZmI0NjA1NjA5YTYyZmQ3NTgifQ=="/>
  </w:docVars>
  <w:rsids>
    <w:rsidRoot w:val="00F57F82"/>
    <w:rsid w:val="000101E1"/>
    <w:rsid w:val="00020084"/>
    <w:rsid w:val="00057FFB"/>
    <w:rsid w:val="000732DA"/>
    <w:rsid w:val="00075CDC"/>
    <w:rsid w:val="000B1E8F"/>
    <w:rsid w:val="000E5FBA"/>
    <w:rsid w:val="000F5302"/>
    <w:rsid w:val="00103574"/>
    <w:rsid w:val="00103D16"/>
    <w:rsid w:val="00115B6A"/>
    <w:rsid w:val="00121C7C"/>
    <w:rsid w:val="00164D84"/>
    <w:rsid w:val="001C5A40"/>
    <w:rsid w:val="001D628A"/>
    <w:rsid w:val="001E4260"/>
    <w:rsid w:val="00203D57"/>
    <w:rsid w:val="00250053"/>
    <w:rsid w:val="00287C3C"/>
    <w:rsid w:val="002C6A3B"/>
    <w:rsid w:val="002F629B"/>
    <w:rsid w:val="00332F8B"/>
    <w:rsid w:val="0035287C"/>
    <w:rsid w:val="003829C8"/>
    <w:rsid w:val="0039432D"/>
    <w:rsid w:val="003A26A2"/>
    <w:rsid w:val="003C6374"/>
    <w:rsid w:val="00414ED7"/>
    <w:rsid w:val="00415F7C"/>
    <w:rsid w:val="004220C5"/>
    <w:rsid w:val="004531B5"/>
    <w:rsid w:val="004C1EAA"/>
    <w:rsid w:val="00512544"/>
    <w:rsid w:val="005D07CE"/>
    <w:rsid w:val="005D3818"/>
    <w:rsid w:val="00664719"/>
    <w:rsid w:val="00696090"/>
    <w:rsid w:val="006A453E"/>
    <w:rsid w:val="006B653B"/>
    <w:rsid w:val="006C117B"/>
    <w:rsid w:val="007553C7"/>
    <w:rsid w:val="00785AF7"/>
    <w:rsid w:val="007A1DC2"/>
    <w:rsid w:val="007C119C"/>
    <w:rsid w:val="007D7B7E"/>
    <w:rsid w:val="008271A8"/>
    <w:rsid w:val="00883725"/>
    <w:rsid w:val="00895183"/>
    <w:rsid w:val="008A20F2"/>
    <w:rsid w:val="008B50FA"/>
    <w:rsid w:val="008F74D5"/>
    <w:rsid w:val="009D04D8"/>
    <w:rsid w:val="009F652F"/>
    <w:rsid w:val="00A32FDD"/>
    <w:rsid w:val="00A72CA8"/>
    <w:rsid w:val="00AA2B82"/>
    <w:rsid w:val="00AC315F"/>
    <w:rsid w:val="00BA14B8"/>
    <w:rsid w:val="00BA262C"/>
    <w:rsid w:val="00BA347B"/>
    <w:rsid w:val="00C95A35"/>
    <w:rsid w:val="00CC152C"/>
    <w:rsid w:val="00CD5DD9"/>
    <w:rsid w:val="00CF2199"/>
    <w:rsid w:val="00D63908"/>
    <w:rsid w:val="00DA29F4"/>
    <w:rsid w:val="00DD09A2"/>
    <w:rsid w:val="00DD16E3"/>
    <w:rsid w:val="00DE2F6A"/>
    <w:rsid w:val="00E005A8"/>
    <w:rsid w:val="00E02E05"/>
    <w:rsid w:val="00E54B40"/>
    <w:rsid w:val="00E74336"/>
    <w:rsid w:val="00EC2181"/>
    <w:rsid w:val="00EC34E0"/>
    <w:rsid w:val="00ED6D53"/>
    <w:rsid w:val="00EE6F1A"/>
    <w:rsid w:val="00F10473"/>
    <w:rsid w:val="00F437B4"/>
    <w:rsid w:val="00F57F82"/>
    <w:rsid w:val="00F75963"/>
    <w:rsid w:val="00F81D36"/>
    <w:rsid w:val="00FA357A"/>
    <w:rsid w:val="00FF2111"/>
    <w:rsid w:val="01745D0A"/>
    <w:rsid w:val="01FF3C7D"/>
    <w:rsid w:val="02C86339"/>
    <w:rsid w:val="03623055"/>
    <w:rsid w:val="037D0BC8"/>
    <w:rsid w:val="03CB0C86"/>
    <w:rsid w:val="04613167"/>
    <w:rsid w:val="04673CA2"/>
    <w:rsid w:val="050163A6"/>
    <w:rsid w:val="07E640F0"/>
    <w:rsid w:val="0845082D"/>
    <w:rsid w:val="094115EA"/>
    <w:rsid w:val="096A663E"/>
    <w:rsid w:val="09E965F2"/>
    <w:rsid w:val="0A130CF6"/>
    <w:rsid w:val="0A87714B"/>
    <w:rsid w:val="0AA2532E"/>
    <w:rsid w:val="0CBF575D"/>
    <w:rsid w:val="0D1923E6"/>
    <w:rsid w:val="0D660F6F"/>
    <w:rsid w:val="0ECA2EFA"/>
    <w:rsid w:val="0F9652C0"/>
    <w:rsid w:val="0FB370D5"/>
    <w:rsid w:val="0FD13D36"/>
    <w:rsid w:val="0FEA60B6"/>
    <w:rsid w:val="10426B40"/>
    <w:rsid w:val="10DB57E4"/>
    <w:rsid w:val="113118BF"/>
    <w:rsid w:val="11D7196B"/>
    <w:rsid w:val="130E2450"/>
    <w:rsid w:val="13141499"/>
    <w:rsid w:val="13511532"/>
    <w:rsid w:val="139840D3"/>
    <w:rsid w:val="143E091F"/>
    <w:rsid w:val="14865FC8"/>
    <w:rsid w:val="150C2DB0"/>
    <w:rsid w:val="154928C9"/>
    <w:rsid w:val="15DB39EC"/>
    <w:rsid w:val="17C34C75"/>
    <w:rsid w:val="17F906DA"/>
    <w:rsid w:val="1B515EE3"/>
    <w:rsid w:val="1BB80B76"/>
    <w:rsid w:val="1C125FA5"/>
    <w:rsid w:val="1C893E9E"/>
    <w:rsid w:val="1CE94882"/>
    <w:rsid w:val="1D436783"/>
    <w:rsid w:val="1E3F631C"/>
    <w:rsid w:val="1E761F05"/>
    <w:rsid w:val="1EB85DB8"/>
    <w:rsid w:val="1F7F7BAF"/>
    <w:rsid w:val="1FC7205C"/>
    <w:rsid w:val="20522F58"/>
    <w:rsid w:val="211537CA"/>
    <w:rsid w:val="21167BF2"/>
    <w:rsid w:val="21632834"/>
    <w:rsid w:val="219D6ED7"/>
    <w:rsid w:val="21EB43A1"/>
    <w:rsid w:val="226263B1"/>
    <w:rsid w:val="228B3D05"/>
    <w:rsid w:val="24822003"/>
    <w:rsid w:val="24E4263B"/>
    <w:rsid w:val="27125C45"/>
    <w:rsid w:val="276E7926"/>
    <w:rsid w:val="27AB4F08"/>
    <w:rsid w:val="286D5E37"/>
    <w:rsid w:val="28981D0D"/>
    <w:rsid w:val="2AC72633"/>
    <w:rsid w:val="2BB703D7"/>
    <w:rsid w:val="2C11353F"/>
    <w:rsid w:val="2DF34CC0"/>
    <w:rsid w:val="2F794830"/>
    <w:rsid w:val="3381719A"/>
    <w:rsid w:val="34AE5749"/>
    <w:rsid w:val="35EE40A0"/>
    <w:rsid w:val="36706CCC"/>
    <w:rsid w:val="36873BAC"/>
    <w:rsid w:val="37C877E9"/>
    <w:rsid w:val="38EF7AD8"/>
    <w:rsid w:val="391179DE"/>
    <w:rsid w:val="391752D6"/>
    <w:rsid w:val="3ABA294C"/>
    <w:rsid w:val="3AC26D8D"/>
    <w:rsid w:val="3AD60F72"/>
    <w:rsid w:val="3BF177F6"/>
    <w:rsid w:val="3CA70864"/>
    <w:rsid w:val="3DD6679A"/>
    <w:rsid w:val="3E1672E6"/>
    <w:rsid w:val="3E1F211D"/>
    <w:rsid w:val="3E5533F0"/>
    <w:rsid w:val="3EB77C2B"/>
    <w:rsid w:val="3EE947C1"/>
    <w:rsid w:val="40453787"/>
    <w:rsid w:val="415F08D8"/>
    <w:rsid w:val="433B52D2"/>
    <w:rsid w:val="434010BE"/>
    <w:rsid w:val="43512B3E"/>
    <w:rsid w:val="43E2616B"/>
    <w:rsid w:val="44020591"/>
    <w:rsid w:val="4404698F"/>
    <w:rsid w:val="44A95196"/>
    <w:rsid w:val="44D51F86"/>
    <w:rsid w:val="44DC6F9E"/>
    <w:rsid w:val="44E2230F"/>
    <w:rsid w:val="44FA5404"/>
    <w:rsid w:val="4549266A"/>
    <w:rsid w:val="45DD6BEA"/>
    <w:rsid w:val="461B3DFB"/>
    <w:rsid w:val="463449F1"/>
    <w:rsid w:val="46E206AE"/>
    <w:rsid w:val="46F9107C"/>
    <w:rsid w:val="47A12944"/>
    <w:rsid w:val="48724017"/>
    <w:rsid w:val="488641E0"/>
    <w:rsid w:val="48A81481"/>
    <w:rsid w:val="48B51347"/>
    <w:rsid w:val="4A55216A"/>
    <w:rsid w:val="4AA8027E"/>
    <w:rsid w:val="4AAE000A"/>
    <w:rsid w:val="4D43140C"/>
    <w:rsid w:val="4D4F4973"/>
    <w:rsid w:val="4F7E7282"/>
    <w:rsid w:val="4FE0696A"/>
    <w:rsid w:val="51FD19E1"/>
    <w:rsid w:val="52C0009F"/>
    <w:rsid w:val="53631A80"/>
    <w:rsid w:val="537A2BFE"/>
    <w:rsid w:val="5408455A"/>
    <w:rsid w:val="54B70621"/>
    <w:rsid w:val="555808E9"/>
    <w:rsid w:val="55673508"/>
    <w:rsid w:val="55D05801"/>
    <w:rsid w:val="56725657"/>
    <w:rsid w:val="572B5492"/>
    <w:rsid w:val="58195F6E"/>
    <w:rsid w:val="58587667"/>
    <w:rsid w:val="59595A6F"/>
    <w:rsid w:val="599330CA"/>
    <w:rsid w:val="5A3A2B60"/>
    <w:rsid w:val="5A4C3EF6"/>
    <w:rsid w:val="5B0D23FC"/>
    <w:rsid w:val="5BB856CC"/>
    <w:rsid w:val="5D444098"/>
    <w:rsid w:val="5DB076C2"/>
    <w:rsid w:val="5E367F56"/>
    <w:rsid w:val="5EE51B13"/>
    <w:rsid w:val="5F4015DE"/>
    <w:rsid w:val="608D4B02"/>
    <w:rsid w:val="60D5009F"/>
    <w:rsid w:val="63DF1591"/>
    <w:rsid w:val="65D630D8"/>
    <w:rsid w:val="660721C9"/>
    <w:rsid w:val="661E6C75"/>
    <w:rsid w:val="66231D0E"/>
    <w:rsid w:val="67F75FF5"/>
    <w:rsid w:val="681D4831"/>
    <w:rsid w:val="692E4B19"/>
    <w:rsid w:val="69513EF7"/>
    <w:rsid w:val="69BE2A6F"/>
    <w:rsid w:val="69EC374B"/>
    <w:rsid w:val="6BF3256F"/>
    <w:rsid w:val="6CE7018A"/>
    <w:rsid w:val="6DC47D48"/>
    <w:rsid w:val="6E3E3F2D"/>
    <w:rsid w:val="715B2F02"/>
    <w:rsid w:val="7281713A"/>
    <w:rsid w:val="74292DBE"/>
    <w:rsid w:val="76436B85"/>
    <w:rsid w:val="76834D9A"/>
    <w:rsid w:val="76A548F2"/>
    <w:rsid w:val="7765772E"/>
    <w:rsid w:val="77867685"/>
    <w:rsid w:val="77F04540"/>
    <w:rsid w:val="781F36B6"/>
    <w:rsid w:val="790627AD"/>
    <w:rsid w:val="7A5069D3"/>
    <w:rsid w:val="7A70083D"/>
    <w:rsid w:val="7ADC59FA"/>
    <w:rsid w:val="7BB3305E"/>
    <w:rsid w:val="7BDC27DF"/>
    <w:rsid w:val="7C0D7572"/>
    <w:rsid w:val="7D156A68"/>
    <w:rsid w:val="7DDD794F"/>
    <w:rsid w:val="7E316F0A"/>
    <w:rsid w:val="7ED54CA7"/>
    <w:rsid w:val="7F32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3">
    <w:name w:val="heading 5"/>
    <w:basedOn w:val="1"/>
    <w:next w:val="1"/>
    <w:qFormat/>
    <w:uiPriority w:val="0"/>
    <w:pPr>
      <w:keepNext/>
      <w:outlineLvl w:val="4"/>
    </w:pPr>
    <w:rPr>
      <w:rFonts w:ascii="宋体" w:hAnsi="宋体" w:cs="宋体"/>
      <w:b/>
      <w:bCs/>
      <w:sz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qFormat/>
    <w:uiPriority w:val="10"/>
    <w:pPr>
      <w:spacing w:line="360" w:lineRule="auto"/>
      <w:ind w:firstLine="200" w:firstLineChars="200"/>
      <w:jc w:val="left"/>
      <w:outlineLvl w:val="3"/>
    </w:pPr>
    <w:rPr>
      <w:rFonts w:ascii="Cambria" w:hAnsi="Cambria"/>
      <w:bCs/>
      <w:sz w:val="24"/>
      <w:szCs w:val="32"/>
    </w:rPr>
  </w:style>
  <w:style w:type="character" w:styleId="10">
    <w:name w:val="page number"/>
    <w:basedOn w:val="9"/>
    <w:qFormat/>
    <w:uiPriority w:val="0"/>
  </w:style>
  <w:style w:type="character" w:customStyle="1" w:styleId="11">
    <w:name w:val="页脚 字符"/>
    <w:basedOn w:val="9"/>
    <w:link w:val="5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9"/>
    <w:link w:val="6"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9"/>
    <w:link w:val="4"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font31"/>
    <w:basedOn w:val="9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6">
    <w:name w:val="font21"/>
    <w:basedOn w:val="9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17">
    <w:name w:val="font51"/>
    <w:basedOn w:val="9"/>
    <w:qFormat/>
    <w:uiPriority w:val="0"/>
    <w:rPr>
      <w:rFonts w:hint="eastAsia" w:ascii="仿宋" w:hAnsi="仿宋" w:eastAsia="仿宋" w:cs="仿宋"/>
      <w:color w:val="FF0000"/>
      <w:sz w:val="20"/>
      <w:szCs w:val="20"/>
      <w:u w:val="none"/>
    </w:rPr>
  </w:style>
  <w:style w:type="character" w:customStyle="1" w:styleId="18">
    <w:name w:val="font91"/>
    <w:basedOn w:val="9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9">
    <w:name w:val="font101"/>
    <w:basedOn w:val="9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0">
    <w:name w:val="font71"/>
    <w:basedOn w:val="9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4189</Words>
  <Characters>4578</Characters>
  <Lines>6</Lines>
  <Paragraphs>10</Paragraphs>
  <TotalTime>3</TotalTime>
  <ScaleCrop>false</ScaleCrop>
  <LinksUpToDate>false</LinksUpToDate>
  <CharactersWithSpaces>4829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2021-02-26T14:13:00Z</dcterms:created>
  <dc:creator>lhn</dc:creator>
  <cp:lastModifiedBy>长了毛的面包</cp:lastModifiedBy>
  <cp:lastPrinted>2020-12-04T01:52:00Z</cp:lastPrinted>
  <dcterms:modified xsi:type="dcterms:W3CDTF">2023-04-19T11:02:48Z</dcterms:modified>
  <dc:title>财政支出绩效评价报告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A1C6F6DCA77E46D4BF05062161E5DD11</vt:lpwstr>
  </property>
</Properties>
</file>