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ascii="Times New Roman" w:hAnsi="Times New Roman" w:cs="Times New Roman" w:eastAsiaTheme="majorEastAsi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ajorEastAsi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cs="Times New Roman" w:eastAsiaTheme="majorEastAsia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 w:eastAsiaTheme="majorEastAsi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Times New Roman" w:hAnsi="Times New Roman" w:cs="Times New Roman" w:eastAsiaTheme="majorEastAsia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地质资源管理</w:t>
      </w:r>
      <w:r>
        <w:rPr>
          <w:rFonts w:hint="eastAsia" w:ascii="Times New Roman" w:hAnsi="Times New Roman" w:cs="Times New Roman" w:eastAsiaTheme="majorEastAsi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cs="Times New Roman" w:eastAsiaTheme="majorEastAsia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土地权籍调查及地籍日常工作经费</w:t>
      </w:r>
      <w:r>
        <w:rPr>
          <w:rFonts w:hint="eastAsia" w:ascii="Times New Roman" w:hAnsi="Times New Roman" w:cs="Times New Roman" w:eastAsiaTheme="majorEastAsi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项目自评结果</w:t>
      </w:r>
    </w:p>
    <w:p>
      <w:pPr>
        <w:pStyle w:val="9"/>
        <w:shd w:val="clear" w:color="auto" w:fill="FFFFFF" w:themeFill="background1"/>
        <w:spacing w:line="560" w:lineRule="exact"/>
        <w:ind w:firstLine="0" w:firstLineChars="0"/>
        <w:jc w:val="center"/>
        <w:outlineLvl w:val="9"/>
        <w:rPr>
          <w:rFonts w:ascii="楷体" w:hAnsi="楷体" w:eastAsia="楷体" w:cs="楷体"/>
          <w:b/>
          <w:sz w:val="32"/>
        </w:rPr>
      </w:pPr>
      <w:r>
        <w:rPr>
          <w:rFonts w:hint="eastAsia" w:ascii="楷体" w:hAnsi="楷体" w:eastAsia="楷体" w:cs="楷体"/>
          <w:b/>
          <w:sz w:val="32"/>
        </w:rPr>
        <w:t>（缩略版）</w:t>
      </w:r>
    </w:p>
    <w:p>
      <w:pPr>
        <w:widowControl/>
        <w:spacing w:line="360" w:lineRule="auto"/>
        <w:ind w:firstLine="643" w:firstLineChars="200"/>
        <w:outlineLvl w:val="0"/>
        <w:rPr>
          <w:rFonts w:eastAsia="黑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一、自评结论</w:t>
      </w:r>
    </w:p>
    <w:p>
      <w:pPr>
        <w:widowControl/>
        <w:spacing w:line="360" w:lineRule="auto"/>
        <w:ind w:firstLine="643" w:firstLineChars="200"/>
        <w:jc w:val="left"/>
        <w:outlineLvl w:val="1"/>
        <w:rPr>
          <w:rFonts w:eastAsia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（一）自评得分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地质资源管理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土地权籍调查及地籍日常工作经费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项目绩效评价综合得分为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88.9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分。</w:t>
      </w:r>
    </w:p>
    <w:p>
      <w:pPr>
        <w:widowControl/>
        <w:spacing w:line="360" w:lineRule="auto"/>
        <w:ind w:firstLine="643" w:firstLineChars="200"/>
        <w:jc w:val="left"/>
        <w:outlineLvl w:val="1"/>
        <w:rPr>
          <w:rFonts w:eastAsia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（二）绩效目标完成情况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1.执行率情况。本项目预算总额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682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万元，执行数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304.59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万元，预算执行率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44.66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2.完成的绩效目标。项目共设置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个绩效指标，完成了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个。项目产出较好，并取得了较好的社会效益。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3.未完成的绩效目标。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本项目主要扣分项为资金执行率不高导致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pacing w:line="360" w:lineRule="auto"/>
        <w:ind w:firstLine="643" w:firstLineChars="200"/>
        <w:jc w:val="left"/>
        <w:outlineLvl w:val="1"/>
        <w:rPr>
          <w:rFonts w:eastAsia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（三）存在的问题和原因</w:t>
      </w:r>
    </w:p>
    <w:p>
      <w:pPr>
        <w:widowControl/>
        <w:spacing w:line="360" w:lineRule="auto"/>
        <w:ind w:firstLine="643" w:firstLineChars="200"/>
        <w:outlineLvl w:val="2"/>
        <w:rPr>
          <w:rFonts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1.上年度绩效评价结果应用情况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本项目上年度实施了绩效自评并形成了项目自评表及项目自评报告。通过上年度的绩效自评工作，梳理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完善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了绩效指标体系，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地质灾害防治“四位一体”网格化体系进一步完善，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制定了《武汉经济技术开发区（汉南区）2022年度地质灾害防治工作方案》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pacing w:line="360" w:lineRule="auto"/>
        <w:ind w:firstLine="643" w:firstLineChars="200"/>
        <w:outlineLvl w:val="2"/>
        <w:rPr>
          <w:rFonts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2.本年度绩效存在的问题和原因</w:t>
      </w:r>
    </w:p>
    <w:p>
      <w:pPr>
        <w:widowControl/>
        <w:spacing w:line="360" w:lineRule="auto"/>
        <w:ind w:firstLine="640" w:firstLineChars="200"/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（1）绩效指标体系有待进一步优化。一是本项目202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年项目申报表中项目年度绩效指标的“指标值”填写不规范。例如，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时效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指标内容表述为“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不动产登记按时办结率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”，笼统地将指标值设置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≥90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%。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时效指标可使用明确的天数进行考核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二是年度新增工作缺乏指标考核，例如，自然资源确权登记工作2022年度批复预算490万，但年度绩效中缺乏本资金的绩效目标。</w:t>
      </w:r>
    </w:p>
    <w:p>
      <w:pPr>
        <w:widowControl/>
        <w:spacing w:line="360" w:lineRule="auto"/>
        <w:ind w:firstLine="643" w:firstLineChars="200"/>
        <w:jc w:val="left"/>
        <w:outlineLvl w:val="1"/>
        <w:rPr>
          <w:rFonts w:eastAsia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（四）下一步拟改进措施</w:t>
      </w:r>
    </w:p>
    <w:p>
      <w:pPr>
        <w:widowControl/>
        <w:spacing w:line="360" w:lineRule="auto"/>
        <w:ind w:firstLine="643" w:firstLineChars="200"/>
        <w:outlineLvl w:val="2"/>
        <w:rPr>
          <w:rFonts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1.下一步拟改进措施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（1）梳理项目内容，合理设置绩效目标。紧贴年度工作计划和要点，制定科学合理的绩效目标和年度指标值。通过本次自评，在第三方专业机构的辅导下，完善本项目绩效指标。</w:t>
      </w:r>
    </w:p>
    <w:p>
      <w:pPr>
        <w:widowControl/>
        <w:spacing w:line="360" w:lineRule="auto"/>
        <w:ind w:firstLine="643" w:firstLineChars="200"/>
        <w:outlineLvl w:val="2"/>
        <w:rPr>
          <w:rFonts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2.拟与预算安排相结合情况</w:t>
      </w:r>
    </w:p>
    <w:p>
      <w:pPr>
        <w:pStyle w:val="5"/>
        <w:spacing w:after="0" w:line="360" w:lineRule="auto"/>
        <w:ind w:firstLine="640" w:firstLineChars="200"/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本项目预算执行率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不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高，绩效指标设置不够规范。通过本次自评，梳理项目内容，完善绩效指标编制。</w:t>
      </w:r>
    </w:p>
    <w:p>
      <w:pPr>
        <w:pStyle w:val="5"/>
        <w:spacing w:after="0" w:line="360" w:lineRule="auto"/>
        <w:ind w:firstLine="640" w:firstLineChars="200"/>
        <w:rPr>
          <w:rFonts w:hint="eastAsia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附件：2022年度地质资源管理、土地权籍调查及地籍日常</w:t>
      </w:r>
    </w:p>
    <w:p>
      <w:pPr>
        <w:pStyle w:val="5"/>
        <w:spacing w:after="0" w:line="360" w:lineRule="auto"/>
        <w:ind w:firstLine="640" w:firstLineChars="200"/>
        <w:rPr>
          <w:rFonts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2098" w:right="1474" w:bottom="1984" w:left="1587" w:header="851" w:footer="992" w:gutter="0"/>
          <w:cols w:space="720" w:num="1"/>
          <w:docGrid w:type="lines" w:linePitch="312" w:charSpace="0"/>
        </w:sectPr>
      </w:pPr>
      <w:r>
        <w:rPr>
          <w:rFonts w:hint="eastAsia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工作经费项目自评表</w:t>
      </w:r>
    </w:p>
    <w:p>
      <w:pPr>
        <w:pStyle w:val="5"/>
        <w:spacing w:after="0"/>
        <w:ind w:firstLine="643" w:firstLineChars="200"/>
        <w:rPr>
          <w:rFonts w:eastAsia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附件：</w:t>
      </w:r>
    </w:p>
    <w:tbl>
      <w:tblPr>
        <w:tblStyle w:val="11"/>
        <w:tblW w:w="8439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805"/>
        <w:gridCol w:w="2331"/>
        <w:gridCol w:w="1473"/>
        <w:gridCol w:w="1001"/>
        <w:gridCol w:w="1317"/>
        <w:gridCol w:w="1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84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2022年度地质资源管理、土地权籍调查及地籍日常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 xml:space="preserve">工作经费项目自评表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8439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单位名称：武汉经济技术开发区（汉南区）国土资源和规划局                               填报日期：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  <w:lang w:eastAsia="zh-CN"/>
              </w:rPr>
              <w:t>2023年4月21日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1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地质资源管理、土地权籍调查及地籍日常日常工作经费项目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武汉经济技术开发区（汉南区）自然资源和规划局</w:t>
            </w:r>
          </w:p>
        </w:tc>
        <w:tc>
          <w:tcPr>
            <w:tcW w:w="1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23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武汉经济技术开发区（汉南区）自然资源和规划局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71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1.部门预算项目   </w:t>
            </w:r>
            <w:r>
              <w:rPr>
                <w:rFonts w:ascii="Wingdings" w:hAnsi="Wingdings" w:eastAsia="仿宋" w:cs="宋体"/>
                <w:color w:val="000000"/>
                <w:kern w:val="0"/>
                <w:sz w:val="20"/>
                <w:szCs w:val="20"/>
              </w:rPr>
              <w:t>þ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            2.财政专项资金   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71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1.持续性项目     </w:t>
            </w:r>
            <w:r>
              <w:rPr>
                <w:rFonts w:ascii="Wingdings" w:hAnsi="Wingdings" w:eastAsia="仿宋" w:cs="宋体"/>
                <w:color w:val="000000"/>
                <w:kern w:val="0"/>
                <w:sz w:val="20"/>
                <w:szCs w:val="20"/>
              </w:rPr>
              <w:t>þ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            2.新增性项目     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1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1.常年性项目     </w:t>
            </w:r>
            <w:r>
              <w:rPr>
                <w:rFonts w:ascii="Wingdings" w:hAnsi="Wingdings" w:eastAsia="仿宋" w:cs="宋体"/>
                <w:color w:val="000000"/>
                <w:kern w:val="0"/>
                <w:sz w:val="20"/>
                <w:szCs w:val="20"/>
              </w:rPr>
              <w:t>þ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       2.延续性项目     □      3.一次性项目    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3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预算执行情况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（万元）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预算数（A）</w:t>
            </w:r>
          </w:p>
        </w:tc>
        <w:tc>
          <w:tcPr>
            <w:tcW w:w="1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执行数（B）</w:t>
            </w:r>
          </w:p>
        </w:tc>
        <w:tc>
          <w:tcPr>
            <w:tcW w:w="1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执行率(B/A)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得分(20分*执行率)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3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年度财政资金总额</w:t>
            </w:r>
          </w:p>
        </w:tc>
        <w:tc>
          <w:tcPr>
            <w:tcW w:w="14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  <w:lang w:val="en-US" w:eastAsia="zh-CN"/>
              </w:rPr>
              <w:t>682.00</w:t>
            </w:r>
          </w:p>
        </w:tc>
        <w:tc>
          <w:tcPr>
            <w:tcW w:w="1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  <w:lang w:val="en-US" w:eastAsia="zh-CN"/>
              </w:rPr>
              <w:t>304.59</w:t>
            </w: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  <w:lang w:val="en-US" w:eastAsia="zh-CN"/>
              </w:rPr>
              <w:t>44.66</w:t>
            </w: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  <w:lang w:val="en-US" w:eastAsia="zh-CN"/>
              </w:rPr>
              <w:t>8.9</w:t>
            </w: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5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年度绩效目标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4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指标名称</w:t>
            </w:r>
          </w:p>
        </w:tc>
        <w:tc>
          <w:tcPr>
            <w:tcW w:w="1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年初目标值（A）</w:t>
            </w:r>
          </w:p>
        </w:tc>
        <w:tc>
          <w:tcPr>
            <w:tcW w:w="1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实际完成值（B）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产出指标（40分）</w:t>
            </w:r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数量指标（15分）</w:t>
            </w:r>
          </w:p>
        </w:tc>
        <w:tc>
          <w:tcPr>
            <w:tcW w:w="14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隐患点巡查覆盖率</w:t>
            </w:r>
          </w:p>
        </w:tc>
        <w:tc>
          <w:tcPr>
            <w:tcW w:w="1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质量指标（15分）</w:t>
            </w:r>
          </w:p>
        </w:tc>
        <w:tc>
          <w:tcPr>
            <w:tcW w:w="14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数据汇总验收通过率</w:t>
            </w:r>
          </w:p>
        </w:tc>
        <w:tc>
          <w:tcPr>
            <w:tcW w:w="1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时效指标（10分）</w:t>
            </w:r>
          </w:p>
        </w:tc>
        <w:tc>
          <w:tcPr>
            <w:tcW w:w="14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不动产登记按时办结率</w:t>
            </w:r>
          </w:p>
        </w:tc>
        <w:tc>
          <w:tcPr>
            <w:tcW w:w="1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1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效益指标（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0分）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社会效益（15分）</w:t>
            </w:r>
          </w:p>
        </w:tc>
        <w:tc>
          <w:tcPr>
            <w:tcW w:w="14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投诉处理率</w:t>
            </w:r>
          </w:p>
        </w:tc>
        <w:tc>
          <w:tcPr>
            <w:tcW w:w="1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社会效益（15分）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隐患点排查率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317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  <w:lang w:val="en-US" w:eastAsia="zh-CN"/>
              </w:rPr>
              <w:t>满意度指标（10分）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市民对不动产登记窗口服务的满意度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1317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79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  <w:lang w:val="en-US" w:eastAsia="zh-CN"/>
              </w:rPr>
              <w:t>88.9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13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偏差大或目标未完成原因分析</w:t>
            </w:r>
          </w:p>
        </w:tc>
        <w:tc>
          <w:tcPr>
            <w:tcW w:w="712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2022年度未支付相应地质资源管理费用，资金执行率偏低导致偏差大。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3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改进措施及结果应用方案</w:t>
            </w:r>
          </w:p>
        </w:tc>
        <w:tc>
          <w:tcPr>
            <w:tcW w:w="71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  <w:lang w:val="en-US" w:eastAsia="zh-CN"/>
              </w:rPr>
              <w:t>加强项目资金支付进度，提高资金使用效率</w:t>
            </w:r>
          </w:p>
        </w:tc>
      </w:tr>
    </w:tbl>
    <w:p>
      <w:pPr>
        <w:pStyle w:val="5"/>
        <w:sectPr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widowControl/>
        <w:spacing w:line="360" w:lineRule="auto"/>
        <w:ind w:firstLine="643" w:firstLineChars="200"/>
        <w:outlineLvl w:val="0"/>
        <w:rPr>
          <w:rFonts w:eastAsia="黑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二、佐证材料</w:t>
      </w:r>
    </w:p>
    <w:p>
      <w:pPr>
        <w:widowControl/>
        <w:spacing w:line="360" w:lineRule="auto"/>
        <w:ind w:firstLine="643" w:firstLineChars="200"/>
        <w:jc w:val="left"/>
        <w:outlineLvl w:val="1"/>
        <w:rPr>
          <w:rFonts w:eastAsia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（一）基本情况</w:t>
      </w:r>
    </w:p>
    <w:p>
      <w:pPr>
        <w:widowControl/>
        <w:spacing w:line="360" w:lineRule="auto"/>
        <w:ind w:firstLine="643" w:firstLineChars="200"/>
        <w:outlineLvl w:val="2"/>
        <w:rPr>
          <w:rFonts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1.项目立项目的</w:t>
      </w:r>
    </w:p>
    <w:p>
      <w:pPr>
        <w:widowControl/>
        <w:spacing w:line="360" w:lineRule="auto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 w:cs="仿宋"/>
          <w:sz w:val="32"/>
          <w:szCs w:val="32"/>
        </w:rPr>
        <w:t>认真贯彻落实习近平总书记关于防范化解重大风险、维护安全稳定和防灾减灾的重要指示精神，扎实推进地质灾害综合防治体系建设，持续完善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经开区</w:t>
      </w:r>
      <w:r>
        <w:rPr>
          <w:rFonts w:hint="eastAsia" w:ascii="仿宋" w:hAnsi="仿宋" w:eastAsia="仿宋" w:cs="仿宋"/>
          <w:sz w:val="32"/>
          <w:szCs w:val="32"/>
        </w:rPr>
        <w:t>地质灾害防治“四位一体”网格化管理，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地质灾害防治工作；开展土地利用变更调查工作，了解掌握全区土地利用变化情况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pacing w:line="360" w:lineRule="auto"/>
        <w:ind w:firstLine="600" w:firstLineChars="200"/>
        <w:rPr>
          <w:rFonts w:hint="eastAsia" w:eastAsia="仿宋_GB2312"/>
          <w:lang w:val="en-US" w:eastAsia="zh-CN"/>
        </w:rPr>
      </w:pPr>
      <w:r>
        <w:rPr>
          <w:rFonts w:hint="eastAsia"/>
        </w:rPr>
        <w:t>根据</w:t>
      </w:r>
      <w:r>
        <w:rPr>
          <w:rFonts w:hint="eastAsia"/>
          <w:lang w:eastAsia="zh-CN"/>
        </w:rPr>
        <w:t>《</w:t>
      </w:r>
      <w:r>
        <w:rPr>
          <w:rFonts w:hint="eastAsia"/>
        </w:rPr>
        <w:t>武汉市自然资源统一确权登记实施方案</w:t>
      </w:r>
      <w:r>
        <w:rPr>
          <w:rFonts w:hint="eastAsia"/>
          <w:lang w:eastAsia="zh-CN"/>
        </w:rPr>
        <w:t>》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武政办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2020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91号）</w:t>
      </w:r>
      <w:r>
        <w:rPr>
          <w:rFonts w:hint="eastAsia"/>
          <w:lang w:val="en-US" w:eastAsia="zh-CN"/>
        </w:rPr>
        <w:t>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完善全区不动产登记工作全覆盖工作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auto"/>
          <w:position w:val="0"/>
          <w:sz w:val="32"/>
          <w:szCs w:val="32"/>
          <w:lang w:val="en-US" w:eastAsia="zh-CN"/>
        </w:rPr>
        <w:t>结合土地利用现状、高清影像、基本农田、不动产数据、征地数据、集体土地所有权成果等资料进行核实，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开展重点区域自然资源统一确权登记工作。</w:t>
      </w:r>
    </w:p>
    <w:p>
      <w:pPr>
        <w:widowControl/>
        <w:spacing w:line="360" w:lineRule="auto"/>
        <w:ind w:firstLine="643" w:firstLineChars="200"/>
        <w:outlineLvl w:val="2"/>
        <w:rPr>
          <w:rFonts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2.年度绩效目标</w:t>
      </w:r>
    </w:p>
    <w:p>
      <w:pPr>
        <w:widowControl/>
        <w:spacing w:line="360" w:lineRule="auto"/>
        <w:ind w:firstLine="640" w:firstLineChars="200"/>
        <w:rPr>
          <w:rFonts w:hint="default" w:eastAsia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本项目年度绩效目标包括：保障辖区不动产登记工作正常运行，发证完成率100%；对隐患点巡查覆盖率达100%；数据汇总验收通过率100%等。</w:t>
      </w:r>
    </w:p>
    <w:p>
      <w:pPr>
        <w:widowControl/>
        <w:spacing w:line="360" w:lineRule="auto"/>
        <w:ind w:firstLine="643" w:firstLineChars="200"/>
        <w:outlineLvl w:val="2"/>
        <w:rPr>
          <w:rFonts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3.项目资金情况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本项目预算总额682万元，执行数304.59万元，预算执行率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44.66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%。</w:t>
      </w:r>
    </w:p>
    <w:p>
      <w:pPr>
        <w:widowControl/>
        <w:spacing w:line="360" w:lineRule="auto"/>
        <w:ind w:firstLine="643" w:firstLineChars="200"/>
        <w:jc w:val="left"/>
        <w:outlineLvl w:val="1"/>
        <w:rPr>
          <w:rFonts w:eastAsia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（二）部门自评工作开展情况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本次自评时间从202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日至202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日，历时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天。自评工作程序如下：</w:t>
      </w:r>
    </w:p>
    <w:p>
      <w:pPr>
        <w:widowControl/>
        <w:spacing w:line="360" w:lineRule="auto"/>
        <w:ind w:firstLine="643" w:firstLineChars="200"/>
        <w:rPr>
          <w:rFonts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制定工作方案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部门自评工作方案由财务部门会同第三方机构共同研究制订。根据部门主要负责同志要求和武汉经济技术开发区（汉南区）财政局发布的</w:t>
      </w:r>
      <w:r>
        <w:rPr>
          <w:rFonts w:hint="eastAsia" w:eastAsia="仿宋"/>
          <w:sz w:val="32"/>
          <w:szCs w:val="32"/>
        </w:rPr>
        <w:t>《关于开展202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hint="eastAsia" w:eastAsia="仿宋"/>
          <w:sz w:val="32"/>
          <w:szCs w:val="32"/>
        </w:rPr>
        <w:t>年预算绩效评价及项目支出绩效运行监控的通知》（武经开〔202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hint="eastAsia" w:eastAsia="仿宋"/>
          <w:sz w:val="32"/>
          <w:szCs w:val="32"/>
        </w:rPr>
        <w:t>〕</w:t>
      </w:r>
      <w:r>
        <w:rPr>
          <w:rFonts w:hint="eastAsia" w:eastAsia="仿宋"/>
          <w:sz w:val="32"/>
          <w:szCs w:val="32"/>
          <w:lang w:val="en-US" w:eastAsia="zh-CN"/>
        </w:rPr>
        <w:t>19</w:t>
      </w:r>
      <w:r>
        <w:rPr>
          <w:rFonts w:hint="eastAsia" w:eastAsia="仿宋"/>
          <w:sz w:val="32"/>
          <w:szCs w:val="32"/>
        </w:rPr>
        <w:t>号）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启动部门自评工作。</w:t>
      </w:r>
    </w:p>
    <w:p>
      <w:pPr>
        <w:widowControl/>
        <w:spacing w:line="360" w:lineRule="auto"/>
        <w:ind w:firstLine="643" w:firstLineChars="200"/>
        <w:rPr>
          <w:rFonts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2.组织实施自评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财务部门会同第三方机构及时成立工作组，通过调研访谈、电话访谈等方式收集、核实数据和信息，并对这些数据和信息进行整理分析。</w:t>
      </w:r>
    </w:p>
    <w:p>
      <w:pPr>
        <w:widowControl/>
        <w:spacing w:line="360" w:lineRule="auto"/>
        <w:ind w:firstLine="643" w:firstLineChars="200"/>
        <w:rPr>
          <w:rFonts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3.撰写部门项目自评结果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在整理分析基础上，形成部门项目自评结果。</w:t>
      </w:r>
    </w:p>
    <w:p>
      <w:pPr>
        <w:widowControl/>
        <w:spacing w:line="360" w:lineRule="auto"/>
        <w:ind w:firstLine="643" w:firstLineChars="200"/>
        <w:rPr>
          <w:rFonts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4.建立部门项目自评档案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部门项目自评结果按时报送财政部门备案并及时归档备查。</w:t>
      </w:r>
    </w:p>
    <w:p>
      <w:pPr>
        <w:widowControl/>
        <w:spacing w:line="360" w:lineRule="auto"/>
        <w:ind w:firstLine="643" w:firstLineChars="200"/>
        <w:jc w:val="left"/>
        <w:outlineLvl w:val="1"/>
        <w:rPr>
          <w:rFonts w:eastAsia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（三）绩效目标完成情况分析</w:t>
      </w:r>
    </w:p>
    <w:p>
      <w:pPr>
        <w:widowControl/>
        <w:spacing w:line="360" w:lineRule="auto"/>
        <w:ind w:firstLine="643" w:firstLineChars="200"/>
        <w:outlineLvl w:val="2"/>
        <w:rPr>
          <w:rFonts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1.预算执行情况分析（满分20分，得分</w:t>
      </w:r>
      <w:r>
        <w:rPr>
          <w:rFonts w:hint="eastAsia" w:eastAsia="仿宋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8.93</w:t>
      </w:r>
      <w:r>
        <w:rPr>
          <w:rFonts w:hint="eastAsia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分）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本项目预算总额682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.00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万元，执行数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304.59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万元，预算执行率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44.66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%。</w:t>
      </w:r>
    </w:p>
    <w:p>
      <w:pPr>
        <w:widowControl/>
        <w:spacing w:line="360" w:lineRule="auto"/>
        <w:ind w:firstLine="643" w:firstLineChars="200"/>
        <w:outlineLvl w:val="2"/>
        <w:rPr>
          <w:rFonts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2.绩效目标完成情况分析（满分80分，得分</w:t>
      </w:r>
      <w:r>
        <w:rPr>
          <w:rFonts w:hint="eastAsia" w:eastAsia="仿宋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80</w:t>
      </w:r>
      <w:r>
        <w:rPr>
          <w:rFonts w:hint="eastAsia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分）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）产出指标完成情况分析（满分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40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分，得分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40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分）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隐患点巡查覆盖率完成率：满分1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分，得分1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</w:t>
      </w:r>
    </w:p>
    <w:p>
      <w:pPr>
        <w:spacing w:line="360" w:lineRule="auto"/>
        <w:ind w:firstLine="630"/>
        <w:rPr>
          <w:rFonts w:hint="default" w:eastAsia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目标为隐患点巡查覆盖率完成率完成率100%，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2022年经开区确定地质灾害隐患点8处，其中滑坡隐患点2处、岩溶地面塌陷隐患点6处，8处隐患点已全部纳入全市地质灾害防治“四位一体”网格化管理。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以“隐患在哪里”为问题导向，充分利用遥感技术、地表调查等综合手段开展多层次地质灾害隐患巡排查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，做到隐患点巡查覆盖率100%，完成目标。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数据汇总验收通过率：满分1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分，得分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15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数据汇总验收通过率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100%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2022年1月7日土地变更影像及数据下发，经内业整理提取后，于元月14日开始外业调查工作，经过作业单位日夜奋战，最终于2023年1月12日通过自然资源部审核确认，自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2023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年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2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月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15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日起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正式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启用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2021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年度国土变更调查成果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。根据武汉市2021年度变更调查系统平台数据统计，我区2021年土地变更调查图斑4163个；其中按类型划分：国家下发图斑3494个，自提图斑669个；按区域划分：原汉南片区2564个，原经开片区1599个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，完成目标。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不动产登记按时办结率：满分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分，得分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目标为不动产登记按时办结率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≥90%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，202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不动产登记工作按时完结，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完成目标。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）效益指标完成情况分析（满分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分，得分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分）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投诉处理率：满分1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分，得分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</w:t>
      </w:r>
    </w:p>
    <w:p>
      <w:pPr>
        <w:widowControl/>
        <w:spacing w:line="360" w:lineRule="auto"/>
        <w:ind w:firstLine="640" w:firstLineChars="200"/>
        <w:rPr>
          <w:rFonts w:hint="default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目标为投诉处理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率100%，2022年度完成各类投诉事件，但由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征地补偿引发的权属争议问题越来越多，调解处理愈来愈困难，特别是与蔡甸区飞地权属争议问题愈突出</w:t>
      </w:r>
      <w:r>
        <w:rPr>
          <w:rFonts w:hint="eastAsia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工作难度较突出。</w:t>
      </w:r>
    </w:p>
    <w:p>
      <w:pPr>
        <w:widowControl/>
        <w:spacing w:line="360" w:lineRule="auto"/>
        <w:ind w:firstLine="640" w:firstLineChars="200"/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隐患点排查率：满分1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分，得分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</w:t>
      </w:r>
    </w:p>
    <w:p>
      <w:pPr>
        <w:spacing w:line="360" w:lineRule="auto"/>
        <w:ind w:firstLine="630"/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隐患点排查率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目标为100%，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根据《武汉经济技术开发区（汉南区）2022年度地质灾害防治工作方案》，全面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落实地质灾害防治网格化管理工作，做到任务到岗、责任到人、措施到位，确保每一个地质灾害隐患点都有人监测、有人巡查、有人预警，发生险情、灾情能够及时报告并立即采取应急处置措施。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2022年度经开区共组织累计开展隐患点日常巡查1000余次，全年未出现因地质灾害引发的人员伤亡及财产损失事件，完成目标。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服务的满意度：满分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分，得分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目标市民对不动产登记窗口服务的满意度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90%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，202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2年度不动产登记窗口满意度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完成目标。</w:t>
      </w:r>
    </w:p>
    <w:p>
      <w:pPr>
        <w:widowControl/>
        <w:spacing w:line="360" w:lineRule="auto"/>
        <w:ind w:firstLine="643" w:firstLineChars="200"/>
        <w:jc w:val="left"/>
        <w:outlineLvl w:val="1"/>
        <w:rPr>
          <w:rFonts w:eastAsia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（四）上年度部门自评结果应用情况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本项目上年度实施了绩效自评并形成了项目自评表。通过上年度的绩效自评工作，梳理了绩效指标体系，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但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存在部分指标值笼统的问题。</w:t>
      </w:r>
    </w:p>
    <w:p>
      <w:pPr>
        <w:widowControl/>
        <w:spacing w:line="360" w:lineRule="auto"/>
        <w:ind w:firstLine="643" w:firstLineChars="200"/>
        <w:jc w:val="left"/>
        <w:outlineLvl w:val="1"/>
        <w:rPr>
          <w:rFonts w:eastAsia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（五）其他佐证材料</w:t>
      </w:r>
    </w:p>
    <w:p>
      <w:pPr>
        <w:widowControl/>
        <w:spacing w:line="360" w:lineRule="auto"/>
        <w:ind w:firstLine="64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无。</w:t>
      </w:r>
    </w:p>
    <w:p>
      <w:pPr>
        <w:pStyle w:val="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widowControl/>
        <w:spacing w:line="360" w:lineRule="auto"/>
        <w:ind w:firstLine="480" w:firstLineChars="200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武汉经济技术开发区（汉南区）自然资源和规划局</w:t>
      </w:r>
    </w:p>
    <w:p>
      <w:pPr>
        <w:widowControl/>
        <w:spacing w:line="360" w:lineRule="auto"/>
        <w:ind w:firstLine="640" w:firstLineChars="200"/>
        <w:rPr>
          <w:rFonts w:hint="eastAsia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2023年4月21日</w:t>
      </w:r>
    </w:p>
    <w:p>
      <w:pPr>
        <w:widowControl/>
        <w:spacing w:after="240" w:line="360" w:lineRule="auto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10</w:t>
    </w:r>
    <w:r>
      <w:rPr>
        <w:lang w:val="zh-CN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10</w:t>
    </w:r>
    <w:r>
      <w:rPr>
        <w:lang w:val="zh-CN"/>
      </w:rP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mMDE5MmVhMGM5YjJmZDI0OWU5NDNiYzU3MmIzMzkifQ=="/>
  </w:docVars>
  <w:rsids>
    <w:rsidRoot w:val="00F57F82"/>
    <w:rsid w:val="000101E1"/>
    <w:rsid w:val="00020084"/>
    <w:rsid w:val="00057FFB"/>
    <w:rsid w:val="000732DA"/>
    <w:rsid w:val="00075CDC"/>
    <w:rsid w:val="00097A24"/>
    <w:rsid w:val="000A79ED"/>
    <w:rsid w:val="000B1E8F"/>
    <w:rsid w:val="0010192F"/>
    <w:rsid w:val="00103D16"/>
    <w:rsid w:val="00164D84"/>
    <w:rsid w:val="001C5A40"/>
    <w:rsid w:val="001D628A"/>
    <w:rsid w:val="001F551B"/>
    <w:rsid w:val="00203D57"/>
    <w:rsid w:val="002279D0"/>
    <w:rsid w:val="00250053"/>
    <w:rsid w:val="00287C3C"/>
    <w:rsid w:val="00306C2A"/>
    <w:rsid w:val="00332F8B"/>
    <w:rsid w:val="003476B1"/>
    <w:rsid w:val="0039432D"/>
    <w:rsid w:val="003A26A2"/>
    <w:rsid w:val="003B219D"/>
    <w:rsid w:val="003C6374"/>
    <w:rsid w:val="00415F7C"/>
    <w:rsid w:val="004517EC"/>
    <w:rsid w:val="004531B5"/>
    <w:rsid w:val="00462F73"/>
    <w:rsid w:val="00470168"/>
    <w:rsid w:val="00475F52"/>
    <w:rsid w:val="00494F82"/>
    <w:rsid w:val="00500BDF"/>
    <w:rsid w:val="00502508"/>
    <w:rsid w:val="00504A56"/>
    <w:rsid w:val="005D07CE"/>
    <w:rsid w:val="0060777A"/>
    <w:rsid w:val="00635DAB"/>
    <w:rsid w:val="00641696"/>
    <w:rsid w:val="00642902"/>
    <w:rsid w:val="006469A2"/>
    <w:rsid w:val="00677BA4"/>
    <w:rsid w:val="006858C7"/>
    <w:rsid w:val="006A453E"/>
    <w:rsid w:val="006B653B"/>
    <w:rsid w:val="006D504F"/>
    <w:rsid w:val="00702259"/>
    <w:rsid w:val="00704DD2"/>
    <w:rsid w:val="00710718"/>
    <w:rsid w:val="00716357"/>
    <w:rsid w:val="007553C7"/>
    <w:rsid w:val="00785AF7"/>
    <w:rsid w:val="007870EF"/>
    <w:rsid w:val="007A1DC2"/>
    <w:rsid w:val="007B1C7E"/>
    <w:rsid w:val="007C4F0D"/>
    <w:rsid w:val="007D7B7E"/>
    <w:rsid w:val="007E0470"/>
    <w:rsid w:val="007E7046"/>
    <w:rsid w:val="00801E54"/>
    <w:rsid w:val="00842E84"/>
    <w:rsid w:val="00867C3D"/>
    <w:rsid w:val="0087227F"/>
    <w:rsid w:val="00877BDD"/>
    <w:rsid w:val="008A20F2"/>
    <w:rsid w:val="008B50FA"/>
    <w:rsid w:val="008C3688"/>
    <w:rsid w:val="00905D4C"/>
    <w:rsid w:val="00921154"/>
    <w:rsid w:val="0093106C"/>
    <w:rsid w:val="00937D8E"/>
    <w:rsid w:val="009707E5"/>
    <w:rsid w:val="00981871"/>
    <w:rsid w:val="009821AD"/>
    <w:rsid w:val="00997C33"/>
    <w:rsid w:val="009A3D8F"/>
    <w:rsid w:val="009A6584"/>
    <w:rsid w:val="009F25A2"/>
    <w:rsid w:val="009F652F"/>
    <w:rsid w:val="00A26802"/>
    <w:rsid w:val="00A41340"/>
    <w:rsid w:val="00A63B0D"/>
    <w:rsid w:val="00A72C3E"/>
    <w:rsid w:val="00A72CA8"/>
    <w:rsid w:val="00AA2B82"/>
    <w:rsid w:val="00AC315F"/>
    <w:rsid w:val="00AD0167"/>
    <w:rsid w:val="00AD0FBD"/>
    <w:rsid w:val="00AD5D6F"/>
    <w:rsid w:val="00AF6CB8"/>
    <w:rsid w:val="00B02052"/>
    <w:rsid w:val="00B24C7B"/>
    <w:rsid w:val="00B32B29"/>
    <w:rsid w:val="00B75173"/>
    <w:rsid w:val="00B76608"/>
    <w:rsid w:val="00BD2F34"/>
    <w:rsid w:val="00BF0FAB"/>
    <w:rsid w:val="00C2151C"/>
    <w:rsid w:val="00C24A6D"/>
    <w:rsid w:val="00C61ABD"/>
    <w:rsid w:val="00C84028"/>
    <w:rsid w:val="00C85238"/>
    <w:rsid w:val="00C95A35"/>
    <w:rsid w:val="00CB2349"/>
    <w:rsid w:val="00CC152C"/>
    <w:rsid w:val="00CC4B6D"/>
    <w:rsid w:val="00CD06C3"/>
    <w:rsid w:val="00CE21E1"/>
    <w:rsid w:val="00D31790"/>
    <w:rsid w:val="00D34B03"/>
    <w:rsid w:val="00D63908"/>
    <w:rsid w:val="00D81B27"/>
    <w:rsid w:val="00DB1434"/>
    <w:rsid w:val="00DD09A2"/>
    <w:rsid w:val="00DD16E3"/>
    <w:rsid w:val="00DF0A2D"/>
    <w:rsid w:val="00E02E05"/>
    <w:rsid w:val="00E2291B"/>
    <w:rsid w:val="00E339D5"/>
    <w:rsid w:val="00E54B40"/>
    <w:rsid w:val="00E800C1"/>
    <w:rsid w:val="00EC3B42"/>
    <w:rsid w:val="00ED6D53"/>
    <w:rsid w:val="00EE0803"/>
    <w:rsid w:val="00EE6F1A"/>
    <w:rsid w:val="00F10473"/>
    <w:rsid w:val="00F15068"/>
    <w:rsid w:val="00F31837"/>
    <w:rsid w:val="00F41771"/>
    <w:rsid w:val="00F437B4"/>
    <w:rsid w:val="00F55402"/>
    <w:rsid w:val="00F57F82"/>
    <w:rsid w:val="00F60E7C"/>
    <w:rsid w:val="00F75963"/>
    <w:rsid w:val="00FA357A"/>
    <w:rsid w:val="01745D0A"/>
    <w:rsid w:val="01FF3C7D"/>
    <w:rsid w:val="02C86339"/>
    <w:rsid w:val="03623055"/>
    <w:rsid w:val="037D0BC8"/>
    <w:rsid w:val="03CB0C86"/>
    <w:rsid w:val="050163A6"/>
    <w:rsid w:val="05334471"/>
    <w:rsid w:val="05335DF3"/>
    <w:rsid w:val="05FD666C"/>
    <w:rsid w:val="07E640F0"/>
    <w:rsid w:val="0845082D"/>
    <w:rsid w:val="085D067E"/>
    <w:rsid w:val="091E14CB"/>
    <w:rsid w:val="094115EA"/>
    <w:rsid w:val="096A663E"/>
    <w:rsid w:val="09D025E8"/>
    <w:rsid w:val="09E965F2"/>
    <w:rsid w:val="0A130CF6"/>
    <w:rsid w:val="0A87714B"/>
    <w:rsid w:val="0ACF071C"/>
    <w:rsid w:val="0CBF575D"/>
    <w:rsid w:val="0D660F6F"/>
    <w:rsid w:val="0ECA2EFA"/>
    <w:rsid w:val="0F925C2F"/>
    <w:rsid w:val="0F9652C0"/>
    <w:rsid w:val="10426B40"/>
    <w:rsid w:val="11CD4764"/>
    <w:rsid w:val="11D7196B"/>
    <w:rsid w:val="12392983"/>
    <w:rsid w:val="125B58E2"/>
    <w:rsid w:val="13511532"/>
    <w:rsid w:val="139840D3"/>
    <w:rsid w:val="143E091F"/>
    <w:rsid w:val="14865FC8"/>
    <w:rsid w:val="150C2DB0"/>
    <w:rsid w:val="15137DCE"/>
    <w:rsid w:val="1732711E"/>
    <w:rsid w:val="175D065A"/>
    <w:rsid w:val="17C34C75"/>
    <w:rsid w:val="18CD45C3"/>
    <w:rsid w:val="19BB1495"/>
    <w:rsid w:val="19FD2B7E"/>
    <w:rsid w:val="1AF277D4"/>
    <w:rsid w:val="1B515EE3"/>
    <w:rsid w:val="1B976D3F"/>
    <w:rsid w:val="1BB80B76"/>
    <w:rsid w:val="1BC405B7"/>
    <w:rsid w:val="1C125FA5"/>
    <w:rsid w:val="1CE94882"/>
    <w:rsid w:val="1D5D78EC"/>
    <w:rsid w:val="1E3F631C"/>
    <w:rsid w:val="1E761F05"/>
    <w:rsid w:val="1F236DF4"/>
    <w:rsid w:val="1FC7205C"/>
    <w:rsid w:val="20522F58"/>
    <w:rsid w:val="20A221A5"/>
    <w:rsid w:val="211537CA"/>
    <w:rsid w:val="21167BF2"/>
    <w:rsid w:val="214D0003"/>
    <w:rsid w:val="215379D9"/>
    <w:rsid w:val="21632834"/>
    <w:rsid w:val="219D6ED7"/>
    <w:rsid w:val="21F37362"/>
    <w:rsid w:val="228B3D05"/>
    <w:rsid w:val="24822003"/>
    <w:rsid w:val="24E4263B"/>
    <w:rsid w:val="251F7F55"/>
    <w:rsid w:val="26F84832"/>
    <w:rsid w:val="27125C45"/>
    <w:rsid w:val="271F3ED8"/>
    <w:rsid w:val="276E7926"/>
    <w:rsid w:val="285C34D1"/>
    <w:rsid w:val="286D5E37"/>
    <w:rsid w:val="287B5BDC"/>
    <w:rsid w:val="2AA42DBD"/>
    <w:rsid w:val="2AC72633"/>
    <w:rsid w:val="2B6B0546"/>
    <w:rsid w:val="2BC20E98"/>
    <w:rsid w:val="2D777BC2"/>
    <w:rsid w:val="2DC55D79"/>
    <w:rsid w:val="2DF34CC0"/>
    <w:rsid w:val="2E581A59"/>
    <w:rsid w:val="2F672E94"/>
    <w:rsid w:val="307124CB"/>
    <w:rsid w:val="308849A3"/>
    <w:rsid w:val="32235DC1"/>
    <w:rsid w:val="3381719A"/>
    <w:rsid w:val="35254D91"/>
    <w:rsid w:val="359009FB"/>
    <w:rsid w:val="35CF3774"/>
    <w:rsid w:val="363C0F26"/>
    <w:rsid w:val="379B3C27"/>
    <w:rsid w:val="37C877E9"/>
    <w:rsid w:val="380E6212"/>
    <w:rsid w:val="38BD1B07"/>
    <w:rsid w:val="38EF7AD8"/>
    <w:rsid w:val="391179DE"/>
    <w:rsid w:val="39B51B30"/>
    <w:rsid w:val="39E47609"/>
    <w:rsid w:val="3AC26D8D"/>
    <w:rsid w:val="3AD60F72"/>
    <w:rsid w:val="3CA372DD"/>
    <w:rsid w:val="3CA70864"/>
    <w:rsid w:val="3CE533DA"/>
    <w:rsid w:val="3D01780C"/>
    <w:rsid w:val="3D1F0333"/>
    <w:rsid w:val="3DD6679A"/>
    <w:rsid w:val="3E1672E6"/>
    <w:rsid w:val="3EE947C1"/>
    <w:rsid w:val="3FBD5C73"/>
    <w:rsid w:val="3FDB0AD7"/>
    <w:rsid w:val="40BC213C"/>
    <w:rsid w:val="415F08D8"/>
    <w:rsid w:val="418F473C"/>
    <w:rsid w:val="42DE0BE4"/>
    <w:rsid w:val="433B52D2"/>
    <w:rsid w:val="434010BE"/>
    <w:rsid w:val="43512B3E"/>
    <w:rsid w:val="436C20FF"/>
    <w:rsid w:val="44A63CCD"/>
    <w:rsid w:val="44A95196"/>
    <w:rsid w:val="44DC6F9E"/>
    <w:rsid w:val="44E2230F"/>
    <w:rsid w:val="4549266A"/>
    <w:rsid w:val="45DD6BEA"/>
    <w:rsid w:val="46B5685D"/>
    <w:rsid w:val="46E206AE"/>
    <w:rsid w:val="46F9107C"/>
    <w:rsid w:val="483B495D"/>
    <w:rsid w:val="486B28F0"/>
    <w:rsid w:val="488641E0"/>
    <w:rsid w:val="48B51347"/>
    <w:rsid w:val="4A55216A"/>
    <w:rsid w:val="4A705EAE"/>
    <w:rsid w:val="4AA8027E"/>
    <w:rsid w:val="4AAE000A"/>
    <w:rsid w:val="4AB1310B"/>
    <w:rsid w:val="4ADD59A5"/>
    <w:rsid w:val="4CC759FC"/>
    <w:rsid w:val="4D4F4973"/>
    <w:rsid w:val="4F7E7282"/>
    <w:rsid w:val="4FE0696A"/>
    <w:rsid w:val="50CE7972"/>
    <w:rsid w:val="51FD19E1"/>
    <w:rsid w:val="52B3077B"/>
    <w:rsid w:val="52C0009F"/>
    <w:rsid w:val="5408455A"/>
    <w:rsid w:val="544E728B"/>
    <w:rsid w:val="54511F25"/>
    <w:rsid w:val="54B70621"/>
    <w:rsid w:val="55673508"/>
    <w:rsid w:val="55915A56"/>
    <w:rsid w:val="55D05801"/>
    <w:rsid w:val="57AC028E"/>
    <w:rsid w:val="57F62083"/>
    <w:rsid w:val="57FF47E1"/>
    <w:rsid w:val="58587667"/>
    <w:rsid w:val="59595A6F"/>
    <w:rsid w:val="599330CA"/>
    <w:rsid w:val="59DF200D"/>
    <w:rsid w:val="5A4C3EF6"/>
    <w:rsid w:val="5AB67D0C"/>
    <w:rsid w:val="5B0D23FC"/>
    <w:rsid w:val="5CC42C00"/>
    <w:rsid w:val="5DB076C2"/>
    <w:rsid w:val="5E367F56"/>
    <w:rsid w:val="5F4015DE"/>
    <w:rsid w:val="60C178B2"/>
    <w:rsid w:val="60D5009F"/>
    <w:rsid w:val="6137540F"/>
    <w:rsid w:val="63DF1591"/>
    <w:rsid w:val="64CA0FEB"/>
    <w:rsid w:val="64CB2ACC"/>
    <w:rsid w:val="65D630D8"/>
    <w:rsid w:val="660721C9"/>
    <w:rsid w:val="661E6C75"/>
    <w:rsid w:val="66E0078C"/>
    <w:rsid w:val="67F75FF5"/>
    <w:rsid w:val="681D4831"/>
    <w:rsid w:val="691971C8"/>
    <w:rsid w:val="692E4B19"/>
    <w:rsid w:val="69513EF7"/>
    <w:rsid w:val="69653EB7"/>
    <w:rsid w:val="69BE2A6F"/>
    <w:rsid w:val="6A1F1A1D"/>
    <w:rsid w:val="6A42336B"/>
    <w:rsid w:val="6A493712"/>
    <w:rsid w:val="6AD97B8E"/>
    <w:rsid w:val="6BBF604F"/>
    <w:rsid w:val="6BEC595E"/>
    <w:rsid w:val="6BF3256F"/>
    <w:rsid w:val="6CE7018A"/>
    <w:rsid w:val="6E3E3F2D"/>
    <w:rsid w:val="6EFA588C"/>
    <w:rsid w:val="705A16CD"/>
    <w:rsid w:val="711266E1"/>
    <w:rsid w:val="715B2F02"/>
    <w:rsid w:val="718524BB"/>
    <w:rsid w:val="71AE5E95"/>
    <w:rsid w:val="727A0B28"/>
    <w:rsid w:val="7281713A"/>
    <w:rsid w:val="72DD275E"/>
    <w:rsid w:val="74292DBE"/>
    <w:rsid w:val="746D043D"/>
    <w:rsid w:val="76834D9A"/>
    <w:rsid w:val="76A548F2"/>
    <w:rsid w:val="7765772E"/>
    <w:rsid w:val="77867685"/>
    <w:rsid w:val="77F04540"/>
    <w:rsid w:val="781F36B6"/>
    <w:rsid w:val="790627AD"/>
    <w:rsid w:val="7A5069D3"/>
    <w:rsid w:val="7A70083D"/>
    <w:rsid w:val="7ADC59FA"/>
    <w:rsid w:val="7BDC27DF"/>
    <w:rsid w:val="7C5C0642"/>
    <w:rsid w:val="7DCC5590"/>
    <w:rsid w:val="7DDD794F"/>
    <w:rsid w:val="7DE22A43"/>
    <w:rsid w:val="7EDF39A7"/>
    <w:rsid w:val="7EEB5927"/>
    <w:rsid w:val="7F323488"/>
    <w:rsid w:val="7FE7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outlineLvl w:val="2"/>
    </w:pPr>
    <w:rPr>
      <w:sz w:val="28"/>
      <w:szCs w:val="28"/>
    </w:rPr>
  </w:style>
  <w:style w:type="paragraph" w:styleId="3">
    <w:name w:val="heading 5"/>
    <w:basedOn w:val="1"/>
    <w:next w:val="1"/>
    <w:qFormat/>
    <w:uiPriority w:val="0"/>
    <w:pPr>
      <w:keepNext/>
      <w:outlineLvl w:val="4"/>
    </w:pPr>
    <w:rPr>
      <w:rFonts w:ascii="宋体" w:hAnsi="宋体" w:cs="宋体"/>
      <w:b/>
      <w:bCs/>
      <w:sz w:val="24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1"/>
    <w:qFormat/>
    <w:uiPriority w:val="0"/>
    <w:pPr>
      <w:jc w:val="left"/>
    </w:pPr>
  </w:style>
  <w:style w:type="paragraph" w:styleId="5">
    <w:name w:val="Body Text"/>
    <w:basedOn w:val="1"/>
    <w:unhideWhenUsed/>
    <w:qFormat/>
    <w:uiPriority w:val="99"/>
    <w:pPr>
      <w:spacing w:after="120"/>
    </w:pPr>
  </w:style>
  <w:style w:type="paragraph" w:styleId="6">
    <w:name w:val="Balloon Text"/>
    <w:basedOn w:val="1"/>
    <w:link w:val="17"/>
    <w:qFormat/>
    <w:uiPriority w:val="0"/>
    <w:rPr>
      <w:sz w:val="18"/>
      <w:szCs w:val="18"/>
    </w:rPr>
  </w:style>
  <w:style w:type="paragraph" w:styleId="7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qFormat/>
    <w:uiPriority w:val="10"/>
    <w:pPr>
      <w:spacing w:line="360" w:lineRule="auto"/>
      <w:ind w:firstLine="200" w:firstLineChars="200"/>
      <w:jc w:val="left"/>
      <w:outlineLvl w:val="3"/>
    </w:pPr>
    <w:rPr>
      <w:rFonts w:ascii="Cambria" w:hAnsi="Cambria"/>
      <w:bCs/>
      <w:sz w:val="24"/>
      <w:szCs w:val="32"/>
    </w:rPr>
  </w:style>
  <w:style w:type="paragraph" w:styleId="10">
    <w:name w:val="annotation subject"/>
    <w:basedOn w:val="4"/>
    <w:next w:val="4"/>
    <w:link w:val="22"/>
    <w:qFormat/>
    <w:uiPriority w:val="0"/>
    <w:rPr>
      <w:b/>
      <w:bCs/>
    </w:rPr>
  </w:style>
  <w:style w:type="character" w:styleId="13">
    <w:name w:val="page number"/>
    <w:basedOn w:val="12"/>
    <w:qFormat/>
    <w:uiPriority w:val="0"/>
  </w:style>
  <w:style w:type="character" w:styleId="14">
    <w:name w:val="annotation reference"/>
    <w:basedOn w:val="12"/>
    <w:qFormat/>
    <w:uiPriority w:val="0"/>
    <w:rPr>
      <w:sz w:val="21"/>
      <w:szCs w:val="21"/>
    </w:rPr>
  </w:style>
  <w:style w:type="character" w:customStyle="1" w:styleId="15">
    <w:name w:val="页脚 字符"/>
    <w:basedOn w:val="12"/>
    <w:link w:val="7"/>
    <w:qFormat/>
    <w:uiPriority w:val="99"/>
    <w:rPr>
      <w:rFonts w:eastAsia="仿宋_GB2312"/>
      <w:kern w:val="2"/>
      <w:sz w:val="18"/>
      <w:szCs w:val="18"/>
    </w:rPr>
  </w:style>
  <w:style w:type="character" w:customStyle="1" w:styleId="16">
    <w:name w:val="页眉 字符"/>
    <w:basedOn w:val="12"/>
    <w:link w:val="8"/>
    <w:qFormat/>
    <w:uiPriority w:val="0"/>
    <w:rPr>
      <w:rFonts w:eastAsia="仿宋_GB2312"/>
      <w:kern w:val="2"/>
      <w:sz w:val="18"/>
      <w:szCs w:val="18"/>
    </w:rPr>
  </w:style>
  <w:style w:type="character" w:customStyle="1" w:styleId="17">
    <w:name w:val="批注框文本 字符"/>
    <w:basedOn w:val="12"/>
    <w:link w:val="6"/>
    <w:qFormat/>
    <w:uiPriority w:val="0"/>
    <w:rPr>
      <w:rFonts w:eastAsia="仿宋_GB2312"/>
      <w:kern w:val="2"/>
      <w:sz w:val="18"/>
      <w:szCs w:val="18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font61"/>
    <w:basedOn w:val="12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20">
    <w:name w:val="font4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1">
    <w:name w:val="批注文字 字符"/>
    <w:basedOn w:val="12"/>
    <w:link w:val="4"/>
    <w:qFormat/>
    <w:uiPriority w:val="0"/>
    <w:rPr>
      <w:rFonts w:eastAsia="仿宋_GB2312"/>
      <w:kern w:val="2"/>
      <w:sz w:val="30"/>
      <w:szCs w:val="24"/>
    </w:rPr>
  </w:style>
  <w:style w:type="character" w:customStyle="1" w:styleId="22">
    <w:name w:val="批注主题 字符"/>
    <w:basedOn w:val="21"/>
    <w:link w:val="10"/>
    <w:qFormat/>
    <w:uiPriority w:val="0"/>
    <w:rPr>
      <w:rFonts w:eastAsia="仿宋_GB2312"/>
      <w:b/>
      <w:bCs/>
      <w:kern w:val="2"/>
      <w:sz w:val="3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28B6F-1E9B-4ACC-AFE2-694D80EF2B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2926</Words>
  <Characters>3230</Characters>
  <Lines>39</Lines>
  <Paragraphs>11</Paragraphs>
  <TotalTime>25</TotalTime>
  <ScaleCrop>false</ScaleCrop>
  <LinksUpToDate>false</LinksUpToDate>
  <CharactersWithSpaces>3380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2021-02-26T14:13:00Z</dcterms:created>
  <dc:creator>lhn</dc:creator>
  <cp:lastModifiedBy>丫丫</cp:lastModifiedBy>
  <cp:lastPrinted>2021-04-30T00:57:00Z</cp:lastPrinted>
  <dcterms:modified xsi:type="dcterms:W3CDTF">2023-04-21T03:37:46Z</dcterms:modified>
  <dc:title>财政支出绩效评价报告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C551033B92D14B15A27E7AF26FCE060F</vt:lpwstr>
  </property>
</Properties>
</file>