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pacing w:line="560" w:lineRule="exact"/>
        <w:jc w:val="center"/>
        <w:rPr>
          <w:rFonts w:ascii="Times New Roman" w:hAnsi="Times New Roman" w:cs="Times New Roman" w:eastAsiaTheme="majorEastAsia"/>
          <w:sz w:val="36"/>
          <w:szCs w:val="36"/>
        </w:rPr>
      </w:pPr>
      <w:r>
        <w:rPr>
          <w:rFonts w:hint="eastAsia" w:ascii="Times New Roman" w:hAnsi="Times New Roman" w:cs="Times New Roman" w:eastAsiaTheme="majorEastAsia"/>
          <w:sz w:val="36"/>
          <w:szCs w:val="36"/>
        </w:rPr>
        <w:t xml:space="preserve"> </w:t>
      </w:r>
      <w:r>
        <w:rPr>
          <w:rFonts w:ascii="Times New Roman" w:hAnsi="Times New Roman" w:cs="Times New Roman" w:eastAsiaTheme="majorEastAsia"/>
          <w:sz w:val="36"/>
          <w:szCs w:val="36"/>
        </w:rPr>
        <w:t>202</w:t>
      </w:r>
      <w:r>
        <w:rPr>
          <w:rFonts w:hint="eastAsia" w:ascii="Times New Roman" w:hAnsi="Times New Roman" w:cs="Times New Roman" w:eastAsiaTheme="majorEastAsia"/>
          <w:sz w:val="36"/>
          <w:szCs w:val="36"/>
        </w:rPr>
        <w:t>1</w:t>
      </w:r>
      <w:r>
        <w:rPr>
          <w:rFonts w:ascii="Times New Roman" w:hAnsi="Times New Roman" w:cs="Times New Roman" w:eastAsiaTheme="majorEastAsia"/>
          <w:sz w:val="36"/>
          <w:szCs w:val="36"/>
        </w:rPr>
        <w:t>年度</w:t>
      </w:r>
      <w:r>
        <w:rPr>
          <w:rFonts w:hint="eastAsia" w:ascii="Times New Roman" w:hAnsi="Times New Roman" w:cs="Times New Roman" w:eastAsiaTheme="majorEastAsia"/>
          <w:sz w:val="36"/>
          <w:szCs w:val="36"/>
        </w:rPr>
        <w:t>风灾树木修复及补助资金项目</w:t>
      </w:r>
    </w:p>
    <w:p>
      <w:pPr>
        <w:pStyle w:val="5"/>
        <w:spacing w:line="560" w:lineRule="exact"/>
        <w:jc w:val="center"/>
        <w:rPr>
          <w:rFonts w:ascii="Times New Roman" w:hAnsi="Times New Roman" w:cs="Times New Roman" w:eastAsiaTheme="majorEastAsia"/>
          <w:sz w:val="36"/>
          <w:szCs w:val="36"/>
        </w:rPr>
      </w:pPr>
      <w:r>
        <w:rPr>
          <w:rFonts w:ascii="Times New Roman" w:hAnsi="Times New Roman" w:cs="Times New Roman" w:eastAsiaTheme="majorEastAsia"/>
          <w:sz w:val="36"/>
          <w:szCs w:val="36"/>
        </w:rPr>
        <w:t>自评结果</w:t>
      </w:r>
    </w:p>
    <w:p>
      <w:pPr>
        <w:pStyle w:val="8"/>
        <w:shd w:val="clear" w:color="auto" w:fill="FFFFFF" w:themeFill="background1"/>
        <w:spacing w:line="560" w:lineRule="exact"/>
        <w:ind w:firstLine="0" w:firstLineChars="0"/>
        <w:jc w:val="center"/>
        <w:outlineLvl w:val="9"/>
      </w:pPr>
      <w:r>
        <w:rPr>
          <w:rFonts w:hint="eastAsia" w:ascii="楷体" w:hAnsi="楷体" w:eastAsia="楷体" w:cs="楷体"/>
          <w:b/>
          <w:sz w:val="32"/>
        </w:rPr>
        <w:t>（缩略版）</w:t>
      </w:r>
    </w:p>
    <w:p>
      <w:pPr>
        <w:widowControl/>
        <w:spacing w:line="560" w:lineRule="exact"/>
        <w:ind w:firstLine="643" w:firstLineChars="200"/>
        <w:outlineLvl w:val="0"/>
        <w:rPr>
          <w:rFonts w:eastAsia="宋体"/>
          <w:b/>
          <w:bCs/>
          <w:color w:val="000000"/>
          <w:kern w:val="0"/>
          <w:sz w:val="32"/>
          <w:szCs w:val="32"/>
        </w:rPr>
      </w:pPr>
      <w:r>
        <w:rPr>
          <w:rFonts w:eastAsia="黑体"/>
          <w:b/>
          <w:bCs/>
          <w:color w:val="000000"/>
          <w:kern w:val="0"/>
          <w:sz w:val="32"/>
          <w:szCs w:val="32"/>
        </w:rPr>
        <w:t>一、自评结论</w:t>
      </w:r>
    </w:p>
    <w:p>
      <w:pPr>
        <w:widowControl/>
        <w:spacing w:line="560" w:lineRule="exact"/>
        <w:ind w:firstLine="643" w:firstLineChars="200"/>
        <w:jc w:val="left"/>
        <w:outlineLvl w:val="1"/>
        <w:rPr>
          <w:rFonts w:eastAsia="楷体"/>
          <w:b/>
          <w:bCs/>
          <w:color w:val="000000"/>
          <w:kern w:val="0"/>
          <w:sz w:val="32"/>
          <w:szCs w:val="32"/>
        </w:rPr>
      </w:pPr>
      <w:r>
        <w:rPr>
          <w:rFonts w:eastAsia="楷体"/>
          <w:b/>
          <w:bCs/>
          <w:color w:val="000000"/>
          <w:kern w:val="0"/>
          <w:sz w:val="32"/>
          <w:szCs w:val="32"/>
        </w:rPr>
        <w:t>（一）自评得分</w:t>
      </w:r>
    </w:p>
    <w:p>
      <w:pPr>
        <w:widowControl/>
        <w:spacing w:line="560" w:lineRule="exact"/>
        <w:ind w:firstLine="640" w:firstLineChars="200"/>
        <w:rPr>
          <w:rFonts w:eastAsia="仿宋"/>
          <w:sz w:val="32"/>
          <w:szCs w:val="32"/>
        </w:rPr>
      </w:pPr>
      <w:r>
        <w:rPr>
          <w:rFonts w:eastAsia="仿宋"/>
          <w:sz w:val="32"/>
          <w:szCs w:val="32"/>
        </w:rPr>
        <w:t>武汉经济技术开发区（汉南区）自然资源和规划局202</w:t>
      </w:r>
      <w:r>
        <w:rPr>
          <w:rFonts w:hint="eastAsia" w:eastAsia="仿宋"/>
          <w:sz w:val="32"/>
          <w:szCs w:val="32"/>
        </w:rPr>
        <w:t>1</w:t>
      </w:r>
      <w:r>
        <w:rPr>
          <w:rFonts w:eastAsia="仿宋"/>
          <w:sz w:val="32"/>
          <w:szCs w:val="32"/>
        </w:rPr>
        <w:t>年度</w:t>
      </w:r>
      <w:r>
        <w:rPr>
          <w:rFonts w:hint="eastAsia" w:eastAsia="仿宋"/>
          <w:sz w:val="32"/>
          <w:szCs w:val="32"/>
        </w:rPr>
        <w:t>风灾树木修复及补助资金项目</w:t>
      </w:r>
      <w:r>
        <w:rPr>
          <w:rFonts w:eastAsia="仿宋"/>
          <w:sz w:val="32"/>
          <w:szCs w:val="32"/>
        </w:rPr>
        <w:t>绩效评价综合得分为</w:t>
      </w:r>
      <w:r>
        <w:rPr>
          <w:rFonts w:hint="eastAsia" w:eastAsia="仿宋"/>
          <w:sz w:val="32"/>
          <w:szCs w:val="32"/>
        </w:rPr>
        <w:t>97.9</w:t>
      </w:r>
      <w:r>
        <w:rPr>
          <w:rFonts w:eastAsia="仿宋"/>
          <w:sz w:val="32"/>
          <w:szCs w:val="32"/>
        </w:rPr>
        <w:t>分。</w:t>
      </w:r>
    </w:p>
    <w:p>
      <w:pPr>
        <w:widowControl/>
        <w:spacing w:line="560" w:lineRule="exact"/>
        <w:ind w:firstLine="643" w:firstLineChars="200"/>
        <w:jc w:val="left"/>
        <w:outlineLvl w:val="1"/>
        <w:rPr>
          <w:rFonts w:eastAsia="楷体"/>
          <w:b/>
          <w:bCs/>
          <w:color w:val="000000"/>
          <w:kern w:val="0"/>
          <w:sz w:val="32"/>
          <w:szCs w:val="32"/>
        </w:rPr>
      </w:pPr>
      <w:r>
        <w:rPr>
          <w:rFonts w:eastAsia="楷体"/>
          <w:b/>
          <w:bCs/>
          <w:color w:val="000000"/>
          <w:kern w:val="0"/>
          <w:sz w:val="32"/>
          <w:szCs w:val="32"/>
        </w:rPr>
        <w:t>（二）绩效目标完成情况</w:t>
      </w:r>
    </w:p>
    <w:p>
      <w:pPr>
        <w:widowControl/>
        <w:spacing w:line="560" w:lineRule="exact"/>
        <w:ind w:firstLine="640" w:firstLineChars="200"/>
        <w:rPr>
          <w:rFonts w:eastAsia="仿宋"/>
          <w:sz w:val="32"/>
          <w:szCs w:val="32"/>
        </w:rPr>
      </w:pPr>
      <w:r>
        <w:rPr>
          <w:rFonts w:eastAsia="仿宋"/>
          <w:sz w:val="32"/>
          <w:szCs w:val="32"/>
        </w:rPr>
        <w:t>1.执行率情况。本项目预算总额</w:t>
      </w:r>
      <w:r>
        <w:rPr>
          <w:rFonts w:hint="eastAsia" w:eastAsia="仿宋"/>
          <w:sz w:val="32"/>
          <w:szCs w:val="32"/>
        </w:rPr>
        <w:t>742.41</w:t>
      </w:r>
      <w:r>
        <w:rPr>
          <w:rFonts w:eastAsia="仿宋"/>
          <w:sz w:val="32"/>
          <w:szCs w:val="32"/>
        </w:rPr>
        <w:t>万元，执行数</w:t>
      </w:r>
      <w:r>
        <w:rPr>
          <w:rFonts w:hint="eastAsia" w:eastAsia="仿宋"/>
          <w:sz w:val="32"/>
          <w:szCs w:val="32"/>
        </w:rPr>
        <w:t>702.46</w:t>
      </w:r>
      <w:r>
        <w:rPr>
          <w:rFonts w:eastAsia="仿宋"/>
          <w:sz w:val="32"/>
          <w:szCs w:val="32"/>
        </w:rPr>
        <w:t>万元，预算执行率</w:t>
      </w:r>
      <w:r>
        <w:rPr>
          <w:rFonts w:hint="eastAsia" w:eastAsia="仿宋"/>
          <w:sz w:val="32"/>
          <w:szCs w:val="32"/>
        </w:rPr>
        <w:t>94.62%</w:t>
      </w:r>
      <w:r>
        <w:rPr>
          <w:rFonts w:eastAsia="仿宋"/>
          <w:sz w:val="32"/>
          <w:szCs w:val="32"/>
        </w:rPr>
        <w:t>。</w:t>
      </w:r>
    </w:p>
    <w:p>
      <w:pPr>
        <w:widowControl/>
        <w:spacing w:line="560" w:lineRule="exact"/>
        <w:ind w:firstLine="640" w:firstLineChars="200"/>
        <w:rPr>
          <w:rFonts w:eastAsia="仿宋"/>
          <w:sz w:val="32"/>
          <w:szCs w:val="32"/>
        </w:rPr>
      </w:pPr>
      <w:r>
        <w:rPr>
          <w:rFonts w:eastAsia="仿宋"/>
          <w:sz w:val="32"/>
          <w:szCs w:val="32"/>
        </w:rPr>
        <w:t>2.完成的绩效目标。项目共设置</w:t>
      </w:r>
      <w:r>
        <w:rPr>
          <w:rFonts w:hint="eastAsia" w:eastAsia="仿宋"/>
          <w:sz w:val="32"/>
          <w:szCs w:val="32"/>
        </w:rPr>
        <w:t>6</w:t>
      </w:r>
      <w:r>
        <w:rPr>
          <w:rFonts w:eastAsia="仿宋"/>
          <w:sz w:val="32"/>
          <w:szCs w:val="32"/>
        </w:rPr>
        <w:t>个绩效指标，完成了</w:t>
      </w:r>
      <w:r>
        <w:rPr>
          <w:rFonts w:hint="eastAsia" w:eastAsia="仿宋"/>
          <w:sz w:val="32"/>
          <w:szCs w:val="32"/>
        </w:rPr>
        <w:t>5</w:t>
      </w:r>
      <w:r>
        <w:rPr>
          <w:rFonts w:eastAsia="仿宋"/>
          <w:sz w:val="32"/>
          <w:szCs w:val="32"/>
        </w:rPr>
        <w:t>个。资金使用较为规范，项目产出较好，并取得了较好的社会效益。</w:t>
      </w:r>
    </w:p>
    <w:p>
      <w:pPr>
        <w:keepNext/>
        <w:keepLines/>
        <w:shd w:val="clear" w:color="auto" w:fill="FFFFFF" w:themeFill="background1"/>
        <w:spacing w:line="560" w:lineRule="exact"/>
        <w:ind w:firstLine="640" w:firstLineChars="200"/>
        <w:contextualSpacing/>
        <w:jc w:val="left"/>
        <w:outlineLvl w:val="1"/>
        <w:rPr>
          <w:rFonts w:ascii="仿宋" w:hAnsi="仿宋" w:eastAsia="仿宋" w:cs="仿宋"/>
          <w:sz w:val="32"/>
          <w:szCs w:val="32"/>
        </w:rPr>
      </w:pPr>
      <w:r>
        <w:rPr>
          <w:rFonts w:eastAsia="仿宋"/>
          <w:sz w:val="32"/>
          <w:szCs w:val="32"/>
        </w:rPr>
        <w:t>3.未完成的绩效目标。</w:t>
      </w:r>
      <w:r>
        <w:rPr>
          <w:rFonts w:hint="eastAsia" w:ascii="仿宋" w:hAnsi="仿宋" w:eastAsia="仿宋" w:cs="仿宋"/>
          <w:sz w:val="32"/>
          <w:szCs w:val="32"/>
        </w:rPr>
        <w:t>“生态效益指标”年度年初目标值为生态环境改善，实际完成值为生态环境有一定改善，原因是本项目主要为清理、补植、管护受极端天气影响的树木，对生态环境进行修复，对生态环境改善程度有限。</w:t>
      </w:r>
    </w:p>
    <w:p>
      <w:pPr>
        <w:widowControl/>
        <w:spacing w:line="560" w:lineRule="exact"/>
        <w:ind w:firstLine="643" w:firstLineChars="200"/>
        <w:jc w:val="left"/>
        <w:outlineLvl w:val="1"/>
        <w:rPr>
          <w:rFonts w:eastAsia="楷体"/>
          <w:b/>
          <w:bCs/>
          <w:color w:val="000000"/>
          <w:kern w:val="0"/>
          <w:sz w:val="32"/>
          <w:szCs w:val="32"/>
        </w:rPr>
      </w:pPr>
      <w:r>
        <w:rPr>
          <w:rFonts w:eastAsia="楷体"/>
          <w:b/>
          <w:bCs/>
          <w:color w:val="000000"/>
          <w:kern w:val="0"/>
          <w:sz w:val="32"/>
          <w:szCs w:val="32"/>
        </w:rPr>
        <w:t>（三）存在的问题和原因</w:t>
      </w:r>
    </w:p>
    <w:p>
      <w:pPr>
        <w:widowControl/>
        <w:spacing w:line="560" w:lineRule="exact"/>
        <w:ind w:firstLine="643" w:firstLineChars="200"/>
        <w:outlineLvl w:val="2"/>
        <w:rPr>
          <w:rFonts w:eastAsia="仿宋"/>
          <w:b/>
          <w:sz w:val="32"/>
          <w:szCs w:val="32"/>
        </w:rPr>
      </w:pPr>
      <w:r>
        <w:rPr>
          <w:rFonts w:eastAsia="仿宋"/>
          <w:b/>
          <w:sz w:val="32"/>
          <w:szCs w:val="32"/>
        </w:rPr>
        <w:t>1.上年度绩效评价结果应用情况</w:t>
      </w:r>
    </w:p>
    <w:p>
      <w:pPr>
        <w:widowControl/>
        <w:spacing w:line="560" w:lineRule="exact"/>
        <w:ind w:firstLine="640" w:firstLineChars="200"/>
        <w:jc w:val="left"/>
        <w:outlineLvl w:val="1"/>
        <w:rPr>
          <w:rFonts w:ascii="仿宋" w:hAnsi="仿宋" w:eastAsia="仿宋" w:cs="仿宋"/>
          <w:color w:val="000000"/>
          <w:kern w:val="0"/>
          <w:sz w:val="32"/>
          <w:szCs w:val="32"/>
        </w:rPr>
      </w:pPr>
      <w:r>
        <w:rPr>
          <w:rFonts w:hint="eastAsia" w:ascii="仿宋" w:hAnsi="仿宋" w:eastAsia="仿宋" w:cs="仿宋"/>
          <w:color w:val="000000"/>
          <w:kern w:val="0"/>
          <w:sz w:val="32"/>
          <w:szCs w:val="32"/>
        </w:rPr>
        <w:t>该项目为本年度新增项目，年中发生风灾等极端天气用于灾后树木清理及管护而设立，上年度无对应绩效评价。</w:t>
      </w:r>
    </w:p>
    <w:p>
      <w:pPr>
        <w:pStyle w:val="4"/>
        <w:spacing w:line="560" w:lineRule="exact"/>
        <w:ind w:firstLine="643"/>
        <w:rPr>
          <w:rFonts w:ascii="仿宋" w:hAnsi="仿宋" w:eastAsia="仿宋" w:cs="仿宋"/>
          <w:sz w:val="32"/>
          <w:szCs w:val="36"/>
        </w:rPr>
      </w:pPr>
      <w:bookmarkStart w:id="0" w:name="_Toc29819"/>
      <w:r>
        <w:rPr>
          <w:rFonts w:hint="eastAsia" w:ascii="仿宋" w:hAnsi="仿宋" w:eastAsia="仿宋" w:cs="仿宋"/>
          <w:sz w:val="32"/>
          <w:szCs w:val="36"/>
        </w:rPr>
        <w:t>2.本年度绩效管理中存在的问题和原因</w:t>
      </w:r>
      <w:bookmarkEnd w:id="0"/>
    </w:p>
    <w:p>
      <w:pPr>
        <w:keepNext/>
        <w:keepLines/>
        <w:shd w:val="clear" w:color="auto" w:fill="FFFFFF" w:themeFill="background1"/>
        <w:spacing w:line="560" w:lineRule="exact"/>
        <w:ind w:firstLine="640" w:firstLineChars="200"/>
        <w:contextualSpacing/>
        <w:jc w:val="left"/>
        <w:outlineLvl w:val="1"/>
        <w:rPr>
          <w:rFonts w:ascii="仿宋" w:hAnsi="仿宋" w:eastAsia="仿宋" w:cs="仿宋"/>
          <w:sz w:val="32"/>
          <w:szCs w:val="32"/>
        </w:rPr>
      </w:pPr>
      <w:bookmarkStart w:id="1" w:name="_Toc9638"/>
      <w:bookmarkStart w:id="2" w:name="_Toc10441"/>
      <w:bookmarkStart w:id="3" w:name="_Toc8732"/>
      <w:bookmarkStart w:id="4" w:name="_Toc11879"/>
      <w:r>
        <w:rPr>
          <w:rFonts w:hint="eastAsia" w:ascii="仿宋" w:hAnsi="仿宋" w:eastAsia="仿宋" w:cs="仿宋"/>
          <w:sz w:val="32"/>
          <w:szCs w:val="32"/>
        </w:rPr>
        <w:t>本年度生态效益指标未完成，年初目标值为生态环境改善，实际完成值为生态环境有一定改善，因为本项目主要为清理、补植、管护受极端天气影响的树木，对生态环境进行修复，对生态环境改善程度有限。</w:t>
      </w:r>
    </w:p>
    <w:p>
      <w:pPr>
        <w:keepNext/>
        <w:keepLines/>
        <w:shd w:val="clear" w:color="auto" w:fill="FFFFFF" w:themeFill="background1"/>
        <w:spacing w:line="560" w:lineRule="exact"/>
        <w:ind w:firstLine="643" w:firstLineChars="200"/>
        <w:contextualSpacing/>
        <w:jc w:val="left"/>
        <w:outlineLvl w:val="1"/>
        <w:rPr>
          <w:rFonts w:eastAsia="楷体"/>
          <w:b/>
          <w:bCs/>
          <w:sz w:val="32"/>
          <w:szCs w:val="32"/>
        </w:rPr>
      </w:pPr>
      <w:r>
        <w:rPr>
          <w:rFonts w:eastAsia="楷体"/>
          <w:b/>
          <w:bCs/>
          <w:sz w:val="32"/>
          <w:szCs w:val="32"/>
        </w:rPr>
        <w:t>（四）下一步拟改进措施</w:t>
      </w:r>
      <w:bookmarkEnd w:id="1"/>
      <w:bookmarkEnd w:id="2"/>
      <w:bookmarkEnd w:id="3"/>
      <w:bookmarkEnd w:id="4"/>
    </w:p>
    <w:p>
      <w:pPr>
        <w:pStyle w:val="2"/>
        <w:spacing w:after="0" w:line="560" w:lineRule="exact"/>
        <w:ind w:firstLine="640" w:firstLineChars="200"/>
        <w:rPr>
          <w:rFonts w:ascii="仿宋" w:hAnsi="仿宋" w:eastAsia="仿宋" w:cs="仿宋"/>
          <w:sz w:val="32"/>
          <w:szCs w:val="28"/>
        </w:rPr>
      </w:pPr>
      <w:r>
        <w:rPr>
          <w:rFonts w:hint="eastAsia" w:ascii="仿宋" w:hAnsi="仿宋" w:eastAsia="仿宋" w:cs="仿宋"/>
          <w:sz w:val="32"/>
          <w:szCs w:val="28"/>
        </w:rPr>
        <w:t>提高预算绩效目标指标编制水平，在预算申报时同步进行绩效目标的申报，针对生态环境改善程度不高的情况，应在补植断树的基础上多栽植新的树木，使得生态环境得到实质改善。</w:t>
      </w:r>
    </w:p>
    <w:p>
      <w:pPr>
        <w:pStyle w:val="2"/>
        <w:spacing w:after="0" w:line="560" w:lineRule="exact"/>
        <w:ind w:firstLine="600" w:firstLineChars="200"/>
        <w:rPr>
          <w:rFonts w:ascii="楷体" w:hAnsi="楷体" w:eastAsia="楷体" w:cs="楷体"/>
        </w:rPr>
      </w:pPr>
      <w:r>
        <w:rPr>
          <w:rFonts w:hint="eastAsia" w:ascii="楷体" w:hAnsi="楷体" w:eastAsia="楷体" w:cs="楷体"/>
        </w:rPr>
        <w:t>附件：2021年度风灾树木修复及补助资金项目自评表</w:t>
      </w:r>
    </w:p>
    <w:p>
      <w:pPr>
        <w:rPr>
          <w:rFonts w:ascii="楷体" w:hAnsi="楷体" w:eastAsia="楷体" w:cs="楷体"/>
        </w:rPr>
      </w:pPr>
      <w:r>
        <w:rPr>
          <w:rFonts w:hint="eastAsia" w:ascii="楷体" w:hAnsi="楷体" w:eastAsia="楷体" w:cs="楷体"/>
        </w:rPr>
        <w:br w:type="page"/>
      </w:r>
    </w:p>
    <w:p>
      <w:pPr>
        <w:pStyle w:val="2"/>
        <w:ind w:firstLine="643" w:firstLineChars="200"/>
        <w:rPr>
          <w:rFonts w:ascii="楷体" w:hAnsi="楷体" w:eastAsia="楷体" w:cs="楷体"/>
          <w:b/>
          <w:bCs/>
          <w:sz w:val="32"/>
          <w:szCs w:val="28"/>
        </w:rPr>
      </w:pPr>
      <w:r>
        <w:rPr>
          <w:rFonts w:hint="eastAsia" w:ascii="楷体" w:hAnsi="楷体" w:eastAsia="楷体" w:cs="楷体"/>
          <w:b/>
          <w:bCs/>
          <w:sz w:val="32"/>
          <w:szCs w:val="28"/>
        </w:rPr>
        <w:t>附件：</w:t>
      </w:r>
    </w:p>
    <w:p>
      <w:pPr>
        <w:pStyle w:val="3"/>
        <w:shd w:val="clear" w:color="auto" w:fill="FFFFFF" w:themeFill="background1"/>
        <w:ind w:firstLine="640"/>
        <w:contextualSpacing/>
        <w:jc w:val="center"/>
        <w:rPr>
          <w:rFonts w:ascii="Times New Roman" w:hAnsi="Times New Roman" w:eastAsia="仿宋" w:cs="Times New Roman"/>
          <w:b w:val="0"/>
          <w:bCs w:val="0"/>
        </w:rPr>
      </w:pPr>
      <w:r>
        <w:rPr>
          <w:rFonts w:ascii="Times New Roman" w:hAnsi="Times New Roman" w:eastAsia="仿宋" w:cs="Times New Roman"/>
          <w:b w:val="0"/>
          <w:bCs w:val="0"/>
        </w:rPr>
        <w:t>202</w:t>
      </w:r>
      <w:r>
        <w:rPr>
          <w:rFonts w:hint="eastAsia" w:ascii="Times New Roman" w:hAnsi="Times New Roman" w:eastAsia="仿宋" w:cs="Times New Roman"/>
          <w:b w:val="0"/>
          <w:bCs w:val="0"/>
        </w:rPr>
        <w:t>1</w:t>
      </w:r>
      <w:r>
        <w:rPr>
          <w:rFonts w:ascii="Times New Roman" w:hAnsi="Times New Roman" w:eastAsia="仿宋" w:cs="Times New Roman"/>
          <w:b w:val="0"/>
          <w:bCs w:val="0"/>
        </w:rPr>
        <w:t>年度</w:t>
      </w:r>
      <w:r>
        <w:rPr>
          <w:rFonts w:hint="eastAsia" w:ascii="Times New Roman" w:hAnsi="Times New Roman" w:eastAsia="仿宋" w:cs="Times New Roman"/>
          <w:b w:val="0"/>
          <w:bCs w:val="0"/>
        </w:rPr>
        <w:t>风灾树木修复及补助资金</w:t>
      </w:r>
      <w:r>
        <w:rPr>
          <w:rFonts w:ascii="Times New Roman" w:hAnsi="Times New Roman" w:eastAsia="仿宋" w:cs="Times New Roman"/>
          <w:b w:val="0"/>
          <w:bCs w:val="0"/>
        </w:rPr>
        <w:t>项目自评表</w:t>
      </w:r>
    </w:p>
    <w:tbl>
      <w:tblPr>
        <w:tblStyle w:val="9"/>
        <w:tblW w:w="5000" w:type="pct"/>
        <w:tblInd w:w="0" w:type="dxa"/>
        <w:tblLayout w:type="autofit"/>
        <w:tblCellMar>
          <w:top w:w="0" w:type="dxa"/>
          <w:left w:w="108" w:type="dxa"/>
          <w:bottom w:w="0" w:type="dxa"/>
          <w:right w:w="108" w:type="dxa"/>
        </w:tblCellMar>
      </w:tblPr>
      <w:tblGrid>
        <w:gridCol w:w="689"/>
        <w:gridCol w:w="1093"/>
        <w:gridCol w:w="1490"/>
        <w:gridCol w:w="1747"/>
        <w:gridCol w:w="1258"/>
        <w:gridCol w:w="1490"/>
        <w:gridCol w:w="1294"/>
      </w:tblGrid>
      <w:tr>
        <w:tblPrEx>
          <w:tblCellMar>
            <w:top w:w="0" w:type="dxa"/>
            <w:left w:w="108" w:type="dxa"/>
            <w:bottom w:w="0" w:type="dxa"/>
            <w:right w:w="108" w:type="dxa"/>
          </w:tblCellMar>
        </w:tblPrEx>
        <w:trPr>
          <w:trHeight w:val="432" w:hRule="atLeast"/>
        </w:trPr>
        <w:tc>
          <w:tcPr>
            <w:tcW w:w="5000" w:type="pct"/>
            <w:gridSpan w:val="7"/>
            <w:tcBorders>
              <w:top w:val="nil"/>
              <w:left w:val="nil"/>
              <w:bottom w:val="single" w:color="auto" w:sz="4" w:space="0"/>
              <w:right w:val="nil"/>
            </w:tcBorders>
            <w:shd w:val="clear" w:color="auto" w:fill="auto"/>
            <w:vAlign w:val="center"/>
          </w:tcPr>
          <w:p>
            <w:pPr>
              <w:widowControl/>
              <w:jc w:val="left"/>
              <w:rPr>
                <w:rFonts w:ascii="仿宋" w:hAnsi="仿宋"/>
                <w:kern w:val="0"/>
                <w:sz w:val="20"/>
                <w:szCs w:val="20"/>
              </w:rPr>
            </w:pPr>
            <w:r>
              <w:rPr>
                <w:rFonts w:hint="eastAsia" w:ascii="仿宋" w:hAnsi="仿宋"/>
                <w:kern w:val="0"/>
                <w:sz w:val="20"/>
                <w:szCs w:val="20"/>
              </w:rPr>
              <w:t xml:space="preserve">单位名称：武汉经济技术开发区（汉南区）自然资源和规划局                         </w:t>
            </w:r>
          </w:p>
          <w:p>
            <w:pPr>
              <w:widowControl/>
              <w:jc w:val="left"/>
              <w:rPr>
                <w:rFonts w:ascii="仿宋" w:hAnsi="仿宋"/>
                <w:kern w:val="0"/>
                <w:sz w:val="20"/>
                <w:szCs w:val="20"/>
              </w:rPr>
            </w:pPr>
            <w:r>
              <w:rPr>
                <w:rFonts w:hint="eastAsia" w:ascii="仿宋" w:hAnsi="仿宋"/>
                <w:kern w:val="0"/>
                <w:sz w:val="20"/>
                <w:szCs w:val="20"/>
              </w:rPr>
              <w:t>填报日期：2022年5月10日</w:t>
            </w:r>
          </w:p>
        </w:tc>
      </w:tr>
      <w:tr>
        <w:tblPrEx>
          <w:tblCellMar>
            <w:top w:w="0" w:type="dxa"/>
            <w:left w:w="108" w:type="dxa"/>
            <w:bottom w:w="0" w:type="dxa"/>
            <w:right w:w="108" w:type="dxa"/>
          </w:tblCellMar>
        </w:tblPrEx>
        <w:trPr>
          <w:trHeight w:val="420" w:hRule="atLeast"/>
        </w:trPr>
        <w:tc>
          <w:tcPr>
            <w:tcW w:w="98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sz w:val="20"/>
                <w:szCs w:val="20"/>
              </w:rPr>
            </w:pPr>
            <w:r>
              <w:rPr>
                <w:kern w:val="0"/>
                <w:sz w:val="20"/>
                <w:szCs w:val="20"/>
                <w:lang w:bidi="ar"/>
              </w:rPr>
              <w:t>项目名称</w:t>
            </w:r>
          </w:p>
        </w:tc>
        <w:tc>
          <w:tcPr>
            <w:tcW w:w="401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sz w:val="20"/>
                <w:szCs w:val="20"/>
              </w:rPr>
            </w:pPr>
            <w:r>
              <w:rPr>
                <w:rFonts w:hint="eastAsia"/>
                <w:kern w:val="0"/>
                <w:sz w:val="20"/>
                <w:szCs w:val="20"/>
                <w:lang w:bidi="ar"/>
              </w:rPr>
              <w:t>风灾树木修复及补助资金</w:t>
            </w:r>
            <w:r>
              <w:rPr>
                <w:kern w:val="0"/>
                <w:sz w:val="20"/>
                <w:szCs w:val="20"/>
                <w:lang w:bidi="ar"/>
              </w:rPr>
              <w:t>项目</w:t>
            </w:r>
          </w:p>
        </w:tc>
      </w:tr>
      <w:tr>
        <w:tblPrEx>
          <w:tblCellMar>
            <w:top w:w="0" w:type="dxa"/>
            <w:left w:w="108" w:type="dxa"/>
            <w:bottom w:w="0" w:type="dxa"/>
            <w:right w:w="108" w:type="dxa"/>
          </w:tblCellMar>
        </w:tblPrEx>
        <w:trPr>
          <w:trHeight w:val="720" w:hRule="atLeast"/>
        </w:trPr>
        <w:tc>
          <w:tcPr>
            <w:tcW w:w="98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sz w:val="20"/>
                <w:szCs w:val="20"/>
              </w:rPr>
            </w:pPr>
            <w:r>
              <w:rPr>
                <w:kern w:val="0"/>
                <w:sz w:val="20"/>
                <w:szCs w:val="20"/>
                <w:lang w:bidi="ar"/>
              </w:rPr>
              <w:t>主管部门</w:t>
            </w:r>
          </w:p>
        </w:tc>
        <w:tc>
          <w:tcPr>
            <w:tcW w:w="178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sz w:val="20"/>
                <w:szCs w:val="20"/>
              </w:rPr>
            </w:pPr>
            <w:r>
              <w:rPr>
                <w:kern w:val="0"/>
                <w:sz w:val="20"/>
                <w:szCs w:val="20"/>
                <w:lang w:bidi="ar"/>
              </w:rPr>
              <w:t>武汉经济技术开发区（汉南区）自然资源和规划局</w:t>
            </w:r>
          </w:p>
        </w:tc>
        <w:tc>
          <w:tcPr>
            <w:tcW w:w="6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sz w:val="20"/>
                <w:szCs w:val="20"/>
              </w:rPr>
            </w:pPr>
            <w:r>
              <w:rPr>
                <w:kern w:val="0"/>
                <w:sz w:val="20"/>
                <w:szCs w:val="20"/>
                <w:lang w:bidi="ar"/>
              </w:rPr>
              <w:t>项目实施单位</w:t>
            </w:r>
          </w:p>
        </w:tc>
        <w:tc>
          <w:tcPr>
            <w:tcW w:w="15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sz w:val="20"/>
                <w:szCs w:val="20"/>
              </w:rPr>
            </w:pPr>
            <w:r>
              <w:rPr>
                <w:kern w:val="0"/>
                <w:sz w:val="20"/>
                <w:szCs w:val="20"/>
                <w:lang w:bidi="ar"/>
              </w:rPr>
              <w:t>园林管理中心</w:t>
            </w:r>
          </w:p>
        </w:tc>
      </w:tr>
      <w:tr>
        <w:tblPrEx>
          <w:tblCellMar>
            <w:top w:w="0" w:type="dxa"/>
            <w:left w:w="108" w:type="dxa"/>
            <w:bottom w:w="0" w:type="dxa"/>
            <w:right w:w="108" w:type="dxa"/>
          </w:tblCellMar>
        </w:tblPrEx>
        <w:trPr>
          <w:trHeight w:val="412" w:hRule="atLeast"/>
        </w:trPr>
        <w:tc>
          <w:tcPr>
            <w:tcW w:w="98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sz w:val="20"/>
                <w:szCs w:val="20"/>
              </w:rPr>
            </w:pPr>
            <w:r>
              <w:rPr>
                <w:kern w:val="0"/>
                <w:sz w:val="20"/>
                <w:szCs w:val="20"/>
                <w:lang w:bidi="ar"/>
              </w:rPr>
              <w:t>项目类别</w:t>
            </w:r>
          </w:p>
        </w:tc>
        <w:tc>
          <w:tcPr>
            <w:tcW w:w="401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left"/>
              <w:textAlignment w:val="center"/>
              <w:rPr>
                <w:sz w:val="20"/>
                <w:szCs w:val="20"/>
              </w:rPr>
            </w:pPr>
            <w:r>
              <w:rPr>
                <w:kern w:val="0"/>
                <w:sz w:val="20"/>
                <w:szCs w:val="20"/>
                <w:lang w:bidi="ar"/>
              </w:rPr>
              <w:t xml:space="preserve">1.部门预算项目   </w:t>
            </w:r>
            <w:r>
              <w:rPr>
                <w:rFonts w:hint="eastAsia"/>
                <w:kern w:val="0"/>
                <w:sz w:val="20"/>
                <w:szCs w:val="20"/>
                <w:lang w:bidi="ar"/>
              </w:rPr>
              <w:t xml:space="preserve"> </w:t>
            </w:r>
            <w:r>
              <w:rPr>
                <w:kern w:val="0"/>
                <w:sz w:val="20"/>
                <w:szCs w:val="20"/>
                <w:lang w:bidi="ar"/>
              </w:rPr>
              <w:sym w:font="Wingdings" w:char="00FE"/>
            </w:r>
            <w:r>
              <w:rPr>
                <w:kern w:val="0"/>
                <w:sz w:val="20"/>
                <w:szCs w:val="20"/>
                <w:lang w:bidi="ar"/>
              </w:rPr>
              <w:t xml:space="preserve">    2.财政专项资金</w:t>
            </w:r>
            <w:r>
              <w:rPr>
                <w:rFonts w:hint="eastAsia"/>
                <w:kern w:val="0"/>
                <w:sz w:val="20"/>
                <w:szCs w:val="20"/>
                <w:lang w:bidi="ar"/>
              </w:rPr>
              <w:t xml:space="preserve">   </w:t>
            </w:r>
            <w:r>
              <w:rPr>
                <w:kern w:val="0"/>
                <w:sz w:val="20"/>
                <w:szCs w:val="20"/>
                <w:lang w:bidi="ar"/>
              </w:rPr>
              <w:t xml:space="preserve"> □  </w:t>
            </w:r>
          </w:p>
        </w:tc>
      </w:tr>
      <w:tr>
        <w:tblPrEx>
          <w:tblCellMar>
            <w:top w:w="0" w:type="dxa"/>
            <w:left w:w="108" w:type="dxa"/>
            <w:bottom w:w="0" w:type="dxa"/>
            <w:right w:w="108" w:type="dxa"/>
          </w:tblCellMar>
        </w:tblPrEx>
        <w:trPr>
          <w:trHeight w:val="262" w:hRule="atLeast"/>
        </w:trPr>
        <w:tc>
          <w:tcPr>
            <w:tcW w:w="98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sz w:val="20"/>
                <w:szCs w:val="20"/>
              </w:rPr>
            </w:pPr>
            <w:r>
              <w:rPr>
                <w:kern w:val="0"/>
                <w:sz w:val="20"/>
                <w:szCs w:val="20"/>
                <w:lang w:bidi="ar"/>
              </w:rPr>
              <w:t>项目属性</w:t>
            </w:r>
          </w:p>
        </w:tc>
        <w:tc>
          <w:tcPr>
            <w:tcW w:w="401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left"/>
              <w:textAlignment w:val="center"/>
              <w:rPr>
                <w:sz w:val="20"/>
                <w:szCs w:val="20"/>
              </w:rPr>
            </w:pPr>
            <w:r>
              <w:rPr>
                <w:kern w:val="0"/>
                <w:sz w:val="20"/>
                <w:szCs w:val="20"/>
                <w:lang w:bidi="ar"/>
              </w:rPr>
              <w:t xml:space="preserve">1.持续性项目      □       2.新增性项目    </w:t>
            </w:r>
            <w:r>
              <w:rPr>
                <w:rFonts w:hint="eastAsia"/>
                <w:kern w:val="0"/>
                <w:sz w:val="20"/>
                <w:szCs w:val="20"/>
                <w:lang w:bidi="ar"/>
              </w:rPr>
              <w:t xml:space="preserve"> </w:t>
            </w:r>
            <w:r>
              <w:rPr>
                <w:rFonts w:hint="eastAsia"/>
                <w:kern w:val="0"/>
                <w:sz w:val="20"/>
                <w:szCs w:val="20"/>
                <w:lang w:bidi="ar"/>
              </w:rPr>
              <w:sym w:font="Wingdings" w:char="00FE"/>
            </w:r>
          </w:p>
        </w:tc>
      </w:tr>
      <w:tr>
        <w:tblPrEx>
          <w:tblCellMar>
            <w:top w:w="0" w:type="dxa"/>
            <w:left w:w="108" w:type="dxa"/>
            <w:bottom w:w="0" w:type="dxa"/>
            <w:right w:w="108" w:type="dxa"/>
          </w:tblCellMar>
        </w:tblPrEx>
        <w:trPr>
          <w:trHeight w:val="110" w:hRule="atLeast"/>
        </w:trPr>
        <w:tc>
          <w:tcPr>
            <w:tcW w:w="98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sz w:val="20"/>
                <w:szCs w:val="20"/>
              </w:rPr>
            </w:pPr>
            <w:r>
              <w:rPr>
                <w:kern w:val="0"/>
                <w:sz w:val="20"/>
                <w:szCs w:val="20"/>
                <w:lang w:bidi="ar"/>
              </w:rPr>
              <w:t>项目类型</w:t>
            </w:r>
          </w:p>
        </w:tc>
        <w:tc>
          <w:tcPr>
            <w:tcW w:w="401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left"/>
              <w:textAlignment w:val="center"/>
              <w:rPr>
                <w:sz w:val="20"/>
                <w:szCs w:val="20"/>
              </w:rPr>
            </w:pPr>
            <w:r>
              <w:rPr>
                <w:kern w:val="0"/>
                <w:sz w:val="20"/>
                <w:szCs w:val="20"/>
                <w:lang w:bidi="ar"/>
              </w:rPr>
              <w:t xml:space="preserve">1.常年性项目      □       2.延续性项目    </w:t>
            </w:r>
            <w:r>
              <w:rPr>
                <w:rFonts w:hint="eastAsia"/>
                <w:kern w:val="0"/>
                <w:sz w:val="20"/>
                <w:szCs w:val="20"/>
                <w:lang w:bidi="ar"/>
              </w:rPr>
              <w:t xml:space="preserve"> </w:t>
            </w:r>
            <w:r>
              <w:rPr>
                <w:rFonts w:hint="eastAsia"/>
                <w:kern w:val="0"/>
                <w:sz w:val="20"/>
                <w:szCs w:val="20"/>
                <w:lang w:bidi="ar"/>
              </w:rPr>
              <w:sym w:font="Wingdings" w:char="00FE"/>
            </w:r>
            <w:r>
              <w:rPr>
                <w:kern w:val="0"/>
                <w:sz w:val="20"/>
                <w:szCs w:val="20"/>
                <w:lang w:bidi="ar"/>
              </w:rPr>
              <w:t xml:space="preserve">      3.一次性项目  </w:t>
            </w:r>
            <w:r>
              <w:rPr>
                <w:rFonts w:hint="eastAsia"/>
                <w:kern w:val="0"/>
                <w:sz w:val="20"/>
                <w:szCs w:val="20"/>
                <w:lang w:bidi="ar"/>
              </w:rPr>
              <w:t xml:space="preserve"> </w:t>
            </w:r>
            <w:r>
              <w:rPr>
                <w:kern w:val="0"/>
                <w:sz w:val="20"/>
                <w:szCs w:val="20"/>
                <w:lang w:bidi="ar"/>
              </w:rPr>
              <w:t xml:space="preserve"> □</w:t>
            </w:r>
          </w:p>
        </w:tc>
      </w:tr>
      <w:tr>
        <w:tblPrEx>
          <w:tblCellMar>
            <w:top w:w="0" w:type="dxa"/>
            <w:left w:w="108" w:type="dxa"/>
            <w:bottom w:w="0" w:type="dxa"/>
            <w:right w:w="108" w:type="dxa"/>
          </w:tblCellMar>
        </w:tblPrEx>
        <w:trPr>
          <w:trHeight w:val="705" w:hRule="atLeast"/>
        </w:trPr>
        <w:tc>
          <w:tcPr>
            <w:tcW w:w="984"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sz w:val="20"/>
                <w:szCs w:val="20"/>
              </w:rPr>
            </w:pPr>
            <w:r>
              <w:rPr>
                <w:kern w:val="0"/>
                <w:sz w:val="20"/>
                <w:szCs w:val="20"/>
                <w:lang w:bidi="ar"/>
              </w:rPr>
              <w:t>预算执行情况</w:t>
            </w:r>
            <w:r>
              <w:rPr>
                <w:kern w:val="0"/>
                <w:sz w:val="20"/>
                <w:szCs w:val="20"/>
                <w:lang w:bidi="ar"/>
              </w:rPr>
              <w:br w:type="textWrapping"/>
            </w:r>
            <w:r>
              <w:rPr>
                <w:kern w:val="0"/>
                <w:sz w:val="20"/>
                <w:szCs w:val="20"/>
                <w:lang w:bidi="ar"/>
              </w:rPr>
              <w:t>（万元）</w:t>
            </w:r>
            <w:r>
              <w:rPr>
                <w:kern w:val="0"/>
                <w:sz w:val="20"/>
                <w:szCs w:val="20"/>
                <w:lang w:bidi="ar"/>
              </w:rPr>
              <w:br w:type="textWrapping"/>
            </w:r>
            <w:r>
              <w:rPr>
                <w:kern w:val="0"/>
                <w:sz w:val="20"/>
                <w:szCs w:val="20"/>
                <w:lang w:bidi="ar"/>
              </w:rPr>
              <w:t>（20分）</w:t>
            </w:r>
          </w:p>
        </w:tc>
        <w:tc>
          <w:tcPr>
            <w:tcW w:w="82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sz w:val="20"/>
                <w:szCs w:val="20"/>
              </w:rPr>
            </w:pPr>
            <w:r>
              <w:rPr>
                <w:kern w:val="0"/>
                <w:sz w:val="20"/>
                <w:szCs w:val="20"/>
                <w:lang w:bidi="ar"/>
              </w:rPr>
              <w:t>年度财政资金总额</w:t>
            </w:r>
          </w:p>
        </w:tc>
        <w:tc>
          <w:tcPr>
            <w:tcW w:w="96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sz w:val="20"/>
                <w:szCs w:val="20"/>
              </w:rPr>
            </w:pPr>
            <w:r>
              <w:rPr>
                <w:kern w:val="0"/>
                <w:sz w:val="20"/>
                <w:szCs w:val="20"/>
                <w:lang w:bidi="ar"/>
              </w:rPr>
              <w:t>预算数（A）</w:t>
            </w:r>
          </w:p>
        </w:tc>
        <w:tc>
          <w:tcPr>
            <w:tcW w:w="6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sz w:val="20"/>
                <w:szCs w:val="20"/>
              </w:rPr>
            </w:pPr>
            <w:r>
              <w:rPr>
                <w:kern w:val="0"/>
                <w:sz w:val="20"/>
                <w:szCs w:val="20"/>
                <w:lang w:bidi="ar"/>
              </w:rPr>
              <w:t>执行数（B）</w:t>
            </w:r>
          </w:p>
        </w:tc>
        <w:tc>
          <w:tcPr>
            <w:tcW w:w="8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sz w:val="20"/>
                <w:szCs w:val="20"/>
              </w:rPr>
            </w:pPr>
            <w:r>
              <w:rPr>
                <w:kern w:val="0"/>
                <w:sz w:val="20"/>
                <w:szCs w:val="20"/>
                <w:lang w:bidi="ar"/>
              </w:rPr>
              <w:t>执行率(B/A)</w:t>
            </w:r>
          </w:p>
        </w:tc>
        <w:tc>
          <w:tcPr>
            <w:tcW w:w="71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sz w:val="20"/>
                <w:szCs w:val="20"/>
              </w:rPr>
            </w:pPr>
            <w:r>
              <w:rPr>
                <w:kern w:val="0"/>
                <w:sz w:val="20"/>
                <w:szCs w:val="20"/>
                <w:lang w:bidi="ar"/>
              </w:rPr>
              <w:t>得分(20分*执行率)</w:t>
            </w:r>
          </w:p>
        </w:tc>
      </w:tr>
      <w:tr>
        <w:tblPrEx>
          <w:tblCellMar>
            <w:top w:w="0" w:type="dxa"/>
            <w:left w:w="108" w:type="dxa"/>
            <w:bottom w:w="0" w:type="dxa"/>
            <w:right w:w="108" w:type="dxa"/>
          </w:tblCellMar>
        </w:tblPrEx>
        <w:trPr>
          <w:trHeight w:val="210" w:hRule="atLeast"/>
        </w:trPr>
        <w:tc>
          <w:tcPr>
            <w:tcW w:w="98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rPr>
                <w:sz w:val="20"/>
                <w:szCs w:val="20"/>
              </w:rPr>
            </w:pPr>
          </w:p>
        </w:tc>
        <w:tc>
          <w:tcPr>
            <w:tcW w:w="8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rPr>
                <w:sz w:val="20"/>
                <w:szCs w:val="20"/>
              </w:rPr>
            </w:pPr>
          </w:p>
        </w:tc>
        <w:tc>
          <w:tcPr>
            <w:tcW w:w="96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eastAsia="仿宋"/>
                <w:sz w:val="20"/>
                <w:szCs w:val="20"/>
              </w:rPr>
            </w:pPr>
            <w:r>
              <w:rPr>
                <w:rFonts w:hint="eastAsia"/>
                <w:kern w:val="0"/>
                <w:sz w:val="20"/>
                <w:szCs w:val="20"/>
                <w:lang w:bidi="ar"/>
              </w:rPr>
              <w:t>742.41</w:t>
            </w:r>
          </w:p>
        </w:tc>
        <w:tc>
          <w:tcPr>
            <w:tcW w:w="6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eastAsia="仿宋"/>
                <w:sz w:val="20"/>
                <w:szCs w:val="20"/>
              </w:rPr>
            </w:pPr>
            <w:r>
              <w:rPr>
                <w:rFonts w:hint="eastAsia"/>
                <w:kern w:val="0"/>
                <w:sz w:val="20"/>
                <w:szCs w:val="20"/>
                <w:lang w:bidi="ar"/>
              </w:rPr>
              <w:t>702.46</w:t>
            </w:r>
          </w:p>
        </w:tc>
        <w:tc>
          <w:tcPr>
            <w:tcW w:w="8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sz w:val="20"/>
                <w:szCs w:val="20"/>
              </w:rPr>
            </w:pPr>
            <w:r>
              <w:rPr>
                <w:rFonts w:hint="eastAsia"/>
                <w:kern w:val="0"/>
                <w:sz w:val="20"/>
                <w:szCs w:val="20"/>
                <w:lang w:bidi="ar"/>
              </w:rPr>
              <w:t>94.62%</w:t>
            </w:r>
          </w:p>
        </w:tc>
        <w:tc>
          <w:tcPr>
            <w:tcW w:w="71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sz w:val="20"/>
                <w:szCs w:val="20"/>
              </w:rPr>
            </w:pPr>
            <w:r>
              <w:rPr>
                <w:rFonts w:hint="eastAsia"/>
                <w:kern w:val="0"/>
                <w:sz w:val="20"/>
                <w:szCs w:val="20"/>
                <w:lang w:bidi="ar"/>
              </w:rPr>
              <w:t>18.9</w:t>
            </w:r>
            <w:r>
              <w:rPr>
                <w:kern w:val="0"/>
                <w:sz w:val="20"/>
                <w:szCs w:val="20"/>
                <w:lang w:bidi="ar"/>
              </w:rPr>
              <w:t xml:space="preserve"> </w:t>
            </w:r>
          </w:p>
        </w:tc>
      </w:tr>
      <w:tr>
        <w:tblPrEx>
          <w:tblCellMar>
            <w:top w:w="0" w:type="dxa"/>
            <w:left w:w="108" w:type="dxa"/>
            <w:bottom w:w="0" w:type="dxa"/>
            <w:right w:w="108" w:type="dxa"/>
          </w:tblCellMar>
        </w:tblPrEx>
        <w:trPr>
          <w:trHeight w:val="246" w:hRule="atLeast"/>
        </w:trPr>
        <w:tc>
          <w:tcPr>
            <w:tcW w:w="381" w:type="pct"/>
            <w:vMerge w:val="restart"/>
            <w:tcBorders>
              <w:top w:val="single" w:color="000000" w:sz="4" w:space="0"/>
              <w:left w:val="single" w:color="000000" w:sz="4" w:space="0"/>
              <w:bottom w:val="nil"/>
              <w:right w:val="single" w:color="000000" w:sz="4" w:space="0"/>
            </w:tcBorders>
            <w:shd w:val="clear" w:color="auto" w:fill="auto"/>
            <w:textDirection w:val="tbRlV"/>
            <w:vAlign w:val="center"/>
          </w:tcPr>
          <w:p>
            <w:pPr>
              <w:widowControl/>
              <w:spacing w:line="300" w:lineRule="exact"/>
              <w:jc w:val="center"/>
              <w:textAlignment w:val="center"/>
              <w:rPr>
                <w:sz w:val="20"/>
                <w:szCs w:val="20"/>
              </w:rPr>
            </w:pPr>
            <w:r>
              <w:rPr>
                <w:kern w:val="0"/>
                <w:sz w:val="20"/>
                <w:szCs w:val="20"/>
                <w:lang w:bidi="ar"/>
              </w:rPr>
              <w:t>年度绩效目标</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sz w:val="20"/>
                <w:szCs w:val="20"/>
              </w:rPr>
            </w:pPr>
            <w:r>
              <w:rPr>
                <w:kern w:val="0"/>
                <w:sz w:val="20"/>
                <w:szCs w:val="20"/>
                <w:lang w:bidi="ar"/>
              </w:rPr>
              <w:t>一级指标</w:t>
            </w:r>
          </w:p>
        </w:tc>
        <w:tc>
          <w:tcPr>
            <w:tcW w:w="8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sz w:val="20"/>
                <w:szCs w:val="20"/>
              </w:rPr>
            </w:pPr>
            <w:r>
              <w:rPr>
                <w:kern w:val="0"/>
                <w:sz w:val="20"/>
                <w:szCs w:val="20"/>
                <w:lang w:bidi="ar"/>
              </w:rPr>
              <w:t>二级指标</w:t>
            </w:r>
          </w:p>
        </w:tc>
        <w:tc>
          <w:tcPr>
            <w:tcW w:w="96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sz w:val="20"/>
                <w:szCs w:val="20"/>
              </w:rPr>
            </w:pPr>
            <w:r>
              <w:rPr>
                <w:kern w:val="0"/>
                <w:sz w:val="20"/>
                <w:szCs w:val="20"/>
                <w:lang w:bidi="ar"/>
              </w:rPr>
              <w:t>指标名称</w:t>
            </w:r>
          </w:p>
        </w:tc>
        <w:tc>
          <w:tcPr>
            <w:tcW w:w="6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sz w:val="20"/>
                <w:szCs w:val="20"/>
              </w:rPr>
            </w:pPr>
            <w:r>
              <w:rPr>
                <w:kern w:val="0"/>
                <w:sz w:val="20"/>
                <w:szCs w:val="20"/>
                <w:lang w:bidi="ar"/>
              </w:rPr>
              <w:t>年初目标值（A）</w:t>
            </w:r>
          </w:p>
        </w:tc>
        <w:tc>
          <w:tcPr>
            <w:tcW w:w="8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sz w:val="20"/>
                <w:szCs w:val="20"/>
              </w:rPr>
            </w:pPr>
            <w:r>
              <w:rPr>
                <w:kern w:val="0"/>
                <w:sz w:val="20"/>
                <w:szCs w:val="20"/>
                <w:lang w:bidi="ar"/>
              </w:rPr>
              <w:t>实际完成值（B）</w:t>
            </w:r>
          </w:p>
        </w:tc>
        <w:tc>
          <w:tcPr>
            <w:tcW w:w="71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sz w:val="20"/>
                <w:szCs w:val="20"/>
              </w:rPr>
            </w:pPr>
            <w:r>
              <w:rPr>
                <w:kern w:val="0"/>
                <w:sz w:val="20"/>
                <w:szCs w:val="20"/>
                <w:lang w:bidi="ar"/>
              </w:rPr>
              <w:t>得分</w:t>
            </w:r>
          </w:p>
        </w:tc>
      </w:tr>
      <w:tr>
        <w:tblPrEx>
          <w:tblCellMar>
            <w:top w:w="0" w:type="dxa"/>
            <w:left w:w="108" w:type="dxa"/>
            <w:bottom w:w="0" w:type="dxa"/>
            <w:right w:w="108" w:type="dxa"/>
          </w:tblCellMar>
        </w:tblPrEx>
        <w:trPr>
          <w:trHeight w:val="280" w:hRule="atLeast"/>
        </w:trPr>
        <w:tc>
          <w:tcPr>
            <w:tcW w:w="381" w:type="pct"/>
            <w:vMerge w:val="continue"/>
            <w:tcBorders>
              <w:top w:val="single" w:color="000000" w:sz="4" w:space="0"/>
              <w:left w:val="single" w:color="000000" w:sz="4" w:space="0"/>
              <w:bottom w:val="nil"/>
              <w:right w:val="single" w:color="000000" w:sz="4" w:space="0"/>
            </w:tcBorders>
            <w:shd w:val="clear" w:color="auto" w:fill="auto"/>
            <w:textDirection w:val="tbRlV"/>
            <w:vAlign w:val="center"/>
          </w:tcPr>
          <w:p>
            <w:pPr>
              <w:widowControl/>
              <w:spacing w:line="300" w:lineRule="exact"/>
              <w:jc w:val="center"/>
              <w:rPr>
                <w:sz w:val="20"/>
                <w:szCs w:val="20"/>
              </w:rPr>
            </w:pPr>
          </w:p>
        </w:tc>
        <w:tc>
          <w:tcPr>
            <w:tcW w:w="603" w:type="pct"/>
            <w:vMerge w:val="restart"/>
            <w:tcBorders>
              <w:top w:val="single" w:color="000000" w:sz="4" w:space="0"/>
              <w:left w:val="single" w:color="000000" w:sz="4" w:space="0"/>
              <w:right w:val="single" w:color="000000" w:sz="4" w:space="0"/>
            </w:tcBorders>
            <w:shd w:val="clear" w:color="auto" w:fill="auto"/>
            <w:vAlign w:val="center"/>
          </w:tcPr>
          <w:p>
            <w:pPr>
              <w:widowControl/>
              <w:spacing w:line="300" w:lineRule="exact"/>
              <w:jc w:val="center"/>
              <w:textAlignment w:val="center"/>
              <w:rPr>
                <w:sz w:val="20"/>
                <w:szCs w:val="20"/>
              </w:rPr>
            </w:pPr>
            <w:r>
              <w:rPr>
                <w:kern w:val="0"/>
                <w:sz w:val="20"/>
                <w:szCs w:val="20"/>
                <w:lang w:bidi="ar"/>
              </w:rPr>
              <w:t>产出指标</w:t>
            </w:r>
            <w:r>
              <w:rPr>
                <w:kern w:val="0"/>
                <w:sz w:val="20"/>
                <w:szCs w:val="20"/>
                <w:lang w:bidi="ar"/>
              </w:rPr>
              <w:br w:type="textWrapping"/>
            </w:r>
            <w:r>
              <w:rPr>
                <w:kern w:val="0"/>
                <w:sz w:val="20"/>
                <w:szCs w:val="20"/>
                <w:lang w:bidi="ar"/>
              </w:rPr>
              <w:t>（40分）</w:t>
            </w:r>
          </w:p>
        </w:tc>
        <w:tc>
          <w:tcPr>
            <w:tcW w:w="8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kern w:val="0"/>
                <w:sz w:val="20"/>
                <w:szCs w:val="20"/>
                <w:lang w:bidi="ar"/>
              </w:rPr>
            </w:pPr>
            <w:r>
              <w:rPr>
                <w:kern w:val="0"/>
                <w:sz w:val="20"/>
                <w:szCs w:val="20"/>
                <w:lang w:bidi="ar"/>
              </w:rPr>
              <w:t>数量指标</w:t>
            </w:r>
            <w:r>
              <w:rPr>
                <w:kern w:val="0"/>
                <w:sz w:val="20"/>
                <w:szCs w:val="20"/>
                <w:lang w:bidi="ar"/>
              </w:rPr>
              <w:br w:type="textWrapping"/>
            </w:r>
            <w:r>
              <w:rPr>
                <w:kern w:val="0"/>
                <w:sz w:val="20"/>
                <w:szCs w:val="20"/>
                <w:lang w:bidi="ar"/>
              </w:rPr>
              <w:t>（1</w:t>
            </w:r>
            <w:r>
              <w:rPr>
                <w:rFonts w:hint="eastAsia"/>
                <w:kern w:val="0"/>
                <w:sz w:val="20"/>
                <w:szCs w:val="20"/>
                <w:lang w:bidi="ar"/>
              </w:rPr>
              <w:t>0</w:t>
            </w:r>
            <w:r>
              <w:rPr>
                <w:kern w:val="0"/>
                <w:sz w:val="20"/>
                <w:szCs w:val="20"/>
                <w:lang w:bidi="ar"/>
              </w:rPr>
              <w:t>分）</w:t>
            </w:r>
          </w:p>
        </w:tc>
        <w:tc>
          <w:tcPr>
            <w:tcW w:w="96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color w:val="auto"/>
                <w:kern w:val="0"/>
                <w:sz w:val="20"/>
                <w:szCs w:val="20"/>
                <w:lang w:bidi="ar"/>
              </w:rPr>
            </w:pPr>
            <w:r>
              <w:rPr>
                <w:rFonts w:hint="eastAsia"/>
                <w:color w:val="auto"/>
                <w:kern w:val="0"/>
                <w:sz w:val="20"/>
                <w:szCs w:val="20"/>
                <w:lang w:bidi="ar"/>
              </w:rPr>
              <w:t>栽植乔木数</w:t>
            </w:r>
          </w:p>
        </w:tc>
        <w:tc>
          <w:tcPr>
            <w:tcW w:w="6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color w:val="auto"/>
                <w:kern w:val="0"/>
                <w:sz w:val="20"/>
                <w:szCs w:val="20"/>
                <w:lang w:bidi="ar"/>
              </w:rPr>
            </w:pPr>
            <w:r>
              <w:rPr>
                <w:rFonts w:hint="eastAsia"/>
                <w:color w:val="auto"/>
                <w:kern w:val="0"/>
                <w:sz w:val="20"/>
                <w:szCs w:val="20"/>
                <w:lang w:bidi="ar"/>
              </w:rPr>
              <w:t>1164株</w:t>
            </w:r>
          </w:p>
        </w:tc>
        <w:tc>
          <w:tcPr>
            <w:tcW w:w="822" w:type="pct"/>
            <w:tcBorders>
              <w:top w:val="single" w:color="000000" w:sz="4" w:space="0"/>
              <w:left w:val="single" w:color="000000" w:sz="4" w:space="0"/>
              <w:bottom w:val="single" w:color="000000" w:sz="4" w:space="0"/>
              <w:right w:val="nil"/>
            </w:tcBorders>
            <w:shd w:val="clear" w:color="auto" w:fill="auto"/>
            <w:vAlign w:val="center"/>
          </w:tcPr>
          <w:p>
            <w:pPr>
              <w:widowControl/>
              <w:spacing w:line="300" w:lineRule="exact"/>
              <w:jc w:val="center"/>
              <w:textAlignment w:val="center"/>
              <w:rPr>
                <w:color w:val="auto"/>
                <w:kern w:val="0"/>
                <w:sz w:val="20"/>
                <w:szCs w:val="20"/>
                <w:lang w:bidi="ar"/>
              </w:rPr>
            </w:pPr>
            <w:r>
              <w:rPr>
                <w:rFonts w:hint="eastAsia"/>
                <w:color w:val="auto"/>
                <w:kern w:val="0"/>
                <w:sz w:val="20"/>
                <w:szCs w:val="20"/>
                <w:lang w:bidi="ar"/>
              </w:rPr>
              <w:t>1164株</w:t>
            </w:r>
          </w:p>
        </w:tc>
        <w:tc>
          <w:tcPr>
            <w:tcW w:w="71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kern w:val="0"/>
                <w:sz w:val="20"/>
                <w:szCs w:val="20"/>
                <w:lang w:bidi="ar"/>
              </w:rPr>
            </w:pPr>
            <w:r>
              <w:rPr>
                <w:rFonts w:hint="eastAsia"/>
                <w:kern w:val="0"/>
                <w:sz w:val="20"/>
                <w:szCs w:val="20"/>
                <w:lang w:bidi="ar"/>
              </w:rPr>
              <w:t>10</w:t>
            </w:r>
          </w:p>
        </w:tc>
      </w:tr>
      <w:tr>
        <w:tblPrEx>
          <w:tblCellMar>
            <w:top w:w="0" w:type="dxa"/>
            <w:left w:w="108" w:type="dxa"/>
            <w:bottom w:w="0" w:type="dxa"/>
            <w:right w:w="108" w:type="dxa"/>
          </w:tblCellMar>
        </w:tblPrEx>
        <w:trPr>
          <w:trHeight w:val="280" w:hRule="atLeast"/>
        </w:trPr>
        <w:tc>
          <w:tcPr>
            <w:tcW w:w="381" w:type="pct"/>
            <w:vMerge w:val="continue"/>
            <w:tcBorders>
              <w:top w:val="single" w:color="000000" w:sz="4" w:space="0"/>
              <w:left w:val="single" w:color="000000" w:sz="4" w:space="0"/>
              <w:bottom w:val="nil"/>
              <w:right w:val="single" w:color="000000" w:sz="4" w:space="0"/>
            </w:tcBorders>
            <w:shd w:val="clear" w:color="auto" w:fill="auto"/>
            <w:textDirection w:val="tbRlV"/>
            <w:vAlign w:val="center"/>
          </w:tcPr>
          <w:p>
            <w:pPr>
              <w:widowControl/>
              <w:spacing w:line="300" w:lineRule="exact"/>
              <w:jc w:val="center"/>
              <w:rPr>
                <w:sz w:val="20"/>
                <w:szCs w:val="20"/>
              </w:rPr>
            </w:pPr>
          </w:p>
        </w:tc>
        <w:tc>
          <w:tcPr>
            <w:tcW w:w="603" w:type="pct"/>
            <w:vMerge w:val="continue"/>
            <w:tcBorders>
              <w:left w:val="single" w:color="000000" w:sz="4" w:space="0"/>
              <w:right w:val="single" w:color="000000" w:sz="4" w:space="0"/>
            </w:tcBorders>
            <w:shd w:val="clear" w:color="auto" w:fill="auto"/>
            <w:vAlign w:val="center"/>
          </w:tcPr>
          <w:p>
            <w:pPr>
              <w:widowControl/>
              <w:spacing w:line="300" w:lineRule="exact"/>
              <w:jc w:val="center"/>
              <w:textAlignment w:val="center"/>
              <w:rPr>
                <w:sz w:val="20"/>
                <w:szCs w:val="20"/>
              </w:rPr>
            </w:pPr>
          </w:p>
        </w:tc>
        <w:tc>
          <w:tcPr>
            <w:tcW w:w="8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sz w:val="20"/>
                <w:szCs w:val="20"/>
              </w:rPr>
            </w:pPr>
            <w:r>
              <w:rPr>
                <w:rFonts w:hint="eastAsia"/>
                <w:kern w:val="0"/>
                <w:sz w:val="20"/>
                <w:szCs w:val="20"/>
                <w:lang w:bidi="ar"/>
              </w:rPr>
              <w:t>质量</w:t>
            </w:r>
            <w:r>
              <w:rPr>
                <w:kern w:val="0"/>
                <w:sz w:val="20"/>
                <w:szCs w:val="20"/>
                <w:lang w:bidi="ar"/>
              </w:rPr>
              <w:t>指标</w:t>
            </w:r>
            <w:r>
              <w:rPr>
                <w:kern w:val="0"/>
                <w:sz w:val="20"/>
                <w:szCs w:val="20"/>
                <w:lang w:bidi="ar"/>
              </w:rPr>
              <w:br w:type="textWrapping"/>
            </w:r>
            <w:r>
              <w:rPr>
                <w:kern w:val="0"/>
                <w:sz w:val="20"/>
                <w:szCs w:val="20"/>
                <w:lang w:bidi="ar"/>
              </w:rPr>
              <w:t>（1</w:t>
            </w:r>
            <w:r>
              <w:rPr>
                <w:rFonts w:hint="eastAsia"/>
                <w:kern w:val="0"/>
                <w:sz w:val="20"/>
                <w:szCs w:val="20"/>
                <w:lang w:bidi="ar"/>
              </w:rPr>
              <w:t>0</w:t>
            </w:r>
            <w:r>
              <w:rPr>
                <w:kern w:val="0"/>
                <w:sz w:val="20"/>
                <w:szCs w:val="20"/>
                <w:lang w:bidi="ar"/>
              </w:rPr>
              <w:t>分）</w:t>
            </w:r>
          </w:p>
        </w:tc>
        <w:tc>
          <w:tcPr>
            <w:tcW w:w="96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sz w:val="20"/>
                <w:szCs w:val="20"/>
              </w:rPr>
            </w:pPr>
            <w:r>
              <w:rPr>
                <w:rFonts w:hint="eastAsia"/>
                <w:kern w:val="0"/>
                <w:sz w:val="20"/>
                <w:szCs w:val="20"/>
                <w:lang w:bidi="ar"/>
              </w:rPr>
              <w:t>园林绿化工程验收合格率</w:t>
            </w:r>
          </w:p>
        </w:tc>
        <w:tc>
          <w:tcPr>
            <w:tcW w:w="6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sz w:val="20"/>
                <w:szCs w:val="20"/>
              </w:rPr>
            </w:pPr>
            <w:r>
              <w:rPr>
                <w:kern w:val="0"/>
                <w:sz w:val="20"/>
                <w:szCs w:val="20"/>
                <w:lang w:bidi="ar"/>
              </w:rPr>
              <w:t>100%</w:t>
            </w:r>
          </w:p>
        </w:tc>
        <w:tc>
          <w:tcPr>
            <w:tcW w:w="822" w:type="pct"/>
            <w:tcBorders>
              <w:top w:val="single" w:color="000000" w:sz="4" w:space="0"/>
              <w:left w:val="single" w:color="000000" w:sz="4" w:space="0"/>
              <w:bottom w:val="single" w:color="000000" w:sz="4" w:space="0"/>
              <w:right w:val="nil"/>
            </w:tcBorders>
            <w:shd w:val="clear" w:color="auto" w:fill="auto"/>
            <w:vAlign w:val="center"/>
          </w:tcPr>
          <w:p>
            <w:pPr>
              <w:widowControl/>
              <w:spacing w:line="300" w:lineRule="exact"/>
              <w:jc w:val="center"/>
              <w:textAlignment w:val="center"/>
              <w:rPr>
                <w:sz w:val="20"/>
                <w:szCs w:val="20"/>
              </w:rPr>
            </w:pPr>
            <w:r>
              <w:rPr>
                <w:kern w:val="0"/>
                <w:sz w:val="20"/>
                <w:szCs w:val="20"/>
                <w:lang w:bidi="ar"/>
              </w:rPr>
              <w:t>100%</w:t>
            </w:r>
          </w:p>
        </w:tc>
        <w:tc>
          <w:tcPr>
            <w:tcW w:w="71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sz w:val="20"/>
                <w:szCs w:val="20"/>
              </w:rPr>
            </w:pPr>
            <w:r>
              <w:rPr>
                <w:kern w:val="0"/>
                <w:sz w:val="20"/>
                <w:szCs w:val="20"/>
                <w:lang w:bidi="ar"/>
              </w:rPr>
              <w:t>1</w:t>
            </w:r>
            <w:r>
              <w:rPr>
                <w:rFonts w:hint="eastAsia"/>
                <w:kern w:val="0"/>
                <w:sz w:val="20"/>
                <w:szCs w:val="20"/>
                <w:lang w:bidi="ar"/>
              </w:rPr>
              <w:t>0</w:t>
            </w:r>
          </w:p>
        </w:tc>
      </w:tr>
      <w:tr>
        <w:tblPrEx>
          <w:tblCellMar>
            <w:top w:w="0" w:type="dxa"/>
            <w:left w:w="108" w:type="dxa"/>
            <w:bottom w:w="0" w:type="dxa"/>
            <w:right w:w="108" w:type="dxa"/>
          </w:tblCellMar>
        </w:tblPrEx>
        <w:trPr>
          <w:trHeight w:val="58" w:hRule="atLeast"/>
        </w:trPr>
        <w:tc>
          <w:tcPr>
            <w:tcW w:w="381" w:type="pct"/>
            <w:vMerge w:val="continue"/>
            <w:tcBorders>
              <w:top w:val="single" w:color="000000" w:sz="4" w:space="0"/>
              <w:left w:val="single" w:color="000000" w:sz="4" w:space="0"/>
              <w:bottom w:val="nil"/>
              <w:right w:val="single" w:color="000000" w:sz="4" w:space="0"/>
            </w:tcBorders>
            <w:shd w:val="clear" w:color="auto" w:fill="auto"/>
            <w:textDirection w:val="tbRlV"/>
            <w:vAlign w:val="center"/>
          </w:tcPr>
          <w:p>
            <w:pPr>
              <w:widowControl/>
              <w:spacing w:line="300" w:lineRule="exact"/>
              <w:jc w:val="center"/>
              <w:rPr>
                <w:sz w:val="20"/>
                <w:szCs w:val="20"/>
              </w:rPr>
            </w:pPr>
          </w:p>
        </w:tc>
        <w:tc>
          <w:tcPr>
            <w:tcW w:w="603" w:type="pct"/>
            <w:vMerge w:val="continue"/>
            <w:tcBorders>
              <w:left w:val="single" w:color="000000" w:sz="4" w:space="0"/>
              <w:right w:val="single" w:color="000000" w:sz="4" w:space="0"/>
            </w:tcBorders>
            <w:shd w:val="clear" w:color="auto" w:fill="auto"/>
            <w:vAlign w:val="center"/>
          </w:tcPr>
          <w:p>
            <w:pPr>
              <w:widowControl/>
              <w:spacing w:line="300" w:lineRule="exact"/>
              <w:jc w:val="center"/>
              <w:rPr>
                <w:sz w:val="20"/>
                <w:szCs w:val="20"/>
              </w:rPr>
            </w:pPr>
          </w:p>
        </w:tc>
        <w:tc>
          <w:tcPr>
            <w:tcW w:w="8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sz w:val="20"/>
                <w:szCs w:val="20"/>
              </w:rPr>
            </w:pPr>
            <w:r>
              <w:rPr>
                <w:kern w:val="0"/>
                <w:sz w:val="20"/>
                <w:szCs w:val="20"/>
                <w:lang w:bidi="ar"/>
              </w:rPr>
              <w:t>质量指标</w:t>
            </w:r>
            <w:r>
              <w:rPr>
                <w:kern w:val="0"/>
                <w:sz w:val="20"/>
                <w:szCs w:val="20"/>
                <w:lang w:bidi="ar"/>
              </w:rPr>
              <w:br w:type="textWrapping"/>
            </w:r>
            <w:r>
              <w:rPr>
                <w:kern w:val="0"/>
                <w:sz w:val="20"/>
                <w:szCs w:val="20"/>
                <w:lang w:bidi="ar"/>
              </w:rPr>
              <w:t>（1</w:t>
            </w:r>
            <w:r>
              <w:rPr>
                <w:rFonts w:hint="eastAsia"/>
                <w:kern w:val="0"/>
                <w:sz w:val="20"/>
                <w:szCs w:val="20"/>
                <w:lang w:bidi="ar"/>
              </w:rPr>
              <w:t>0</w:t>
            </w:r>
            <w:r>
              <w:rPr>
                <w:kern w:val="0"/>
                <w:sz w:val="20"/>
                <w:szCs w:val="20"/>
                <w:lang w:bidi="ar"/>
              </w:rPr>
              <w:t>分）</w:t>
            </w:r>
          </w:p>
        </w:tc>
        <w:tc>
          <w:tcPr>
            <w:tcW w:w="96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sz w:val="20"/>
                <w:szCs w:val="20"/>
              </w:rPr>
            </w:pPr>
            <w:r>
              <w:rPr>
                <w:rFonts w:hint="eastAsia"/>
                <w:kern w:val="0"/>
                <w:sz w:val="20"/>
                <w:szCs w:val="20"/>
                <w:lang w:bidi="ar"/>
              </w:rPr>
              <w:t>栽植乔木成活率</w:t>
            </w:r>
          </w:p>
        </w:tc>
        <w:tc>
          <w:tcPr>
            <w:tcW w:w="6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sz w:val="20"/>
                <w:szCs w:val="20"/>
              </w:rPr>
            </w:pPr>
            <w:r>
              <w:rPr>
                <w:kern w:val="0"/>
                <w:sz w:val="20"/>
                <w:szCs w:val="20"/>
                <w:lang w:bidi="ar"/>
              </w:rPr>
              <w:t>9</w:t>
            </w:r>
            <w:r>
              <w:rPr>
                <w:rFonts w:hint="eastAsia"/>
                <w:kern w:val="0"/>
                <w:sz w:val="20"/>
                <w:szCs w:val="20"/>
                <w:lang w:bidi="ar"/>
              </w:rPr>
              <w:t>5</w:t>
            </w:r>
            <w:r>
              <w:rPr>
                <w:kern w:val="0"/>
                <w:sz w:val="20"/>
                <w:szCs w:val="20"/>
                <w:lang w:bidi="ar"/>
              </w:rPr>
              <w:t>%</w:t>
            </w:r>
          </w:p>
        </w:tc>
        <w:tc>
          <w:tcPr>
            <w:tcW w:w="822" w:type="pct"/>
            <w:tcBorders>
              <w:top w:val="single" w:color="000000" w:sz="4" w:space="0"/>
              <w:left w:val="single" w:color="000000" w:sz="4" w:space="0"/>
              <w:bottom w:val="single" w:color="000000" w:sz="4" w:space="0"/>
              <w:right w:val="nil"/>
            </w:tcBorders>
            <w:shd w:val="clear" w:color="auto" w:fill="auto"/>
            <w:vAlign w:val="center"/>
          </w:tcPr>
          <w:p>
            <w:pPr>
              <w:widowControl/>
              <w:spacing w:line="300" w:lineRule="exact"/>
              <w:jc w:val="center"/>
              <w:textAlignment w:val="center"/>
              <w:rPr>
                <w:sz w:val="20"/>
                <w:szCs w:val="20"/>
              </w:rPr>
            </w:pPr>
            <w:r>
              <w:rPr>
                <w:color w:val="auto"/>
                <w:kern w:val="0"/>
                <w:sz w:val="20"/>
                <w:szCs w:val="20"/>
                <w:lang w:bidi="ar"/>
              </w:rPr>
              <w:t>100%</w:t>
            </w:r>
          </w:p>
        </w:tc>
        <w:tc>
          <w:tcPr>
            <w:tcW w:w="71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sz w:val="20"/>
                <w:szCs w:val="20"/>
              </w:rPr>
            </w:pPr>
            <w:r>
              <w:rPr>
                <w:kern w:val="0"/>
                <w:sz w:val="20"/>
                <w:szCs w:val="20"/>
                <w:lang w:bidi="ar"/>
              </w:rPr>
              <w:t>1</w:t>
            </w:r>
            <w:r>
              <w:rPr>
                <w:rFonts w:hint="eastAsia"/>
                <w:kern w:val="0"/>
                <w:sz w:val="20"/>
                <w:szCs w:val="20"/>
                <w:lang w:bidi="ar"/>
              </w:rPr>
              <w:t>0</w:t>
            </w:r>
          </w:p>
        </w:tc>
      </w:tr>
      <w:tr>
        <w:tblPrEx>
          <w:tblCellMar>
            <w:top w:w="0" w:type="dxa"/>
            <w:left w:w="108" w:type="dxa"/>
            <w:bottom w:w="0" w:type="dxa"/>
            <w:right w:w="108" w:type="dxa"/>
          </w:tblCellMar>
        </w:tblPrEx>
        <w:trPr>
          <w:trHeight w:val="58" w:hRule="atLeast"/>
        </w:trPr>
        <w:tc>
          <w:tcPr>
            <w:tcW w:w="381" w:type="pct"/>
            <w:vMerge w:val="continue"/>
            <w:tcBorders>
              <w:top w:val="single" w:color="000000" w:sz="4" w:space="0"/>
              <w:left w:val="single" w:color="000000" w:sz="4" w:space="0"/>
              <w:bottom w:val="nil"/>
              <w:right w:val="single" w:color="000000" w:sz="4" w:space="0"/>
            </w:tcBorders>
            <w:shd w:val="clear" w:color="auto" w:fill="auto"/>
            <w:textDirection w:val="tbRlV"/>
            <w:vAlign w:val="center"/>
          </w:tcPr>
          <w:p>
            <w:pPr>
              <w:widowControl/>
              <w:spacing w:line="300" w:lineRule="exact"/>
              <w:jc w:val="center"/>
              <w:rPr>
                <w:sz w:val="20"/>
                <w:szCs w:val="20"/>
              </w:rPr>
            </w:pPr>
          </w:p>
        </w:tc>
        <w:tc>
          <w:tcPr>
            <w:tcW w:w="603" w:type="pct"/>
            <w:vMerge w:val="continue"/>
            <w:tcBorders>
              <w:left w:val="single" w:color="000000" w:sz="4" w:space="0"/>
              <w:bottom w:val="nil"/>
              <w:right w:val="single" w:color="000000" w:sz="4" w:space="0"/>
            </w:tcBorders>
            <w:shd w:val="clear" w:color="auto" w:fill="auto"/>
            <w:vAlign w:val="center"/>
          </w:tcPr>
          <w:p>
            <w:pPr>
              <w:widowControl/>
              <w:spacing w:line="300" w:lineRule="exact"/>
              <w:jc w:val="center"/>
              <w:rPr>
                <w:sz w:val="20"/>
                <w:szCs w:val="20"/>
              </w:rPr>
            </w:pPr>
          </w:p>
        </w:tc>
        <w:tc>
          <w:tcPr>
            <w:tcW w:w="8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sz w:val="20"/>
                <w:szCs w:val="20"/>
              </w:rPr>
            </w:pPr>
            <w:r>
              <w:rPr>
                <w:kern w:val="0"/>
                <w:sz w:val="20"/>
                <w:szCs w:val="20"/>
                <w:lang w:bidi="ar"/>
              </w:rPr>
              <w:t>时效指标</w:t>
            </w:r>
            <w:r>
              <w:rPr>
                <w:kern w:val="0"/>
                <w:sz w:val="20"/>
                <w:szCs w:val="20"/>
                <w:lang w:bidi="ar"/>
              </w:rPr>
              <w:br w:type="textWrapping"/>
            </w:r>
            <w:r>
              <w:rPr>
                <w:kern w:val="0"/>
                <w:sz w:val="20"/>
                <w:szCs w:val="20"/>
                <w:lang w:bidi="ar"/>
              </w:rPr>
              <w:t>（10分）</w:t>
            </w:r>
          </w:p>
        </w:tc>
        <w:tc>
          <w:tcPr>
            <w:tcW w:w="96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sz w:val="20"/>
                <w:szCs w:val="20"/>
              </w:rPr>
            </w:pPr>
            <w:r>
              <w:rPr>
                <w:rFonts w:hint="eastAsia"/>
                <w:kern w:val="0"/>
                <w:sz w:val="20"/>
                <w:szCs w:val="20"/>
                <w:lang w:bidi="ar"/>
              </w:rPr>
              <w:t>项目完成及时性</w:t>
            </w:r>
          </w:p>
        </w:tc>
        <w:tc>
          <w:tcPr>
            <w:tcW w:w="6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sz w:val="20"/>
                <w:szCs w:val="20"/>
              </w:rPr>
            </w:pPr>
            <w:r>
              <w:rPr>
                <w:rFonts w:hint="eastAsia"/>
                <w:kern w:val="0"/>
                <w:sz w:val="20"/>
                <w:szCs w:val="20"/>
                <w:lang w:bidi="ar"/>
              </w:rPr>
              <w:t>及时</w:t>
            </w:r>
          </w:p>
        </w:tc>
        <w:tc>
          <w:tcPr>
            <w:tcW w:w="822" w:type="pct"/>
            <w:tcBorders>
              <w:top w:val="single" w:color="000000" w:sz="4" w:space="0"/>
              <w:left w:val="single" w:color="000000" w:sz="4" w:space="0"/>
              <w:bottom w:val="single" w:color="000000" w:sz="4" w:space="0"/>
              <w:right w:val="nil"/>
            </w:tcBorders>
            <w:shd w:val="clear" w:color="auto" w:fill="auto"/>
            <w:vAlign w:val="center"/>
          </w:tcPr>
          <w:p>
            <w:pPr>
              <w:widowControl/>
              <w:spacing w:line="300" w:lineRule="exact"/>
              <w:jc w:val="center"/>
              <w:textAlignment w:val="center"/>
              <w:rPr>
                <w:sz w:val="20"/>
                <w:szCs w:val="20"/>
              </w:rPr>
            </w:pPr>
            <w:r>
              <w:rPr>
                <w:rFonts w:hint="eastAsia"/>
                <w:kern w:val="0"/>
                <w:sz w:val="20"/>
                <w:szCs w:val="20"/>
                <w:lang w:bidi="ar"/>
              </w:rPr>
              <w:t>及时</w:t>
            </w:r>
          </w:p>
        </w:tc>
        <w:tc>
          <w:tcPr>
            <w:tcW w:w="71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sz w:val="20"/>
                <w:szCs w:val="20"/>
              </w:rPr>
            </w:pPr>
            <w:r>
              <w:rPr>
                <w:kern w:val="0"/>
                <w:sz w:val="20"/>
                <w:szCs w:val="20"/>
                <w:lang w:bidi="ar"/>
              </w:rPr>
              <w:t>10</w:t>
            </w:r>
          </w:p>
        </w:tc>
      </w:tr>
      <w:tr>
        <w:tblPrEx>
          <w:tblCellMar>
            <w:top w:w="0" w:type="dxa"/>
            <w:left w:w="108" w:type="dxa"/>
            <w:bottom w:w="0" w:type="dxa"/>
            <w:right w:w="108" w:type="dxa"/>
          </w:tblCellMar>
        </w:tblPrEx>
        <w:trPr>
          <w:trHeight w:val="58" w:hRule="atLeast"/>
        </w:trPr>
        <w:tc>
          <w:tcPr>
            <w:tcW w:w="381" w:type="pct"/>
            <w:vMerge w:val="continue"/>
            <w:tcBorders>
              <w:top w:val="single" w:color="000000" w:sz="4" w:space="0"/>
              <w:left w:val="single" w:color="000000" w:sz="4" w:space="0"/>
              <w:bottom w:val="nil"/>
              <w:right w:val="single" w:color="000000" w:sz="4" w:space="0"/>
            </w:tcBorders>
            <w:shd w:val="clear" w:color="auto" w:fill="auto"/>
            <w:textDirection w:val="tbRlV"/>
            <w:vAlign w:val="center"/>
          </w:tcPr>
          <w:p>
            <w:pPr>
              <w:widowControl/>
              <w:spacing w:line="300" w:lineRule="exact"/>
              <w:jc w:val="center"/>
              <w:rPr>
                <w:sz w:val="20"/>
                <w:szCs w:val="20"/>
              </w:rPr>
            </w:pPr>
          </w:p>
        </w:tc>
        <w:tc>
          <w:tcPr>
            <w:tcW w:w="603" w:type="pct"/>
            <w:vMerge w:val="restart"/>
            <w:tcBorders>
              <w:top w:val="single" w:color="000000" w:sz="4" w:space="0"/>
              <w:left w:val="single" w:color="000000" w:sz="4" w:space="0"/>
              <w:right w:val="single" w:color="000000" w:sz="4" w:space="0"/>
            </w:tcBorders>
            <w:shd w:val="clear" w:color="auto" w:fill="auto"/>
            <w:vAlign w:val="center"/>
          </w:tcPr>
          <w:p>
            <w:pPr>
              <w:widowControl/>
              <w:spacing w:line="300" w:lineRule="exact"/>
              <w:jc w:val="center"/>
              <w:textAlignment w:val="center"/>
              <w:rPr>
                <w:sz w:val="20"/>
                <w:szCs w:val="20"/>
              </w:rPr>
            </w:pPr>
            <w:r>
              <w:rPr>
                <w:kern w:val="0"/>
                <w:sz w:val="20"/>
                <w:szCs w:val="20"/>
                <w:lang w:bidi="ar"/>
              </w:rPr>
              <w:t>效益指标</w:t>
            </w:r>
            <w:r>
              <w:rPr>
                <w:kern w:val="0"/>
                <w:sz w:val="20"/>
                <w:szCs w:val="20"/>
                <w:lang w:bidi="ar"/>
              </w:rPr>
              <w:br w:type="textWrapping"/>
            </w:r>
            <w:r>
              <w:rPr>
                <w:kern w:val="0"/>
                <w:sz w:val="20"/>
                <w:szCs w:val="20"/>
                <w:lang w:bidi="ar"/>
              </w:rPr>
              <w:t>（</w:t>
            </w:r>
            <w:r>
              <w:rPr>
                <w:rFonts w:hint="eastAsia"/>
                <w:kern w:val="0"/>
                <w:sz w:val="20"/>
                <w:szCs w:val="20"/>
                <w:lang w:bidi="ar"/>
              </w:rPr>
              <w:t>4</w:t>
            </w:r>
            <w:r>
              <w:rPr>
                <w:kern w:val="0"/>
                <w:sz w:val="20"/>
                <w:szCs w:val="20"/>
                <w:lang w:bidi="ar"/>
              </w:rPr>
              <w:t>0分）</w:t>
            </w:r>
          </w:p>
        </w:tc>
        <w:tc>
          <w:tcPr>
            <w:tcW w:w="8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kern w:val="0"/>
                <w:sz w:val="20"/>
                <w:szCs w:val="20"/>
                <w:lang w:bidi="ar"/>
              </w:rPr>
            </w:pPr>
            <w:r>
              <w:rPr>
                <w:rFonts w:hint="eastAsia"/>
                <w:kern w:val="0"/>
                <w:sz w:val="20"/>
                <w:szCs w:val="20"/>
                <w:lang w:bidi="ar"/>
              </w:rPr>
              <w:t>生态效益指标</w:t>
            </w:r>
          </w:p>
          <w:p>
            <w:pPr>
              <w:widowControl/>
              <w:spacing w:line="300" w:lineRule="exact"/>
              <w:jc w:val="center"/>
              <w:textAlignment w:val="center"/>
              <w:rPr>
                <w:sz w:val="20"/>
                <w:szCs w:val="20"/>
              </w:rPr>
            </w:pPr>
            <w:r>
              <w:rPr>
                <w:rFonts w:hint="eastAsia"/>
                <w:kern w:val="0"/>
                <w:sz w:val="20"/>
                <w:szCs w:val="20"/>
                <w:lang w:bidi="ar"/>
              </w:rPr>
              <w:t>（20分）</w:t>
            </w:r>
          </w:p>
        </w:tc>
        <w:tc>
          <w:tcPr>
            <w:tcW w:w="96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sz w:val="20"/>
                <w:szCs w:val="20"/>
              </w:rPr>
            </w:pPr>
            <w:r>
              <w:rPr>
                <w:kern w:val="0"/>
                <w:sz w:val="20"/>
                <w:szCs w:val="20"/>
                <w:lang w:bidi="ar"/>
              </w:rPr>
              <w:t>绿化修复提升度</w:t>
            </w:r>
          </w:p>
        </w:tc>
        <w:tc>
          <w:tcPr>
            <w:tcW w:w="694" w:type="pct"/>
            <w:tcBorders>
              <w:top w:val="single" w:color="000000" w:sz="4" w:space="0"/>
              <w:left w:val="single" w:color="000000" w:sz="4" w:space="0"/>
              <w:bottom w:val="single" w:color="auto" w:sz="4" w:space="0"/>
              <w:right w:val="single" w:color="000000" w:sz="4" w:space="0"/>
            </w:tcBorders>
            <w:shd w:val="clear" w:color="auto" w:fill="auto"/>
            <w:vAlign w:val="center"/>
          </w:tcPr>
          <w:p>
            <w:pPr>
              <w:widowControl/>
              <w:spacing w:line="300" w:lineRule="exact"/>
              <w:jc w:val="center"/>
              <w:textAlignment w:val="center"/>
              <w:rPr>
                <w:sz w:val="20"/>
                <w:szCs w:val="20"/>
              </w:rPr>
            </w:pPr>
            <w:r>
              <w:rPr>
                <w:kern w:val="0"/>
                <w:sz w:val="20"/>
                <w:szCs w:val="20"/>
                <w:lang w:bidi="ar"/>
              </w:rPr>
              <w:t>有提升</w:t>
            </w:r>
          </w:p>
        </w:tc>
        <w:tc>
          <w:tcPr>
            <w:tcW w:w="822" w:type="pct"/>
            <w:tcBorders>
              <w:top w:val="single" w:color="000000" w:sz="4" w:space="0"/>
              <w:left w:val="single" w:color="000000" w:sz="4" w:space="0"/>
              <w:bottom w:val="single" w:color="auto" w:sz="4" w:space="0"/>
              <w:right w:val="single" w:color="000000" w:sz="4" w:space="0"/>
            </w:tcBorders>
            <w:shd w:val="clear" w:color="auto" w:fill="auto"/>
            <w:vAlign w:val="center"/>
          </w:tcPr>
          <w:p>
            <w:pPr>
              <w:widowControl/>
              <w:spacing w:line="300" w:lineRule="exact"/>
              <w:jc w:val="center"/>
              <w:textAlignment w:val="center"/>
              <w:rPr>
                <w:sz w:val="20"/>
                <w:szCs w:val="20"/>
              </w:rPr>
            </w:pPr>
            <w:r>
              <w:rPr>
                <w:kern w:val="0"/>
                <w:sz w:val="20"/>
                <w:szCs w:val="20"/>
                <w:lang w:bidi="ar"/>
              </w:rPr>
              <w:t>有提升</w:t>
            </w:r>
          </w:p>
        </w:tc>
        <w:tc>
          <w:tcPr>
            <w:tcW w:w="713" w:type="pct"/>
            <w:tcBorders>
              <w:top w:val="single" w:color="000000" w:sz="4" w:space="0"/>
              <w:left w:val="single" w:color="000000" w:sz="4" w:space="0"/>
              <w:bottom w:val="single" w:color="auto" w:sz="4" w:space="0"/>
              <w:right w:val="single" w:color="000000" w:sz="4" w:space="0"/>
            </w:tcBorders>
            <w:shd w:val="clear" w:color="auto" w:fill="auto"/>
            <w:vAlign w:val="center"/>
          </w:tcPr>
          <w:p>
            <w:pPr>
              <w:widowControl/>
              <w:spacing w:line="300" w:lineRule="exact"/>
              <w:jc w:val="center"/>
              <w:textAlignment w:val="center"/>
              <w:rPr>
                <w:sz w:val="20"/>
                <w:szCs w:val="20"/>
              </w:rPr>
            </w:pPr>
            <w:r>
              <w:rPr>
                <w:kern w:val="0"/>
                <w:sz w:val="20"/>
                <w:szCs w:val="20"/>
                <w:lang w:bidi="ar"/>
              </w:rPr>
              <w:t>1</w:t>
            </w:r>
            <w:r>
              <w:rPr>
                <w:rFonts w:hint="eastAsia"/>
                <w:kern w:val="0"/>
                <w:sz w:val="20"/>
                <w:szCs w:val="20"/>
                <w:lang w:bidi="ar"/>
              </w:rPr>
              <w:t>5</w:t>
            </w:r>
          </w:p>
        </w:tc>
      </w:tr>
      <w:tr>
        <w:tblPrEx>
          <w:tblCellMar>
            <w:top w:w="0" w:type="dxa"/>
            <w:left w:w="108" w:type="dxa"/>
            <w:bottom w:w="0" w:type="dxa"/>
            <w:right w:w="108" w:type="dxa"/>
          </w:tblCellMar>
        </w:tblPrEx>
        <w:trPr>
          <w:trHeight w:val="812" w:hRule="atLeast"/>
        </w:trPr>
        <w:tc>
          <w:tcPr>
            <w:tcW w:w="381" w:type="pct"/>
            <w:vMerge w:val="continue"/>
            <w:tcBorders>
              <w:top w:val="single" w:color="000000" w:sz="4" w:space="0"/>
              <w:left w:val="single" w:color="000000" w:sz="4" w:space="0"/>
              <w:bottom w:val="nil"/>
              <w:right w:val="single" w:color="000000" w:sz="4" w:space="0"/>
            </w:tcBorders>
            <w:shd w:val="clear" w:color="auto" w:fill="auto"/>
            <w:textDirection w:val="tbRlV"/>
            <w:vAlign w:val="center"/>
          </w:tcPr>
          <w:p>
            <w:pPr>
              <w:widowControl/>
              <w:spacing w:line="300" w:lineRule="exact"/>
              <w:jc w:val="center"/>
              <w:rPr>
                <w:sz w:val="20"/>
                <w:szCs w:val="20"/>
              </w:rPr>
            </w:pPr>
          </w:p>
        </w:tc>
        <w:tc>
          <w:tcPr>
            <w:tcW w:w="603" w:type="pct"/>
            <w:vMerge w:val="continue"/>
            <w:tcBorders>
              <w:left w:val="single" w:color="000000" w:sz="4" w:space="0"/>
              <w:right w:val="single" w:color="000000" w:sz="4" w:space="0"/>
            </w:tcBorders>
            <w:shd w:val="clear" w:color="auto" w:fill="auto"/>
            <w:vAlign w:val="center"/>
          </w:tcPr>
          <w:p>
            <w:pPr>
              <w:widowControl/>
              <w:spacing w:line="300" w:lineRule="exact"/>
              <w:jc w:val="center"/>
              <w:rPr>
                <w:sz w:val="20"/>
                <w:szCs w:val="20"/>
              </w:rPr>
            </w:pPr>
          </w:p>
        </w:tc>
        <w:tc>
          <w:tcPr>
            <w:tcW w:w="8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kern w:val="0"/>
                <w:sz w:val="20"/>
                <w:szCs w:val="20"/>
                <w:lang w:bidi="ar"/>
              </w:rPr>
            </w:pPr>
            <w:r>
              <w:rPr>
                <w:rFonts w:hint="eastAsia"/>
                <w:kern w:val="0"/>
                <w:sz w:val="20"/>
                <w:szCs w:val="20"/>
                <w:lang w:bidi="ar"/>
              </w:rPr>
              <w:t>生态效益指标</w:t>
            </w:r>
          </w:p>
          <w:p>
            <w:pPr>
              <w:widowControl/>
              <w:spacing w:line="300" w:lineRule="exact"/>
              <w:jc w:val="center"/>
              <w:textAlignment w:val="center"/>
              <w:rPr>
                <w:sz w:val="20"/>
                <w:szCs w:val="20"/>
              </w:rPr>
            </w:pPr>
            <w:r>
              <w:rPr>
                <w:rFonts w:hint="eastAsia"/>
                <w:kern w:val="0"/>
                <w:sz w:val="20"/>
                <w:szCs w:val="20"/>
                <w:lang w:bidi="ar"/>
              </w:rPr>
              <w:t>（20分）</w:t>
            </w:r>
          </w:p>
        </w:tc>
        <w:tc>
          <w:tcPr>
            <w:tcW w:w="964" w:type="pct"/>
            <w:tcBorders>
              <w:top w:val="single" w:color="000000" w:sz="4" w:space="0"/>
              <w:left w:val="single" w:color="000000" w:sz="4" w:space="0"/>
              <w:bottom w:val="single" w:color="000000" w:sz="4" w:space="0"/>
              <w:right w:val="single" w:color="auto" w:sz="4" w:space="0"/>
            </w:tcBorders>
            <w:shd w:val="clear" w:color="auto" w:fill="auto"/>
            <w:vAlign w:val="center"/>
          </w:tcPr>
          <w:p>
            <w:pPr>
              <w:widowControl/>
              <w:spacing w:line="300" w:lineRule="exact"/>
              <w:jc w:val="center"/>
              <w:textAlignment w:val="center"/>
              <w:rPr>
                <w:sz w:val="20"/>
                <w:szCs w:val="20"/>
              </w:rPr>
            </w:pPr>
            <w:r>
              <w:rPr>
                <w:rFonts w:hint="eastAsia"/>
                <w:kern w:val="0"/>
                <w:sz w:val="20"/>
                <w:szCs w:val="20"/>
                <w:lang w:bidi="ar"/>
              </w:rPr>
              <w:t>生态环境改善情况</w:t>
            </w:r>
          </w:p>
        </w:tc>
        <w:tc>
          <w:tcPr>
            <w:tcW w:w="69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textAlignment w:val="center"/>
              <w:rPr>
                <w:sz w:val="20"/>
                <w:szCs w:val="20"/>
              </w:rPr>
            </w:pPr>
            <w:r>
              <w:rPr>
                <w:rFonts w:hint="eastAsia"/>
                <w:kern w:val="0"/>
                <w:sz w:val="20"/>
                <w:szCs w:val="20"/>
                <w:lang w:bidi="ar"/>
              </w:rPr>
              <w:t>改善</w:t>
            </w:r>
          </w:p>
        </w:tc>
        <w:tc>
          <w:tcPr>
            <w:tcW w:w="82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textAlignment w:val="center"/>
              <w:rPr>
                <w:sz w:val="20"/>
                <w:szCs w:val="20"/>
              </w:rPr>
            </w:pPr>
            <w:r>
              <w:rPr>
                <w:rFonts w:hint="eastAsia"/>
                <w:kern w:val="0"/>
                <w:sz w:val="20"/>
                <w:szCs w:val="20"/>
                <w:lang w:bidi="ar"/>
              </w:rPr>
              <w:t>有一定改善</w:t>
            </w:r>
          </w:p>
        </w:tc>
        <w:tc>
          <w:tcPr>
            <w:tcW w:w="71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textAlignment w:val="center"/>
              <w:rPr>
                <w:sz w:val="20"/>
                <w:szCs w:val="20"/>
              </w:rPr>
            </w:pPr>
            <w:r>
              <w:rPr>
                <w:rFonts w:hint="eastAsia"/>
                <w:sz w:val="20"/>
                <w:szCs w:val="20"/>
              </w:rPr>
              <w:t>19</w:t>
            </w:r>
          </w:p>
        </w:tc>
      </w:tr>
      <w:tr>
        <w:tblPrEx>
          <w:tblCellMar>
            <w:top w:w="0" w:type="dxa"/>
            <w:left w:w="108" w:type="dxa"/>
            <w:bottom w:w="0" w:type="dxa"/>
            <w:right w:w="108" w:type="dxa"/>
          </w:tblCellMar>
        </w:tblPrEx>
        <w:trPr>
          <w:trHeight w:val="465" w:hRule="atLeast"/>
        </w:trPr>
        <w:tc>
          <w:tcPr>
            <w:tcW w:w="381" w:type="pct"/>
            <w:tcBorders>
              <w:top w:val="single" w:color="000000" w:sz="4" w:space="0"/>
              <w:left w:val="single" w:color="000000" w:sz="4" w:space="0"/>
              <w:bottom w:val="single" w:color="auto" w:sz="4" w:space="0"/>
              <w:right w:val="single" w:color="000000" w:sz="4" w:space="0"/>
            </w:tcBorders>
            <w:shd w:val="clear" w:color="auto" w:fill="auto"/>
            <w:vAlign w:val="center"/>
          </w:tcPr>
          <w:p>
            <w:pPr>
              <w:widowControl/>
              <w:spacing w:line="300" w:lineRule="exact"/>
              <w:jc w:val="center"/>
              <w:rPr>
                <w:kern w:val="0"/>
                <w:sz w:val="20"/>
                <w:szCs w:val="20"/>
                <w:lang w:bidi="ar"/>
              </w:rPr>
            </w:pPr>
            <w:r>
              <w:rPr>
                <w:kern w:val="0"/>
                <w:sz w:val="20"/>
                <w:szCs w:val="20"/>
                <w:lang w:bidi="ar"/>
              </w:rPr>
              <w:t>总分</w:t>
            </w:r>
          </w:p>
        </w:tc>
        <w:tc>
          <w:tcPr>
            <w:tcW w:w="4619" w:type="pct"/>
            <w:gridSpan w:val="6"/>
            <w:tcBorders>
              <w:top w:val="single" w:color="000000" w:sz="4" w:space="0"/>
              <w:left w:val="single" w:color="000000" w:sz="4" w:space="0"/>
              <w:bottom w:val="single" w:color="auto" w:sz="4" w:space="0"/>
              <w:right w:val="single" w:color="000000" w:sz="4" w:space="0"/>
            </w:tcBorders>
            <w:shd w:val="clear" w:color="auto" w:fill="auto"/>
            <w:vAlign w:val="center"/>
          </w:tcPr>
          <w:p>
            <w:pPr>
              <w:widowControl/>
              <w:spacing w:line="300" w:lineRule="exact"/>
              <w:jc w:val="center"/>
              <w:textAlignment w:val="center"/>
              <w:rPr>
                <w:sz w:val="20"/>
                <w:szCs w:val="20"/>
              </w:rPr>
            </w:pPr>
            <w:r>
              <w:rPr>
                <w:kern w:val="0"/>
                <w:sz w:val="20"/>
                <w:szCs w:val="20"/>
                <w:lang w:bidi="ar"/>
              </w:rPr>
              <w:t>9</w:t>
            </w:r>
            <w:r>
              <w:rPr>
                <w:rFonts w:hint="eastAsia"/>
                <w:kern w:val="0"/>
                <w:sz w:val="20"/>
                <w:szCs w:val="20"/>
                <w:lang w:bidi="ar"/>
              </w:rPr>
              <w:t>7.9</w:t>
            </w:r>
            <w:r>
              <w:rPr>
                <w:kern w:val="0"/>
                <w:sz w:val="20"/>
                <w:szCs w:val="20"/>
                <w:lang w:bidi="ar"/>
              </w:rPr>
              <w:t>分</w:t>
            </w:r>
          </w:p>
        </w:tc>
      </w:tr>
      <w:tr>
        <w:tblPrEx>
          <w:tblCellMar>
            <w:top w:w="0" w:type="dxa"/>
            <w:left w:w="108" w:type="dxa"/>
            <w:bottom w:w="0" w:type="dxa"/>
            <w:right w:w="108" w:type="dxa"/>
          </w:tblCellMar>
        </w:tblPrEx>
        <w:trPr>
          <w:trHeight w:val="1200" w:hRule="atLeast"/>
        </w:trPr>
        <w:tc>
          <w:tcPr>
            <w:tcW w:w="98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textAlignment w:val="center"/>
              <w:rPr>
                <w:sz w:val="20"/>
                <w:szCs w:val="20"/>
              </w:rPr>
            </w:pPr>
            <w:r>
              <w:rPr>
                <w:kern w:val="0"/>
                <w:sz w:val="20"/>
                <w:szCs w:val="20"/>
                <w:lang w:bidi="ar"/>
              </w:rPr>
              <w:t>偏差大或目标未完成原因分析</w:t>
            </w:r>
          </w:p>
        </w:tc>
        <w:tc>
          <w:tcPr>
            <w:tcW w:w="4016" w:type="pct"/>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left"/>
              <w:textAlignment w:val="center"/>
              <w:rPr>
                <w:sz w:val="20"/>
                <w:szCs w:val="20"/>
                <w:highlight w:val="yellow"/>
              </w:rPr>
            </w:pPr>
            <w:r>
              <w:rPr>
                <w:rFonts w:hint="eastAsia"/>
                <w:color w:val="auto"/>
                <w:kern w:val="0"/>
                <w:sz w:val="20"/>
                <w:szCs w:val="20"/>
                <w:highlight w:val="none"/>
                <w:lang w:bidi="ar"/>
              </w:rPr>
              <w:t>1.生态效益指标未完成，年初目标值为生态环境改善，实际完成值为生态环境有一定改善，因为项目主要为清理、补植、管护受极端天气影响的树木，对生态环境进行修复，对生态环境改善程度有限。</w:t>
            </w:r>
          </w:p>
        </w:tc>
      </w:tr>
      <w:tr>
        <w:tblPrEx>
          <w:tblCellMar>
            <w:top w:w="0" w:type="dxa"/>
            <w:left w:w="108" w:type="dxa"/>
            <w:bottom w:w="0" w:type="dxa"/>
            <w:right w:w="108" w:type="dxa"/>
          </w:tblCellMar>
        </w:tblPrEx>
        <w:trPr>
          <w:trHeight w:val="979" w:hRule="atLeast"/>
        </w:trPr>
        <w:tc>
          <w:tcPr>
            <w:tcW w:w="984" w:type="pct"/>
            <w:gridSpan w:val="2"/>
            <w:tcBorders>
              <w:top w:val="single" w:color="auto" w:sz="4" w:space="0"/>
              <w:left w:val="single" w:color="000000" w:sz="4" w:space="0"/>
              <w:bottom w:val="single" w:color="auto" w:sz="4" w:space="0"/>
              <w:right w:val="single" w:color="000000" w:sz="4" w:space="0"/>
            </w:tcBorders>
            <w:shd w:val="clear" w:color="auto" w:fill="auto"/>
            <w:vAlign w:val="center"/>
          </w:tcPr>
          <w:p>
            <w:pPr>
              <w:widowControl/>
              <w:spacing w:line="300" w:lineRule="exact"/>
              <w:jc w:val="center"/>
              <w:textAlignment w:val="center"/>
              <w:rPr>
                <w:sz w:val="20"/>
                <w:szCs w:val="20"/>
              </w:rPr>
            </w:pPr>
            <w:r>
              <w:rPr>
                <w:kern w:val="0"/>
                <w:sz w:val="20"/>
                <w:szCs w:val="20"/>
                <w:lang w:bidi="ar"/>
              </w:rPr>
              <w:t>改进措施及结果应用方案</w:t>
            </w:r>
          </w:p>
        </w:tc>
        <w:tc>
          <w:tcPr>
            <w:tcW w:w="4016" w:type="pct"/>
            <w:gridSpan w:val="5"/>
            <w:tcBorders>
              <w:top w:val="single" w:color="auto" w:sz="4" w:space="0"/>
              <w:left w:val="single" w:color="000000" w:sz="4" w:space="0"/>
              <w:bottom w:val="single" w:color="auto" w:sz="4" w:space="0"/>
              <w:right w:val="single" w:color="000000" w:sz="4" w:space="0"/>
            </w:tcBorders>
            <w:shd w:val="clear" w:color="auto" w:fill="auto"/>
            <w:vAlign w:val="center"/>
          </w:tcPr>
          <w:p>
            <w:pPr>
              <w:widowControl/>
              <w:spacing w:line="300" w:lineRule="exact"/>
              <w:jc w:val="left"/>
              <w:textAlignment w:val="center"/>
              <w:rPr>
                <w:sz w:val="20"/>
                <w:szCs w:val="20"/>
                <w:highlight w:val="yellow"/>
              </w:rPr>
            </w:pPr>
            <w:r>
              <w:rPr>
                <w:rFonts w:hint="eastAsia"/>
                <w:kern w:val="0"/>
                <w:sz w:val="20"/>
                <w:szCs w:val="20"/>
                <w:highlight w:val="none"/>
                <w:lang w:bidi="ar"/>
              </w:rPr>
              <w:t>1.针对生态环境改善程度不高的情况，应在补植断树的基础上多栽植新的树木，使得生态环境得到实质改善。</w:t>
            </w:r>
          </w:p>
        </w:tc>
      </w:tr>
      <w:tr>
        <w:tblPrEx>
          <w:tblCellMar>
            <w:top w:w="0" w:type="dxa"/>
            <w:left w:w="108" w:type="dxa"/>
            <w:bottom w:w="0" w:type="dxa"/>
            <w:right w:w="108" w:type="dxa"/>
          </w:tblCellMar>
        </w:tblPrEx>
        <w:trPr>
          <w:trHeight w:val="312" w:hRule="atLeast"/>
        </w:trPr>
        <w:tc>
          <w:tcPr>
            <w:tcW w:w="5000" w:type="pct"/>
            <w:gridSpan w:val="7"/>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left"/>
              <w:textAlignment w:val="center"/>
              <w:rPr>
                <w:sz w:val="20"/>
                <w:szCs w:val="20"/>
              </w:rPr>
            </w:pPr>
            <w:r>
              <w:rPr>
                <w:kern w:val="0"/>
                <w:sz w:val="20"/>
                <w:szCs w:val="20"/>
                <w:lang w:bidi="ar"/>
              </w:rPr>
              <w:t>注：</w:t>
            </w:r>
            <w:r>
              <w:rPr>
                <w:kern w:val="0"/>
                <w:sz w:val="20"/>
                <w:szCs w:val="20"/>
                <w:lang w:bidi="ar"/>
              </w:rPr>
              <w:br w:type="textWrapping"/>
            </w:r>
            <w:r>
              <w:rPr>
                <w:kern w:val="0"/>
                <w:sz w:val="20"/>
                <w:szCs w:val="20"/>
                <w:lang w:bidi="ar"/>
              </w:rPr>
              <w:t>1.预算执行情况口径：预算数为调整后财政资金总额（包括上年结转余额），执行数为资金使用单位财政资金实际支出数。</w:t>
            </w:r>
            <w:r>
              <w:rPr>
                <w:kern w:val="0"/>
                <w:sz w:val="20"/>
                <w:szCs w:val="20"/>
                <w:lang w:bidi="ar"/>
              </w:rPr>
              <w:br w:type="textWrapping"/>
            </w:r>
            <w:r>
              <w:rPr>
                <w:kern w:val="0"/>
                <w:sz w:val="20"/>
                <w:szCs w:val="20"/>
                <w:lang w:bidi="ar"/>
              </w:rPr>
              <w:t>2.定量指标完成数汇总原则：绝对值直接累加计算，相对值按照资金额度加权平均计算。定量指标计分原则：正向指标（即目标值为＞X，得分=权重B/A）,反向指标（即目标值为≤X，得分=权重A/B）,得分不得突破权重总额。定量指标先汇总完成数，再计算得分。</w:t>
            </w:r>
            <w:r>
              <w:rPr>
                <w:kern w:val="0"/>
                <w:sz w:val="20"/>
                <w:szCs w:val="20"/>
                <w:lang w:bidi="ar"/>
              </w:rPr>
              <w:br w:type="textWrapping"/>
            </w:r>
            <w:r>
              <w:rPr>
                <w:kern w:val="0"/>
                <w:sz w:val="20"/>
                <w:szCs w:val="20"/>
                <w:lang w:bidi="ar"/>
              </w:rPr>
              <w:t>3.定性指标计分原则：达成预期指标、部分达成预期指标并具有一定效果、未达成预期指标且效果较差三档，分别按照该指标对应分值区间100-80（含80%）、80-50（50%）、50-0%合理确定分值。汇总时，以资金额度为权重，对分值进行加权平均计算。</w:t>
            </w:r>
            <w:r>
              <w:rPr>
                <w:kern w:val="0"/>
                <w:sz w:val="20"/>
                <w:szCs w:val="20"/>
                <w:lang w:bidi="ar"/>
              </w:rPr>
              <w:br w:type="textWrapping"/>
            </w:r>
            <w:r>
              <w:rPr>
                <w:kern w:val="0"/>
                <w:sz w:val="20"/>
                <w:szCs w:val="20"/>
                <w:lang w:bidi="ar"/>
              </w:rPr>
              <w:t>4.基于经济性和必要性等因素考虑，满意度指标暂可不作为必评指标。</w:t>
            </w:r>
          </w:p>
        </w:tc>
      </w:tr>
      <w:tr>
        <w:tblPrEx>
          <w:tblCellMar>
            <w:top w:w="0" w:type="dxa"/>
            <w:left w:w="108" w:type="dxa"/>
            <w:bottom w:w="0" w:type="dxa"/>
            <w:right w:w="108" w:type="dxa"/>
          </w:tblCellMar>
        </w:tblPrEx>
        <w:trPr>
          <w:trHeight w:val="630" w:hRule="atLeast"/>
        </w:trPr>
        <w:tc>
          <w:tcPr>
            <w:tcW w:w="5000" w:type="pct"/>
            <w:gridSpan w:val="7"/>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sz w:val="20"/>
                <w:szCs w:val="20"/>
              </w:rPr>
            </w:pPr>
          </w:p>
        </w:tc>
      </w:tr>
      <w:tr>
        <w:tblPrEx>
          <w:tblCellMar>
            <w:top w:w="0" w:type="dxa"/>
            <w:left w:w="108" w:type="dxa"/>
            <w:bottom w:w="0" w:type="dxa"/>
            <w:right w:w="108" w:type="dxa"/>
          </w:tblCellMar>
        </w:tblPrEx>
        <w:trPr>
          <w:trHeight w:val="2355" w:hRule="atLeast"/>
        </w:trPr>
        <w:tc>
          <w:tcPr>
            <w:tcW w:w="5000" w:type="pct"/>
            <w:gridSpan w:val="7"/>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sz w:val="20"/>
                <w:szCs w:val="20"/>
              </w:rPr>
            </w:pPr>
          </w:p>
        </w:tc>
      </w:tr>
    </w:tbl>
    <w:p>
      <w:pPr>
        <w:rPr>
          <w:rFonts w:ascii="楷体" w:hAnsi="楷体" w:eastAsia="楷体" w:cs="楷体"/>
          <w:b/>
          <w:bCs/>
          <w:sz w:val="32"/>
          <w:szCs w:val="28"/>
        </w:rPr>
      </w:pPr>
      <w:r>
        <w:rPr>
          <w:rFonts w:hint="eastAsia" w:ascii="楷体" w:hAnsi="楷体" w:eastAsia="楷体" w:cs="楷体"/>
          <w:b/>
          <w:bCs/>
          <w:sz w:val="32"/>
          <w:szCs w:val="28"/>
        </w:rPr>
        <w:br w:type="page"/>
      </w:r>
    </w:p>
    <w:p>
      <w:pPr>
        <w:widowControl/>
        <w:spacing w:line="560" w:lineRule="exact"/>
        <w:ind w:firstLine="643" w:firstLineChars="200"/>
        <w:outlineLvl w:val="0"/>
        <w:rPr>
          <w:rFonts w:eastAsia="黑体"/>
          <w:b/>
          <w:bCs/>
          <w:color w:val="000000"/>
          <w:kern w:val="0"/>
          <w:sz w:val="32"/>
          <w:szCs w:val="32"/>
        </w:rPr>
      </w:pPr>
      <w:r>
        <w:rPr>
          <w:rFonts w:eastAsia="黑体"/>
          <w:b/>
          <w:bCs/>
          <w:color w:val="000000"/>
          <w:kern w:val="0"/>
          <w:sz w:val="32"/>
          <w:szCs w:val="32"/>
        </w:rPr>
        <w:t>二、佐证材料</w:t>
      </w:r>
    </w:p>
    <w:p>
      <w:pPr>
        <w:widowControl/>
        <w:spacing w:line="560" w:lineRule="exact"/>
        <w:ind w:firstLine="643" w:firstLineChars="200"/>
        <w:jc w:val="left"/>
        <w:outlineLvl w:val="1"/>
        <w:rPr>
          <w:rFonts w:eastAsia="宋体"/>
          <w:color w:val="000000"/>
          <w:kern w:val="0"/>
          <w:sz w:val="24"/>
        </w:rPr>
      </w:pPr>
      <w:r>
        <w:rPr>
          <w:rFonts w:eastAsia="楷体"/>
          <w:b/>
          <w:bCs/>
          <w:color w:val="000000"/>
          <w:kern w:val="0"/>
          <w:sz w:val="32"/>
          <w:szCs w:val="32"/>
        </w:rPr>
        <w:t>（一）基本情况</w:t>
      </w:r>
    </w:p>
    <w:p>
      <w:pPr>
        <w:widowControl/>
        <w:spacing w:line="560" w:lineRule="exact"/>
        <w:ind w:firstLine="643" w:firstLineChars="200"/>
        <w:outlineLvl w:val="2"/>
        <w:rPr>
          <w:rFonts w:eastAsia="仿宋"/>
          <w:b/>
          <w:sz w:val="32"/>
          <w:szCs w:val="32"/>
        </w:rPr>
      </w:pPr>
      <w:r>
        <w:rPr>
          <w:rFonts w:eastAsia="仿宋"/>
          <w:b/>
          <w:sz w:val="32"/>
          <w:szCs w:val="32"/>
        </w:rPr>
        <w:t>1.项目立项目的</w:t>
      </w:r>
    </w:p>
    <w:p>
      <w:pPr>
        <w:pStyle w:val="2"/>
        <w:spacing w:after="0" w:line="560" w:lineRule="exact"/>
        <w:ind w:firstLine="640" w:firstLineChars="200"/>
        <w:rPr>
          <w:rFonts w:ascii="仿宋" w:hAnsi="仿宋" w:eastAsia="仿宋" w:cs="仿宋"/>
          <w:b/>
          <w:bCs/>
          <w:sz w:val="36"/>
          <w:szCs w:val="32"/>
        </w:rPr>
      </w:pPr>
      <w:r>
        <w:rPr>
          <w:rFonts w:hint="eastAsia"/>
          <w:sz w:val="32"/>
          <w:szCs w:val="28"/>
        </w:rPr>
        <w:t>2</w:t>
      </w:r>
      <w:r>
        <w:rPr>
          <w:sz w:val="32"/>
          <w:szCs w:val="28"/>
        </w:rPr>
        <w:t>021</w:t>
      </w:r>
      <w:r>
        <w:rPr>
          <w:rFonts w:hint="eastAsia" w:ascii="仿宋" w:hAnsi="仿宋" w:eastAsia="仿宋" w:cs="仿宋"/>
          <w:sz w:val="32"/>
          <w:szCs w:val="28"/>
        </w:rPr>
        <w:t>年</w:t>
      </w:r>
      <w:r>
        <w:rPr>
          <w:rFonts w:hint="eastAsia"/>
          <w:sz w:val="32"/>
          <w:szCs w:val="28"/>
        </w:rPr>
        <w:t>5</w:t>
      </w:r>
      <w:r>
        <w:rPr>
          <w:rFonts w:hint="eastAsia" w:ascii="仿宋" w:hAnsi="仿宋" w:eastAsia="仿宋" w:cs="仿宋"/>
          <w:sz w:val="32"/>
          <w:szCs w:val="28"/>
        </w:rPr>
        <w:t>月</w:t>
      </w:r>
      <w:r>
        <w:rPr>
          <w:rFonts w:hint="eastAsia"/>
          <w:sz w:val="32"/>
          <w:szCs w:val="28"/>
        </w:rPr>
        <w:t>，</w:t>
      </w:r>
      <w:r>
        <w:rPr>
          <w:rFonts w:hint="eastAsia" w:ascii="仿宋" w:hAnsi="仿宋" w:eastAsia="仿宋" w:cs="仿宋"/>
          <w:sz w:val="32"/>
          <w:szCs w:val="28"/>
        </w:rPr>
        <w:t>龙卷风及暴雨极端天气造成军山片区、全力片区、龙灵山片区等地区园林树木出现毁损，为了做好极端天气树木清理及管护工作，特设立此项目。</w:t>
      </w:r>
    </w:p>
    <w:p>
      <w:pPr>
        <w:widowControl/>
        <w:spacing w:line="560" w:lineRule="exact"/>
        <w:ind w:firstLine="643" w:firstLineChars="200"/>
        <w:outlineLvl w:val="2"/>
        <w:rPr>
          <w:rFonts w:eastAsia="仿宋"/>
          <w:b/>
          <w:sz w:val="32"/>
          <w:szCs w:val="32"/>
        </w:rPr>
      </w:pPr>
      <w:r>
        <w:rPr>
          <w:rFonts w:eastAsia="仿宋"/>
          <w:b/>
          <w:sz w:val="32"/>
          <w:szCs w:val="32"/>
        </w:rPr>
        <w:t>2.年度绩效目标</w:t>
      </w:r>
    </w:p>
    <w:p>
      <w:pPr>
        <w:widowControl/>
        <w:spacing w:line="560" w:lineRule="exact"/>
        <w:ind w:firstLine="640" w:firstLineChars="200"/>
        <w:rPr>
          <w:rFonts w:eastAsia="仿宋"/>
          <w:sz w:val="32"/>
          <w:szCs w:val="32"/>
        </w:rPr>
      </w:pPr>
      <w:r>
        <w:rPr>
          <w:rFonts w:hint="eastAsia" w:eastAsia="仿宋"/>
          <w:sz w:val="32"/>
          <w:szCs w:val="32"/>
        </w:rPr>
        <w:t>因本项目为年中追加项目，申报预算时未同步申报绩效目标，</w:t>
      </w:r>
      <w:r>
        <w:rPr>
          <w:rFonts w:eastAsia="仿宋"/>
          <w:sz w:val="32"/>
          <w:szCs w:val="32"/>
        </w:rPr>
        <w:t>本项目</w:t>
      </w:r>
      <w:r>
        <w:rPr>
          <w:rFonts w:hint="eastAsia" w:eastAsia="仿宋"/>
          <w:sz w:val="32"/>
          <w:szCs w:val="32"/>
        </w:rPr>
        <w:t>在分析资金使用的产出、效益基础上设立了绩效目标，具体</w:t>
      </w:r>
      <w:r>
        <w:rPr>
          <w:rFonts w:eastAsia="仿宋"/>
          <w:sz w:val="32"/>
          <w:szCs w:val="32"/>
        </w:rPr>
        <w:t>绩效目标如下：</w:t>
      </w:r>
    </w:p>
    <w:p>
      <w:pPr>
        <w:pStyle w:val="2"/>
        <w:numPr>
          <w:ilvl w:val="0"/>
          <w:numId w:val="1"/>
        </w:numPr>
        <w:spacing w:after="0" w:line="560" w:lineRule="exact"/>
        <w:ind w:firstLine="640" w:firstLineChars="200"/>
        <w:rPr>
          <w:rFonts w:eastAsia="仿宋"/>
          <w:sz w:val="32"/>
          <w:szCs w:val="32"/>
        </w:rPr>
      </w:pPr>
      <w:r>
        <w:rPr>
          <w:rFonts w:hint="eastAsia" w:ascii="仿宋" w:hAnsi="仿宋" w:eastAsia="仿宋" w:cs="仿宋"/>
          <w:sz w:val="32"/>
          <w:szCs w:val="28"/>
        </w:rPr>
        <w:t>产出目标：</w:t>
      </w:r>
      <w:r>
        <w:rPr>
          <w:rFonts w:hint="eastAsia" w:eastAsia="仿宋"/>
          <w:sz w:val="32"/>
          <w:szCs w:val="32"/>
        </w:rPr>
        <w:t>东风云峰项目栽植乔木1164株；园林绿化工程验收合格率到达100%；工程移交时栽植乔木的成活率达到95%；项目及时完成。</w:t>
      </w:r>
    </w:p>
    <w:p>
      <w:pPr>
        <w:widowControl/>
        <w:spacing w:line="560" w:lineRule="exact"/>
        <w:ind w:firstLine="640" w:firstLineChars="200"/>
        <w:rPr>
          <w:rFonts w:eastAsia="仿宋"/>
          <w:sz w:val="32"/>
          <w:szCs w:val="32"/>
        </w:rPr>
      </w:pPr>
      <w:r>
        <w:rPr>
          <w:rFonts w:hint="eastAsia" w:eastAsia="仿宋"/>
          <w:sz w:val="32"/>
          <w:szCs w:val="32"/>
        </w:rPr>
        <w:t>（2）效益目标：绿化修复有提升；生态环境有改善。</w:t>
      </w:r>
    </w:p>
    <w:p>
      <w:pPr>
        <w:pStyle w:val="2"/>
        <w:spacing w:after="0" w:line="560" w:lineRule="exact"/>
        <w:ind w:firstLine="643" w:firstLineChars="200"/>
        <w:rPr>
          <w:rFonts w:eastAsia="仿宋"/>
          <w:b/>
          <w:sz w:val="32"/>
          <w:szCs w:val="32"/>
        </w:rPr>
      </w:pPr>
      <w:r>
        <w:rPr>
          <w:rFonts w:eastAsia="仿宋"/>
          <w:b/>
          <w:sz w:val="32"/>
          <w:szCs w:val="32"/>
        </w:rPr>
        <w:t>3.项目资金情况</w:t>
      </w:r>
    </w:p>
    <w:p>
      <w:pPr>
        <w:pStyle w:val="2"/>
        <w:spacing w:after="0" w:line="560" w:lineRule="exact"/>
        <w:ind w:firstLine="640" w:firstLineChars="200"/>
        <w:rPr>
          <w:rFonts w:eastAsia="仿宋"/>
          <w:bCs/>
          <w:sz w:val="32"/>
          <w:szCs w:val="32"/>
        </w:rPr>
      </w:pPr>
      <w:r>
        <w:rPr>
          <w:rFonts w:hint="eastAsia" w:eastAsia="仿宋"/>
          <w:bCs/>
          <w:sz w:val="32"/>
          <w:szCs w:val="32"/>
        </w:rPr>
        <w:t>2021年本项目批复预算资金742.41万元，用于极端天气树木清理及管护工作，实际下拨742.41万元，,2021年实际支出资金702.46万元，预算执行率为94.62%。</w:t>
      </w:r>
    </w:p>
    <w:p>
      <w:pPr>
        <w:widowControl/>
        <w:spacing w:line="560" w:lineRule="exact"/>
        <w:ind w:firstLine="643" w:firstLineChars="200"/>
        <w:jc w:val="left"/>
        <w:outlineLvl w:val="1"/>
        <w:rPr>
          <w:rFonts w:eastAsia="宋体"/>
          <w:color w:val="000000"/>
          <w:kern w:val="0"/>
          <w:sz w:val="24"/>
        </w:rPr>
      </w:pPr>
      <w:r>
        <w:rPr>
          <w:rFonts w:eastAsia="楷体"/>
          <w:b/>
          <w:bCs/>
          <w:color w:val="000000"/>
          <w:kern w:val="0"/>
          <w:sz w:val="32"/>
          <w:szCs w:val="32"/>
        </w:rPr>
        <w:t>（二）部门自评工作开展情况</w:t>
      </w:r>
    </w:p>
    <w:p>
      <w:pPr>
        <w:pStyle w:val="4"/>
        <w:spacing w:line="560" w:lineRule="exact"/>
        <w:ind w:firstLine="643"/>
        <w:rPr>
          <w:rFonts w:ascii="仿宋" w:hAnsi="仿宋" w:eastAsia="仿宋" w:cs="仿宋"/>
          <w:sz w:val="32"/>
          <w:szCs w:val="36"/>
        </w:rPr>
      </w:pPr>
      <w:bookmarkStart w:id="5" w:name="_Toc8397036"/>
      <w:bookmarkStart w:id="6" w:name="_Toc24485"/>
      <w:bookmarkStart w:id="7" w:name="_Toc8183"/>
      <w:r>
        <w:rPr>
          <w:rFonts w:hint="eastAsia" w:ascii="仿宋" w:hAnsi="仿宋" w:eastAsia="仿宋" w:cs="仿宋"/>
          <w:sz w:val="32"/>
          <w:szCs w:val="36"/>
        </w:rPr>
        <w:t>1.评价目的</w:t>
      </w:r>
      <w:bookmarkEnd w:id="5"/>
      <w:r>
        <w:rPr>
          <w:rFonts w:hint="eastAsia" w:ascii="仿宋" w:hAnsi="仿宋" w:eastAsia="仿宋" w:cs="仿宋"/>
          <w:sz w:val="32"/>
          <w:szCs w:val="36"/>
        </w:rPr>
        <w:t>、对象和范围</w:t>
      </w:r>
      <w:bookmarkEnd w:id="6"/>
      <w:bookmarkEnd w:id="7"/>
    </w:p>
    <w:p>
      <w:pPr>
        <w:spacing w:line="560" w:lineRule="exact"/>
        <w:ind w:firstLine="640"/>
        <w:rPr>
          <w:rFonts w:ascii="仿宋" w:hAnsi="仿宋" w:eastAsia="仿宋" w:cs="仿宋"/>
          <w:sz w:val="32"/>
          <w:szCs w:val="28"/>
        </w:rPr>
      </w:pPr>
      <w:r>
        <w:rPr>
          <w:rFonts w:hint="eastAsia" w:ascii="仿宋" w:hAnsi="仿宋" w:eastAsia="仿宋" w:cs="仿宋"/>
          <w:sz w:val="32"/>
          <w:szCs w:val="28"/>
        </w:rPr>
        <w:t>（1）评价目的</w:t>
      </w:r>
    </w:p>
    <w:p>
      <w:pPr>
        <w:spacing w:line="560" w:lineRule="exact"/>
        <w:ind w:firstLine="640"/>
        <w:rPr>
          <w:rFonts w:ascii="仿宋" w:hAnsi="仿宋" w:eastAsia="仿宋" w:cs="仿宋"/>
          <w:sz w:val="32"/>
          <w:szCs w:val="28"/>
        </w:rPr>
      </w:pPr>
      <w:bookmarkStart w:id="8" w:name="_Toc8397037"/>
      <w:r>
        <w:rPr>
          <w:rFonts w:hint="eastAsia" w:ascii="仿宋" w:hAnsi="仿宋" w:eastAsia="仿宋" w:cs="仿宋"/>
          <w:sz w:val="32"/>
          <w:szCs w:val="28"/>
        </w:rPr>
        <w:t>通过开展武汉经济技术开发区（汉南区）</w:t>
      </w:r>
      <w:r>
        <w:rPr>
          <w:rFonts w:eastAsia="仿宋"/>
          <w:sz w:val="32"/>
          <w:szCs w:val="28"/>
        </w:rPr>
        <w:t>2021</w:t>
      </w:r>
      <w:r>
        <w:rPr>
          <w:rFonts w:hint="eastAsia" w:ascii="仿宋" w:hAnsi="仿宋" w:eastAsia="仿宋" w:cs="仿宋"/>
          <w:sz w:val="32"/>
          <w:szCs w:val="28"/>
        </w:rPr>
        <w:t>年度风灾树木修复及补助资金项目绩效评价，评价项目支出预算绩效目标完成情况、资金使用和管理情况，为合理分配资金、优化支出提供依据，促进预算单位强化支出责任，规范资金管理行为，提高财政资金使用效益，促使预算单位更好地使用财政资金。</w:t>
      </w:r>
    </w:p>
    <w:p>
      <w:pPr>
        <w:spacing w:line="560" w:lineRule="exact"/>
        <w:ind w:firstLine="641"/>
        <w:rPr>
          <w:rFonts w:ascii="仿宋" w:hAnsi="仿宋" w:eastAsia="仿宋" w:cs="仿宋"/>
          <w:sz w:val="32"/>
          <w:szCs w:val="28"/>
        </w:rPr>
      </w:pPr>
      <w:r>
        <w:rPr>
          <w:rFonts w:hint="eastAsia" w:ascii="仿宋" w:hAnsi="仿宋" w:eastAsia="仿宋" w:cs="仿宋"/>
          <w:sz w:val="32"/>
          <w:szCs w:val="28"/>
        </w:rPr>
        <w:t>（2）评价对象和范围</w:t>
      </w:r>
    </w:p>
    <w:p>
      <w:pPr>
        <w:spacing w:line="560" w:lineRule="exact"/>
        <w:ind w:firstLine="641"/>
        <w:rPr>
          <w:rFonts w:ascii="仿宋" w:hAnsi="仿宋" w:eastAsia="仿宋" w:cs="仿宋"/>
          <w:sz w:val="32"/>
          <w:szCs w:val="28"/>
        </w:rPr>
      </w:pPr>
      <w:r>
        <w:rPr>
          <w:rFonts w:hint="eastAsia" w:ascii="仿宋" w:hAnsi="仿宋" w:eastAsia="仿宋" w:cs="仿宋"/>
          <w:sz w:val="32"/>
          <w:szCs w:val="28"/>
        </w:rPr>
        <w:t>评价对象为武汉经济技术开发区（汉南区）</w:t>
      </w:r>
      <w:r>
        <w:rPr>
          <w:rFonts w:eastAsia="仿宋"/>
          <w:sz w:val="32"/>
          <w:szCs w:val="28"/>
        </w:rPr>
        <w:t>2021</w:t>
      </w:r>
      <w:r>
        <w:rPr>
          <w:rFonts w:hint="eastAsia" w:ascii="仿宋" w:hAnsi="仿宋" w:eastAsia="仿宋" w:cs="仿宋"/>
          <w:sz w:val="32"/>
          <w:szCs w:val="28"/>
        </w:rPr>
        <w:t>年度风灾树木修复及补助资金</w:t>
      </w:r>
      <w:r>
        <w:rPr>
          <w:rFonts w:eastAsia="仿宋"/>
          <w:sz w:val="32"/>
          <w:szCs w:val="28"/>
        </w:rPr>
        <w:t>742.41</w:t>
      </w:r>
      <w:r>
        <w:rPr>
          <w:rFonts w:hint="eastAsia" w:ascii="仿宋" w:hAnsi="仿宋" w:eastAsia="仿宋" w:cs="仿宋"/>
          <w:sz w:val="32"/>
          <w:szCs w:val="28"/>
        </w:rPr>
        <w:t>万元。</w:t>
      </w:r>
    </w:p>
    <w:p>
      <w:pPr>
        <w:spacing w:line="560" w:lineRule="exact"/>
        <w:ind w:firstLine="641"/>
      </w:pPr>
      <w:r>
        <w:rPr>
          <w:rFonts w:hint="eastAsia" w:ascii="仿宋" w:hAnsi="仿宋" w:eastAsia="仿宋" w:cs="仿宋"/>
          <w:sz w:val="32"/>
          <w:szCs w:val="28"/>
        </w:rPr>
        <w:t>评价范围包含资金执行、产出和效益。</w:t>
      </w:r>
    </w:p>
    <w:p>
      <w:pPr>
        <w:pStyle w:val="4"/>
        <w:spacing w:line="560" w:lineRule="exact"/>
        <w:ind w:firstLine="643"/>
      </w:pPr>
      <w:bookmarkStart w:id="9" w:name="_Toc13854"/>
      <w:bookmarkStart w:id="10" w:name="_Toc6013"/>
      <w:r>
        <w:rPr>
          <w:sz w:val="32"/>
          <w:szCs w:val="36"/>
        </w:rPr>
        <w:t>2.</w:t>
      </w:r>
      <w:r>
        <w:rPr>
          <w:rFonts w:hint="eastAsia" w:ascii="仿宋" w:hAnsi="仿宋" w:eastAsia="仿宋" w:cs="仿宋"/>
          <w:sz w:val="32"/>
          <w:szCs w:val="36"/>
        </w:rPr>
        <w:t>评价方法</w:t>
      </w:r>
      <w:bookmarkEnd w:id="9"/>
      <w:bookmarkEnd w:id="10"/>
    </w:p>
    <w:p>
      <w:pPr>
        <w:spacing w:line="560" w:lineRule="exact"/>
        <w:ind w:firstLine="641"/>
        <w:rPr>
          <w:rFonts w:ascii="仿宋" w:hAnsi="仿宋" w:eastAsia="仿宋" w:cs="仿宋"/>
          <w:sz w:val="32"/>
          <w:szCs w:val="28"/>
        </w:rPr>
      </w:pPr>
      <w:r>
        <w:rPr>
          <w:rFonts w:hint="eastAsia" w:ascii="仿宋" w:hAnsi="仿宋" w:eastAsia="仿宋" w:cs="仿宋"/>
          <w:sz w:val="32"/>
          <w:szCs w:val="28"/>
        </w:rPr>
        <w:t>本项目绩效评价采用的主要评价方法为比较法、因素分析法等。</w:t>
      </w:r>
    </w:p>
    <w:p>
      <w:pPr>
        <w:spacing w:line="560" w:lineRule="exact"/>
        <w:ind w:firstLine="641"/>
        <w:rPr>
          <w:rFonts w:ascii="仿宋" w:hAnsi="仿宋" w:eastAsia="仿宋" w:cs="仿宋"/>
          <w:sz w:val="32"/>
          <w:szCs w:val="28"/>
        </w:rPr>
      </w:pPr>
      <w:r>
        <w:rPr>
          <w:rFonts w:hint="eastAsia" w:ascii="仿宋" w:hAnsi="仿宋" w:eastAsia="仿宋" w:cs="仿宋"/>
          <w:sz w:val="32"/>
          <w:szCs w:val="28"/>
        </w:rPr>
        <w:t>比较法。是指将实施情况与绩效目标、历史情况、不同部门和地区同类支出情况进行比较的方法。</w:t>
      </w:r>
    </w:p>
    <w:p>
      <w:pPr>
        <w:spacing w:line="560" w:lineRule="exact"/>
        <w:ind w:firstLine="641"/>
        <w:rPr>
          <w:rFonts w:ascii="仿宋" w:hAnsi="仿宋" w:eastAsia="仿宋" w:cs="仿宋"/>
          <w:sz w:val="32"/>
          <w:szCs w:val="28"/>
        </w:rPr>
      </w:pPr>
      <w:r>
        <w:rPr>
          <w:rFonts w:hint="eastAsia" w:ascii="仿宋" w:hAnsi="仿宋" w:eastAsia="仿宋" w:cs="仿宋"/>
          <w:sz w:val="32"/>
          <w:szCs w:val="28"/>
        </w:rPr>
        <w:t>因素分析法。是指综合分析影响绩效目标实现、实施效果的内外部因素的方法。</w:t>
      </w:r>
    </w:p>
    <w:p>
      <w:pPr>
        <w:pStyle w:val="4"/>
        <w:spacing w:line="560" w:lineRule="exact"/>
        <w:ind w:firstLine="643"/>
      </w:pPr>
      <w:bookmarkStart w:id="11" w:name="_Toc1743"/>
      <w:bookmarkStart w:id="12" w:name="_Toc29042"/>
      <w:r>
        <w:rPr>
          <w:sz w:val="32"/>
          <w:szCs w:val="36"/>
        </w:rPr>
        <w:t>3.</w:t>
      </w:r>
      <w:r>
        <w:rPr>
          <w:rFonts w:hint="eastAsia" w:ascii="仿宋" w:hAnsi="仿宋" w:eastAsia="仿宋" w:cs="仿宋"/>
          <w:sz w:val="32"/>
          <w:szCs w:val="36"/>
        </w:rPr>
        <w:t>综合评分方法</w:t>
      </w:r>
      <w:bookmarkEnd w:id="11"/>
      <w:bookmarkEnd w:id="12"/>
    </w:p>
    <w:p>
      <w:pPr>
        <w:spacing w:line="560" w:lineRule="exact"/>
        <w:ind w:firstLine="640"/>
        <w:rPr>
          <w:rFonts w:ascii="仿宋" w:hAnsi="仿宋" w:eastAsia="仿宋" w:cs="仿宋"/>
          <w:kern w:val="0"/>
          <w:sz w:val="32"/>
          <w:szCs w:val="36"/>
        </w:rPr>
      </w:pPr>
      <w:r>
        <w:rPr>
          <w:rFonts w:hint="eastAsia" w:ascii="仿宋" w:hAnsi="仿宋" w:eastAsia="仿宋" w:cs="仿宋"/>
          <w:sz w:val="32"/>
          <w:szCs w:val="28"/>
        </w:rPr>
        <w:t>运用上述评价方法，依据评价指标体系，采用百分制打分，结合各指标权重，衡量实际绩效值与评价标准值偏离程度，对不同的实现程度赋予不同分值。</w:t>
      </w:r>
    </w:p>
    <w:p>
      <w:pPr>
        <w:pStyle w:val="4"/>
        <w:spacing w:line="560" w:lineRule="exact"/>
        <w:ind w:firstLine="643"/>
        <w:rPr>
          <w:sz w:val="32"/>
          <w:szCs w:val="36"/>
        </w:rPr>
      </w:pPr>
      <w:bookmarkStart w:id="13" w:name="_Toc6264"/>
      <w:bookmarkStart w:id="14" w:name="_Toc5393"/>
      <w:r>
        <w:rPr>
          <w:sz w:val="32"/>
          <w:szCs w:val="36"/>
        </w:rPr>
        <w:t>4.</w:t>
      </w:r>
      <w:r>
        <w:rPr>
          <w:rFonts w:hint="eastAsia" w:ascii="仿宋" w:hAnsi="仿宋" w:eastAsia="仿宋" w:cs="仿宋"/>
          <w:sz w:val="32"/>
          <w:szCs w:val="36"/>
        </w:rPr>
        <w:t>时间安排</w:t>
      </w:r>
      <w:bookmarkEnd w:id="13"/>
      <w:bookmarkEnd w:id="14"/>
    </w:p>
    <w:p>
      <w:pPr>
        <w:spacing w:line="560" w:lineRule="exact"/>
        <w:ind w:firstLine="640"/>
      </w:pPr>
      <w:r>
        <w:rPr>
          <w:rFonts w:hint="eastAsia" w:ascii="仿宋" w:hAnsi="仿宋" w:eastAsia="仿宋" w:cs="仿宋"/>
          <w:sz w:val="32"/>
          <w:szCs w:val="28"/>
        </w:rPr>
        <w:t>本次自评时间从</w:t>
      </w:r>
      <w:r>
        <w:rPr>
          <w:rFonts w:eastAsia="仿宋"/>
          <w:sz w:val="32"/>
          <w:szCs w:val="28"/>
        </w:rPr>
        <w:t>2022</w:t>
      </w:r>
      <w:r>
        <w:rPr>
          <w:rFonts w:hint="eastAsia" w:ascii="仿宋" w:hAnsi="仿宋" w:eastAsia="仿宋" w:cs="仿宋"/>
          <w:sz w:val="32"/>
          <w:szCs w:val="28"/>
        </w:rPr>
        <w:t>年</w:t>
      </w:r>
      <w:r>
        <w:rPr>
          <w:rFonts w:eastAsia="仿宋"/>
          <w:sz w:val="32"/>
          <w:szCs w:val="28"/>
        </w:rPr>
        <w:t>4</w:t>
      </w:r>
      <w:r>
        <w:rPr>
          <w:rFonts w:hint="eastAsia" w:ascii="仿宋" w:hAnsi="仿宋" w:eastAsia="仿宋" w:cs="仿宋"/>
          <w:sz w:val="32"/>
          <w:szCs w:val="28"/>
        </w:rPr>
        <w:t>月</w:t>
      </w:r>
      <w:r>
        <w:rPr>
          <w:rFonts w:eastAsia="仿宋"/>
          <w:sz w:val="32"/>
          <w:szCs w:val="28"/>
        </w:rPr>
        <w:t>2</w:t>
      </w:r>
      <w:r>
        <w:rPr>
          <w:rFonts w:hint="eastAsia" w:eastAsia="仿宋"/>
          <w:sz w:val="32"/>
          <w:szCs w:val="28"/>
          <w:lang w:val="en-US" w:eastAsia="zh-CN"/>
        </w:rPr>
        <w:t>5</w:t>
      </w:r>
      <w:r>
        <w:rPr>
          <w:rFonts w:hint="eastAsia" w:ascii="仿宋" w:hAnsi="仿宋" w:eastAsia="仿宋" w:cs="仿宋"/>
          <w:sz w:val="32"/>
          <w:szCs w:val="28"/>
        </w:rPr>
        <w:t>日至</w:t>
      </w:r>
      <w:r>
        <w:rPr>
          <w:rFonts w:eastAsia="仿宋"/>
          <w:sz w:val="32"/>
          <w:szCs w:val="28"/>
        </w:rPr>
        <w:t>2022</w:t>
      </w:r>
      <w:r>
        <w:rPr>
          <w:rFonts w:hint="eastAsia" w:ascii="仿宋" w:hAnsi="仿宋" w:eastAsia="仿宋" w:cs="仿宋"/>
          <w:sz w:val="32"/>
          <w:szCs w:val="28"/>
        </w:rPr>
        <w:t>年</w:t>
      </w:r>
      <w:r>
        <w:rPr>
          <w:rFonts w:eastAsia="仿宋"/>
          <w:sz w:val="32"/>
          <w:szCs w:val="28"/>
        </w:rPr>
        <w:t>5</w:t>
      </w:r>
      <w:r>
        <w:rPr>
          <w:rFonts w:hint="eastAsia" w:ascii="仿宋" w:hAnsi="仿宋" w:eastAsia="仿宋" w:cs="仿宋"/>
          <w:sz w:val="32"/>
          <w:szCs w:val="28"/>
        </w:rPr>
        <w:t>月</w:t>
      </w:r>
      <w:r>
        <w:rPr>
          <w:rFonts w:eastAsia="仿宋"/>
          <w:sz w:val="32"/>
          <w:szCs w:val="28"/>
        </w:rPr>
        <w:t>10</w:t>
      </w:r>
      <w:r>
        <w:rPr>
          <w:rFonts w:hint="eastAsia" w:ascii="仿宋" w:hAnsi="仿宋" w:eastAsia="仿宋" w:cs="仿宋"/>
          <w:sz w:val="32"/>
          <w:szCs w:val="28"/>
        </w:rPr>
        <w:t>日，历时</w:t>
      </w:r>
      <w:r>
        <w:rPr>
          <w:rFonts w:hint="eastAsia" w:ascii="仿宋" w:hAnsi="仿宋" w:eastAsia="仿宋" w:cs="仿宋"/>
          <w:sz w:val="32"/>
          <w:szCs w:val="28"/>
          <w:lang w:val="en-US" w:eastAsia="zh-CN"/>
        </w:rPr>
        <w:t>16</w:t>
      </w:r>
      <w:bookmarkStart w:id="16" w:name="_GoBack"/>
      <w:bookmarkEnd w:id="16"/>
      <w:r>
        <w:rPr>
          <w:rFonts w:hint="eastAsia" w:ascii="仿宋" w:hAnsi="仿宋" w:eastAsia="仿宋" w:cs="仿宋"/>
          <w:sz w:val="32"/>
          <w:szCs w:val="28"/>
        </w:rPr>
        <w:t>天。自评工作程序如下：</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（1）制定工作方案</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项目自评工作方案由区自规局会同第三方机构共同研究制订，根据部门主要负责同志要求和武汉经济技术开发区（汉南区）财政局发布的《关于开展</w:t>
      </w:r>
      <w:r>
        <w:rPr>
          <w:rFonts w:eastAsia="仿宋"/>
          <w:sz w:val="32"/>
          <w:szCs w:val="32"/>
        </w:rPr>
        <w:t>2022</w:t>
      </w:r>
      <w:r>
        <w:rPr>
          <w:rFonts w:hint="eastAsia" w:ascii="仿宋" w:hAnsi="仿宋" w:eastAsia="仿宋" w:cs="仿宋"/>
          <w:sz w:val="32"/>
          <w:szCs w:val="32"/>
        </w:rPr>
        <w:t>年预算绩效评价及项目支出绩效运行监控的通知》（武经开财〔</w:t>
      </w:r>
      <w:r>
        <w:rPr>
          <w:rFonts w:eastAsia="仿宋"/>
          <w:sz w:val="32"/>
          <w:szCs w:val="32"/>
        </w:rPr>
        <w:t>2022</w:t>
      </w:r>
      <w:r>
        <w:rPr>
          <w:rFonts w:hint="eastAsia" w:ascii="仿宋" w:hAnsi="仿宋" w:eastAsia="仿宋" w:cs="仿宋"/>
          <w:sz w:val="32"/>
          <w:szCs w:val="32"/>
        </w:rPr>
        <w:t>〕</w:t>
      </w:r>
      <w:r>
        <w:rPr>
          <w:rFonts w:eastAsia="仿宋"/>
          <w:sz w:val="32"/>
          <w:szCs w:val="32"/>
        </w:rPr>
        <w:t>8</w:t>
      </w:r>
      <w:r>
        <w:rPr>
          <w:rFonts w:hint="eastAsia" w:ascii="仿宋" w:hAnsi="仿宋" w:eastAsia="仿宋" w:cs="仿宋"/>
          <w:sz w:val="32"/>
          <w:szCs w:val="32"/>
        </w:rPr>
        <w:t>号）启动部门自评工作。启动项目自评工作。</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（2）组织实施自评</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区自规局会同第三方机构及时成立工作组，通过案卷研究、调研访谈、问卷调查等方式收集、核实数据和信息，并对这些数据和信息进行整理分析。</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（3）撰写项目自评结果</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在整理分析基础上，形成项目自评结果。</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（4）建立项目自评档案</w:t>
      </w:r>
    </w:p>
    <w:p>
      <w:pPr>
        <w:spacing w:line="560" w:lineRule="exact"/>
        <w:ind w:firstLine="640" w:firstLineChars="200"/>
        <w:rPr>
          <w:rFonts w:ascii="仿宋" w:hAnsi="仿宋" w:eastAsia="仿宋" w:cs="仿宋"/>
          <w:b/>
          <w:sz w:val="32"/>
          <w:szCs w:val="32"/>
        </w:rPr>
      </w:pPr>
      <w:r>
        <w:rPr>
          <w:rFonts w:hint="eastAsia" w:ascii="仿宋" w:hAnsi="仿宋" w:eastAsia="仿宋" w:cs="仿宋"/>
          <w:sz w:val="32"/>
          <w:szCs w:val="32"/>
        </w:rPr>
        <w:t>项目自评结果按时报送相应资金管理科室并及时归档备查。</w:t>
      </w:r>
      <w:bookmarkEnd w:id="8"/>
    </w:p>
    <w:p>
      <w:pPr>
        <w:widowControl/>
        <w:spacing w:line="560" w:lineRule="exact"/>
        <w:ind w:firstLine="643" w:firstLineChars="200"/>
        <w:jc w:val="left"/>
        <w:outlineLvl w:val="1"/>
        <w:rPr>
          <w:rFonts w:eastAsia="楷体"/>
          <w:b/>
          <w:bCs/>
          <w:color w:val="000000"/>
          <w:kern w:val="0"/>
          <w:sz w:val="32"/>
          <w:szCs w:val="32"/>
        </w:rPr>
      </w:pPr>
      <w:r>
        <w:rPr>
          <w:rFonts w:eastAsia="楷体"/>
          <w:b/>
          <w:bCs/>
          <w:color w:val="000000"/>
          <w:kern w:val="0"/>
          <w:sz w:val="32"/>
          <w:szCs w:val="32"/>
        </w:rPr>
        <w:t>（三）绩效目标完成情况分析</w:t>
      </w:r>
    </w:p>
    <w:p>
      <w:pPr>
        <w:pStyle w:val="2"/>
        <w:spacing w:after="0" w:line="560" w:lineRule="exact"/>
        <w:ind w:firstLine="643" w:firstLineChars="200"/>
        <w:rPr>
          <w:rFonts w:eastAsia="仿宋"/>
          <w:b/>
          <w:sz w:val="32"/>
          <w:szCs w:val="32"/>
        </w:rPr>
      </w:pPr>
      <w:r>
        <w:rPr>
          <w:rFonts w:eastAsia="仿宋"/>
          <w:b/>
          <w:sz w:val="32"/>
          <w:szCs w:val="32"/>
        </w:rPr>
        <w:t>1.预算执行情况分析（满分20分，得分1</w:t>
      </w:r>
      <w:r>
        <w:rPr>
          <w:rFonts w:hint="eastAsia" w:eastAsia="仿宋"/>
          <w:b/>
          <w:sz w:val="32"/>
          <w:szCs w:val="32"/>
        </w:rPr>
        <w:t>8</w:t>
      </w:r>
      <w:r>
        <w:rPr>
          <w:rFonts w:eastAsia="仿宋"/>
          <w:b/>
          <w:sz w:val="32"/>
          <w:szCs w:val="32"/>
        </w:rPr>
        <w:t>.</w:t>
      </w:r>
      <w:r>
        <w:rPr>
          <w:rFonts w:hint="eastAsia" w:eastAsia="仿宋"/>
          <w:b/>
          <w:sz w:val="32"/>
          <w:szCs w:val="32"/>
        </w:rPr>
        <w:t>9</w:t>
      </w:r>
      <w:r>
        <w:rPr>
          <w:rFonts w:eastAsia="仿宋"/>
          <w:b/>
          <w:sz w:val="32"/>
          <w:szCs w:val="32"/>
        </w:rPr>
        <w:t>分）</w:t>
      </w:r>
    </w:p>
    <w:p>
      <w:pPr>
        <w:widowControl/>
        <w:spacing w:line="560" w:lineRule="exact"/>
        <w:ind w:firstLine="640" w:firstLineChars="200"/>
        <w:rPr>
          <w:rFonts w:eastAsia="仿宋"/>
          <w:sz w:val="32"/>
          <w:szCs w:val="32"/>
        </w:rPr>
      </w:pPr>
      <w:r>
        <w:rPr>
          <w:rFonts w:eastAsia="仿宋"/>
          <w:sz w:val="32"/>
          <w:szCs w:val="32"/>
        </w:rPr>
        <w:t>本项目202</w:t>
      </w:r>
      <w:r>
        <w:rPr>
          <w:rFonts w:hint="eastAsia" w:eastAsia="仿宋"/>
          <w:sz w:val="32"/>
          <w:szCs w:val="32"/>
        </w:rPr>
        <w:t>1</w:t>
      </w:r>
      <w:r>
        <w:rPr>
          <w:rFonts w:eastAsia="仿宋"/>
          <w:sz w:val="32"/>
          <w:szCs w:val="32"/>
        </w:rPr>
        <w:t>年实际到位资金</w:t>
      </w:r>
      <w:r>
        <w:rPr>
          <w:rFonts w:hint="eastAsia" w:eastAsia="仿宋"/>
          <w:sz w:val="32"/>
          <w:szCs w:val="32"/>
        </w:rPr>
        <w:t>742.41</w:t>
      </w:r>
      <w:r>
        <w:rPr>
          <w:rFonts w:eastAsia="仿宋"/>
          <w:sz w:val="32"/>
          <w:szCs w:val="32"/>
        </w:rPr>
        <w:t>万元，资金到位率100%。实际支出资金</w:t>
      </w:r>
      <w:r>
        <w:rPr>
          <w:rFonts w:hint="eastAsia" w:eastAsia="仿宋"/>
          <w:sz w:val="32"/>
          <w:szCs w:val="32"/>
        </w:rPr>
        <w:t>702.46</w:t>
      </w:r>
      <w:r>
        <w:rPr>
          <w:rFonts w:eastAsia="仿宋"/>
          <w:sz w:val="32"/>
          <w:szCs w:val="32"/>
        </w:rPr>
        <w:t>万元，预算执行率为9</w:t>
      </w:r>
      <w:r>
        <w:rPr>
          <w:rFonts w:hint="eastAsia" w:eastAsia="仿宋"/>
          <w:sz w:val="32"/>
          <w:szCs w:val="32"/>
        </w:rPr>
        <w:t>4.62</w:t>
      </w:r>
      <w:r>
        <w:rPr>
          <w:rFonts w:eastAsia="仿宋"/>
          <w:sz w:val="32"/>
          <w:szCs w:val="32"/>
        </w:rPr>
        <w:t>%</w:t>
      </w:r>
      <w:r>
        <w:rPr>
          <w:rFonts w:hint="eastAsia" w:eastAsia="仿宋"/>
          <w:sz w:val="32"/>
          <w:szCs w:val="32"/>
        </w:rPr>
        <w:t>，预算执行率较高</w:t>
      </w:r>
      <w:r>
        <w:rPr>
          <w:rFonts w:eastAsia="仿宋"/>
          <w:sz w:val="32"/>
          <w:szCs w:val="32"/>
        </w:rPr>
        <w:t>。</w:t>
      </w:r>
    </w:p>
    <w:p>
      <w:pPr>
        <w:pStyle w:val="2"/>
        <w:spacing w:after="0" w:line="560" w:lineRule="exact"/>
        <w:ind w:firstLine="640"/>
        <w:rPr>
          <w:rFonts w:eastAsia="仿宋"/>
          <w:b/>
          <w:sz w:val="32"/>
          <w:szCs w:val="32"/>
        </w:rPr>
      </w:pPr>
      <w:r>
        <w:rPr>
          <w:rFonts w:eastAsia="仿宋"/>
          <w:b/>
          <w:sz w:val="32"/>
          <w:szCs w:val="32"/>
        </w:rPr>
        <w:t>2.绩效目标完成情况分析（满分80分，得分</w:t>
      </w:r>
      <w:r>
        <w:rPr>
          <w:rFonts w:hint="eastAsia" w:eastAsia="仿宋"/>
          <w:b/>
          <w:sz w:val="32"/>
          <w:szCs w:val="32"/>
        </w:rPr>
        <w:t>79</w:t>
      </w:r>
      <w:r>
        <w:rPr>
          <w:rFonts w:eastAsia="仿宋"/>
          <w:b/>
          <w:sz w:val="32"/>
          <w:szCs w:val="32"/>
        </w:rPr>
        <w:t>分）</w:t>
      </w:r>
    </w:p>
    <w:p>
      <w:pPr>
        <w:spacing w:line="560" w:lineRule="exact"/>
        <w:ind w:firstLine="640"/>
        <w:rPr>
          <w:rFonts w:ascii="仿宋" w:hAnsi="仿宋" w:eastAsia="仿宋" w:cs="仿宋"/>
          <w:b/>
          <w:sz w:val="32"/>
          <w:szCs w:val="32"/>
        </w:rPr>
      </w:pPr>
      <w:r>
        <w:rPr>
          <w:rFonts w:hint="eastAsia" w:ascii="仿宋" w:hAnsi="仿宋" w:eastAsia="仿宋" w:cs="仿宋"/>
          <w:sz w:val="32"/>
          <w:szCs w:val="32"/>
        </w:rPr>
        <w:t>本项目共设置</w:t>
      </w:r>
      <w:r>
        <w:rPr>
          <w:rFonts w:eastAsia="仿宋"/>
          <w:sz w:val="32"/>
          <w:szCs w:val="32"/>
        </w:rPr>
        <w:t>6</w:t>
      </w:r>
      <w:r>
        <w:rPr>
          <w:rFonts w:hint="eastAsia" w:ascii="仿宋" w:hAnsi="仿宋" w:eastAsia="仿宋" w:cs="仿宋"/>
          <w:sz w:val="32"/>
          <w:szCs w:val="32"/>
        </w:rPr>
        <w:t>个绩效指标，完成了</w:t>
      </w:r>
      <w:r>
        <w:rPr>
          <w:rFonts w:eastAsia="仿宋"/>
          <w:sz w:val="32"/>
          <w:szCs w:val="32"/>
        </w:rPr>
        <w:t>5</w:t>
      </w:r>
      <w:r>
        <w:rPr>
          <w:rFonts w:hint="eastAsia" w:ascii="仿宋" w:hAnsi="仿宋" w:eastAsia="仿宋" w:cs="仿宋"/>
          <w:sz w:val="32"/>
          <w:szCs w:val="32"/>
        </w:rPr>
        <w:t>个，其中：产出指标</w:t>
      </w:r>
      <w:r>
        <w:rPr>
          <w:rFonts w:eastAsia="仿宋"/>
          <w:sz w:val="32"/>
          <w:szCs w:val="32"/>
        </w:rPr>
        <w:t>4</w:t>
      </w:r>
      <w:r>
        <w:rPr>
          <w:rFonts w:hint="eastAsia" w:ascii="仿宋" w:hAnsi="仿宋" w:eastAsia="仿宋" w:cs="仿宋"/>
          <w:sz w:val="32"/>
          <w:szCs w:val="32"/>
        </w:rPr>
        <w:t>个，满分</w:t>
      </w:r>
      <w:r>
        <w:rPr>
          <w:rFonts w:eastAsia="仿宋"/>
          <w:sz w:val="32"/>
          <w:szCs w:val="32"/>
        </w:rPr>
        <w:t>40</w:t>
      </w:r>
      <w:r>
        <w:rPr>
          <w:rFonts w:hint="eastAsia" w:ascii="仿宋" w:hAnsi="仿宋" w:eastAsia="仿宋" w:cs="仿宋"/>
          <w:sz w:val="32"/>
          <w:szCs w:val="32"/>
        </w:rPr>
        <w:t>分，得分</w:t>
      </w:r>
      <w:r>
        <w:rPr>
          <w:rFonts w:eastAsia="仿宋"/>
          <w:sz w:val="32"/>
          <w:szCs w:val="32"/>
        </w:rPr>
        <w:t>40</w:t>
      </w:r>
      <w:r>
        <w:rPr>
          <w:rFonts w:hint="eastAsia" w:ascii="仿宋" w:hAnsi="仿宋" w:eastAsia="仿宋" w:cs="仿宋"/>
          <w:sz w:val="32"/>
          <w:szCs w:val="32"/>
        </w:rPr>
        <w:t>分；效益指标</w:t>
      </w:r>
      <w:r>
        <w:rPr>
          <w:rFonts w:eastAsia="仿宋"/>
          <w:sz w:val="32"/>
          <w:szCs w:val="32"/>
        </w:rPr>
        <w:t>2</w:t>
      </w:r>
      <w:r>
        <w:rPr>
          <w:rFonts w:hint="eastAsia" w:ascii="仿宋" w:hAnsi="仿宋" w:eastAsia="仿宋" w:cs="仿宋"/>
          <w:sz w:val="32"/>
          <w:szCs w:val="32"/>
        </w:rPr>
        <w:t>个，满分</w:t>
      </w:r>
      <w:r>
        <w:rPr>
          <w:rFonts w:eastAsia="仿宋"/>
          <w:sz w:val="32"/>
          <w:szCs w:val="32"/>
        </w:rPr>
        <w:t>40</w:t>
      </w:r>
      <w:r>
        <w:rPr>
          <w:rFonts w:hint="eastAsia" w:ascii="仿宋" w:hAnsi="仿宋" w:eastAsia="仿宋" w:cs="仿宋"/>
          <w:sz w:val="32"/>
          <w:szCs w:val="32"/>
        </w:rPr>
        <w:t>分，得分</w:t>
      </w:r>
      <w:r>
        <w:rPr>
          <w:rFonts w:eastAsia="仿宋"/>
          <w:sz w:val="32"/>
          <w:szCs w:val="32"/>
        </w:rPr>
        <w:t>39</w:t>
      </w:r>
      <w:r>
        <w:rPr>
          <w:rFonts w:hint="eastAsia" w:ascii="仿宋" w:hAnsi="仿宋" w:eastAsia="仿宋" w:cs="仿宋"/>
          <w:sz w:val="32"/>
          <w:szCs w:val="32"/>
        </w:rPr>
        <w:t>分。</w:t>
      </w:r>
    </w:p>
    <w:p>
      <w:pPr>
        <w:pStyle w:val="2"/>
        <w:spacing w:after="0" w:line="560" w:lineRule="exact"/>
        <w:ind w:firstLine="640"/>
        <w:rPr>
          <w:rFonts w:eastAsia="仿宋"/>
          <w:sz w:val="32"/>
          <w:szCs w:val="32"/>
        </w:rPr>
      </w:pPr>
      <w:r>
        <w:rPr>
          <w:rFonts w:eastAsia="仿宋"/>
          <w:sz w:val="32"/>
          <w:szCs w:val="32"/>
        </w:rPr>
        <w:t>（</w:t>
      </w:r>
      <w:r>
        <w:rPr>
          <w:rFonts w:hint="eastAsia" w:eastAsia="仿宋"/>
          <w:sz w:val="32"/>
          <w:szCs w:val="32"/>
        </w:rPr>
        <w:t>1</w:t>
      </w:r>
      <w:r>
        <w:rPr>
          <w:rFonts w:eastAsia="仿宋"/>
          <w:sz w:val="32"/>
          <w:szCs w:val="32"/>
        </w:rPr>
        <w:t>）产出指标完成情况分析（满分</w:t>
      </w:r>
      <w:r>
        <w:rPr>
          <w:rFonts w:hint="eastAsia" w:eastAsia="仿宋"/>
          <w:sz w:val="32"/>
          <w:szCs w:val="32"/>
        </w:rPr>
        <w:t>40</w:t>
      </w:r>
      <w:r>
        <w:rPr>
          <w:rFonts w:eastAsia="仿宋"/>
          <w:sz w:val="32"/>
          <w:szCs w:val="32"/>
        </w:rPr>
        <w:t>分，得分</w:t>
      </w:r>
      <w:r>
        <w:rPr>
          <w:rFonts w:hint="eastAsia" w:eastAsia="仿宋"/>
          <w:sz w:val="32"/>
          <w:szCs w:val="32"/>
        </w:rPr>
        <w:t>40</w:t>
      </w:r>
      <w:r>
        <w:rPr>
          <w:rFonts w:eastAsia="仿宋"/>
          <w:sz w:val="32"/>
          <w:szCs w:val="32"/>
        </w:rPr>
        <w:t>分）</w:t>
      </w:r>
    </w:p>
    <w:p>
      <w:pPr>
        <w:pStyle w:val="2"/>
        <w:spacing w:after="0" w:line="560" w:lineRule="exact"/>
        <w:ind w:firstLine="640" w:firstLineChars="200"/>
        <w:rPr>
          <w:rFonts w:eastAsia="仿宋"/>
          <w:sz w:val="32"/>
          <w:szCs w:val="32"/>
        </w:rPr>
      </w:pPr>
      <w:r>
        <w:rPr>
          <w:rFonts w:eastAsia="宋体"/>
          <w:sz w:val="32"/>
          <w:szCs w:val="32"/>
        </w:rPr>
        <w:t>①</w:t>
      </w:r>
      <w:bookmarkStart w:id="15" w:name="_Hlk102145254"/>
      <w:r>
        <w:rPr>
          <w:rFonts w:hint="eastAsia" w:eastAsia="仿宋"/>
          <w:sz w:val="32"/>
          <w:szCs w:val="32"/>
        </w:rPr>
        <w:t>栽植乔木数</w:t>
      </w:r>
      <w:r>
        <w:rPr>
          <w:rFonts w:eastAsia="仿宋"/>
          <w:sz w:val="32"/>
          <w:szCs w:val="32"/>
        </w:rPr>
        <w:t>：满分</w:t>
      </w:r>
      <w:r>
        <w:rPr>
          <w:rFonts w:hint="eastAsia" w:eastAsia="仿宋"/>
          <w:sz w:val="32"/>
          <w:szCs w:val="32"/>
        </w:rPr>
        <w:t>10</w:t>
      </w:r>
      <w:r>
        <w:rPr>
          <w:rFonts w:eastAsia="仿宋"/>
          <w:sz w:val="32"/>
          <w:szCs w:val="32"/>
        </w:rPr>
        <w:t>分，得分</w:t>
      </w:r>
      <w:r>
        <w:rPr>
          <w:rFonts w:hint="eastAsia" w:eastAsia="仿宋"/>
          <w:sz w:val="32"/>
          <w:szCs w:val="32"/>
        </w:rPr>
        <w:t>10</w:t>
      </w:r>
      <w:r>
        <w:rPr>
          <w:rFonts w:eastAsia="仿宋"/>
          <w:sz w:val="32"/>
          <w:szCs w:val="32"/>
        </w:rPr>
        <w:t>分</w:t>
      </w:r>
    </w:p>
    <w:bookmarkEnd w:id="15"/>
    <w:p>
      <w:pPr>
        <w:pStyle w:val="2"/>
        <w:spacing w:after="0" w:line="560" w:lineRule="exact"/>
        <w:ind w:firstLine="640" w:firstLineChars="200"/>
        <w:rPr>
          <w:rFonts w:eastAsia="仿宋"/>
          <w:sz w:val="32"/>
          <w:szCs w:val="32"/>
          <w:highlight w:val="none"/>
        </w:rPr>
      </w:pPr>
      <w:r>
        <w:rPr>
          <w:rFonts w:hint="eastAsia" w:eastAsia="仿宋"/>
          <w:sz w:val="32"/>
          <w:szCs w:val="32"/>
          <w:highlight w:val="none"/>
        </w:rPr>
        <w:t>栽植乔木数目标为1164株，2</w:t>
      </w:r>
      <w:r>
        <w:rPr>
          <w:rFonts w:eastAsia="仿宋"/>
          <w:sz w:val="32"/>
          <w:szCs w:val="32"/>
          <w:highlight w:val="none"/>
        </w:rPr>
        <w:t>021</w:t>
      </w:r>
      <w:r>
        <w:rPr>
          <w:rFonts w:hint="eastAsia" w:eastAsia="仿宋"/>
          <w:sz w:val="32"/>
          <w:szCs w:val="32"/>
          <w:highlight w:val="none"/>
        </w:rPr>
        <w:t>年度实际栽植1164株，包括631株香樟、505株广玉兰、22株桂花、6株紫叶李，完成目标。</w:t>
      </w:r>
      <w:r>
        <w:rPr>
          <w:rFonts w:eastAsia="仿宋"/>
          <w:sz w:val="32"/>
          <w:szCs w:val="32"/>
          <w:highlight w:val="none"/>
        </w:rPr>
        <w:t xml:space="preserve"> </w:t>
      </w:r>
    </w:p>
    <w:p>
      <w:pPr>
        <w:pStyle w:val="2"/>
        <w:spacing w:after="0" w:line="560" w:lineRule="exact"/>
        <w:ind w:firstLine="640" w:firstLineChars="200"/>
        <w:rPr>
          <w:rFonts w:eastAsia="仿宋"/>
          <w:sz w:val="32"/>
          <w:szCs w:val="32"/>
        </w:rPr>
      </w:pPr>
      <w:r>
        <w:rPr>
          <w:rFonts w:eastAsiaTheme="minorEastAsia"/>
          <w:sz w:val="32"/>
          <w:szCs w:val="32"/>
        </w:rPr>
        <w:t>②</w:t>
      </w:r>
      <w:r>
        <w:rPr>
          <w:rFonts w:hint="eastAsia" w:eastAsia="仿宋"/>
          <w:sz w:val="32"/>
          <w:szCs w:val="32"/>
        </w:rPr>
        <w:t>园林绿化工程验收合格率：满分10</w:t>
      </w:r>
      <w:r>
        <w:rPr>
          <w:rFonts w:eastAsia="仿宋"/>
          <w:sz w:val="32"/>
          <w:szCs w:val="32"/>
        </w:rPr>
        <w:t>分，得分</w:t>
      </w:r>
      <w:r>
        <w:rPr>
          <w:rFonts w:hint="eastAsia" w:eastAsia="仿宋"/>
          <w:sz w:val="32"/>
          <w:szCs w:val="32"/>
        </w:rPr>
        <w:t>10</w:t>
      </w:r>
      <w:r>
        <w:rPr>
          <w:rFonts w:eastAsia="仿宋"/>
          <w:sz w:val="32"/>
          <w:szCs w:val="32"/>
        </w:rPr>
        <w:t>分</w:t>
      </w:r>
    </w:p>
    <w:p>
      <w:pPr>
        <w:pStyle w:val="2"/>
        <w:spacing w:after="0" w:line="560" w:lineRule="exact"/>
        <w:ind w:firstLine="640" w:firstLineChars="200"/>
        <w:rPr>
          <w:rFonts w:eastAsia="仿宋"/>
          <w:sz w:val="32"/>
          <w:szCs w:val="32"/>
        </w:rPr>
      </w:pPr>
      <w:r>
        <w:rPr>
          <w:rFonts w:hint="eastAsia" w:eastAsia="仿宋"/>
          <w:sz w:val="32"/>
          <w:szCs w:val="32"/>
        </w:rPr>
        <w:t>园林绿化工程验收合格率目标为100%，2021年在东风云峰厂内栽植乔木1164株，在军山片区、全力片区、龙灵山片区进行的断树补植、扶正加固、洒水、垃圾清运工程均在</w:t>
      </w:r>
      <w:r>
        <w:rPr>
          <w:rFonts w:hint="eastAsia" w:eastAsia="仿宋"/>
        </w:rPr>
        <w:t>合同规定</w:t>
      </w:r>
      <w:r>
        <w:t>时间内完工，</w:t>
      </w:r>
      <w:r>
        <w:rPr>
          <w:rFonts w:hint="eastAsia"/>
        </w:rPr>
        <w:t>并已于</w:t>
      </w:r>
      <w:r>
        <w:rPr>
          <w:rFonts w:hint="eastAsia" w:eastAsia="仿宋"/>
          <w:sz w:val="32"/>
          <w:szCs w:val="32"/>
        </w:rPr>
        <w:t>2021年验收合格，园林绿化工程验收合格率为100%，完成目标。</w:t>
      </w:r>
    </w:p>
    <w:p>
      <w:pPr>
        <w:pStyle w:val="2"/>
        <w:spacing w:after="0" w:line="560" w:lineRule="exact"/>
        <w:ind w:firstLine="640" w:firstLineChars="200"/>
        <w:rPr>
          <w:rFonts w:eastAsia="仿宋"/>
          <w:sz w:val="32"/>
          <w:szCs w:val="32"/>
        </w:rPr>
      </w:pPr>
      <w:r>
        <w:rPr>
          <w:rFonts w:eastAsiaTheme="minorEastAsia"/>
          <w:sz w:val="32"/>
          <w:szCs w:val="32"/>
        </w:rPr>
        <w:t>③</w:t>
      </w:r>
      <w:r>
        <w:rPr>
          <w:rFonts w:hint="eastAsia" w:ascii="仿宋" w:hAnsi="仿宋" w:eastAsia="仿宋" w:cs="仿宋"/>
          <w:sz w:val="32"/>
          <w:szCs w:val="32"/>
        </w:rPr>
        <w:t>栽植乔木成活率</w:t>
      </w:r>
      <w:r>
        <w:rPr>
          <w:rFonts w:eastAsia="仿宋"/>
          <w:sz w:val="32"/>
          <w:szCs w:val="32"/>
        </w:rPr>
        <w:t>：满分</w:t>
      </w:r>
      <w:r>
        <w:rPr>
          <w:rFonts w:hint="eastAsia" w:eastAsia="仿宋"/>
          <w:sz w:val="32"/>
          <w:szCs w:val="32"/>
        </w:rPr>
        <w:t>10</w:t>
      </w:r>
      <w:r>
        <w:rPr>
          <w:rFonts w:eastAsia="仿宋"/>
          <w:sz w:val="32"/>
          <w:szCs w:val="32"/>
        </w:rPr>
        <w:t>分，得分</w:t>
      </w:r>
      <w:r>
        <w:rPr>
          <w:rFonts w:hint="eastAsia" w:eastAsia="仿宋"/>
          <w:sz w:val="32"/>
          <w:szCs w:val="32"/>
        </w:rPr>
        <w:t>10</w:t>
      </w:r>
      <w:r>
        <w:rPr>
          <w:rFonts w:eastAsia="仿宋"/>
          <w:sz w:val="32"/>
          <w:szCs w:val="32"/>
        </w:rPr>
        <w:t>分</w:t>
      </w:r>
    </w:p>
    <w:p>
      <w:pPr>
        <w:pStyle w:val="2"/>
        <w:spacing w:after="0" w:line="560" w:lineRule="exact"/>
        <w:ind w:firstLine="640" w:firstLineChars="200"/>
        <w:rPr>
          <w:rFonts w:ascii="仿宋" w:hAnsi="仿宋" w:eastAsia="仿宋" w:cs="仿宋"/>
          <w:sz w:val="32"/>
          <w:szCs w:val="32"/>
        </w:rPr>
      </w:pPr>
      <w:r>
        <w:rPr>
          <w:rFonts w:hint="eastAsia" w:ascii="仿宋" w:hAnsi="仿宋" w:eastAsia="仿宋" w:cs="仿宋"/>
          <w:sz w:val="32"/>
          <w:szCs w:val="32"/>
        </w:rPr>
        <w:t>目标为栽植乔木成活率达到100%，工程验收时栽植的乔木全部成活，同时施工方对栽植乔木负有一年的保存养护义务，可确保栽植乔木成活，故栽植乔木成活率为100%，完成目标。</w:t>
      </w:r>
    </w:p>
    <w:p>
      <w:pPr>
        <w:pStyle w:val="2"/>
        <w:spacing w:after="0" w:line="560" w:lineRule="exact"/>
        <w:ind w:firstLine="640" w:firstLineChars="200"/>
        <w:rPr>
          <w:rFonts w:eastAsia="仿宋"/>
          <w:sz w:val="32"/>
          <w:szCs w:val="32"/>
        </w:rPr>
      </w:pPr>
      <w:r>
        <w:rPr>
          <w:rFonts w:eastAsia="宋体"/>
          <w:sz w:val="32"/>
          <w:szCs w:val="32"/>
        </w:rPr>
        <w:t>④</w:t>
      </w:r>
      <w:r>
        <w:rPr>
          <w:rFonts w:hint="eastAsia" w:ascii="仿宋" w:hAnsi="仿宋" w:eastAsia="仿宋" w:cs="仿宋"/>
          <w:sz w:val="32"/>
          <w:szCs w:val="32"/>
        </w:rPr>
        <w:t>项目完成及时性</w:t>
      </w:r>
      <w:r>
        <w:rPr>
          <w:rFonts w:eastAsia="仿宋"/>
          <w:sz w:val="32"/>
          <w:szCs w:val="32"/>
        </w:rPr>
        <w:t>：满分</w:t>
      </w:r>
      <w:r>
        <w:rPr>
          <w:rFonts w:hint="eastAsia" w:eastAsia="仿宋"/>
          <w:sz w:val="32"/>
          <w:szCs w:val="32"/>
        </w:rPr>
        <w:t>10</w:t>
      </w:r>
      <w:r>
        <w:rPr>
          <w:rFonts w:eastAsia="仿宋"/>
          <w:sz w:val="32"/>
          <w:szCs w:val="32"/>
        </w:rPr>
        <w:t>分，得分</w:t>
      </w:r>
      <w:r>
        <w:rPr>
          <w:rFonts w:hint="eastAsia" w:eastAsia="仿宋"/>
          <w:sz w:val="32"/>
          <w:szCs w:val="32"/>
        </w:rPr>
        <w:t>10</w:t>
      </w:r>
      <w:r>
        <w:rPr>
          <w:rFonts w:eastAsia="仿宋"/>
          <w:sz w:val="32"/>
          <w:szCs w:val="32"/>
        </w:rPr>
        <w:t>分</w:t>
      </w:r>
    </w:p>
    <w:p>
      <w:pPr>
        <w:pStyle w:val="2"/>
        <w:spacing w:after="0" w:line="560" w:lineRule="exact"/>
        <w:ind w:firstLine="640" w:firstLineChars="200"/>
        <w:rPr>
          <w:rFonts w:eastAsia="仿宋"/>
          <w:sz w:val="32"/>
          <w:szCs w:val="32"/>
        </w:rPr>
      </w:pPr>
      <w:r>
        <w:rPr>
          <w:rFonts w:hint="eastAsia" w:eastAsia="仿宋"/>
          <w:bCs/>
          <w:sz w:val="32"/>
          <w:szCs w:val="32"/>
        </w:rPr>
        <w:t>目标为完成及时，2021年风灾树木修复及补助资金项目涉及的树木修复工程均在合同规定时间内完成并通过了验收，项目完成及时，完成目标。</w:t>
      </w:r>
    </w:p>
    <w:p>
      <w:pPr>
        <w:pStyle w:val="2"/>
        <w:spacing w:after="0" w:line="560" w:lineRule="exact"/>
        <w:ind w:firstLine="640" w:firstLineChars="200"/>
        <w:rPr>
          <w:rFonts w:eastAsia="仿宋"/>
          <w:sz w:val="32"/>
          <w:szCs w:val="32"/>
        </w:rPr>
      </w:pPr>
      <w:r>
        <w:rPr>
          <w:rFonts w:eastAsia="仿宋"/>
          <w:sz w:val="32"/>
          <w:szCs w:val="32"/>
        </w:rPr>
        <w:t>（</w:t>
      </w:r>
      <w:r>
        <w:rPr>
          <w:rFonts w:hint="eastAsia" w:eastAsia="仿宋"/>
          <w:sz w:val="32"/>
          <w:szCs w:val="32"/>
        </w:rPr>
        <w:t>2</w:t>
      </w:r>
      <w:r>
        <w:rPr>
          <w:rFonts w:eastAsia="仿宋"/>
          <w:sz w:val="32"/>
          <w:szCs w:val="32"/>
        </w:rPr>
        <w:t>）效益指标完成情况分析（满分</w:t>
      </w:r>
      <w:r>
        <w:rPr>
          <w:rFonts w:hint="eastAsia" w:eastAsia="仿宋"/>
          <w:sz w:val="32"/>
          <w:szCs w:val="32"/>
        </w:rPr>
        <w:t>40</w:t>
      </w:r>
      <w:r>
        <w:rPr>
          <w:rFonts w:eastAsia="仿宋"/>
          <w:sz w:val="32"/>
          <w:szCs w:val="32"/>
        </w:rPr>
        <w:t>分，得分</w:t>
      </w:r>
      <w:r>
        <w:rPr>
          <w:rFonts w:hint="eastAsia" w:eastAsia="仿宋"/>
          <w:sz w:val="32"/>
          <w:szCs w:val="32"/>
        </w:rPr>
        <w:t>39</w:t>
      </w:r>
      <w:r>
        <w:rPr>
          <w:rFonts w:eastAsia="仿宋"/>
          <w:sz w:val="32"/>
          <w:szCs w:val="32"/>
        </w:rPr>
        <w:t>分）</w:t>
      </w:r>
    </w:p>
    <w:p>
      <w:pPr>
        <w:pStyle w:val="2"/>
        <w:spacing w:after="0" w:line="560" w:lineRule="exact"/>
        <w:ind w:firstLine="640" w:firstLineChars="200"/>
        <w:rPr>
          <w:rFonts w:ascii="仿宋" w:hAnsi="仿宋" w:eastAsia="仿宋" w:cs="仿宋"/>
          <w:sz w:val="32"/>
          <w:szCs w:val="32"/>
        </w:rPr>
      </w:pPr>
      <w:r>
        <w:rPr>
          <w:rFonts w:eastAsia="宋体"/>
          <w:sz w:val="32"/>
          <w:szCs w:val="32"/>
        </w:rPr>
        <w:t>①</w:t>
      </w:r>
      <w:r>
        <w:rPr>
          <w:rFonts w:hint="eastAsia" w:ascii="仿宋" w:hAnsi="仿宋" w:eastAsia="仿宋" w:cs="仿宋"/>
          <w:sz w:val="32"/>
          <w:szCs w:val="32"/>
        </w:rPr>
        <w:t>绿化修复提升度</w:t>
      </w:r>
      <w:r>
        <w:rPr>
          <w:rFonts w:eastAsia="仿宋"/>
          <w:sz w:val="32"/>
          <w:szCs w:val="32"/>
        </w:rPr>
        <w:t>：满分</w:t>
      </w:r>
      <w:r>
        <w:rPr>
          <w:rFonts w:hint="eastAsia" w:eastAsia="仿宋"/>
          <w:sz w:val="32"/>
          <w:szCs w:val="32"/>
        </w:rPr>
        <w:t>20</w:t>
      </w:r>
      <w:r>
        <w:rPr>
          <w:rFonts w:eastAsia="仿宋"/>
          <w:sz w:val="32"/>
          <w:szCs w:val="32"/>
        </w:rPr>
        <w:t>分，得分</w:t>
      </w:r>
      <w:r>
        <w:rPr>
          <w:rFonts w:hint="eastAsia" w:eastAsia="仿宋"/>
          <w:sz w:val="32"/>
          <w:szCs w:val="32"/>
        </w:rPr>
        <w:t>20</w:t>
      </w:r>
      <w:r>
        <w:rPr>
          <w:rFonts w:eastAsia="仿宋"/>
          <w:sz w:val="32"/>
          <w:szCs w:val="32"/>
        </w:rPr>
        <w:t>分</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目标为绿化修复提升度有提升，通过乔木种植、断树补植、扶正加固、洒水、垃圾清运，最大程度减少了极端自然灾害天气对园林损毁带来的不良影响，绿化修复提升度有提升，完成目标。</w:t>
      </w:r>
    </w:p>
    <w:p>
      <w:pPr>
        <w:pStyle w:val="2"/>
        <w:spacing w:after="0" w:line="560" w:lineRule="exact"/>
        <w:ind w:firstLine="640" w:firstLineChars="200"/>
        <w:rPr>
          <w:rFonts w:eastAsia="仿宋"/>
          <w:sz w:val="32"/>
          <w:szCs w:val="32"/>
        </w:rPr>
      </w:pPr>
      <w:r>
        <w:rPr>
          <w:rFonts w:eastAsiaTheme="minorEastAsia"/>
          <w:sz w:val="32"/>
          <w:szCs w:val="32"/>
        </w:rPr>
        <w:t>②</w:t>
      </w:r>
      <w:r>
        <w:rPr>
          <w:rFonts w:hint="eastAsia" w:ascii="仿宋" w:hAnsi="仿宋" w:eastAsia="仿宋" w:cs="仿宋"/>
          <w:sz w:val="32"/>
          <w:szCs w:val="32"/>
        </w:rPr>
        <w:t>生态环境改善情况</w:t>
      </w:r>
      <w:r>
        <w:rPr>
          <w:rFonts w:eastAsia="仿宋"/>
          <w:sz w:val="32"/>
          <w:szCs w:val="32"/>
        </w:rPr>
        <w:t>：满分</w:t>
      </w:r>
      <w:r>
        <w:rPr>
          <w:rFonts w:hint="eastAsia" w:eastAsia="仿宋"/>
          <w:sz w:val="32"/>
          <w:szCs w:val="32"/>
        </w:rPr>
        <w:t>20</w:t>
      </w:r>
      <w:r>
        <w:rPr>
          <w:rFonts w:eastAsia="仿宋"/>
          <w:sz w:val="32"/>
          <w:szCs w:val="32"/>
        </w:rPr>
        <w:t>分，得分</w:t>
      </w:r>
      <w:r>
        <w:rPr>
          <w:rFonts w:hint="eastAsia" w:eastAsia="仿宋"/>
          <w:sz w:val="32"/>
          <w:szCs w:val="32"/>
        </w:rPr>
        <w:t>19</w:t>
      </w:r>
      <w:r>
        <w:rPr>
          <w:rFonts w:eastAsia="仿宋"/>
          <w:sz w:val="32"/>
          <w:szCs w:val="32"/>
        </w:rPr>
        <w:t>分</w:t>
      </w:r>
    </w:p>
    <w:p>
      <w:pPr>
        <w:spacing w:line="560" w:lineRule="exact"/>
        <w:ind w:firstLine="640"/>
        <w:rPr>
          <w:sz w:val="32"/>
          <w:szCs w:val="32"/>
        </w:rPr>
      </w:pPr>
      <w:r>
        <w:rPr>
          <w:rFonts w:hint="eastAsia" w:eastAsia="仿宋"/>
          <w:sz w:val="32"/>
          <w:szCs w:val="32"/>
        </w:rPr>
        <w:t>目标为生态环境有改善，通过对倒伏树木进行清理、修剪、补植，修复了生态环境</w:t>
      </w:r>
      <w:r>
        <w:rPr>
          <w:rFonts w:hint="eastAsia"/>
        </w:rPr>
        <w:t>，但是本项目更多的是进行风灾树木的修复，对生态环境的改善作用不明显，未完全实现目标。</w:t>
      </w:r>
    </w:p>
    <w:p>
      <w:pPr>
        <w:widowControl/>
        <w:spacing w:line="560" w:lineRule="exact"/>
        <w:ind w:firstLine="643" w:firstLineChars="200"/>
        <w:jc w:val="left"/>
        <w:outlineLvl w:val="1"/>
        <w:rPr>
          <w:rFonts w:eastAsia="楷体"/>
          <w:b/>
          <w:bCs/>
          <w:color w:val="000000"/>
          <w:kern w:val="0"/>
          <w:sz w:val="32"/>
          <w:szCs w:val="32"/>
        </w:rPr>
      </w:pPr>
      <w:r>
        <w:rPr>
          <w:rFonts w:eastAsia="楷体"/>
          <w:b/>
          <w:bCs/>
          <w:color w:val="000000"/>
          <w:kern w:val="0"/>
          <w:sz w:val="32"/>
          <w:szCs w:val="32"/>
        </w:rPr>
        <w:t>（四）上年度部门自评结果应用情况</w:t>
      </w:r>
    </w:p>
    <w:p>
      <w:pPr>
        <w:widowControl/>
        <w:spacing w:line="560" w:lineRule="exact"/>
        <w:ind w:firstLine="640" w:firstLineChars="200"/>
        <w:jc w:val="left"/>
        <w:outlineLvl w:val="1"/>
        <w:rPr>
          <w:rFonts w:ascii="仿宋" w:hAnsi="仿宋" w:eastAsia="仿宋" w:cs="仿宋"/>
          <w:color w:val="000000"/>
          <w:kern w:val="0"/>
          <w:sz w:val="32"/>
          <w:szCs w:val="32"/>
          <w:highlight w:val="yellow"/>
        </w:rPr>
      </w:pPr>
      <w:r>
        <w:rPr>
          <w:rFonts w:hint="eastAsia" w:ascii="仿宋" w:hAnsi="仿宋" w:eastAsia="仿宋" w:cs="仿宋"/>
          <w:color w:val="000000"/>
          <w:kern w:val="0"/>
          <w:sz w:val="32"/>
          <w:szCs w:val="32"/>
          <w:highlight w:val="none"/>
        </w:rPr>
        <w:t>该项目为本年度新增项目，年中发生风灾等极端天气用于灾后树木清理及管护而设立，上年度无对应绩效评价。</w:t>
      </w:r>
    </w:p>
    <w:p>
      <w:pPr>
        <w:widowControl/>
        <w:spacing w:line="560" w:lineRule="exact"/>
        <w:ind w:firstLine="643" w:firstLineChars="200"/>
        <w:jc w:val="left"/>
        <w:outlineLvl w:val="1"/>
        <w:rPr>
          <w:rFonts w:eastAsia="楷体"/>
          <w:b/>
          <w:bCs/>
          <w:color w:val="000000"/>
          <w:kern w:val="0"/>
          <w:sz w:val="32"/>
          <w:szCs w:val="32"/>
        </w:rPr>
      </w:pPr>
      <w:r>
        <w:rPr>
          <w:rFonts w:eastAsia="楷体"/>
          <w:b/>
          <w:bCs/>
          <w:color w:val="000000"/>
          <w:kern w:val="0"/>
          <w:sz w:val="32"/>
          <w:szCs w:val="32"/>
        </w:rPr>
        <w:t>（五）其他佐证材料</w:t>
      </w:r>
    </w:p>
    <w:p>
      <w:pPr>
        <w:pStyle w:val="2"/>
        <w:spacing w:line="560" w:lineRule="exact"/>
        <w:ind w:firstLine="640" w:firstLineChars="200"/>
        <w:jc w:val="left"/>
        <w:rPr>
          <w:rFonts w:ascii="仿宋" w:hAnsi="仿宋" w:eastAsia="仿宋" w:cs="仿宋"/>
          <w:sz w:val="32"/>
          <w:szCs w:val="28"/>
        </w:rPr>
      </w:pPr>
      <w:r>
        <w:rPr>
          <w:rFonts w:hint="eastAsia" w:ascii="仿宋" w:hAnsi="仿宋" w:eastAsia="仿宋" w:cs="仿宋"/>
          <w:sz w:val="32"/>
          <w:szCs w:val="28"/>
        </w:rPr>
        <w:t>无。</w:t>
      </w:r>
    </w:p>
    <w:p>
      <w:pPr>
        <w:pStyle w:val="2"/>
        <w:jc w:val="left"/>
      </w:pPr>
    </w:p>
    <w:p>
      <w:pPr>
        <w:widowControl/>
        <w:spacing w:line="500" w:lineRule="exact"/>
        <w:ind w:firstLine="480" w:firstLineChars="200"/>
        <w:rPr>
          <w:rFonts w:eastAsia="仿宋"/>
          <w:sz w:val="32"/>
          <w:szCs w:val="32"/>
        </w:rPr>
      </w:pPr>
      <w:r>
        <w:rPr>
          <w:rFonts w:eastAsia="宋体"/>
          <w:color w:val="000000"/>
          <w:kern w:val="0"/>
          <w:sz w:val="24"/>
        </w:rPr>
        <w:t xml:space="preserve">    </w:t>
      </w:r>
      <w:r>
        <w:rPr>
          <w:rFonts w:hint="eastAsia" w:eastAsia="宋体"/>
          <w:color w:val="000000"/>
          <w:kern w:val="0"/>
          <w:sz w:val="24"/>
        </w:rPr>
        <w:t xml:space="preserve">    </w:t>
      </w:r>
      <w:r>
        <w:rPr>
          <w:rFonts w:eastAsia="宋体"/>
          <w:color w:val="000000"/>
          <w:kern w:val="0"/>
          <w:sz w:val="24"/>
        </w:rPr>
        <w:t xml:space="preserve"> </w:t>
      </w:r>
      <w:r>
        <w:rPr>
          <w:rFonts w:hint="eastAsia" w:eastAsia="仿宋"/>
          <w:sz w:val="32"/>
          <w:szCs w:val="32"/>
        </w:rPr>
        <w:t>武汉经济技术开发区（汉南区）自然资源和规划局</w:t>
      </w:r>
    </w:p>
    <w:p>
      <w:pPr>
        <w:widowControl/>
        <w:spacing w:line="500" w:lineRule="exact"/>
        <w:ind w:firstLine="640" w:firstLineChars="200"/>
      </w:pPr>
      <w:r>
        <w:rPr>
          <w:rFonts w:hint="eastAsia" w:eastAsia="仿宋"/>
          <w:sz w:val="32"/>
          <w:szCs w:val="32"/>
        </w:rPr>
        <w:t xml:space="preserve">                    </w:t>
      </w:r>
      <w:r>
        <w:rPr>
          <w:rFonts w:hint="eastAsia" w:eastAsia="宋体"/>
          <w:color w:val="000000"/>
          <w:kern w:val="0"/>
          <w:sz w:val="24"/>
        </w:rPr>
        <w:t xml:space="preserve">    </w:t>
      </w:r>
      <w:r>
        <w:rPr>
          <w:rFonts w:eastAsia="宋体"/>
          <w:color w:val="000000"/>
          <w:kern w:val="0"/>
          <w:sz w:val="24"/>
        </w:rPr>
        <w:t xml:space="preserve">            </w:t>
      </w:r>
      <w:r>
        <w:rPr>
          <w:rFonts w:hint="eastAsia" w:eastAsia="仿宋"/>
          <w:sz w:val="32"/>
          <w:szCs w:val="32"/>
        </w:rPr>
        <w:t xml:space="preserve"> </w:t>
      </w:r>
      <w:r>
        <w:rPr>
          <w:rFonts w:eastAsia="仿宋"/>
          <w:sz w:val="32"/>
          <w:szCs w:val="32"/>
        </w:rPr>
        <w:t xml:space="preserve"> 202</w:t>
      </w:r>
      <w:r>
        <w:rPr>
          <w:rFonts w:hint="eastAsia" w:eastAsia="仿宋"/>
          <w:sz w:val="32"/>
          <w:szCs w:val="32"/>
        </w:rPr>
        <w:t>2</w:t>
      </w:r>
      <w:r>
        <w:rPr>
          <w:rFonts w:eastAsia="仿宋"/>
          <w:sz w:val="32"/>
          <w:szCs w:val="32"/>
        </w:rPr>
        <w:t>年</w:t>
      </w:r>
      <w:r>
        <w:rPr>
          <w:rFonts w:hint="eastAsia" w:eastAsia="仿宋"/>
          <w:sz w:val="32"/>
          <w:szCs w:val="32"/>
        </w:rPr>
        <w:t>5</w:t>
      </w:r>
      <w:r>
        <w:rPr>
          <w:rFonts w:eastAsia="仿宋"/>
          <w:sz w:val="32"/>
          <w:szCs w:val="32"/>
        </w:rPr>
        <w:t>月</w:t>
      </w:r>
      <w:r>
        <w:rPr>
          <w:rFonts w:hint="eastAsia" w:eastAsia="仿宋"/>
          <w:sz w:val="32"/>
          <w:szCs w:val="32"/>
        </w:rPr>
        <w:t>10</w:t>
      </w:r>
      <w:r>
        <w:rPr>
          <w:rFonts w:eastAsia="仿宋"/>
          <w:sz w:val="32"/>
          <w:szCs w:val="32"/>
        </w:rPr>
        <w:t>日</w:t>
      </w:r>
    </w:p>
    <w:sectPr>
      <w:footerReference r:id="rId3" w:type="default"/>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fldChar w:fldCharType="begin"/>
    </w:r>
    <w:r>
      <w:instrText xml:space="preserve"> PAGE   \* MERGEFORMAT </w:instrText>
    </w:r>
    <w:r>
      <w:fldChar w:fldCharType="separate"/>
    </w:r>
    <w:r>
      <w:rPr>
        <w:lang w:val="zh-CN"/>
      </w:rPr>
      <w:t>12</w:t>
    </w:r>
    <w:r>
      <w:rPr>
        <w:lang w:val="zh-CN"/>
      </w:rPr>
      <w:fldChar w:fldCharType="end"/>
    </w:r>
  </w:p>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1BFE44"/>
    <w:multiLevelType w:val="singleLevel"/>
    <w:tmpl w:val="AE1BFE44"/>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lMWY2NTQ2NDIyMWY5YTUxZDk4NzYwNTFiZDllMTAifQ=="/>
  </w:docVars>
  <w:rsids>
    <w:rsidRoot w:val="3B3B172B"/>
    <w:rsid w:val="000135C4"/>
    <w:rsid w:val="000508E5"/>
    <w:rsid w:val="00075407"/>
    <w:rsid w:val="00075EC8"/>
    <w:rsid w:val="00116E79"/>
    <w:rsid w:val="00190E12"/>
    <w:rsid w:val="00237712"/>
    <w:rsid w:val="0025276C"/>
    <w:rsid w:val="0028000D"/>
    <w:rsid w:val="002A6049"/>
    <w:rsid w:val="002F66F2"/>
    <w:rsid w:val="00314C80"/>
    <w:rsid w:val="003262D6"/>
    <w:rsid w:val="00330C9E"/>
    <w:rsid w:val="003A0E53"/>
    <w:rsid w:val="004625F1"/>
    <w:rsid w:val="004924CD"/>
    <w:rsid w:val="004A2B83"/>
    <w:rsid w:val="005F6B71"/>
    <w:rsid w:val="00687E9E"/>
    <w:rsid w:val="00896D95"/>
    <w:rsid w:val="008B6B92"/>
    <w:rsid w:val="00905239"/>
    <w:rsid w:val="009A3EB2"/>
    <w:rsid w:val="00A632C5"/>
    <w:rsid w:val="00C05325"/>
    <w:rsid w:val="00C5058D"/>
    <w:rsid w:val="00C71204"/>
    <w:rsid w:val="00C934E2"/>
    <w:rsid w:val="00CF59C7"/>
    <w:rsid w:val="00D03E7E"/>
    <w:rsid w:val="00DD0427"/>
    <w:rsid w:val="00EF05C9"/>
    <w:rsid w:val="00F84D72"/>
    <w:rsid w:val="00FC0EB1"/>
    <w:rsid w:val="02924778"/>
    <w:rsid w:val="049D4652"/>
    <w:rsid w:val="05926F03"/>
    <w:rsid w:val="1A88379F"/>
    <w:rsid w:val="2910257F"/>
    <w:rsid w:val="30140E31"/>
    <w:rsid w:val="34AC01FB"/>
    <w:rsid w:val="350E2025"/>
    <w:rsid w:val="3B3B172B"/>
    <w:rsid w:val="509B4D1B"/>
    <w:rsid w:val="519A3C66"/>
    <w:rsid w:val="599D6E08"/>
    <w:rsid w:val="6A754F2F"/>
    <w:rsid w:val="7AFB7E97"/>
    <w:rsid w:val="7BD825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semiHidden="0" w:name="heading 3"/>
    <w:lsdException w:qFormat="1" w:uiPriority="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qFormat="1" w:uiPriority="99"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2"/>
    <w:basedOn w:val="1"/>
    <w:next w:val="1"/>
    <w:unhideWhenUsed/>
    <w:qFormat/>
    <w:uiPriority w:val="9"/>
    <w:pPr>
      <w:keepNext/>
      <w:keepLines/>
      <w:outlineLvl w:val="1"/>
    </w:pPr>
    <w:rPr>
      <w:rFonts w:eastAsia="楷体" w:asciiTheme="majorHAnsi" w:hAnsiTheme="majorHAnsi" w:cstheme="majorBidi"/>
      <w:b/>
      <w:bCs/>
      <w:szCs w:val="32"/>
    </w:rPr>
  </w:style>
  <w:style w:type="paragraph" w:styleId="4">
    <w:name w:val="heading 3"/>
    <w:basedOn w:val="1"/>
    <w:next w:val="1"/>
    <w:unhideWhenUsed/>
    <w:qFormat/>
    <w:uiPriority w:val="0"/>
    <w:pPr>
      <w:keepNext/>
      <w:keepLines/>
      <w:outlineLvl w:val="2"/>
    </w:pPr>
    <w:rPr>
      <w:b/>
      <w:bCs/>
      <w:szCs w:val="32"/>
    </w:rPr>
  </w:style>
  <w:style w:type="paragraph" w:styleId="5">
    <w:name w:val="heading 5"/>
    <w:basedOn w:val="1"/>
    <w:next w:val="1"/>
    <w:qFormat/>
    <w:uiPriority w:val="0"/>
    <w:pPr>
      <w:keepNext/>
      <w:outlineLvl w:val="4"/>
    </w:pPr>
    <w:rPr>
      <w:rFonts w:ascii="宋体" w:hAnsi="宋体" w:cs="宋体"/>
      <w:b/>
      <w:bCs/>
      <w:sz w:val="24"/>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unhideWhenUsed/>
    <w:qFormat/>
    <w:uiPriority w:val="99"/>
    <w:pPr>
      <w:spacing w:after="120"/>
    </w:pPr>
  </w:style>
  <w:style w:type="paragraph" w:styleId="6">
    <w:name w:val="footer"/>
    <w:basedOn w:val="1"/>
    <w:qFormat/>
    <w:uiPriority w:val="99"/>
    <w:pPr>
      <w:tabs>
        <w:tab w:val="center" w:pos="4153"/>
        <w:tab w:val="right" w:pos="8306"/>
      </w:tabs>
      <w:snapToGrid w:val="0"/>
      <w:jc w:val="left"/>
    </w:pPr>
    <w:rPr>
      <w:sz w:val="18"/>
      <w:szCs w:val="18"/>
    </w:rPr>
  </w:style>
  <w:style w:type="paragraph" w:styleId="7">
    <w:name w:val="header"/>
    <w:basedOn w:val="1"/>
    <w:link w:val="17"/>
    <w:qFormat/>
    <w:uiPriority w:val="0"/>
    <w:pPr>
      <w:pBdr>
        <w:bottom w:val="single" w:color="auto" w:sz="6" w:space="1"/>
      </w:pBdr>
      <w:tabs>
        <w:tab w:val="center" w:pos="4153"/>
        <w:tab w:val="right" w:pos="8306"/>
      </w:tabs>
      <w:snapToGrid w:val="0"/>
      <w:jc w:val="center"/>
    </w:pPr>
    <w:rPr>
      <w:sz w:val="18"/>
      <w:szCs w:val="18"/>
    </w:rPr>
  </w:style>
  <w:style w:type="paragraph" w:styleId="8">
    <w:name w:val="Title"/>
    <w:basedOn w:val="1"/>
    <w:next w:val="1"/>
    <w:qFormat/>
    <w:uiPriority w:val="10"/>
    <w:pPr>
      <w:spacing w:line="360" w:lineRule="auto"/>
      <w:ind w:firstLine="200" w:firstLineChars="200"/>
      <w:jc w:val="left"/>
      <w:outlineLvl w:val="3"/>
    </w:pPr>
    <w:rPr>
      <w:rFonts w:ascii="Cambria" w:hAnsi="Cambria"/>
      <w:bCs/>
      <w:sz w:val="24"/>
      <w:szCs w:val="32"/>
    </w:rPr>
  </w:style>
  <w:style w:type="character" w:customStyle="1" w:styleId="11">
    <w:name w:val="font21"/>
    <w:basedOn w:val="10"/>
    <w:qFormat/>
    <w:uiPriority w:val="0"/>
    <w:rPr>
      <w:rFonts w:hint="eastAsia" w:ascii="仿宋" w:hAnsi="仿宋" w:eastAsia="仿宋" w:cs="仿宋"/>
      <w:color w:val="000000"/>
      <w:sz w:val="20"/>
      <w:szCs w:val="20"/>
      <w:u w:val="none"/>
    </w:rPr>
  </w:style>
  <w:style w:type="character" w:customStyle="1" w:styleId="12">
    <w:name w:val="font11"/>
    <w:basedOn w:val="10"/>
    <w:qFormat/>
    <w:uiPriority w:val="0"/>
    <w:rPr>
      <w:rFonts w:hint="eastAsia" w:ascii="仿宋" w:hAnsi="仿宋" w:eastAsia="仿宋" w:cs="仿宋"/>
      <w:color w:val="000000"/>
      <w:sz w:val="20"/>
      <w:szCs w:val="20"/>
      <w:u w:val="none"/>
    </w:rPr>
  </w:style>
  <w:style w:type="character" w:customStyle="1" w:styleId="13">
    <w:name w:val="font91"/>
    <w:basedOn w:val="10"/>
    <w:qFormat/>
    <w:uiPriority w:val="0"/>
    <w:rPr>
      <w:rFonts w:ascii="Wingdings" w:hAnsi="Wingdings" w:cs="Wingdings"/>
      <w:color w:val="000000"/>
      <w:sz w:val="20"/>
      <w:szCs w:val="20"/>
      <w:u w:val="none"/>
    </w:rPr>
  </w:style>
  <w:style w:type="character" w:customStyle="1" w:styleId="14">
    <w:name w:val="font101"/>
    <w:basedOn w:val="10"/>
    <w:qFormat/>
    <w:uiPriority w:val="0"/>
    <w:rPr>
      <w:rFonts w:hint="eastAsia" w:ascii="仿宋" w:hAnsi="仿宋" w:eastAsia="仿宋" w:cs="仿宋"/>
      <w:color w:val="000000"/>
      <w:sz w:val="20"/>
      <w:szCs w:val="20"/>
      <w:u w:val="none"/>
    </w:rPr>
  </w:style>
  <w:style w:type="character" w:customStyle="1" w:styleId="15">
    <w:name w:val="font112"/>
    <w:basedOn w:val="10"/>
    <w:qFormat/>
    <w:uiPriority w:val="0"/>
    <w:rPr>
      <w:rFonts w:hint="default" w:ascii="Wingdings" w:hAnsi="Wingdings" w:cs="Wingdings"/>
      <w:color w:val="000000"/>
      <w:sz w:val="20"/>
      <w:szCs w:val="20"/>
      <w:u w:val="none"/>
    </w:rPr>
  </w:style>
  <w:style w:type="character" w:customStyle="1" w:styleId="16">
    <w:name w:val="font81"/>
    <w:basedOn w:val="10"/>
    <w:qFormat/>
    <w:uiPriority w:val="0"/>
    <w:rPr>
      <w:rFonts w:hint="eastAsia" w:ascii="仿宋" w:hAnsi="仿宋" w:eastAsia="仿宋" w:cs="仿宋"/>
      <w:color w:val="000000"/>
      <w:sz w:val="20"/>
      <w:szCs w:val="20"/>
      <w:u w:val="none"/>
    </w:rPr>
  </w:style>
  <w:style w:type="character" w:customStyle="1" w:styleId="17">
    <w:name w:val="页眉 字符"/>
    <w:basedOn w:val="10"/>
    <w:link w:val="7"/>
    <w:qFormat/>
    <w:uiPriority w:val="0"/>
    <w:rPr>
      <w:rFonts w:eastAsia="仿宋_GB2312"/>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3369</Words>
  <Characters>3664</Characters>
  <Lines>28</Lines>
  <Paragraphs>7</Paragraphs>
  <TotalTime>2</TotalTime>
  <ScaleCrop>false</ScaleCrop>
  <LinksUpToDate>false</LinksUpToDate>
  <CharactersWithSpaces>3799</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2022-04-27T01:14:00Z</dcterms:created>
  <dc:creator>咸鱼粥</dc:creator>
  <cp:lastModifiedBy>咸鱼粥</cp:lastModifiedBy>
  <dcterms:modified xsi:type="dcterms:W3CDTF">2022-05-16T09:10:26Z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1D560EA06BC944EB9991C09A292DE598</vt:lpwstr>
  </property>
</Properties>
</file>