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D0218">
      <w:pPr>
        <w:shd w:val="clear" w:color="auto" w:fill="FFFFFF" w:themeFill="background1"/>
        <w:ind w:firstLine="723"/>
        <w:jc w:val="center"/>
        <w:outlineLvl w:val="0"/>
        <w:rPr>
          <w:rFonts w:cs="Times New Roman"/>
          <w:b/>
          <w:color w:val="auto"/>
          <w:sz w:val="36"/>
          <w:szCs w:val="36"/>
        </w:rPr>
      </w:pPr>
      <w:bookmarkStart w:id="0" w:name="_Toc24764"/>
      <w:bookmarkStart w:id="1" w:name="_Toc11705"/>
      <w:r>
        <w:rPr>
          <w:rFonts w:hint="eastAsia" w:eastAsia="宋体" w:cs="Times New Roman"/>
          <w:b/>
          <w:color w:val="auto"/>
          <w:sz w:val="36"/>
          <w:szCs w:val="36"/>
        </w:rPr>
        <w:t>202</w:t>
      </w:r>
      <w:r>
        <w:rPr>
          <w:rFonts w:eastAsia="宋体" w:cs="Times New Roman"/>
          <w:b/>
          <w:color w:val="auto"/>
          <w:sz w:val="36"/>
          <w:szCs w:val="36"/>
        </w:rPr>
        <w:t>1</w:t>
      </w:r>
      <w:r>
        <w:rPr>
          <w:rFonts w:hint="eastAsia" w:eastAsia="宋体" w:cs="Times New Roman"/>
          <w:b/>
          <w:color w:val="auto"/>
          <w:sz w:val="36"/>
          <w:szCs w:val="36"/>
        </w:rPr>
        <w:t>年度园林绿化维护资金自评结果</w:t>
      </w:r>
      <w:bookmarkEnd w:id="0"/>
      <w:bookmarkEnd w:id="1"/>
    </w:p>
    <w:p w14:paraId="50162404">
      <w:pPr>
        <w:pStyle w:val="26"/>
        <w:shd w:val="clear" w:color="auto" w:fill="FFFFFF" w:themeFill="background1"/>
        <w:spacing w:line="560" w:lineRule="exact"/>
        <w:ind w:firstLine="0" w:firstLineChars="0"/>
        <w:jc w:val="center"/>
        <w:outlineLvl w:val="0"/>
        <w:rPr>
          <w:rFonts w:ascii="楷体" w:hAnsi="楷体" w:eastAsia="楷体" w:cs="楷体"/>
          <w:b/>
          <w:sz w:val="32"/>
        </w:rPr>
      </w:pPr>
      <w:bookmarkStart w:id="2" w:name="_Toc15949"/>
      <w:bookmarkStart w:id="3" w:name="_Toc25753"/>
      <w:bookmarkStart w:id="4" w:name="_Toc27748"/>
      <w:r>
        <w:rPr>
          <w:rFonts w:hint="eastAsia" w:ascii="楷体" w:hAnsi="楷体" w:eastAsia="楷体" w:cs="楷体"/>
          <w:b/>
          <w:sz w:val="32"/>
        </w:rPr>
        <w:t>（缩略版）</w:t>
      </w:r>
      <w:bookmarkEnd w:id="2"/>
      <w:bookmarkEnd w:id="3"/>
      <w:bookmarkEnd w:id="4"/>
    </w:p>
    <w:p w14:paraId="7C708A5C">
      <w:pPr>
        <w:pStyle w:val="26"/>
        <w:shd w:val="clear" w:color="auto" w:fill="FFFFFF" w:themeFill="background1"/>
        <w:spacing w:line="560" w:lineRule="exact"/>
        <w:ind w:firstLine="643"/>
        <w:jc w:val="both"/>
        <w:outlineLvl w:val="0"/>
        <w:rPr>
          <w:rFonts w:ascii="Times New Roman" w:hAnsi="Times New Roman" w:eastAsia="黑体"/>
          <w:b/>
          <w:sz w:val="32"/>
        </w:rPr>
      </w:pPr>
      <w:bookmarkStart w:id="5" w:name="_Toc26153"/>
      <w:bookmarkStart w:id="6" w:name="_Toc11888"/>
      <w:bookmarkStart w:id="7" w:name="_Toc27312"/>
      <w:bookmarkStart w:id="8" w:name="_Toc17316"/>
      <w:r>
        <w:rPr>
          <w:rFonts w:hint="eastAsia" w:ascii="Times New Roman" w:hAnsi="Times New Roman" w:eastAsia="黑体"/>
          <w:b/>
          <w:sz w:val="32"/>
        </w:rPr>
        <w:t>一、自评</w:t>
      </w:r>
      <w:r>
        <w:rPr>
          <w:rFonts w:ascii="Times New Roman" w:hAnsi="Times New Roman" w:eastAsia="黑体"/>
          <w:b/>
          <w:sz w:val="32"/>
        </w:rPr>
        <w:t>结论</w:t>
      </w:r>
      <w:bookmarkEnd w:id="5"/>
      <w:bookmarkEnd w:id="6"/>
      <w:bookmarkEnd w:id="7"/>
      <w:bookmarkEnd w:id="8"/>
    </w:p>
    <w:p w14:paraId="0478F49F">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9" w:name="_Toc22037"/>
      <w:bookmarkStart w:id="10" w:name="_Toc24793"/>
      <w:bookmarkStart w:id="11" w:name="_Toc31042"/>
      <w:bookmarkStart w:id="12" w:name="_Toc27117"/>
      <w:r>
        <w:rPr>
          <w:rFonts w:hint="eastAsia" w:ascii="Times New Roman" w:hAnsi="Times New Roman" w:eastAsia="楷体" w:cs="Times New Roman"/>
        </w:rPr>
        <w:t>（一）自评得分</w:t>
      </w:r>
      <w:bookmarkEnd w:id="9"/>
      <w:bookmarkEnd w:id="10"/>
      <w:bookmarkEnd w:id="11"/>
      <w:bookmarkEnd w:id="12"/>
    </w:p>
    <w:p w14:paraId="2F4D1B5B">
      <w:pPr>
        <w:ind w:firstLine="640"/>
        <w:rPr>
          <w:rFonts w:cs="Times New Roman"/>
          <w:color w:val="auto"/>
          <w:kern w:val="0"/>
          <w:szCs w:val="32"/>
        </w:rPr>
      </w:pPr>
      <w:r>
        <w:rPr>
          <w:rFonts w:hint="eastAsia"/>
        </w:rPr>
        <w:t>武汉经济技术开发区（汉南区）自然资源和规划局202</w:t>
      </w:r>
      <w:r>
        <w:t>1</w:t>
      </w:r>
      <w:r>
        <w:rPr>
          <w:rFonts w:hint="eastAsia"/>
        </w:rPr>
        <w:t>年度园林绿化维护资金</w:t>
      </w:r>
      <w:r>
        <w:t>绩效评价综合得分为</w:t>
      </w:r>
      <w:r>
        <w:rPr>
          <w:rFonts w:hint="eastAsia"/>
        </w:rPr>
        <w:t>9</w:t>
      </w:r>
      <w:r>
        <w:t>7.7分。</w:t>
      </w:r>
    </w:p>
    <w:p w14:paraId="3C1F3040">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13" w:name="_Toc6277"/>
      <w:bookmarkStart w:id="14" w:name="_Toc17113"/>
      <w:bookmarkStart w:id="15" w:name="_Toc19004"/>
      <w:bookmarkStart w:id="16" w:name="_Toc16152"/>
      <w:r>
        <w:rPr>
          <w:rFonts w:hint="eastAsia" w:ascii="Times New Roman" w:hAnsi="Times New Roman" w:eastAsia="楷体" w:cs="Times New Roman"/>
        </w:rPr>
        <w:t>（二）绩效目标完成情况</w:t>
      </w:r>
      <w:bookmarkEnd w:id="13"/>
      <w:bookmarkEnd w:id="14"/>
      <w:bookmarkEnd w:id="15"/>
      <w:bookmarkEnd w:id="16"/>
    </w:p>
    <w:p w14:paraId="138AD7F3">
      <w:pPr>
        <w:ind w:firstLine="640"/>
        <w:rPr>
          <w:bCs/>
          <w:szCs w:val="32"/>
        </w:rPr>
      </w:pPr>
      <w:r>
        <w:rPr>
          <w:rFonts w:hint="eastAsia"/>
          <w:bCs/>
          <w:szCs w:val="32"/>
        </w:rPr>
        <w:t>1.执行率情况。</w:t>
      </w:r>
      <w:r>
        <w:rPr>
          <w:rFonts w:hint="eastAsia"/>
        </w:rPr>
        <w:t>202</w:t>
      </w:r>
      <w:r>
        <w:t>1</w:t>
      </w:r>
      <w:r>
        <w:rPr>
          <w:rFonts w:hint="eastAsia"/>
        </w:rPr>
        <w:t>年度项目预算金额为</w:t>
      </w:r>
      <w:r>
        <w:t>15803.21</w:t>
      </w:r>
      <w:r>
        <w:rPr>
          <w:rFonts w:hint="eastAsia"/>
        </w:rPr>
        <w:t>万元。本项目年度实际支出</w:t>
      </w:r>
      <w:r>
        <w:t>15598.81</w:t>
      </w:r>
      <w:r>
        <w:rPr>
          <w:rFonts w:hint="eastAsia"/>
        </w:rPr>
        <w:t>万元，预算执行率为9</w:t>
      </w:r>
      <w:r>
        <w:t>8.71</w:t>
      </w:r>
      <w:r>
        <w:rPr>
          <w:rFonts w:hint="eastAsia"/>
        </w:rPr>
        <w:t>%</w:t>
      </w:r>
      <w:r>
        <w:t>。</w:t>
      </w:r>
    </w:p>
    <w:p w14:paraId="508B50CE">
      <w:pPr>
        <w:ind w:firstLine="640"/>
        <w:rPr>
          <w:bCs/>
          <w:szCs w:val="32"/>
        </w:rPr>
      </w:pPr>
      <w:r>
        <w:rPr>
          <w:rFonts w:hint="eastAsia"/>
          <w:bCs/>
          <w:szCs w:val="32"/>
        </w:rPr>
        <w:t>2.完成的绩效目标。</w:t>
      </w:r>
      <w:r>
        <w:rPr>
          <w:rFonts w:hint="eastAsia"/>
        </w:rPr>
        <w:t>本项目共设置1</w:t>
      </w:r>
      <w:r>
        <w:t>2</w:t>
      </w:r>
      <w:r>
        <w:rPr>
          <w:rFonts w:hint="eastAsia"/>
        </w:rPr>
        <w:t>个绩效指标，完成了1</w:t>
      </w:r>
      <w:r>
        <w:t>1</w:t>
      </w:r>
      <w:r>
        <w:rPr>
          <w:rFonts w:hint="eastAsia"/>
        </w:rPr>
        <w:t>个。资金使用较为规范，项目产出较好，并取得了较好的社会效益。</w:t>
      </w:r>
    </w:p>
    <w:p w14:paraId="0BA7CC46">
      <w:pPr>
        <w:ind w:firstLine="640"/>
        <w:rPr>
          <w:bCs/>
          <w:szCs w:val="32"/>
        </w:rPr>
      </w:pPr>
      <w:r>
        <w:rPr>
          <w:rFonts w:hint="eastAsia"/>
          <w:bCs/>
          <w:szCs w:val="32"/>
        </w:rPr>
        <w:t>3.未完成的绩效目标。</w:t>
      </w:r>
      <w:r>
        <w:rPr>
          <w:rFonts w:hint="eastAsia"/>
        </w:rPr>
        <w:t>“可持续性影响”年度目标值为可持续，由于体制机制等原因，缺少一支强有力的绿化执法队伍，绿化执法力量薄弱，绿色保护形势严峻，一定程度上影响了项目的可持续性。</w:t>
      </w:r>
    </w:p>
    <w:p w14:paraId="3F546050">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17" w:name="_Toc49867096"/>
      <w:bookmarkStart w:id="18" w:name="_Toc14306"/>
      <w:bookmarkStart w:id="19" w:name="_Toc30659"/>
      <w:bookmarkStart w:id="20" w:name="_Toc24094"/>
      <w:bookmarkStart w:id="21" w:name="_Toc12544"/>
      <w:r>
        <w:rPr>
          <w:rFonts w:hint="eastAsia" w:ascii="Times New Roman" w:hAnsi="Times New Roman" w:eastAsia="楷体" w:cs="Times New Roman"/>
        </w:rPr>
        <w:t>（三）存在的问题和原因</w:t>
      </w:r>
      <w:bookmarkEnd w:id="17"/>
      <w:bookmarkEnd w:id="18"/>
      <w:bookmarkEnd w:id="19"/>
      <w:bookmarkEnd w:id="20"/>
      <w:bookmarkEnd w:id="21"/>
    </w:p>
    <w:p w14:paraId="22FFB076">
      <w:pPr>
        <w:ind w:firstLine="640"/>
        <w:rPr>
          <w:bCs/>
          <w:szCs w:val="32"/>
        </w:rPr>
      </w:pPr>
      <w:bookmarkStart w:id="22" w:name="_Toc3644"/>
      <w:r>
        <w:rPr>
          <w:rFonts w:hint="eastAsia"/>
          <w:bCs/>
          <w:szCs w:val="32"/>
        </w:rPr>
        <w:t>1.上年度绩效评价结果应用情况</w:t>
      </w:r>
      <w:bookmarkEnd w:id="22"/>
    </w:p>
    <w:p w14:paraId="462158B6">
      <w:pPr>
        <w:ind w:firstLine="640"/>
        <w:rPr>
          <w:bCs/>
          <w:szCs w:val="32"/>
        </w:rPr>
      </w:pPr>
      <w:r>
        <w:rPr>
          <w:rFonts w:hint="eastAsia"/>
          <w:bCs/>
          <w:szCs w:val="32"/>
        </w:rPr>
        <w:t>2021年强化了日常管理，在加强全区公共道路园林绿化养护管理工作的同时，突出重点区域和重点线路，加强了公园绿地精细化养护管理。</w:t>
      </w:r>
    </w:p>
    <w:p w14:paraId="085520A7">
      <w:pPr>
        <w:ind w:firstLine="640"/>
        <w:rPr>
          <w:bCs/>
          <w:szCs w:val="32"/>
        </w:rPr>
      </w:pPr>
      <w:bookmarkStart w:id="23" w:name="_Toc29819"/>
      <w:r>
        <w:rPr>
          <w:rFonts w:hint="eastAsia"/>
          <w:bCs/>
          <w:szCs w:val="32"/>
        </w:rPr>
        <w:t>2.本年度绩效管理中存在的问题和原因</w:t>
      </w:r>
      <w:bookmarkEnd w:id="23"/>
    </w:p>
    <w:p w14:paraId="44D254AD">
      <w:pPr>
        <w:ind w:firstLine="640"/>
        <w:rPr>
          <w:b/>
        </w:rPr>
      </w:pPr>
      <w:r>
        <w:rPr>
          <w:rFonts w:hint="eastAsia"/>
          <w:bCs/>
          <w:szCs w:val="32"/>
        </w:rPr>
        <w:t>（1）绩效指标设定科学性有待提升。社区改造工程属于小</w:t>
      </w:r>
      <w:r>
        <w:rPr>
          <w:rFonts w:hint="eastAsia"/>
        </w:rPr>
        <w:t>型单项工程中金额占比极少的项目，质量指标中“社区改造验收合格率”无法体现整个项目的质量情况。</w:t>
      </w:r>
      <w:bookmarkStart w:id="24" w:name="_Hlk102116870"/>
      <w:r>
        <w:rPr>
          <w:rFonts w:hint="eastAsia"/>
        </w:rPr>
        <w:t>成本指标“预算执行率”与预算执行情况内容重复，应删除。</w:t>
      </w:r>
    </w:p>
    <w:bookmarkEnd w:id="24"/>
    <w:p w14:paraId="5407388E">
      <w:pPr>
        <w:ind w:firstLine="640"/>
      </w:pPr>
      <w:r>
        <w:rPr>
          <w:rFonts w:hint="eastAsia"/>
        </w:rPr>
        <w:t>（2）存在部分指标未完成的情况。一是因审计工作滞后，小型单项及绿化移植、园林设施维护项目未支付尾款，影响了预算执行率。二是由于体制机制等原因，缺少一支强有力的绿化执法队伍，绿化执法力量薄弱，绿色保护形势严峻，一定程度上影响了项目的可持续性。</w:t>
      </w:r>
      <w:bookmarkStart w:id="25" w:name="_Toc8732"/>
      <w:bookmarkStart w:id="26" w:name="_Toc11879"/>
      <w:bookmarkStart w:id="27" w:name="_Toc9638"/>
      <w:bookmarkStart w:id="28" w:name="_Toc10441"/>
    </w:p>
    <w:p w14:paraId="341172E8">
      <w:pPr>
        <w:ind w:firstLine="643"/>
        <w:rPr>
          <w:b/>
        </w:rPr>
      </w:pPr>
      <w:r>
        <w:rPr>
          <w:rFonts w:hint="eastAsia"/>
          <w:b/>
        </w:rPr>
        <w:t>（四）下一步拟改进措施</w:t>
      </w:r>
      <w:bookmarkEnd w:id="25"/>
      <w:bookmarkEnd w:id="26"/>
      <w:bookmarkEnd w:id="27"/>
      <w:bookmarkEnd w:id="28"/>
    </w:p>
    <w:p w14:paraId="1C720786">
      <w:pPr>
        <w:ind w:firstLine="640"/>
        <w:rPr>
          <w:szCs w:val="32"/>
        </w:rPr>
      </w:pPr>
      <w:r>
        <w:rPr>
          <w:rFonts w:hint="eastAsia"/>
          <w:szCs w:val="32"/>
        </w:rPr>
        <w:t>1.提高预算绩效指标编制水平。结合上一年度预算执行情况和本年度工作重点，合理编制绩效目标指标体系。制定预算资金使用计划和分配方案，加强指标与子项目的关联性，突出重点，兼顾整体。例如质量指标中“社区改造验收合格率”改为“项目验收合格率”，以体现整个项目的质量情况。</w:t>
      </w:r>
    </w:p>
    <w:p w14:paraId="5D975FF7">
      <w:pPr>
        <w:ind w:firstLine="640"/>
      </w:pPr>
      <w:r>
        <w:rPr>
          <w:rFonts w:hint="eastAsia"/>
          <w:szCs w:val="32"/>
        </w:rPr>
        <w:t>2.加强对未完成项目的督促实施。一是加强对项目前期设计、施工、维护</w:t>
      </w:r>
      <w:bookmarkStart w:id="100" w:name="_GoBack"/>
      <w:bookmarkEnd w:id="100"/>
      <w:r>
        <w:rPr>
          <w:rFonts w:hint="eastAsia"/>
          <w:szCs w:val="32"/>
        </w:rPr>
        <w:t>以及后续审计等全过程监督管控，推进项目按时完成。二是进一步强化绿色保护任务，建立一支强有力的绿化执法队伍，提高群众的绿色生态保护意识。</w:t>
      </w:r>
    </w:p>
    <w:p w14:paraId="13498117">
      <w:pPr>
        <w:ind w:firstLine="640"/>
      </w:pPr>
      <w:r>
        <w:rPr>
          <w:rFonts w:hint="eastAsia"/>
          <w:bCs/>
          <w:szCs w:val="32"/>
        </w:rPr>
        <w:t>附件：2021年度园林绿化维护资金自评表</w:t>
      </w:r>
    </w:p>
    <w:p w14:paraId="05EA1A96">
      <w:pPr>
        <w:ind w:firstLineChars="175"/>
        <w:rPr>
          <w:rFonts w:eastAsia="楷体" w:cs="Times New Roman"/>
        </w:rPr>
      </w:pPr>
      <w:r>
        <w:rPr>
          <w:rFonts w:hint="eastAsia" w:cs="Times New Roman"/>
          <w:color w:val="auto"/>
          <w:kern w:val="0"/>
          <w:szCs w:val="32"/>
        </w:rPr>
        <w:br w:type="page"/>
      </w:r>
      <w:bookmarkStart w:id="29" w:name="_Toc29700"/>
      <w:bookmarkStart w:id="30" w:name="_Toc11755"/>
      <w:bookmarkStart w:id="31" w:name="_Toc3349"/>
      <w:bookmarkStart w:id="32" w:name="_Toc16053"/>
      <w:r>
        <w:rPr>
          <w:rFonts w:hint="eastAsia" w:eastAsia="楷体" w:cs="Times New Roman"/>
        </w:rPr>
        <w:t>附件：</w:t>
      </w:r>
    </w:p>
    <w:tbl>
      <w:tblPr>
        <w:tblStyle w:val="28"/>
        <w:tblW w:w="5000" w:type="pct"/>
        <w:tblInd w:w="0" w:type="dxa"/>
        <w:tblLayout w:type="autofit"/>
        <w:tblCellMar>
          <w:top w:w="0" w:type="dxa"/>
          <w:left w:w="108" w:type="dxa"/>
          <w:bottom w:w="0" w:type="dxa"/>
          <w:right w:w="108" w:type="dxa"/>
        </w:tblCellMar>
      </w:tblPr>
      <w:tblGrid>
        <w:gridCol w:w="556"/>
        <w:gridCol w:w="859"/>
        <w:gridCol w:w="1576"/>
        <w:gridCol w:w="2006"/>
        <w:gridCol w:w="1555"/>
        <w:gridCol w:w="1296"/>
        <w:gridCol w:w="1212"/>
      </w:tblGrid>
      <w:tr w14:paraId="38A73BBE">
        <w:tblPrEx>
          <w:tblCellMar>
            <w:top w:w="0" w:type="dxa"/>
            <w:left w:w="108" w:type="dxa"/>
            <w:bottom w:w="0" w:type="dxa"/>
            <w:right w:w="108" w:type="dxa"/>
          </w:tblCellMar>
        </w:tblPrEx>
        <w:trPr>
          <w:trHeight w:val="600" w:hRule="atLeast"/>
        </w:trPr>
        <w:tc>
          <w:tcPr>
            <w:tcW w:w="5000" w:type="pct"/>
            <w:gridSpan w:val="7"/>
            <w:tcBorders>
              <w:top w:val="nil"/>
              <w:left w:val="nil"/>
              <w:bottom w:val="nil"/>
              <w:right w:val="nil"/>
            </w:tcBorders>
            <w:shd w:val="clear" w:color="auto" w:fill="auto"/>
            <w:vAlign w:val="center"/>
          </w:tcPr>
          <w:p w14:paraId="40452B9F">
            <w:pPr>
              <w:widowControl/>
              <w:spacing w:line="240" w:lineRule="auto"/>
              <w:ind w:firstLine="0" w:firstLineChars="0"/>
              <w:jc w:val="center"/>
              <w:rPr>
                <w:rFonts w:ascii="仿宋" w:hAnsi="仿宋"/>
                <w:b/>
                <w:bCs/>
                <w:kern w:val="0"/>
                <w:szCs w:val="32"/>
              </w:rPr>
            </w:pPr>
            <w:r>
              <w:rPr>
                <w:rFonts w:hint="eastAsia" w:ascii="仿宋" w:hAnsi="仿宋"/>
                <w:b/>
                <w:bCs/>
                <w:kern w:val="0"/>
                <w:szCs w:val="32"/>
              </w:rPr>
              <w:t xml:space="preserve">2021年度园林绿化维护资金项目自评表 </w:t>
            </w:r>
          </w:p>
        </w:tc>
      </w:tr>
      <w:tr w14:paraId="11C05264">
        <w:tblPrEx>
          <w:tblCellMar>
            <w:top w:w="0" w:type="dxa"/>
            <w:left w:w="108" w:type="dxa"/>
            <w:bottom w:w="0" w:type="dxa"/>
            <w:right w:w="108" w:type="dxa"/>
          </w:tblCellMar>
        </w:tblPrEx>
        <w:trPr>
          <w:trHeight w:val="432" w:hRule="atLeast"/>
        </w:trPr>
        <w:tc>
          <w:tcPr>
            <w:tcW w:w="5000" w:type="pct"/>
            <w:gridSpan w:val="7"/>
            <w:tcBorders>
              <w:top w:val="nil"/>
              <w:left w:val="nil"/>
              <w:bottom w:val="single" w:color="auto" w:sz="4" w:space="0"/>
              <w:right w:val="nil"/>
            </w:tcBorders>
            <w:shd w:val="clear" w:color="auto" w:fill="auto"/>
            <w:vAlign w:val="center"/>
          </w:tcPr>
          <w:p w14:paraId="3E21933C">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单位名称：武汉经济技术开发区（汉南区）自然资源和规划局                         </w:t>
            </w:r>
          </w:p>
          <w:p w14:paraId="02ABBEB8">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填报日期：2022年5月10日</w:t>
            </w:r>
          </w:p>
        </w:tc>
      </w:tr>
      <w:tr w14:paraId="38BCA1EC">
        <w:tblPrEx>
          <w:tblCellMar>
            <w:top w:w="0" w:type="dxa"/>
            <w:left w:w="108" w:type="dxa"/>
            <w:bottom w:w="0" w:type="dxa"/>
            <w:right w:w="108" w:type="dxa"/>
          </w:tblCellMar>
        </w:tblPrEx>
        <w:trPr>
          <w:trHeight w:val="420"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258CF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项目名称</w:t>
            </w:r>
          </w:p>
        </w:tc>
        <w:tc>
          <w:tcPr>
            <w:tcW w:w="4219" w:type="pct"/>
            <w:gridSpan w:val="5"/>
            <w:tcBorders>
              <w:top w:val="single" w:color="auto" w:sz="4" w:space="0"/>
              <w:left w:val="nil"/>
              <w:bottom w:val="single" w:color="auto" w:sz="4" w:space="0"/>
              <w:right w:val="single" w:color="auto" w:sz="4" w:space="0"/>
            </w:tcBorders>
            <w:shd w:val="clear" w:color="auto" w:fill="auto"/>
            <w:vAlign w:val="center"/>
          </w:tcPr>
          <w:p w14:paraId="2D9E9B6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园林绿化维护资金</w:t>
            </w:r>
          </w:p>
        </w:tc>
      </w:tr>
      <w:tr w14:paraId="1E29190A">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9CBCF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主管部门</w:t>
            </w:r>
          </w:p>
        </w:tc>
        <w:tc>
          <w:tcPr>
            <w:tcW w:w="1977" w:type="pct"/>
            <w:gridSpan w:val="2"/>
            <w:tcBorders>
              <w:top w:val="single" w:color="auto" w:sz="4" w:space="0"/>
              <w:left w:val="nil"/>
              <w:bottom w:val="single" w:color="auto" w:sz="4" w:space="0"/>
              <w:right w:val="single" w:color="auto" w:sz="4" w:space="0"/>
            </w:tcBorders>
            <w:shd w:val="clear" w:color="auto" w:fill="auto"/>
            <w:vAlign w:val="center"/>
          </w:tcPr>
          <w:p w14:paraId="130A2E9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武汉经济技术开发区（汉南区）自然资源和规划局</w:t>
            </w:r>
          </w:p>
        </w:tc>
        <w:tc>
          <w:tcPr>
            <w:tcW w:w="858" w:type="pct"/>
            <w:tcBorders>
              <w:top w:val="single" w:color="auto" w:sz="4" w:space="0"/>
              <w:left w:val="nil"/>
              <w:bottom w:val="single" w:color="auto" w:sz="4" w:space="0"/>
              <w:right w:val="single" w:color="auto" w:sz="4" w:space="0"/>
            </w:tcBorders>
            <w:shd w:val="clear" w:color="auto" w:fill="auto"/>
            <w:vAlign w:val="center"/>
          </w:tcPr>
          <w:p w14:paraId="08AA2F0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项目实施单位</w:t>
            </w:r>
          </w:p>
        </w:tc>
        <w:tc>
          <w:tcPr>
            <w:tcW w:w="1384" w:type="pct"/>
            <w:gridSpan w:val="2"/>
            <w:tcBorders>
              <w:top w:val="single" w:color="auto" w:sz="4" w:space="0"/>
              <w:left w:val="nil"/>
              <w:bottom w:val="single" w:color="auto" w:sz="4" w:space="0"/>
              <w:right w:val="single" w:color="auto" w:sz="4" w:space="0"/>
            </w:tcBorders>
            <w:shd w:val="clear" w:color="auto" w:fill="auto"/>
            <w:vAlign w:val="center"/>
          </w:tcPr>
          <w:p w14:paraId="03DBB12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园林管理中心</w:t>
            </w:r>
          </w:p>
        </w:tc>
      </w:tr>
      <w:tr w14:paraId="70E001D9">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9B25A9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项目类别</w:t>
            </w:r>
          </w:p>
        </w:tc>
        <w:tc>
          <w:tcPr>
            <w:tcW w:w="4219" w:type="pct"/>
            <w:gridSpan w:val="5"/>
            <w:tcBorders>
              <w:top w:val="single" w:color="auto" w:sz="4" w:space="0"/>
              <w:left w:val="nil"/>
              <w:bottom w:val="single" w:color="auto" w:sz="4" w:space="0"/>
              <w:right w:val="single" w:color="000000" w:sz="4" w:space="0"/>
            </w:tcBorders>
            <w:shd w:val="clear" w:color="auto" w:fill="auto"/>
            <w:vAlign w:val="center"/>
          </w:tcPr>
          <w:p w14:paraId="3A4B2BE7">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1.部门预算项目    </w:t>
            </w:r>
            <w:r>
              <w:rPr>
                <w:rFonts w:ascii="Wingdings" w:hAnsi="Wingdings"/>
                <w:kern w:val="0"/>
                <w:sz w:val="20"/>
                <w:szCs w:val="20"/>
              </w:rPr>
              <w:t>þ</w:t>
            </w:r>
            <w:r>
              <w:rPr>
                <w:rFonts w:hint="eastAsia" w:ascii="仿宋" w:hAnsi="仿宋"/>
                <w:kern w:val="0"/>
                <w:sz w:val="20"/>
                <w:szCs w:val="20"/>
              </w:rPr>
              <w:t xml:space="preserve">           2.财政专项资金   □</w:t>
            </w:r>
          </w:p>
        </w:tc>
      </w:tr>
      <w:tr w14:paraId="5E12B4B0">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CB3E63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项目属性</w:t>
            </w:r>
          </w:p>
        </w:tc>
        <w:tc>
          <w:tcPr>
            <w:tcW w:w="4219" w:type="pct"/>
            <w:gridSpan w:val="5"/>
            <w:tcBorders>
              <w:top w:val="single" w:color="auto" w:sz="4" w:space="0"/>
              <w:left w:val="nil"/>
              <w:bottom w:val="single" w:color="auto" w:sz="4" w:space="0"/>
              <w:right w:val="single" w:color="000000" w:sz="4" w:space="0"/>
            </w:tcBorders>
            <w:shd w:val="clear" w:color="auto" w:fill="auto"/>
            <w:vAlign w:val="center"/>
          </w:tcPr>
          <w:p w14:paraId="7C943DC5">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1.持续性项目      </w:t>
            </w:r>
            <w:r>
              <w:rPr>
                <w:rFonts w:ascii="Wingdings" w:hAnsi="Wingdings"/>
                <w:kern w:val="0"/>
                <w:sz w:val="20"/>
                <w:szCs w:val="20"/>
              </w:rPr>
              <w:t>þ</w:t>
            </w:r>
            <w:r>
              <w:rPr>
                <w:rFonts w:hint="eastAsia" w:ascii="仿宋" w:hAnsi="仿宋"/>
                <w:kern w:val="0"/>
                <w:sz w:val="20"/>
                <w:szCs w:val="20"/>
              </w:rPr>
              <w:t xml:space="preserve">           2.新增性项目     □</w:t>
            </w:r>
          </w:p>
        </w:tc>
      </w:tr>
      <w:tr w14:paraId="6E8D213F">
        <w:tblPrEx>
          <w:tblCellMar>
            <w:top w:w="0" w:type="dxa"/>
            <w:left w:w="108" w:type="dxa"/>
            <w:bottom w:w="0" w:type="dxa"/>
            <w:right w:w="108" w:type="dxa"/>
          </w:tblCellMar>
        </w:tblPrEx>
        <w:trPr>
          <w:trHeight w:val="720" w:hRule="atLeast"/>
        </w:trPr>
        <w:tc>
          <w:tcPr>
            <w:tcW w:w="781"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EAAA32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项目类型</w:t>
            </w:r>
          </w:p>
        </w:tc>
        <w:tc>
          <w:tcPr>
            <w:tcW w:w="4219" w:type="pct"/>
            <w:gridSpan w:val="5"/>
            <w:tcBorders>
              <w:top w:val="single" w:color="auto" w:sz="4" w:space="0"/>
              <w:left w:val="nil"/>
              <w:bottom w:val="single" w:color="auto" w:sz="4" w:space="0"/>
              <w:right w:val="single" w:color="000000" w:sz="4" w:space="0"/>
            </w:tcBorders>
            <w:shd w:val="clear" w:color="auto" w:fill="auto"/>
            <w:vAlign w:val="center"/>
          </w:tcPr>
          <w:p w14:paraId="4342A3A7">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1.常年性项目      </w:t>
            </w:r>
            <w:r>
              <w:rPr>
                <w:rFonts w:ascii="Wingdings" w:hAnsi="Wingdings"/>
                <w:kern w:val="0"/>
                <w:sz w:val="20"/>
                <w:szCs w:val="20"/>
              </w:rPr>
              <w:t>þ</w:t>
            </w:r>
            <w:r>
              <w:rPr>
                <w:rFonts w:hint="eastAsia" w:ascii="仿宋" w:hAnsi="仿宋"/>
                <w:kern w:val="0"/>
                <w:sz w:val="20"/>
                <w:szCs w:val="20"/>
              </w:rPr>
              <w:t xml:space="preserve">           2.延续性项目     □     3.一次性项目    □</w:t>
            </w:r>
          </w:p>
        </w:tc>
      </w:tr>
      <w:tr w14:paraId="26BA0913">
        <w:tblPrEx>
          <w:tblCellMar>
            <w:top w:w="0" w:type="dxa"/>
            <w:left w:w="108" w:type="dxa"/>
            <w:bottom w:w="0" w:type="dxa"/>
            <w:right w:w="108" w:type="dxa"/>
          </w:tblCellMar>
        </w:tblPrEx>
        <w:trPr>
          <w:trHeight w:val="705" w:hRule="atLeast"/>
        </w:trPr>
        <w:tc>
          <w:tcPr>
            <w:tcW w:w="7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415716">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预算执行情况</w:t>
            </w:r>
            <w:r>
              <w:rPr>
                <w:rFonts w:hint="eastAsia" w:ascii="仿宋" w:hAnsi="仿宋"/>
                <w:kern w:val="0"/>
                <w:sz w:val="20"/>
                <w:szCs w:val="20"/>
              </w:rPr>
              <w:br w:type="textWrapping"/>
            </w:r>
            <w:r>
              <w:rPr>
                <w:rFonts w:hint="eastAsia" w:ascii="仿宋" w:hAnsi="仿宋"/>
                <w:kern w:val="0"/>
                <w:sz w:val="20"/>
                <w:szCs w:val="20"/>
              </w:rPr>
              <w:t>（万元）</w:t>
            </w:r>
            <w:r>
              <w:rPr>
                <w:rFonts w:hint="eastAsia" w:ascii="仿宋" w:hAnsi="仿宋"/>
                <w:kern w:val="0"/>
                <w:sz w:val="20"/>
                <w:szCs w:val="20"/>
              </w:rPr>
              <w:br w:type="textWrapping"/>
            </w:r>
            <w:r>
              <w:rPr>
                <w:rFonts w:hint="eastAsia" w:ascii="仿宋" w:hAnsi="仿宋"/>
                <w:kern w:val="0"/>
                <w:sz w:val="20"/>
                <w:szCs w:val="20"/>
              </w:rPr>
              <w:t>（20分）</w:t>
            </w:r>
          </w:p>
        </w:tc>
        <w:tc>
          <w:tcPr>
            <w:tcW w:w="870" w:type="pct"/>
            <w:vMerge w:val="restart"/>
            <w:tcBorders>
              <w:top w:val="nil"/>
              <w:left w:val="single" w:color="auto" w:sz="4" w:space="0"/>
              <w:bottom w:val="single" w:color="000000" w:sz="4" w:space="0"/>
              <w:right w:val="single" w:color="auto" w:sz="4" w:space="0"/>
            </w:tcBorders>
            <w:shd w:val="clear" w:color="auto" w:fill="auto"/>
            <w:vAlign w:val="center"/>
          </w:tcPr>
          <w:p w14:paraId="60B6C1B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年度财政资金总额</w:t>
            </w:r>
          </w:p>
        </w:tc>
        <w:tc>
          <w:tcPr>
            <w:tcW w:w="1107" w:type="pct"/>
            <w:tcBorders>
              <w:top w:val="single" w:color="auto" w:sz="4" w:space="0"/>
              <w:left w:val="nil"/>
              <w:bottom w:val="single" w:color="auto" w:sz="4" w:space="0"/>
              <w:right w:val="single" w:color="auto" w:sz="4" w:space="0"/>
            </w:tcBorders>
            <w:shd w:val="clear" w:color="auto" w:fill="auto"/>
            <w:vAlign w:val="center"/>
          </w:tcPr>
          <w:p w14:paraId="5E32FB7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预算数（A）</w:t>
            </w:r>
          </w:p>
        </w:tc>
        <w:tc>
          <w:tcPr>
            <w:tcW w:w="858" w:type="pct"/>
            <w:tcBorders>
              <w:top w:val="single" w:color="auto" w:sz="4" w:space="0"/>
              <w:left w:val="nil"/>
              <w:bottom w:val="single" w:color="auto" w:sz="4" w:space="0"/>
              <w:right w:val="single" w:color="auto" w:sz="4" w:space="0"/>
            </w:tcBorders>
            <w:shd w:val="clear" w:color="auto" w:fill="auto"/>
            <w:vAlign w:val="center"/>
          </w:tcPr>
          <w:p w14:paraId="64E72BC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执行数（B）</w:t>
            </w:r>
          </w:p>
        </w:tc>
        <w:tc>
          <w:tcPr>
            <w:tcW w:w="715" w:type="pct"/>
            <w:tcBorders>
              <w:top w:val="single" w:color="auto" w:sz="4" w:space="0"/>
              <w:left w:val="nil"/>
              <w:bottom w:val="single" w:color="auto" w:sz="4" w:space="0"/>
              <w:right w:val="single" w:color="auto" w:sz="4" w:space="0"/>
            </w:tcBorders>
            <w:shd w:val="clear" w:color="auto" w:fill="auto"/>
            <w:vAlign w:val="center"/>
          </w:tcPr>
          <w:p w14:paraId="13882A3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执行率(B/A)</w:t>
            </w:r>
          </w:p>
        </w:tc>
        <w:tc>
          <w:tcPr>
            <w:tcW w:w="669" w:type="pct"/>
            <w:tcBorders>
              <w:top w:val="nil"/>
              <w:left w:val="nil"/>
              <w:bottom w:val="single" w:color="auto" w:sz="4" w:space="0"/>
              <w:right w:val="single" w:color="auto" w:sz="4" w:space="0"/>
            </w:tcBorders>
            <w:shd w:val="clear" w:color="auto" w:fill="auto"/>
            <w:vAlign w:val="center"/>
          </w:tcPr>
          <w:p w14:paraId="69C7880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得分(20分*执行率)</w:t>
            </w:r>
          </w:p>
        </w:tc>
      </w:tr>
      <w:tr w14:paraId="0D54BB3B">
        <w:tblPrEx>
          <w:tblCellMar>
            <w:top w:w="0" w:type="dxa"/>
            <w:left w:w="108" w:type="dxa"/>
            <w:bottom w:w="0" w:type="dxa"/>
            <w:right w:w="108" w:type="dxa"/>
          </w:tblCellMar>
        </w:tblPrEx>
        <w:trPr>
          <w:trHeight w:val="525" w:hRule="atLeast"/>
        </w:trPr>
        <w:tc>
          <w:tcPr>
            <w:tcW w:w="781" w:type="pct"/>
            <w:gridSpan w:val="2"/>
            <w:vMerge w:val="continue"/>
            <w:tcBorders>
              <w:top w:val="single" w:color="auto" w:sz="4" w:space="0"/>
              <w:left w:val="single" w:color="auto" w:sz="4" w:space="0"/>
              <w:bottom w:val="single" w:color="auto" w:sz="4" w:space="0"/>
              <w:right w:val="single" w:color="auto" w:sz="4" w:space="0"/>
            </w:tcBorders>
            <w:vAlign w:val="center"/>
          </w:tcPr>
          <w:p w14:paraId="49FAEEE6">
            <w:pPr>
              <w:widowControl/>
              <w:spacing w:line="240" w:lineRule="auto"/>
              <w:ind w:firstLine="0" w:firstLineChars="0"/>
              <w:jc w:val="left"/>
              <w:rPr>
                <w:rFonts w:ascii="仿宋" w:hAnsi="仿宋"/>
                <w:kern w:val="0"/>
                <w:sz w:val="20"/>
                <w:szCs w:val="20"/>
              </w:rPr>
            </w:pPr>
          </w:p>
        </w:tc>
        <w:tc>
          <w:tcPr>
            <w:tcW w:w="870" w:type="pct"/>
            <w:vMerge w:val="continue"/>
            <w:tcBorders>
              <w:top w:val="nil"/>
              <w:left w:val="single" w:color="auto" w:sz="4" w:space="0"/>
              <w:bottom w:val="single" w:color="000000" w:sz="4" w:space="0"/>
              <w:right w:val="single" w:color="auto" w:sz="4" w:space="0"/>
            </w:tcBorders>
            <w:vAlign w:val="center"/>
          </w:tcPr>
          <w:p w14:paraId="3AABD4F5">
            <w:pPr>
              <w:widowControl/>
              <w:spacing w:line="240" w:lineRule="auto"/>
              <w:ind w:firstLine="0" w:firstLineChars="0"/>
              <w:jc w:val="left"/>
              <w:rPr>
                <w:rFonts w:ascii="仿宋" w:hAnsi="仿宋"/>
                <w:kern w:val="0"/>
                <w:sz w:val="20"/>
                <w:szCs w:val="20"/>
              </w:rPr>
            </w:pPr>
          </w:p>
        </w:tc>
        <w:tc>
          <w:tcPr>
            <w:tcW w:w="1107" w:type="pct"/>
            <w:tcBorders>
              <w:top w:val="single" w:color="auto" w:sz="4" w:space="0"/>
              <w:left w:val="nil"/>
              <w:bottom w:val="single" w:color="auto" w:sz="4" w:space="0"/>
              <w:right w:val="single" w:color="auto" w:sz="4" w:space="0"/>
            </w:tcBorders>
            <w:shd w:val="clear" w:color="auto" w:fill="auto"/>
            <w:vAlign w:val="center"/>
          </w:tcPr>
          <w:p w14:paraId="6D1587F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 xml:space="preserve">15,803.21 </w:t>
            </w:r>
          </w:p>
        </w:tc>
        <w:tc>
          <w:tcPr>
            <w:tcW w:w="858" w:type="pct"/>
            <w:tcBorders>
              <w:top w:val="single" w:color="auto" w:sz="4" w:space="0"/>
              <w:left w:val="nil"/>
              <w:bottom w:val="single" w:color="auto" w:sz="4" w:space="0"/>
              <w:right w:val="single" w:color="auto" w:sz="4" w:space="0"/>
            </w:tcBorders>
            <w:shd w:val="clear" w:color="auto" w:fill="auto"/>
            <w:vAlign w:val="center"/>
          </w:tcPr>
          <w:p w14:paraId="6E0D8A6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 xml:space="preserve">15,598.81 </w:t>
            </w:r>
          </w:p>
        </w:tc>
        <w:tc>
          <w:tcPr>
            <w:tcW w:w="715" w:type="pct"/>
            <w:tcBorders>
              <w:top w:val="single" w:color="auto" w:sz="4" w:space="0"/>
              <w:left w:val="nil"/>
              <w:bottom w:val="single" w:color="auto" w:sz="4" w:space="0"/>
              <w:right w:val="single" w:color="auto" w:sz="4" w:space="0"/>
            </w:tcBorders>
            <w:shd w:val="clear" w:color="auto" w:fill="auto"/>
            <w:vAlign w:val="center"/>
          </w:tcPr>
          <w:p w14:paraId="1882BD6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98.71%</w:t>
            </w:r>
          </w:p>
        </w:tc>
        <w:tc>
          <w:tcPr>
            <w:tcW w:w="669" w:type="pct"/>
            <w:tcBorders>
              <w:top w:val="nil"/>
              <w:left w:val="nil"/>
              <w:bottom w:val="single" w:color="auto" w:sz="4" w:space="0"/>
              <w:right w:val="single" w:color="auto" w:sz="4" w:space="0"/>
            </w:tcBorders>
            <w:shd w:val="clear" w:color="auto" w:fill="auto"/>
            <w:vAlign w:val="center"/>
          </w:tcPr>
          <w:p w14:paraId="6AA9C0C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 xml:space="preserve">19.7 </w:t>
            </w:r>
          </w:p>
        </w:tc>
      </w:tr>
      <w:tr w14:paraId="690F1D22">
        <w:tblPrEx>
          <w:tblCellMar>
            <w:top w:w="0" w:type="dxa"/>
            <w:left w:w="108" w:type="dxa"/>
            <w:bottom w:w="0" w:type="dxa"/>
            <w:right w:w="108" w:type="dxa"/>
          </w:tblCellMar>
        </w:tblPrEx>
        <w:trPr>
          <w:trHeight w:val="720" w:hRule="atLeast"/>
        </w:trPr>
        <w:tc>
          <w:tcPr>
            <w:tcW w:w="307" w:type="pct"/>
            <w:vMerge w:val="restart"/>
            <w:tcBorders>
              <w:top w:val="nil"/>
              <w:left w:val="single" w:color="auto" w:sz="4" w:space="0"/>
              <w:bottom w:val="single" w:color="000000" w:sz="4" w:space="0"/>
              <w:right w:val="single" w:color="auto" w:sz="4" w:space="0"/>
            </w:tcBorders>
            <w:shd w:val="clear" w:color="auto" w:fill="auto"/>
            <w:textDirection w:val="tbRlV"/>
            <w:vAlign w:val="center"/>
          </w:tcPr>
          <w:p w14:paraId="069F775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年度绩效目标</w:t>
            </w:r>
          </w:p>
        </w:tc>
        <w:tc>
          <w:tcPr>
            <w:tcW w:w="474" w:type="pct"/>
            <w:tcBorders>
              <w:top w:val="nil"/>
              <w:left w:val="nil"/>
              <w:bottom w:val="single" w:color="auto" w:sz="4" w:space="0"/>
              <w:right w:val="single" w:color="auto" w:sz="4" w:space="0"/>
            </w:tcBorders>
            <w:shd w:val="clear" w:color="auto" w:fill="auto"/>
            <w:vAlign w:val="center"/>
          </w:tcPr>
          <w:p w14:paraId="2EB2F5B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一级</w:t>
            </w:r>
            <w:r>
              <w:rPr>
                <w:rFonts w:hint="eastAsia" w:ascii="仿宋" w:hAnsi="仿宋"/>
                <w:kern w:val="0"/>
                <w:sz w:val="20"/>
                <w:szCs w:val="20"/>
              </w:rPr>
              <w:br w:type="textWrapping"/>
            </w:r>
            <w:r>
              <w:rPr>
                <w:rFonts w:hint="eastAsia" w:ascii="仿宋" w:hAnsi="仿宋"/>
                <w:kern w:val="0"/>
                <w:sz w:val="20"/>
                <w:szCs w:val="20"/>
              </w:rPr>
              <w:t>指标</w:t>
            </w:r>
          </w:p>
        </w:tc>
        <w:tc>
          <w:tcPr>
            <w:tcW w:w="870" w:type="pct"/>
            <w:tcBorders>
              <w:top w:val="nil"/>
              <w:left w:val="nil"/>
              <w:bottom w:val="single" w:color="auto" w:sz="4" w:space="0"/>
              <w:right w:val="single" w:color="auto" w:sz="4" w:space="0"/>
            </w:tcBorders>
            <w:shd w:val="clear" w:color="auto" w:fill="auto"/>
            <w:vAlign w:val="center"/>
          </w:tcPr>
          <w:p w14:paraId="2289398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二级指标</w:t>
            </w:r>
          </w:p>
        </w:tc>
        <w:tc>
          <w:tcPr>
            <w:tcW w:w="1107" w:type="pct"/>
            <w:tcBorders>
              <w:top w:val="single" w:color="auto" w:sz="4" w:space="0"/>
              <w:left w:val="nil"/>
              <w:bottom w:val="single" w:color="auto" w:sz="4" w:space="0"/>
              <w:right w:val="single" w:color="auto" w:sz="4" w:space="0"/>
            </w:tcBorders>
            <w:shd w:val="clear" w:color="auto" w:fill="auto"/>
            <w:vAlign w:val="center"/>
          </w:tcPr>
          <w:p w14:paraId="0570FE4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指标名称</w:t>
            </w:r>
          </w:p>
        </w:tc>
        <w:tc>
          <w:tcPr>
            <w:tcW w:w="858" w:type="pct"/>
            <w:tcBorders>
              <w:top w:val="single" w:color="auto" w:sz="4" w:space="0"/>
              <w:left w:val="nil"/>
              <w:bottom w:val="single" w:color="auto" w:sz="4" w:space="0"/>
              <w:right w:val="single" w:color="auto" w:sz="4" w:space="0"/>
            </w:tcBorders>
            <w:shd w:val="clear" w:color="auto" w:fill="auto"/>
            <w:vAlign w:val="center"/>
          </w:tcPr>
          <w:p w14:paraId="5AD6FA6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年初目标值（A）</w:t>
            </w:r>
          </w:p>
        </w:tc>
        <w:tc>
          <w:tcPr>
            <w:tcW w:w="715" w:type="pct"/>
            <w:tcBorders>
              <w:top w:val="single" w:color="auto" w:sz="4" w:space="0"/>
              <w:left w:val="nil"/>
              <w:bottom w:val="single" w:color="auto" w:sz="4" w:space="0"/>
              <w:right w:val="single" w:color="auto" w:sz="4" w:space="0"/>
            </w:tcBorders>
            <w:shd w:val="clear" w:color="auto" w:fill="auto"/>
            <w:vAlign w:val="center"/>
          </w:tcPr>
          <w:p w14:paraId="04500AE6">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实际完成值（B）</w:t>
            </w:r>
          </w:p>
        </w:tc>
        <w:tc>
          <w:tcPr>
            <w:tcW w:w="669" w:type="pct"/>
            <w:tcBorders>
              <w:top w:val="nil"/>
              <w:left w:val="nil"/>
              <w:bottom w:val="single" w:color="auto" w:sz="4" w:space="0"/>
              <w:right w:val="single" w:color="auto" w:sz="4" w:space="0"/>
            </w:tcBorders>
            <w:shd w:val="clear" w:color="auto" w:fill="auto"/>
            <w:vAlign w:val="center"/>
          </w:tcPr>
          <w:p w14:paraId="0DBEBAC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w:t>
            </w:r>
          </w:p>
        </w:tc>
      </w:tr>
      <w:tr w14:paraId="5DDE4D95">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03DD82D6">
            <w:pPr>
              <w:widowControl/>
              <w:spacing w:line="240" w:lineRule="auto"/>
              <w:ind w:firstLine="0" w:firstLineChars="0"/>
              <w:jc w:val="left"/>
              <w:rPr>
                <w:rFonts w:ascii="仿宋" w:hAnsi="仿宋"/>
                <w:kern w:val="0"/>
                <w:sz w:val="20"/>
                <w:szCs w:val="20"/>
              </w:rPr>
            </w:pPr>
          </w:p>
        </w:tc>
        <w:tc>
          <w:tcPr>
            <w:tcW w:w="474" w:type="pct"/>
            <w:vMerge w:val="restart"/>
            <w:tcBorders>
              <w:top w:val="nil"/>
              <w:left w:val="single" w:color="auto" w:sz="4" w:space="0"/>
              <w:bottom w:val="nil"/>
              <w:right w:val="single" w:color="auto" w:sz="4" w:space="0"/>
            </w:tcBorders>
            <w:shd w:val="clear" w:color="auto" w:fill="auto"/>
            <w:vAlign w:val="center"/>
          </w:tcPr>
          <w:p w14:paraId="63F10B4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产出指标</w:t>
            </w:r>
            <w:r>
              <w:rPr>
                <w:rFonts w:hint="eastAsia" w:ascii="仿宋" w:hAnsi="仿宋"/>
                <w:kern w:val="0"/>
                <w:sz w:val="20"/>
                <w:szCs w:val="20"/>
              </w:rPr>
              <w:br w:type="textWrapping"/>
            </w:r>
            <w:r>
              <w:rPr>
                <w:rFonts w:hint="eastAsia" w:ascii="仿宋" w:hAnsi="仿宋"/>
                <w:kern w:val="0"/>
                <w:sz w:val="20"/>
                <w:szCs w:val="20"/>
              </w:rPr>
              <w:t>（40分）</w:t>
            </w:r>
          </w:p>
        </w:tc>
        <w:tc>
          <w:tcPr>
            <w:tcW w:w="870" w:type="pct"/>
            <w:tcBorders>
              <w:top w:val="nil"/>
              <w:left w:val="nil"/>
              <w:bottom w:val="single" w:color="auto" w:sz="4" w:space="0"/>
              <w:right w:val="single" w:color="auto" w:sz="4" w:space="0"/>
            </w:tcBorders>
            <w:shd w:val="clear" w:color="auto" w:fill="auto"/>
            <w:vAlign w:val="center"/>
          </w:tcPr>
          <w:p w14:paraId="314AA43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1789E03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园林绿化资源普查完成率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1F6C685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000000" w:sz="4" w:space="0"/>
            </w:tcBorders>
            <w:shd w:val="clear" w:color="auto" w:fill="auto"/>
            <w:vAlign w:val="center"/>
          </w:tcPr>
          <w:p w14:paraId="1CEBA5D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17456FC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44A1A672">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3453259F">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74D70C17">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78F7CB8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55491AD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园林绿化养护完成率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7098A27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000000" w:sz="4" w:space="0"/>
            </w:tcBorders>
            <w:shd w:val="clear" w:color="auto" w:fill="auto"/>
            <w:vAlign w:val="center"/>
          </w:tcPr>
          <w:p w14:paraId="2A9DBE0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00908DE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3AF9D925">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087B4C18">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7D22EA24">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F7D547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461E874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小型单项及花卉移植项目完成率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1C38F9D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000000" w:sz="4" w:space="0"/>
            </w:tcBorders>
            <w:shd w:val="clear" w:color="auto" w:fill="auto"/>
            <w:vAlign w:val="center"/>
          </w:tcPr>
          <w:p w14:paraId="50D5DD1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37906ED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69A92F28">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1E0C3783">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55BA529D">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6800297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6943078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社区改造工程完成数量</w:t>
            </w:r>
          </w:p>
        </w:tc>
        <w:tc>
          <w:tcPr>
            <w:tcW w:w="858" w:type="pct"/>
            <w:tcBorders>
              <w:top w:val="single" w:color="auto" w:sz="4" w:space="0"/>
              <w:left w:val="nil"/>
              <w:bottom w:val="single" w:color="auto" w:sz="4" w:space="0"/>
              <w:right w:val="single" w:color="auto" w:sz="4" w:space="0"/>
            </w:tcBorders>
            <w:shd w:val="clear" w:color="auto" w:fill="auto"/>
            <w:vAlign w:val="center"/>
          </w:tcPr>
          <w:p w14:paraId="4B83BAD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2个</w:t>
            </w:r>
          </w:p>
        </w:tc>
        <w:tc>
          <w:tcPr>
            <w:tcW w:w="715" w:type="pct"/>
            <w:tcBorders>
              <w:top w:val="single" w:color="auto" w:sz="4" w:space="0"/>
              <w:left w:val="nil"/>
              <w:bottom w:val="single" w:color="auto" w:sz="4" w:space="0"/>
              <w:right w:val="single" w:color="000000" w:sz="4" w:space="0"/>
            </w:tcBorders>
            <w:shd w:val="clear" w:color="auto" w:fill="auto"/>
            <w:vAlign w:val="center"/>
          </w:tcPr>
          <w:p w14:paraId="17A31E2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2个</w:t>
            </w:r>
          </w:p>
        </w:tc>
        <w:tc>
          <w:tcPr>
            <w:tcW w:w="669" w:type="pct"/>
            <w:tcBorders>
              <w:top w:val="nil"/>
              <w:left w:val="nil"/>
              <w:bottom w:val="single" w:color="auto" w:sz="4" w:space="0"/>
              <w:right w:val="single" w:color="auto" w:sz="4" w:space="0"/>
            </w:tcBorders>
            <w:shd w:val="clear" w:color="auto" w:fill="auto"/>
            <w:vAlign w:val="center"/>
          </w:tcPr>
          <w:p w14:paraId="67C7738F">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3CD54A20">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1A82F530">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2D04FC3E">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34DAD2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45F8170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金秋菊展完成率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5997E59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auto" w:sz="4" w:space="0"/>
            </w:tcBorders>
            <w:shd w:val="clear" w:color="auto" w:fill="auto"/>
            <w:vAlign w:val="center"/>
          </w:tcPr>
          <w:p w14:paraId="334FDCB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19D288C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55C3FDE2">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5D898AAF">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009A4C58">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A6F8D9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质量指标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649851A4">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项目验收合格率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4281002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auto" w:sz="4" w:space="0"/>
            </w:tcBorders>
            <w:shd w:val="clear" w:color="auto" w:fill="auto"/>
            <w:vAlign w:val="center"/>
          </w:tcPr>
          <w:p w14:paraId="69F0CB5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55B682C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7345BDB7">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5AEFAF07">
            <w:pPr>
              <w:widowControl/>
              <w:spacing w:line="240" w:lineRule="auto"/>
              <w:ind w:firstLine="0" w:firstLineChars="0"/>
              <w:jc w:val="left"/>
              <w:rPr>
                <w:rFonts w:ascii="仿宋" w:hAnsi="仿宋"/>
                <w:kern w:val="0"/>
                <w:sz w:val="20"/>
                <w:szCs w:val="20"/>
              </w:rPr>
            </w:pPr>
          </w:p>
        </w:tc>
        <w:tc>
          <w:tcPr>
            <w:tcW w:w="474" w:type="pct"/>
            <w:vMerge w:val="continue"/>
            <w:tcBorders>
              <w:top w:val="nil"/>
              <w:left w:val="single" w:color="auto" w:sz="4" w:space="0"/>
              <w:bottom w:val="nil"/>
              <w:right w:val="single" w:color="auto" w:sz="4" w:space="0"/>
            </w:tcBorders>
            <w:vAlign w:val="center"/>
          </w:tcPr>
          <w:p w14:paraId="381A76E9">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6A509A8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时效指标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31458E6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树木修剪及时率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5475D3D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715" w:type="pct"/>
            <w:tcBorders>
              <w:top w:val="single" w:color="auto" w:sz="4" w:space="0"/>
              <w:left w:val="nil"/>
              <w:bottom w:val="single" w:color="auto" w:sz="4" w:space="0"/>
              <w:right w:val="single" w:color="auto" w:sz="4" w:space="0"/>
            </w:tcBorders>
            <w:shd w:val="clear" w:color="auto" w:fill="auto"/>
            <w:vAlign w:val="center"/>
          </w:tcPr>
          <w:p w14:paraId="474C128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100%</w:t>
            </w:r>
          </w:p>
        </w:tc>
        <w:tc>
          <w:tcPr>
            <w:tcW w:w="669" w:type="pct"/>
            <w:tcBorders>
              <w:top w:val="nil"/>
              <w:left w:val="nil"/>
              <w:bottom w:val="single" w:color="auto" w:sz="4" w:space="0"/>
              <w:right w:val="single" w:color="auto" w:sz="4" w:space="0"/>
            </w:tcBorders>
            <w:shd w:val="clear" w:color="auto" w:fill="auto"/>
            <w:vAlign w:val="center"/>
          </w:tcPr>
          <w:p w14:paraId="4C6FACD1">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2DEBE490">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558C15FB">
            <w:pPr>
              <w:widowControl/>
              <w:spacing w:line="240" w:lineRule="auto"/>
              <w:ind w:firstLine="0" w:firstLineChars="0"/>
              <w:jc w:val="left"/>
              <w:rPr>
                <w:rFonts w:ascii="仿宋" w:hAnsi="仿宋"/>
                <w:kern w:val="0"/>
                <w:sz w:val="20"/>
                <w:szCs w:val="20"/>
              </w:rPr>
            </w:pPr>
          </w:p>
        </w:tc>
        <w:tc>
          <w:tcPr>
            <w:tcW w:w="47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A342BC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效益指标（30分）</w:t>
            </w:r>
          </w:p>
        </w:tc>
        <w:tc>
          <w:tcPr>
            <w:tcW w:w="870" w:type="pct"/>
            <w:tcBorders>
              <w:top w:val="nil"/>
              <w:left w:val="nil"/>
              <w:bottom w:val="single" w:color="auto" w:sz="4" w:space="0"/>
              <w:right w:val="single" w:color="auto" w:sz="4" w:space="0"/>
            </w:tcBorders>
            <w:shd w:val="clear" w:color="auto" w:fill="auto"/>
            <w:vAlign w:val="center"/>
          </w:tcPr>
          <w:p w14:paraId="3E814DB6">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经济效益指标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018F0AE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绿化修复提升度</w:t>
            </w:r>
          </w:p>
        </w:tc>
        <w:tc>
          <w:tcPr>
            <w:tcW w:w="858" w:type="pct"/>
            <w:tcBorders>
              <w:top w:val="single" w:color="auto" w:sz="4" w:space="0"/>
              <w:left w:val="nil"/>
              <w:bottom w:val="single" w:color="auto" w:sz="4" w:space="0"/>
              <w:right w:val="single" w:color="auto" w:sz="4" w:space="0"/>
            </w:tcBorders>
            <w:shd w:val="clear" w:color="auto" w:fill="auto"/>
            <w:vAlign w:val="center"/>
          </w:tcPr>
          <w:p w14:paraId="67A0D8FD">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715" w:type="pct"/>
            <w:tcBorders>
              <w:top w:val="single" w:color="auto" w:sz="4" w:space="0"/>
              <w:left w:val="nil"/>
              <w:bottom w:val="single" w:color="auto" w:sz="4" w:space="0"/>
              <w:right w:val="single" w:color="000000" w:sz="4" w:space="0"/>
            </w:tcBorders>
            <w:shd w:val="clear" w:color="auto" w:fill="auto"/>
            <w:vAlign w:val="center"/>
          </w:tcPr>
          <w:p w14:paraId="20B142CC">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669" w:type="pct"/>
            <w:tcBorders>
              <w:top w:val="nil"/>
              <w:left w:val="nil"/>
              <w:bottom w:val="single" w:color="auto" w:sz="4" w:space="0"/>
              <w:right w:val="single" w:color="auto" w:sz="4" w:space="0"/>
            </w:tcBorders>
            <w:shd w:val="clear" w:color="auto" w:fill="auto"/>
            <w:vAlign w:val="center"/>
          </w:tcPr>
          <w:p w14:paraId="4B5C45B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0E49AFA5">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4DAC22AE">
            <w:pPr>
              <w:widowControl/>
              <w:spacing w:line="240" w:lineRule="auto"/>
              <w:ind w:firstLine="0" w:firstLineChars="0"/>
              <w:jc w:val="left"/>
              <w:rPr>
                <w:rFonts w:ascii="仿宋" w:hAnsi="仿宋"/>
                <w:kern w:val="0"/>
                <w:sz w:val="20"/>
                <w:szCs w:val="20"/>
              </w:rPr>
            </w:pPr>
          </w:p>
        </w:tc>
        <w:tc>
          <w:tcPr>
            <w:tcW w:w="474" w:type="pct"/>
            <w:vMerge w:val="continue"/>
            <w:tcBorders>
              <w:top w:val="single" w:color="auto" w:sz="4" w:space="0"/>
              <w:left w:val="single" w:color="auto" w:sz="4" w:space="0"/>
              <w:bottom w:val="single" w:color="000000" w:sz="4" w:space="0"/>
              <w:right w:val="single" w:color="auto" w:sz="4" w:space="0"/>
            </w:tcBorders>
            <w:vAlign w:val="center"/>
          </w:tcPr>
          <w:p w14:paraId="5FBB5A28">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317E8E6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社会效益指标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5F2A693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园林景观美化度</w:t>
            </w:r>
          </w:p>
        </w:tc>
        <w:tc>
          <w:tcPr>
            <w:tcW w:w="858" w:type="pct"/>
            <w:tcBorders>
              <w:top w:val="single" w:color="auto" w:sz="4" w:space="0"/>
              <w:left w:val="nil"/>
              <w:bottom w:val="single" w:color="auto" w:sz="4" w:space="0"/>
              <w:right w:val="single" w:color="auto" w:sz="4" w:space="0"/>
            </w:tcBorders>
            <w:shd w:val="clear" w:color="auto" w:fill="auto"/>
            <w:vAlign w:val="center"/>
          </w:tcPr>
          <w:p w14:paraId="7912AA8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715" w:type="pct"/>
            <w:tcBorders>
              <w:top w:val="single" w:color="auto" w:sz="4" w:space="0"/>
              <w:left w:val="nil"/>
              <w:bottom w:val="single" w:color="auto" w:sz="4" w:space="0"/>
              <w:right w:val="single" w:color="000000" w:sz="4" w:space="0"/>
            </w:tcBorders>
            <w:shd w:val="clear" w:color="auto" w:fill="auto"/>
            <w:vAlign w:val="center"/>
          </w:tcPr>
          <w:p w14:paraId="5C26126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有提升</w:t>
            </w:r>
          </w:p>
        </w:tc>
        <w:tc>
          <w:tcPr>
            <w:tcW w:w="669" w:type="pct"/>
            <w:tcBorders>
              <w:top w:val="nil"/>
              <w:left w:val="nil"/>
              <w:bottom w:val="single" w:color="auto" w:sz="4" w:space="0"/>
              <w:right w:val="single" w:color="auto" w:sz="4" w:space="0"/>
            </w:tcBorders>
            <w:shd w:val="clear" w:color="auto" w:fill="auto"/>
            <w:vAlign w:val="center"/>
          </w:tcPr>
          <w:p w14:paraId="3B9CED5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4B870B3C">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3BE417A5">
            <w:pPr>
              <w:widowControl/>
              <w:spacing w:line="240" w:lineRule="auto"/>
              <w:ind w:firstLine="0" w:firstLineChars="0"/>
              <w:jc w:val="left"/>
              <w:rPr>
                <w:rFonts w:ascii="仿宋" w:hAnsi="仿宋"/>
                <w:kern w:val="0"/>
                <w:sz w:val="20"/>
                <w:szCs w:val="20"/>
              </w:rPr>
            </w:pPr>
          </w:p>
        </w:tc>
        <w:tc>
          <w:tcPr>
            <w:tcW w:w="474" w:type="pct"/>
            <w:vMerge w:val="continue"/>
            <w:tcBorders>
              <w:top w:val="single" w:color="auto" w:sz="4" w:space="0"/>
              <w:left w:val="single" w:color="auto" w:sz="4" w:space="0"/>
              <w:bottom w:val="single" w:color="000000" w:sz="4" w:space="0"/>
              <w:right w:val="single" w:color="auto" w:sz="4" w:space="0"/>
            </w:tcBorders>
            <w:vAlign w:val="center"/>
          </w:tcPr>
          <w:p w14:paraId="386BF274">
            <w:pPr>
              <w:widowControl/>
              <w:spacing w:line="240" w:lineRule="auto"/>
              <w:ind w:firstLine="0" w:firstLineChars="0"/>
              <w:jc w:val="left"/>
              <w:rPr>
                <w:rFonts w:ascii="仿宋" w:hAnsi="仿宋"/>
                <w:kern w:val="0"/>
                <w:sz w:val="20"/>
                <w:szCs w:val="20"/>
              </w:rPr>
            </w:pPr>
          </w:p>
        </w:tc>
        <w:tc>
          <w:tcPr>
            <w:tcW w:w="870" w:type="pct"/>
            <w:tcBorders>
              <w:top w:val="nil"/>
              <w:left w:val="nil"/>
              <w:bottom w:val="single" w:color="auto" w:sz="4" w:space="0"/>
              <w:right w:val="single" w:color="auto" w:sz="4" w:space="0"/>
            </w:tcBorders>
            <w:shd w:val="clear" w:color="auto" w:fill="auto"/>
            <w:vAlign w:val="center"/>
          </w:tcPr>
          <w:p w14:paraId="204119FE">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环境效益指标（5分）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7C8EF48B">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病虫害危害减少度</w:t>
            </w:r>
          </w:p>
        </w:tc>
        <w:tc>
          <w:tcPr>
            <w:tcW w:w="858" w:type="pct"/>
            <w:tcBorders>
              <w:top w:val="single" w:color="auto" w:sz="4" w:space="0"/>
              <w:left w:val="nil"/>
              <w:bottom w:val="single" w:color="auto" w:sz="4" w:space="0"/>
              <w:right w:val="single" w:color="auto" w:sz="4" w:space="0"/>
            </w:tcBorders>
            <w:shd w:val="clear" w:color="auto" w:fill="auto"/>
            <w:vAlign w:val="center"/>
          </w:tcPr>
          <w:p w14:paraId="13487F7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减少</w:t>
            </w:r>
          </w:p>
        </w:tc>
        <w:tc>
          <w:tcPr>
            <w:tcW w:w="715" w:type="pct"/>
            <w:tcBorders>
              <w:top w:val="single" w:color="auto" w:sz="4" w:space="0"/>
              <w:left w:val="nil"/>
              <w:bottom w:val="single" w:color="auto" w:sz="4" w:space="0"/>
              <w:right w:val="single" w:color="000000" w:sz="4" w:space="0"/>
            </w:tcBorders>
            <w:shd w:val="clear" w:color="auto" w:fill="auto"/>
            <w:vAlign w:val="center"/>
          </w:tcPr>
          <w:p w14:paraId="5F4DF12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减少</w:t>
            </w:r>
          </w:p>
        </w:tc>
        <w:tc>
          <w:tcPr>
            <w:tcW w:w="669" w:type="pct"/>
            <w:tcBorders>
              <w:top w:val="nil"/>
              <w:left w:val="nil"/>
              <w:bottom w:val="single" w:color="auto" w:sz="4" w:space="0"/>
              <w:right w:val="single" w:color="auto" w:sz="4" w:space="0"/>
            </w:tcBorders>
            <w:shd w:val="clear" w:color="auto" w:fill="auto"/>
            <w:vAlign w:val="center"/>
          </w:tcPr>
          <w:p w14:paraId="4C289272">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5</w:t>
            </w:r>
          </w:p>
        </w:tc>
      </w:tr>
      <w:tr w14:paraId="2DECCDC9">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16C6E540">
            <w:pPr>
              <w:widowControl/>
              <w:spacing w:line="240" w:lineRule="auto"/>
              <w:ind w:firstLine="0" w:firstLineChars="0"/>
              <w:jc w:val="left"/>
              <w:rPr>
                <w:rFonts w:ascii="仿宋" w:hAnsi="仿宋"/>
                <w:kern w:val="0"/>
                <w:sz w:val="20"/>
                <w:szCs w:val="20"/>
              </w:rPr>
            </w:pPr>
          </w:p>
        </w:tc>
        <w:tc>
          <w:tcPr>
            <w:tcW w:w="474" w:type="pct"/>
            <w:tcBorders>
              <w:top w:val="nil"/>
              <w:left w:val="nil"/>
              <w:bottom w:val="single" w:color="auto" w:sz="4" w:space="0"/>
              <w:right w:val="single" w:color="auto" w:sz="4" w:space="0"/>
            </w:tcBorders>
            <w:shd w:val="clear" w:color="auto" w:fill="auto"/>
            <w:vAlign w:val="center"/>
          </w:tcPr>
          <w:p w14:paraId="675583AB">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可持续影响指标</w:t>
            </w:r>
            <w:r>
              <w:rPr>
                <w:rFonts w:hint="eastAsia" w:ascii="仿宋" w:hAnsi="仿宋"/>
                <w:kern w:val="0"/>
                <w:sz w:val="20"/>
                <w:szCs w:val="20"/>
              </w:rPr>
              <w:br w:type="textWrapping"/>
            </w:r>
            <w:r>
              <w:rPr>
                <w:rFonts w:hint="eastAsia" w:ascii="仿宋" w:hAnsi="仿宋"/>
                <w:kern w:val="0"/>
                <w:sz w:val="20"/>
                <w:szCs w:val="20"/>
              </w:rPr>
              <w:t>（5分）</w:t>
            </w:r>
          </w:p>
        </w:tc>
        <w:tc>
          <w:tcPr>
            <w:tcW w:w="870" w:type="pct"/>
            <w:tcBorders>
              <w:top w:val="nil"/>
              <w:left w:val="nil"/>
              <w:bottom w:val="single" w:color="auto" w:sz="4" w:space="0"/>
              <w:right w:val="single" w:color="auto" w:sz="4" w:space="0"/>
            </w:tcBorders>
            <w:shd w:val="clear" w:color="auto" w:fill="auto"/>
            <w:vAlign w:val="center"/>
          </w:tcPr>
          <w:p w14:paraId="56A9128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可持续影响指标</w:t>
            </w:r>
            <w:r>
              <w:rPr>
                <w:rFonts w:hint="eastAsia" w:ascii="仿宋" w:hAnsi="仿宋"/>
                <w:kern w:val="0"/>
                <w:sz w:val="20"/>
                <w:szCs w:val="20"/>
              </w:rPr>
              <w:br w:type="textWrapping"/>
            </w:r>
            <w:r>
              <w:rPr>
                <w:rFonts w:hint="eastAsia" w:ascii="仿宋" w:hAnsi="仿宋"/>
                <w:kern w:val="0"/>
                <w:sz w:val="20"/>
                <w:szCs w:val="20"/>
              </w:rPr>
              <w:t>（5分）</w:t>
            </w:r>
          </w:p>
        </w:tc>
        <w:tc>
          <w:tcPr>
            <w:tcW w:w="1107" w:type="pct"/>
            <w:tcBorders>
              <w:top w:val="single" w:color="auto" w:sz="4" w:space="0"/>
              <w:left w:val="nil"/>
              <w:bottom w:val="single" w:color="auto" w:sz="4" w:space="0"/>
              <w:right w:val="single" w:color="auto" w:sz="4" w:space="0"/>
            </w:tcBorders>
            <w:shd w:val="clear" w:color="auto" w:fill="auto"/>
            <w:vAlign w:val="center"/>
          </w:tcPr>
          <w:p w14:paraId="2F38DC53">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可持续性影响</w:t>
            </w:r>
          </w:p>
        </w:tc>
        <w:tc>
          <w:tcPr>
            <w:tcW w:w="858" w:type="pct"/>
            <w:tcBorders>
              <w:top w:val="single" w:color="auto" w:sz="4" w:space="0"/>
              <w:left w:val="nil"/>
              <w:bottom w:val="single" w:color="auto" w:sz="4" w:space="0"/>
              <w:right w:val="single" w:color="auto" w:sz="4" w:space="0"/>
            </w:tcBorders>
            <w:shd w:val="clear" w:color="auto" w:fill="auto"/>
            <w:vAlign w:val="center"/>
          </w:tcPr>
          <w:p w14:paraId="33692BBA">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可持续</w:t>
            </w:r>
          </w:p>
        </w:tc>
        <w:tc>
          <w:tcPr>
            <w:tcW w:w="715" w:type="pct"/>
            <w:tcBorders>
              <w:top w:val="single" w:color="auto" w:sz="4" w:space="0"/>
              <w:left w:val="nil"/>
              <w:bottom w:val="single" w:color="auto" w:sz="4" w:space="0"/>
              <w:right w:val="single" w:color="000000" w:sz="4" w:space="0"/>
            </w:tcBorders>
            <w:shd w:val="clear" w:color="auto" w:fill="auto"/>
            <w:vAlign w:val="center"/>
          </w:tcPr>
          <w:p w14:paraId="64BF54A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有一定可持续性</w:t>
            </w:r>
          </w:p>
        </w:tc>
        <w:tc>
          <w:tcPr>
            <w:tcW w:w="669" w:type="pct"/>
            <w:tcBorders>
              <w:top w:val="nil"/>
              <w:left w:val="nil"/>
              <w:bottom w:val="single" w:color="auto" w:sz="4" w:space="0"/>
              <w:right w:val="single" w:color="auto" w:sz="4" w:space="0"/>
            </w:tcBorders>
            <w:shd w:val="clear" w:color="auto" w:fill="auto"/>
            <w:vAlign w:val="center"/>
          </w:tcPr>
          <w:p w14:paraId="1B1FCC4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3</w:t>
            </w:r>
          </w:p>
        </w:tc>
      </w:tr>
      <w:tr w14:paraId="7DC6D951">
        <w:tblPrEx>
          <w:tblCellMar>
            <w:top w:w="0" w:type="dxa"/>
            <w:left w:w="108" w:type="dxa"/>
            <w:bottom w:w="0" w:type="dxa"/>
            <w:right w:w="108" w:type="dxa"/>
          </w:tblCellMar>
        </w:tblPrEx>
        <w:trPr>
          <w:trHeight w:val="679" w:hRule="atLeast"/>
        </w:trPr>
        <w:tc>
          <w:tcPr>
            <w:tcW w:w="307" w:type="pct"/>
            <w:vMerge w:val="continue"/>
            <w:tcBorders>
              <w:top w:val="nil"/>
              <w:left w:val="single" w:color="auto" w:sz="4" w:space="0"/>
              <w:bottom w:val="single" w:color="000000" w:sz="4" w:space="0"/>
              <w:right w:val="single" w:color="auto" w:sz="4" w:space="0"/>
            </w:tcBorders>
            <w:vAlign w:val="center"/>
          </w:tcPr>
          <w:p w14:paraId="709F5383">
            <w:pPr>
              <w:widowControl/>
              <w:spacing w:line="240" w:lineRule="auto"/>
              <w:ind w:firstLine="0" w:firstLineChars="0"/>
              <w:jc w:val="left"/>
              <w:rPr>
                <w:rFonts w:ascii="仿宋" w:hAnsi="仿宋"/>
                <w:kern w:val="0"/>
                <w:sz w:val="20"/>
                <w:szCs w:val="20"/>
              </w:rPr>
            </w:pPr>
          </w:p>
        </w:tc>
        <w:tc>
          <w:tcPr>
            <w:tcW w:w="474" w:type="pct"/>
            <w:tcBorders>
              <w:top w:val="nil"/>
              <w:left w:val="nil"/>
              <w:bottom w:val="single" w:color="auto" w:sz="4" w:space="0"/>
              <w:right w:val="single" w:color="auto" w:sz="4" w:space="0"/>
            </w:tcBorders>
            <w:shd w:val="clear" w:color="auto" w:fill="auto"/>
            <w:vAlign w:val="center"/>
          </w:tcPr>
          <w:p w14:paraId="2B53AAF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满意度指标（10分）</w:t>
            </w:r>
          </w:p>
        </w:tc>
        <w:tc>
          <w:tcPr>
            <w:tcW w:w="870" w:type="pct"/>
            <w:tcBorders>
              <w:top w:val="nil"/>
              <w:left w:val="nil"/>
              <w:bottom w:val="single" w:color="auto" w:sz="4" w:space="0"/>
              <w:right w:val="single" w:color="auto" w:sz="4" w:space="0"/>
            </w:tcBorders>
            <w:shd w:val="clear" w:color="auto" w:fill="auto"/>
            <w:vAlign w:val="center"/>
          </w:tcPr>
          <w:p w14:paraId="43D2D8F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社会公众或服务对象满意度指标</w:t>
            </w:r>
            <w:r>
              <w:rPr>
                <w:rFonts w:hint="eastAsia" w:ascii="仿宋" w:hAnsi="仿宋"/>
                <w:kern w:val="0"/>
                <w:sz w:val="20"/>
                <w:szCs w:val="20"/>
              </w:rPr>
              <w:br w:type="textWrapping"/>
            </w:r>
            <w:r>
              <w:rPr>
                <w:rFonts w:hint="eastAsia" w:ascii="仿宋" w:hAnsi="仿宋"/>
                <w:kern w:val="0"/>
                <w:sz w:val="20"/>
                <w:szCs w:val="20"/>
              </w:rPr>
              <w:t>（10分）</w:t>
            </w:r>
          </w:p>
        </w:tc>
        <w:tc>
          <w:tcPr>
            <w:tcW w:w="1107" w:type="pct"/>
            <w:tcBorders>
              <w:top w:val="single" w:color="auto" w:sz="4" w:space="0"/>
              <w:left w:val="nil"/>
              <w:bottom w:val="single" w:color="auto" w:sz="4" w:space="0"/>
              <w:right w:val="single" w:color="000000" w:sz="4" w:space="0"/>
            </w:tcBorders>
            <w:shd w:val="clear" w:color="auto" w:fill="auto"/>
            <w:vAlign w:val="center"/>
          </w:tcPr>
          <w:p w14:paraId="0ADA52A7">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投诉处理满意率</w:t>
            </w:r>
          </w:p>
        </w:tc>
        <w:tc>
          <w:tcPr>
            <w:tcW w:w="858" w:type="pct"/>
            <w:tcBorders>
              <w:top w:val="single" w:color="auto" w:sz="4" w:space="0"/>
              <w:left w:val="nil"/>
              <w:bottom w:val="single" w:color="auto" w:sz="4" w:space="0"/>
              <w:right w:val="single" w:color="auto" w:sz="4" w:space="0"/>
            </w:tcBorders>
            <w:shd w:val="clear" w:color="auto" w:fill="auto"/>
            <w:vAlign w:val="center"/>
          </w:tcPr>
          <w:p w14:paraId="74A178C0">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≥85%</w:t>
            </w:r>
          </w:p>
        </w:tc>
        <w:tc>
          <w:tcPr>
            <w:tcW w:w="715" w:type="pct"/>
            <w:tcBorders>
              <w:top w:val="single" w:color="auto" w:sz="4" w:space="0"/>
              <w:left w:val="nil"/>
              <w:bottom w:val="single" w:color="auto" w:sz="4" w:space="0"/>
              <w:right w:val="single" w:color="000000" w:sz="4" w:space="0"/>
            </w:tcBorders>
            <w:shd w:val="clear" w:color="auto" w:fill="auto"/>
            <w:vAlign w:val="center"/>
          </w:tcPr>
          <w:p w14:paraId="71A264C5">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94%</w:t>
            </w:r>
          </w:p>
        </w:tc>
        <w:tc>
          <w:tcPr>
            <w:tcW w:w="669" w:type="pct"/>
            <w:tcBorders>
              <w:top w:val="nil"/>
              <w:left w:val="nil"/>
              <w:bottom w:val="single" w:color="auto" w:sz="4" w:space="0"/>
              <w:right w:val="single" w:color="auto" w:sz="4" w:space="0"/>
            </w:tcBorders>
            <w:shd w:val="clear" w:color="auto" w:fill="auto"/>
            <w:vAlign w:val="center"/>
          </w:tcPr>
          <w:p w14:paraId="7E00BFB1">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10</w:t>
            </w:r>
          </w:p>
        </w:tc>
      </w:tr>
      <w:tr w14:paraId="58B53115">
        <w:tblPrEx>
          <w:tblCellMar>
            <w:top w:w="0" w:type="dxa"/>
            <w:left w:w="108" w:type="dxa"/>
            <w:bottom w:w="0" w:type="dxa"/>
            <w:right w:w="108" w:type="dxa"/>
          </w:tblCellMar>
        </w:tblPrEx>
        <w:trPr>
          <w:trHeight w:val="465" w:hRule="atLeast"/>
        </w:trPr>
        <w:tc>
          <w:tcPr>
            <w:tcW w:w="307" w:type="pct"/>
            <w:tcBorders>
              <w:top w:val="nil"/>
              <w:left w:val="single" w:color="auto" w:sz="4" w:space="0"/>
              <w:bottom w:val="single" w:color="auto" w:sz="4" w:space="0"/>
              <w:right w:val="nil"/>
            </w:tcBorders>
            <w:shd w:val="clear" w:color="auto" w:fill="auto"/>
            <w:vAlign w:val="center"/>
          </w:tcPr>
          <w:p w14:paraId="508BE78B">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总分</w:t>
            </w:r>
          </w:p>
        </w:tc>
        <w:tc>
          <w:tcPr>
            <w:tcW w:w="4693"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223EA7B9">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97.7分</w:t>
            </w:r>
          </w:p>
        </w:tc>
      </w:tr>
      <w:tr w14:paraId="23829EC2">
        <w:tblPrEx>
          <w:tblCellMar>
            <w:top w:w="0" w:type="dxa"/>
            <w:left w:w="108" w:type="dxa"/>
            <w:bottom w:w="0" w:type="dxa"/>
            <w:right w:w="108" w:type="dxa"/>
          </w:tblCellMar>
        </w:tblPrEx>
        <w:trPr>
          <w:trHeight w:val="1062"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28DA6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偏差大或目标未完成原因分析</w:t>
            </w:r>
          </w:p>
        </w:tc>
        <w:tc>
          <w:tcPr>
            <w:tcW w:w="4219" w:type="pct"/>
            <w:gridSpan w:val="5"/>
            <w:tcBorders>
              <w:top w:val="nil"/>
              <w:left w:val="nil"/>
              <w:bottom w:val="single" w:color="auto" w:sz="4" w:space="0"/>
              <w:right w:val="single" w:color="auto" w:sz="4" w:space="0"/>
            </w:tcBorders>
            <w:shd w:val="clear" w:color="auto" w:fill="auto"/>
            <w:vAlign w:val="center"/>
          </w:tcPr>
          <w:p w14:paraId="4C4F9136">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1.绩效指标设定科学性有待提升，社区改造工程属于小型单项工程中金额占比极少的项目，质量指标中“社区改造验收合格率”无法体现整个项目的质量情况。</w:t>
            </w:r>
            <w:r>
              <w:rPr>
                <w:rFonts w:hint="eastAsia" w:ascii="仿宋" w:hAnsi="仿宋"/>
                <w:kern w:val="0"/>
                <w:sz w:val="20"/>
                <w:szCs w:val="20"/>
              </w:rPr>
              <w:br w:type="textWrapping"/>
            </w:r>
            <w:r>
              <w:rPr>
                <w:rFonts w:hint="eastAsia" w:ascii="仿宋" w:hAnsi="仿宋"/>
                <w:kern w:val="0"/>
                <w:sz w:val="20"/>
                <w:szCs w:val="20"/>
              </w:rPr>
              <w:t>2.由于体制机制等原因，缺少一支强有力的绿化执法队伍，绿化执法力量薄弱，绿色保护形势严峻，一定程度上影响了项目的可持续性。</w:t>
            </w:r>
          </w:p>
        </w:tc>
      </w:tr>
      <w:tr w14:paraId="3725FCB2">
        <w:tblPrEx>
          <w:tblCellMar>
            <w:top w:w="0" w:type="dxa"/>
            <w:left w:w="108" w:type="dxa"/>
            <w:bottom w:w="0" w:type="dxa"/>
            <w:right w:w="108" w:type="dxa"/>
          </w:tblCellMar>
        </w:tblPrEx>
        <w:trPr>
          <w:trHeight w:val="1842" w:hRule="atLeast"/>
        </w:trPr>
        <w:tc>
          <w:tcPr>
            <w:tcW w:w="7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113FA8">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改进措施及结果应用方案</w:t>
            </w:r>
          </w:p>
        </w:tc>
        <w:tc>
          <w:tcPr>
            <w:tcW w:w="4219" w:type="pct"/>
            <w:gridSpan w:val="5"/>
            <w:tcBorders>
              <w:top w:val="single" w:color="auto" w:sz="4" w:space="0"/>
              <w:left w:val="nil"/>
              <w:bottom w:val="single" w:color="auto" w:sz="4" w:space="0"/>
              <w:right w:val="single" w:color="auto" w:sz="4" w:space="0"/>
            </w:tcBorders>
            <w:shd w:val="clear" w:color="auto" w:fill="auto"/>
            <w:vAlign w:val="center"/>
          </w:tcPr>
          <w:p w14:paraId="61C3FF4C">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1.提高预算绩效指标编制水平。结合上一年度预算执行情况和本年度工作重点，合理编制绩效目标指标体系。制定预算资金使用计划和分配方案，加强指标与子项目的关联性，突出重点，兼顾整体。例如质量指标中“社区改造验收合格率”改为“项目验收合格率”，以体现整个项目的质量情况。</w:t>
            </w:r>
            <w:r>
              <w:rPr>
                <w:rFonts w:hint="eastAsia" w:ascii="仿宋" w:hAnsi="仿宋"/>
                <w:kern w:val="0"/>
                <w:sz w:val="20"/>
                <w:szCs w:val="20"/>
              </w:rPr>
              <w:br w:type="textWrapping"/>
            </w:r>
            <w:r>
              <w:rPr>
                <w:rFonts w:hint="eastAsia" w:ascii="仿宋" w:hAnsi="仿宋"/>
                <w:kern w:val="0"/>
                <w:sz w:val="20"/>
                <w:szCs w:val="20"/>
              </w:rPr>
              <w:t>2.加强对未完成项目的督促实施。一是加强对项目前期设计、施工、维护、以及后续审计等全过程监督管控，推进项目按时完成。二是进一步强化绿色保护任务，建立一支强有力的绿化执法队伍，提高群众的绿色生态保护意识。</w:t>
            </w:r>
          </w:p>
        </w:tc>
      </w:tr>
    </w:tbl>
    <w:p w14:paraId="7064E73D">
      <w:pPr>
        <w:pStyle w:val="2"/>
        <w:ind w:firstLine="640"/>
      </w:pPr>
    </w:p>
    <w:bookmarkEnd w:id="29"/>
    <w:bookmarkEnd w:id="30"/>
    <w:bookmarkEnd w:id="31"/>
    <w:bookmarkEnd w:id="32"/>
    <w:p w14:paraId="74E9174F">
      <w:pPr>
        <w:pStyle w:val="3"/>
        <w:pageBreakBefore/>
        <w:shd w:val="clear" w:color="auto" w:fill="FFFFFF" w:themeFill="background1"/>
        <w:ind w:firstLine="643"/>
        <w:rPr>
          <w:rFonts w:ascii="Times New Roman" w:hAnsi="Times New Roman" w:cs="Times New Roman"/>
        </w:rPr>
      </w:pPr>
      <w:bookmarkStart w:id="33" w:name="_Toc9411"/>
      <w:bookmarkStart w:id="34" w:name="_Toc6356"/>
      <w:bookmarkStart w:id="35" w:name="_Toc20605"/>
      <w:bookmarkStart w:id="36" w:name="_Toc14313"/>
      <w:bookmarkStart w:id="37" w:name="_Toc19524"/>
      <w:r>
        <w:rPr>
          <w:rFonts w:hint="eastAsia" w:ascii="Times New Roman" w:hAnsi="Times New Roman" w:cs="Times New Roman"/>
          <w:kern w:val="2"/>
          <w:szCs w:val="32"/>
        </w:rPr>
        <w:t>二、</w:t>
      </w:r>
      <w:r>
        <w:rPr>
          <w:rFonts w:ascii="Times New Roman" w:hAnsi="Times New Roman" w:cs="Times New Roman"/>
          <w:kern w:val="2"/>
          <w:szCs w:val="32"/>
        </w:rPr>
        <w:t>佐证材料</w:t>
      </w:r>
      <w:bookmarkEnd w:id="33"/>
      <w:bookmarkEnd w:id="34"/>
      <w:bookmarkEnd w:id="35"/>
      <w:bookmarkEnd w:id="36"/>
      <w:bookmarkEnd w:id="37"/>
    </w:p>
    <w:p w14:paraId="2D301A13">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38" w:name="_Toc2015"/>
      <w:bookmarkStart w:id="39" w:name="_Toc15156"/>
      <w:bookmarkStart w:id="40" w:name="_Toc21519"/>
      <w:bookmarkStart w:id="41" w:name="_Toc5884"/>
      <w:bookmarkStart w:id="42" w:name="_Toc25168"/>
      <w:r>
        <w:rPr>
          <w:rFonts w:hint="eastAsia" w:ascii="Times New Roman" w:hAnsi="Times New Roman" w:eastAsia="楷体" w:cs="Times New Roman"/>
        </w:rPr>
        <w:t>（一）</w:t>
      </w:r>
      <w:r>
        <w:rPr>
          <w:rFonts w:ascii="Times New Roman" w:hAnsi="Times New Roman" w:eastAsia="楷体" w:cs="Times New Roman"/>
        </w:rPr>
        <w:t>基本情况</w:t>
      </w:r>
      <w:bookmarkEnd w:id="38"/>
      <w:bookmarkEnd w:id="39"/>
      <w:bookmarkEnd w:id="40"/>
      <w:bookmarkEnd w:id="41"/>
      <w:bookmarkEnd w:id="42"/>
      <w:bookmarkStart w:id="43" w:name="_Toc7020634"/>
    </w:p>
    <w:p w14:paraId="296525CB">
      <w:pPr>
        <w:pStyle w:val="5"/>
        <w:ind w:firstLine="643"/>
      </w:pPr>
      <w:bookmarkStart w:id="44" w:name="_Toc18740"/>
      <w:bookmarkStart w:id="45" w:name="_Toc20435"/>
      <w:r>
        <w:rPr>
          <w:rFonts w:hint="eastAsia"/>
        </w:rPr>
        <w:t>1.</w:t>
      </w:r>
      <w:r>
        <w:t>项目</w:t>
      </w:r>
      <w:r>
        <w:rPr>
          <w:rFonts w:hint="eastAsia"/>
        </w:rPr>
        <w:t>立项目的</w:t>
      </w:r>
      <w:bookmarkEnd w:id="44"/>
      <w:bookmarkEnd w:id="45"/>
    </w:p>
    <w:p w14:paraId="28679CE3">
      <w:pPr>
        <w:ind w:firstLine="640"/>
      </w:pPr>
      <w:r>
        <w:rPr>
          <w:rFonts w:hint="eastAsia"/>
        </w:rPr>
        <w:t>为了加快生态园林城市建设和“双创”工作步伐，推进园林绿化管护市场化进程，全面提高我市城市园林绿化管护效施和管护水平，按照《城市绿化条例》和市园林和林业局制定的相关标准开展绿化养护、花卉栽植等工作，提高绿化景观效果，为宜居城市提供重要保障。</w:t>
      </w:r>
    </w:p>
    <w:p w14:paraId="29FA7686">
      <w:pPr>
        <w:ind w:firstLine="640"/>
      </w:pPr>
      <w:r>
        <w:rPr>
          <w:rFonts w:hint="eastAsia"/>
        </w:rPr>
        <w:t>本项目开展有利于加快武汉经济技术开发区（汉南区）的建设和管理，服务区域城市建设，同时有利于持续改善城市生态环境，为市民提供休闲场所，提升城市品质和市民工作生活质量。</w:t>
      </w:r>
    </w:p>
    <w:p w14:paraId="08A1C627">
      <w:pPr>
        <w:ind w:firstLine="640"/>
      </w:pPr>
      <w:r>
        <w:rPr>
          <w:rFonts w:hint="eastAsia"/>
        </w:rPr>
        <w:t>本项目主管部门为武汉经济技术开发区（汉南区）自然资源和规划局，实施单位为园林管理中心，项目类别为部门预算项目，项目属性为持续性项目，项目类型为常年性项目。</w:t>
      </w:r>
    </w:p>
    <w:p w14:paraId="413B86FB">
      <w:pPr>
        <w:pStyle w:val="5"/>
        <w:ind w:firstLine="643"/>
      </w:pPr>
      <w:bookmarkStart w:id="46" w:name="_Toc13283"/>
      <w:bookmarkStart w:id="47" w:name="_Toc10717"/>
      <w:r>
        <w:t>2.</w:t>
      </w:r>
      <w:r>
        <w:rPr>
          <w:rFonts w:hint="eastAsia"/>
        </w:rPr>
        <w:t>年度</w:t>
      </w:r>
      <w:r>
        <w:t>绩效目标</w:t>
      </w:r>
      <w:bookmarkEnd w:id="46"/>
      <w:bookmarkEnd w:id="47"/>
    </w:p>
    <w:p w14:paraId="23B62998">
      <w:pPr>
        <w:shd w:val="clear" w:color="auto" w:fill="FFFFFF" w:themeFill="background1"/>
        <w:ind w:firstLine="640"/>
        <w:rPr>
          <w:rFonts w:cs="Times New Roman"/>
          <w:color w:val="auto"/>
          <w:kern w:val="0"/>
          <w:szCs w:val="32"/>
        </w:rPr>
      </w:pPr>
      <w:r>
        <w:rPr>
          <w:rFonts w:hint="eastAsia" w:cs="Times New Roman"/>
          <w:color w:val="auto"/>
          <w:kern w:val="0"/>
          <w:szCs w:val="32"/>
        </w:rPr>
        <w:t>根据《2021年园林绿化维护资金绩效目标表》，本项目2021年度总目标为：按照《城市绿化条例》和市园林和林业局制定的相关标准开展绿化养护工作，提高绿化景观效果，为宜居城市提供重要保障。</w:t>
      </w:r>
    </w:p>
    <w:p w14:paraId="1E6680F7">
      <w:pPr>
        <w:shd w:val="clear" w:color="auto" w:fill="FFFFFF" w:themeFill="background1"/>
        <w:ind w:firstLine="640"/>
        <w:rPr>
          <w:rFonts w:cs="Times New Roman"/>
          <w:color w:val="auto"/>
          <w:kern w:val="0"/>
          <w:szCs w:val="32"/>
        </w:rPr>
      </w:pPr>
      <w:r>
        <w:rPr>
          <w:rFonts w:hint="eastAsia" w:cs="Times New Roman"/>
          <w:color w:val="auto"/>
          <w:kern w:val="0"/>
          <w:szCs w:val="32"/>
        </w:rPr>
        <w:t>具体绩效目标如下：</w:t>
      </w:r>
    </w:p>
    <w:p w14:paraId="5D6E47EA">
      <w:pPr>
        <w:numPr>
          <w:ilvl w:val="0"/>
          <w:numId w:val="1"/>
        </w:numPr>
        <w:shd w:val="clear" w:color="auto" w:fill="FFFFFF" w:themeFill="background1"/>
        <w:ind w:firstLine="640"/>
        <w:rPr>
          <w:rFonts w:cs="Times New Roman"/>
          <w:color w:val="auto"/>
          <w:kern w:val="0"/>
          <w:szCs w:val="32"/>
        </w:rPr>
      </w:pPr>
      <w:r>
        <w:rPr>
          <w:rFonts w:hint="eastAsia" w:cs="Times New Roman"/>
          <w:color w:val="auto"/>
          <w:kern w:val="0"/>
          <w:szCs w:val="32"/>
        </w:rPr>
        <w:t>产出目标：园林绿化资源普查完成率达到100%；园林绿化养护完成率达到100%；小型单项及花卉移植项目完成率达到100%；社区改造工程完成数量达到2个；金秋菊展完成率达到100%；项目验收合格率达到100%；树木修剪及时率达到100%。</w:t>
      </w:r>
    </w:p>
    <w:p w14:paraId="6AC9C115">
      <w:pPr>
        <w:numPr>
          <w:ilvl w:val="0"/>
          <w:numId w:val="1"/>
        </w:numPr>
        <w:shd w:val="clear" w:color="auto" w:fill="FFFFFF" w:themeFill="background1"/>
        <w:ind w:firstLine="640"/>
        <w:rPr>
          <w:rFonts w:cs="Times New Roman"/>
          <w:color w:val="auto"/>
          <w:kern w:val="0"/>
          <w:szCs w:val="32"/>
        </w:rPr>
      </w:pPr>
      <w:r>
        <w:rPr>
          <w:rFonts w:hint="eastAsia" w:cs="Times New Roman"/>
          <w:color w:val="auto"/>
          <w:kern w:val="0"/>
          <w:szCs w:val="32"/>
        </w:rPr>
        <w:t>效益目标：绿化修复提升度，有提升；园林景观美化度，有提升；病虫害危害减少度，有明显减少；可持续性影响，具有可持续。</w:t>
      </w:r>
    </w:p>
    <w:p w14:paraId="5901441B">
      <w:pPr>
        <w:shd w:val="clear" w:color="auto" w:fill="FFFFFF" w:themeFill="background1"/>
        <w:ind w:firstLine="640"/>
        <w:rPr>
          <w:rFonts w:cs="Times New Roman"/>
          <w:color w:val="auto"/>
          <w:kern w:val="0"/>
          <w:szCs w:val="32"/>
        </w:rPr>
      </w:pPr>
      <w:r>
        <w:rPr>
          <w:rFonts w:hint="eastAsia" w:cs="Times New Roman"/>
          <w:color w:val="auto"/>
          <w:kern w:val="0"/>
          <w:szCs w:val="32"/>
        </w:rPr>
        <w:t>满意度目标：投诉处理满意率≥85%。</w:t>
      </w:r>
    </w:p>
    <w:p w14:paraId="209E94DB">
      <w:pPr>
        <w:pStyle w:val="5"/>
        <w:ind w:firstLine="643"/>
      </w:pPr>
      <w:bookmarkStart w:id="48" w:name="_Toc27033"/>
      <w:bookmarkStart w:id="49" w:name="_Toc22166"/>
      <w:r>
        <w:rPr>
          <w:rFonts w:hint="eastAsia"/>
        </w:rPr>
        <w:t>3.</w:t>
      </w:r>
      <w:r>
        <w:t>项目资金情况</w:t>
      </w:r>
      <w:bookmarkEnd w:id="48"/>
      <w:bookmarkEnd w:id="49"/>
    </w:p>
    <w:p w14:paraId="7EC14F40">
      <w:pPr>
        <w:shd w:val="clear" w:color="auto" w:fill="FFFFFF" w:themeFill="background1"/>
        <w:ind w:firstLine="640"/>
        <w:rPr>
          <w:rFonts w:cs="Times New Roman"/>
          <w:color w:val="auto"/>
          <w:kern w:val="0"/>
          <w:szCs w:val="32"/>
        </w:rPr>
      </w:pPr>
      <w:r>
        <w:rPr>
          <w:rFonts w:hint="eastAsia" w:cs="Times New Roman"/>
          <w:color w:val="auto"/>
          <w:kern w:val="0"/>
          <w:szCs w:val="32"/>
        </w:rPr>
        <w:t>本项目202</w:t>
      </w:r>
      <w:r>
        <w:rPr>
          <w:rFonts w:cs="Times New Roman"/>
          <w:color w:val="auto"/>
          <w:kern w:val="0"/>
          <w:szCs w:val="32"/>
        </w:rPr>
        <w:t>1</w:t>
      </w:r>
      <w:r>
        <w:rPr>
          <w:rFonts w:hint="eastAsia" w:cs="Times New Roman"/>
          <w:color w:val="auto"/>
          <w:kern w:val="0"/>
          <w:szCs w:val="32"/>
        </w:rPr>
        <w:t>年</w:t>
      </w:r>
      <w:r>
        <w:rPr>
          <w:rFonts w:hint="eastAsia"/>
        </w:rPr>
        <w:t>预算总额为</w:t>
      </w:r>
      <w:r>
        <w:t>15803</w:t>
      </w:r>
      <w:r>
        <w:rPr>
          <w:rFonts w:hint="eastAsia"/>
        </w:rPr>
        <w:t>.</w:t>
      </w:r>
      <w:r>
        <w:t>21</w:t>
      </w:r>
      <w:r>
        <w:rPr>
          <w:rFonts w:hint="eastAsia"/>
        </w:rPr>
        <w:t>万元，</w:t>
      </w:r>
      <w:r>
        <w:rPr>
          <w:rFonts w:hint="eastAsia" w:cs="Times New Roman"/>
          <w:color w:val="auto"/>
          <w:kern w:val="0"/>
          <w:szCs w:val="32"/>
        </w:rPr>
        <w:t xml:space="preserve"> 202</w:t>
      </w:r>
      <w:r>
        <w:rPr>
          <w:rFonts w:cs="Times New Roman"/>
          <w:color w:val="auto"/>
          <w:kern w:val="0"/>
          <w:szCs w:val="32"/>
        </w:rPr>
        <w:t>1</w:t>
      </w:r>
      <w:r>
        <w:rPr>
          <w:rFonts w:hint="eastAsia" w:cs="Times New Roman"/>
          <w:color w:val="auto"/>
          <w:kern w:val="0"/>
          <w:szCs w:val="32"/>
        </w:rPr>
        <w:t>年实际支出资金1</w:t>
      </w:r>
      <w:r>
        <w:rPr>
          <w:rFonts w:cs="Times New Roman"/>
          <w:color w:val="auto"/>
          <w:kern w:val="0"/>
          <w:szCs w:val="32"/>
        </w:rPr>
        <w:t>5598</w:t>
      </w:r>
      <w:r>
        <w:rPr>
          <w:rFonts w:hint="eastAsia" w:cs="Times New Roman"/>
          <w:color w:val="auto"/>
          <w:kern w:val="0"/>
          <w:szCs w:val="32"/>
        </w:rPr>
        <w:t>.</w:t>
      </w:r>
      <w:r>
        <w:rPr>
          <w:rFonts w:cs="Times New Roman"/>
          <w:color w:val="auto"/>
          <w:kern w:val="0"/>
          <w:szCs w:val="32"/>
        </w:rPr>
        <w:t>81</w:t>
      </w:r>
      <w:r>
        <w:rPr>
          <w:rFonts w:hint="eastAsia" w:cs="Times New Roman"/>
          <w:color w:val="auto"/>
          <w:kern w:val="0"/>
          <w:szCs w:val="32"/>
        </w:rPr>
        <w:t>万元，综合预算执行率为9</w:t>
      </w:r>
      <w:r>
        <w:rPr>
          <w:rFonts w:cs="Times New Roman"/>
          <w:color w:val="auto"/>
          <w:kern w:val="0"/>
          <w:szCs w:val="32"/>
        </w:rPr>
        <w:t>8</w:t>
      </w:r>
      <w:r>
        <w:rPr>
          <w:rFonts w:hint="eastAsia" w:cs="Times New Roman"/>
          <w:color w:val="auto"/>
          <w:kern w:val="0"/>
          <w:szCs w:val="32"/>
        </w:rPr>
        <w:t>.</w:t>
      </w:r>
      <w:r>
        <w:rPr>
          <w:rFonts w:cs="Times New Roman"/>
          <w:color w:val="auto"/>
          <w:kern w:val="0"/>
          <w:szCs w:val="32"/>
        </w:rPr>
        <w:t>71</w:t>
      </w:r>
      <w:r>
        <w:rPr>
          <w:rFonts w:hint="eastAsia" w:cs="Times New Roman"/>
          <w:color w:val="auto"/>
          <w:kern w:val="0"/>
          <w:szCs w:val="32"/>
        </w:rPr>
        <w:t>%</w:t>
      </w:r>
      <w:r>
        <w:rPr>
          <w:rFonts w:cs="Times New Roman"/>
          <w:color w:val="auto"/>
          <w:kern w:val="0"/>
          <w:szCs w:val="32"/>
        </w:rPr>
        <w:t>。</w:t>
      </w:r>
      <w:r>
        <w:rPr>
          <w:rFonts w:hint="eastAsia" w:cs="Times New Roman"/>
          <w:color w:val="auto"/>
          <w:kern w:val="0"/>
          <w:szCs w:val="32"/>
        </w:rPr>
        <w:t>各子项目资金预算和使用情况详见下表：</w:t>
      </w:r>
    </w:p>
    <w:p w14:paraId="590A4535">
      <w:pPr>
        <w:shd w:val="clear" w:color="auto" w:fill="FFFFFF" w:themeFill="background1"/>
        <w:ind w:firstLine="0" w:firstLineChars="0"/>
        <w:jc w:val="center"/>
        <w:rPr>
          <w:rFonts w:cs="Times New Roman"/>
          <w:color w:val="auto"/>
          <w:kern w:val="0"/>
          <w:sz w:val="28"/>
        </w:rPr>
      </w:pPr>
      <w:bookmarkStart w:id="50" w:name="_Toc2999"/>
      <w:r>
        <w:rPr>
          <w:rFonts w:hint="eastAsia" w:cs="Times New Roman"/>
          <w:color w:val="auto"/>
          <w:kern w:val="0"/>
          <w:sz w:val="28"/>
        </w:rPr>
        <w:t>各子项目资金预算和使用情况</w:t>
      </w:r>
      <w:bookmarkEnd w:id="50"/>
    </w:p>
    <w:p w14:paraId="7A0DDEF0">
      <w:pPr>
        <w:pStyle w:val="2"/>
        <w:ind w:firstLine="480"/>
        <w:jc w:val="right"/>
        <w:rPr>
          <w:sz w:val="24"/>
          <w:szCs w:val="24"/>
        </w:rPr>
      </w:pPr>
      <w:r>
        <w:rPr>
          <w:rFonts w:hint="eastAsia"/>
          <w:sz w:val="24"/>
          <w:szCs w:val="24"/>
        </w:rPr>
        <w:t>单位：万元</w:t>
      </w:r>
    </w:p>
    <w:tbl>
      <w:tblPr>
        <w:tblStyle w:val="28"/>
        <w:tblW w:w="8028" w:type="dxa"/>
        <w:jc w:val="center"/>
        <w:tblLayout w:type="autofit"/>
        <w:tblCellMar>
          <w:top w:w="0" w:type="dxa"/>
          <w:left w:w="108" w:type="dxa"/>
          <w:bottom w:w="0" w:type="dxa"/>
          <w:right w:w="108" w:type="dxa"/>
        </w:tblCellMar>
      </w:tblPr>
      <w:tblGrid>
        <w:gridCol w:w="3176"/>
        <w:gridCol w:w="1510"/>
        <w:gridCol w:w="1660"/>
        <w:gridCol w:w="1682"/>
      </w:tblGrid>
      <w:tr w14:paraId="7B0AF1C0">
        <w:tblPrEx>
          <w:tblCellMar>
            <w:top w:w="0" w:type="dxa"/>
            <w:left w:w="108" w:type="dxa"/>
            <w:bottom w:w="0" w:type="dxa"/>
            <w:right w:w="108" w:type="dxa"/>
          </w:tblCellMar>
        </w:tblPrEx>
        <w:trPr>
          <w:trHeight w:val="252"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917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项目名称</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CB8F">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预算金额</w:t>
            </w:r>
          </w:p>
        </w:tc>
        <w:tc>
          <w:tcPr>
            <w:tcW w:w="1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2FC7">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实际执行金额</w:t>
            </w: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2A9D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预算执行率</w:t>
            </w:r>
          </w:p>
        </w:tc>
      </w:tr>
      <w:tr w14:paraId="382AE0CB">
        <w:tblPrEx>
          <w:tblCellMar>
            <w:top w:w="0" w:type="dxa"/>
            <w:left w:w="108" w:type="dxa"/>
            <w:bottom w:w="0" w:type="dxa"/>
            <w:right w:w="108" w:type="dxa"/>
          </w:tblCellMar>
        </w:tblPrEx>
        <w:trPr>
          <w:trHeight w:val="227"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3F9E">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1.绿化养护</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8DC1">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11000.00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FA9B">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11000.00</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EFD1">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99.99%</w:t>
            </w:r>
          </w:p>
        </w:tc>
      </w:tr>
      <w:tr w14:paraId="3DB135E2">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EAA9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2</w:t>
            </w:r>
            <w:r>
              <w:rPr>
                <w:rFonts w:ascii="仿宋" w:hAnsi="仿宋" w:cs="仿宋"/>
                <w:kern w:val="0"/>
                <w:sz w:val="24"/>
                <w:szCs w:val="24"/>
                <w:lang w:bidi="ar"/>
              </w:rPr>
              <w:t>.</w:t>
            </w:r>
            <w:r>
              <w:rPr>
                <w:rFonts w:hint="eastAsia" w:ascii="仿宋" w:hAnsi="仿宋" w:cs="仿宋"/>
                <w:kern w:val="0"/>
                <w:sz w:val="24"/>
                <w:szCs w:val="24"/>
                <w:lang w:bidi="ar"/>
              </w:rPr>
              <w:t>金菊秋展</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D480">
            <w:pPr>
              <w:widowControl/>
              <w:ind w:firstLine="0" w:firstLineChars="0"/>
              <w:jc w:val="center"/>
              <w:textAlignment w:val="center"/>
              <w:rPr>
                <w:rFonts w:eastAsia="宋体" w:cs="Times New Roman"/>
                <w:kern w:val="0"/>
                <w:sz w:val="22"/>
                <w:szCs w:val="22"/>
                <w:lang w:bidi="ar"/>
              </w:rPr>
            </w:pPr>
            <w:r>
              <w:rPr>
                <w:rFonts w:hint="eastAsia" w:eastAsia="宋体" w:cs="Times New Roman"/>
                <w:kern w:val="0"/>
                <w:sz w:val="22"/>
                <w:szCs w:val="22"/>
                <w:lang w:bidi="ar"/>
              </w:rPr>
              <w:t>6</w:t>
            </w:r>
            <w:r>
              <w:rPr>
                <w:rFonts w:eastAsia="宋体" w:cs="Times New Roman"/>
                <w:kern w:val="0"/>
                <w:sz w:val="22"/>
                <w:szCs w:val="22"/>
                <w:lang w:bidi="ar"/>
              </w:rPr>
              <w:t>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0453">
            <w:pPr>
              <w:widowControl/>
              <w:ind w:firstLine="0" w:firstLineChars="0"/>
              <w:jc w:val="center"/>
              <w:textAlignment w:val="center"/>
              <w:rPr>
                <w:rFonts w:eastAsia="宋体" w:cs="Times New Roman"/>
                <w:kern w:val="0"/>
                <w:sz w:val="22"/>
                <w:szCs w:val="22"/>
                <w:lang w:bidi="ar"/>
              </w:rPr>
            </w:pPr>
            <w:r>
              <w:rPr>
                <w:rFonts w:hint="eastAsia" w:eastAsia="宋体" w:cs="Times New Roman"/>
                <w:kern w:val="0"/>
                <w:sz w:val="22"/>
                <w:szCs w:val="22"/>
                <w:lang w:bidi="ar"/>
              </w:rPr>
              <w:t>6</w:t>
            </w:r>
            <w:r>
              <w:rPr>
                <w:rFonts w:eastAsia="宋体" w:cs="Times New Roman"/>
                <w:kern w:val="0"/>
                <w:sz w:val="22"/>
                <w:szCs w:val="22"/>
                <w:lang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A51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563EC2C5">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CEB9A">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3.区内绿地白蚁防治费用</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75E3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 xml:space="preserve">199.72 </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4E8F">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199.72</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9C37">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w:t>
            </w:r>
          </w:p>
        </w:tc>
      </w:tr>
      <w:tr w14:paraId="4269CDBB">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E2C6">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4.一枝黄花清除费用</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8C4A">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30.00</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BBD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30.00</w:t>
            </w:r>
          </w:p>
        </w:tc>
        <w:tc>
          <w:tcPr>
            <w:tcW w:w="1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FE3FB">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75056CCB">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64597">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5.小型单项及绿化移植</w:t>
            </w:r>
          </w:p>
        </w:tc>
        <w:tc>
          <w:tcPr>
            <w:tcW w:w="1510" w:type="dxa"/>
            <w:tcBorders>
              <w:top w:val="single" w:color="000000" w:sz="4" w:space="0"/>
              <w:left w:val="single" w:color="000000" w:sz="4" w:space="0"/>
              <w:bottom w:val="single" w:color="auto" w:sz="4" w:space="0"/>
              <w:right w:val="single" w:color="000000" w:sz="4" w:space="0"/>
            </w:tcBorders>
            <w:shd w:val="clear" w:color="auto" w:fill="auto"/>
            <w:vAlign w:val="center"/>
          </w:tcPr>
          <w:p w14:paraId="3BA8A22C">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1552.67</w:t>
            </w:r>
          </w:p>
        </w:tc>
        <w:tc>
          <w:tcPr>
            <w:tcW w:w="1660" w:type="dxa"/>
            <w:tcBorders>
              <w:top w:val="single" w:color="000000" w:sz="4" w:space="0"/>
              <w:left w:val="single" w:color="000000" w:sz="4" w:space="0"/>
              <w:bottom w:val="single" w:color="auto" w:sz="4" w:space="0"/>
              <w:right w:val="single" w:color="000000" w:sz="4" w:space="0"/>
            </w:tcBorders>
            <w:shd w:val="clear" w:color="auto" w:fill="auto"/>
            <w:vAlign w:val="center"/>
          </w:tcPr>
          <w:p w14:paraId="4F62569D">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1349.49</w:t>
            </w:r>
          </w:p>
        </w:tc>
        <w:tc>
          <w:tcPr>
            <w:tcW w:w="1682" w:type="dxa"/>
            <w:tcBorders>
              <w:top w:val="single" w:color="000000" w:sz="4" w:space="0"/>
              <w:left w:val="single" w:color="000000" w:sz="4" w:space="0"/>
              <w:bottom w:val="single" w:color="auto" w:sz="4" w:space="0"/>
              <w:right w:val="single" w:color="000000" w:sz="4" w:space="0"/>
            </w:tcBorders>
            <w:shd w:val="clear" w:color="auto" w:fill="auto"/>
            <w:vAlign w:val="center"/>
          </w:tcPr>
          <w:p w14:paraId="0AA19CB4">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86.91%</w:t>
            </w:r>
          </w:p>
        </w:tc>
      </w:tr>
      <w:tr w14:paraId="0DFE3189">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vAlign w:val="center"/>
          </w:tcPr>
          <w:p w14:paraId="6C2BABEB">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6.花卉栽植</w:t>
            </w:r>
          </w:p>
        </w:tc>
        <w:tc>
          <w:tcPr>
            <w:tcW w:w="1510" w:type="dxa"/>
            <w:tcBorders>
              <w:top w:val="single" w:color="auto" w:sz="4" w:space="0"/>
              <w:left w:val="single" w:color="auto" w:sz="4" w:space="0"/>
              <w:bottom w:val="single" w:color="auto" w:sz="4" w:space="0"/>
              <w:right w:val="single" w:color="auto" w:sz="4" w:space="0"/>
            </w:tcBorders>
            <w:shd w:val="clear" w:color="auto" w:fill="auto"/>
            <w:vAlign w:val="center"/>
          </w:tcPr>
          <w:p w14:paraId="626F4018">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2310.81</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0FABDF2">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2310.64</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0E55D5F8">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99.99%</w:t>
            </w:r>
          </w:p>
        </w:tc>
      </w:tr>
      <w:tr w14:paraId="59B00A56">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vAlign w:val="center"/>
          </w:tcPr>
          <w:p w14:paraId="6BBF0F36">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7.龙灵山公园维护费</w:t>
            </w:r>
          </w:p>
        </w:tc>
        <w:tc>
          <w:tcPr>
            <w:tcW w:w="1510" w:type="dxa"/>
            <w:tcBorders>
              <w:top w:val="single" w:color="auto" w:sz="4" w:space="0"/>
              <w:left w:val="single" w:color="auto" w:sz="4" w:space="0"/>
              <w:bottom w:val="single" w:color="auto" w:sz="4" w:space="0"/>
              <w:right w:val="single" w:color="auto" w:sz="4" w:space="0"/>
            </w:tcBorders>
            <w:shd w:val="clear" w:color="auto" w:fill="auto"/>
            <w:vAlign w:val="center"/>
          </w:tcPr>
          <w:p w14:paraId="1BB77E89">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40.00</w:t>
            </w:r>
          </w:p>
        </w:tc>
        <w:tc>
          <w:tcPr>
            <w:tcW w:w="16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7E013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40.00</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22029F90">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1A28B894">
        <w:tblPrEx>
          <w:tblCellMar>
            <w:top w:w="0" w:type="dxa"/>
            <w:left w:w="108" w:type="dxa"/>
            <w:bottom w:w="0" w:type="dxa"/>
            <w:right w:w="108" w:type="dxa"/>
          </w:tblCellMar>
        </w:tblPrEx>
        <w:trPr>
          <w:trHeight w:val="704"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vAlign w:val="center"/>
          </w:tcPr>
          <w:p w14:paraId="518979D4">
            <w:pPr>
              <w:widowControl/>
              <w:spacing w:line="300" w:lineRule="exact"/>
              <w:ind w:firstLine="0" w:firstLineChars="0"/>
              <w:jc w:val="center"/>
              <w:textAlignment w:val="center"/>
              <w:rPr>
                <w:rFonts w:ascii="仿宋" w:hAnsi="仿宋" w:cs="仿宋"/>
                <w:sz w:val="24"/>
                <w:szCs w:val="24"/>
              </w:rPr>
            </w:pPr>
            <w:r>
              <w:rPr>
                <w:rFonts w:hint="eastAsia" w:ascii="仿宋" w:hAnsi="仿宋" w:cs="仿宋"/>
                <w:kern w:val="0"/>
                <w:sz w:val="24"/>
                <w:szCs w:val="24"/>
                <w:lang w:bidi="ar"/>
              </w:rPr>
              <w:t>8.开发区（汉南区）公园绿地内驿站等配套设施维护</w:t>
            </w:r>
          </w:p>
        </w:tc>
        <w:tc>
          <w:tcPr>
            <w:tcW w:w="1510" w:type="dxa"/>
            <w:tcBorders>
              <w:top w:val="single" w:color="auto" w:sz="4" w:space="0"/>
              <w:left w:val="single" w:color="auto" w:sz="4" w:space="0"/>
              <w:bottom w:val="single" w:color="auto" w:sz="4" w:space="0"/>
              <w:right w:val="single" w:color="auto" w:sz="4" w:space="0"/>
            </w:tcBorders>
            <w:shd w:val="clear" w:color="auto" w:fill="auto"/>
            <w:vAlign w:val="center"/>
          </w:tcPr>
          <w:p w14:paraId="2213AC22">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610.00</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67BF6054">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608.97</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33DF5766">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100.00%</w:t>
            </w:r>
          </w:p>
        </w:tc>
      </w:tr>
      <w:tr w14:paraId="22D15FA8">
        <w:tblPrEx>
          <w:tblCellMar>
            <w:top w:w="0" w:type="dxa"/>
            <w:left w:w="108" w:type="dxa"/>
            <w:bottom w:w="0" w:type="dxa"/>
            <w:right w:w="108" w:type="dxa"/>
          </w:tblCellMar>
        </w:tblPrEx>
        <w:trPr>
          <w:trHeight w:val="58" w:hRule="atLeast"/>
          <w:jc w:val="center"/>
        </w:trPr>
        <w:tc>
          <w:tcPr>
            <w:tcW w:w="317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73DB50C">
            <w:pPr>
              <w:widowControl/>
              <w:spacing w:line="300" w:lineRule="exact"/>
              <w:ind w:firstLine="0" w:firstLineChars="0"/>
              <w:jc w:val="center"/>
              <w:textAlignment w:val="center"/>
              <w:rPr>
                <w:rFonts w:ascii="仿宋" w:hAnsi="仿宋" w:cs="仿宋"/>
                <w:b/>
                <w:bCs/>
                <w:sz w:val="24"/>
                <w:szCs w:val="24"/>
              </w:rPr>
            </w:pPr>
            <w:r>
              <w:rPr>
                <w:rFonts w:hint="eastAsia" w:ascii="仿宋" w:hAnsi="仿宋" w:cs="仿宋"/>
                <w:b/>
                <w:bCs/>
                <w:kern w:val="0"/>
                <w:sz w:val="24"/>
                <w:szCs w:val="24"/>
                <w:lang w:bidi="ar"/>
              </w:rPr>
              <w:t>合计</w:t>
            </w:r>
          </w:p>
        </w:tc>
        <w:tc>
          <w:tcPr>
            <w:tcW w:w="15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575871">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15803.21</w:t>
            </w:r>
          </w:p>
        </w:tc>
        <w:tc>
          <w:tcPr>
            <w:tcW w:w="16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E89AAE">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15598.81</w:t>
            </w:r>
          </w:p>
        </w:tc>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14:paraId="3082BE75">
            <w:pPr>
              <w:widowControl/>
              <w:ind w:firstLine="0" w:firstLineChars="0"/>
              <w:jc w:val="center"/>
              <w:textAlignment w:val="center"/>
              <w:rPr>
                <w:rFonts w:eastAsia="宋体" w:cs="Times New Roman"/>
                <w:kern w:val="0"/>
                <w:sz w:val="22"/>
                <w:szCs w:val="22"/>
                <w:lang w:bidi="ar"/>
              </w:rPr>
            </w:pPr>
            <w:r>
              <w:rPr>
                <w:rFonts w:eastAsia="宋体" w:cs="Times New Roman"/>
                <w:kern w:val="0"/>
                <w:sz w:val="22"/>
                <w:szCs w:val="22"/>
                <w:lang w:bidi="ar"/>
              </w:rPr>
              <w:t>98.71%</w:t>
            </w:r>
          </w:p>
        </w:tc>
      </w:tr>
      <w:bookmarkEnd w:id="43"/>
    </w:tbl>
    <w:p w14:paraId="554F6FA5">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51" w:name="_Toc24782"/>
      <w:bookmarkStart w:id="52" w:name="_Toc8397035"/>
      <w:bookmarkStart w:id="53" w:name="_Toc32177"/>
      <w:bookmarkStart w:id="54" w:name="_Toc19582"/>
      <w:bookmarkStart w:id="55" w:name="_Toc30784"/>
      <w:bookmarkStart w:id="56" w:name="_Toc13091"/>
      <w:r>
        <w:rPr>
          <w:rFonts w:hint="eastAsia" w:ascii="Times New Roman" w:hAnsi="Times New Roman" w:eastAsia="楷体" w:cs="Times New Roman"/>
        </w:rPr>
        <w:t>（二）部门自评</w:t>
      </w:r>
      <w:r>
        <w:rPr>
          <w:rFonts w:ascii="Times New Roman" w:hAnsi="Times New Roman" w:eastAsia="楷体" w:cs="Times New Roman"/>
        </w:rPr>
        <w:t>工作开展情况</w:t>
      </w:r>
      <w:bookmarkEnd w:id="51"/>
      <w:bookmarkEnd w:id="52"/>
      <w:bookmarkEnd w:id="53"/>
      <w:bookmarkEnd w:id="54"/>
      <w:bookmarkEnd w:id="55"/>
      <w:bookmarkEnd w:id="56"/>
    </w:p>
    <w:p w14:paraId="637AEEF2">
      <w:pPr>
        <w:pStyle w:val="5"/>
        <w:ind w:firstLine="643"/>
      </w:pPr>
      <w:bookmarkStart w:id="57" w:name="_Toc8397036"/>
      <w:bookmarkStart w:id="58" w:name="_Toc24485"/>
      <w:bookmarkStart w:id="59" w:name="_Toc8183"/>
      <w:r>
        <w:rPr>
          <w:rFonts w:hint="eastAsia"/>
        </w:rPr>
        <w:t>1.</w:t>
      </w:r>
      <w:r>
        <w:t>评价目的</w:t>
      </w:r>
      <w:bookmarkEnd w:id="57"/>
      <w:r>
        <w:rPr>
          <w:rFonts w:hint="eastAsia"/>
        </w:rPr>
        <w:t>、</w:t>
      </w:r>
      <w:r>
        <w:t>对象</w:t>
      </w:r>
      <w:r>
        <w:rPr>
          <w:rFonts w:hint="eastAsia"/>
        </w:rPr>
        <w:t>和范围</w:t>
      </w:r>
      <w:bookmarkEnd w:id="58"/>
      <w:bookmarkEnd w:id="59"/>
    </w:p>
    <w:p w14:paraId="7E2DAA3A">
      <w:pPr>
        <w:ind w:firstLine="640"/>
      </w:pPr>
      <w:r>
        <w:rPr>
          <w:rFonts w:hint="eastAsia"/>
        </w:rPr>
        <w:t>（1）评价目的</w:t>
      </w:r>
    </w:p>
    <w:p w14:paraId="38E87DFD">
      <w:pPr>
        <w:ind w:firstLine="640"/>
      </w:pPr>
      <w:bookmarkStart w:id="60" w:name="_Toc8397037"/>
      <w:r>
        <w:t>通过开展</w:t>
      </w:r>
      <w:r>
        <w:rPr>
          <w:rFonts w:hint="eastAsia"/>
        </w:rPr>
        <w:t>武汉经济技术开发区（汉南区）2021年度园林绿化维护资金</w:t>
      </w:r>
      <w:r>
        <w:t>绩效评价，</w:t>
      </w:r>
      <w:r>
        <w:rPr>
          <w:rFonts w:hint="eastAsia"/>
        </w:rPr>
        <w:t>评价项目支出预算绩效目标</w:t>
      </w:r>
      <w:r>
        <w:t>完成</w:t>
      </w:r>
      <w:r>
        <w:rPr>
          <w:rFonts w:hint="eastAsia"/>
        </w:rPr>
        <w:t>情况、资金使用和管理情况</w:t>
      </w:r>
      <w:r>
        <w:t>，为合理分配资金、优化支出提供依据，促进预算单位强化支出责任，规范资金管理行为，提高财政资金使用效益，</w:t>
      </w:r>
      <w:r>
        <w:rPr>
          <w:rFonts w:hint="eastAsia"/>
        </w:rPr>
        <w:t>促使</w:t>
      </w:r>
      <w:r>
        <w:t>预算单位更好</w:t>
      </w:r>
      <w:r>
        <w:rPr>
          <w:rFonts w:hint="eastAsia"/>
        </w:rPr>
        <w:t>地</w:t>
      </w:r>
      <w:r>
        <w:t>使用</w:t>
      </w:r>
      <w:r>
        <w:rPr>
          <w:rFonts w:hint="eastAsia"/>
        </w:rPr>
        <w:t>财政</w:t>
      </w:r>
      <w:r>
        <w:t>资金。</w:t>
      </w:r>
    </w:p>
    <w:p w14:paraId="4A3623C2">
      <w:pPr>
        <w:ind w:firstLine="640"/>
      </w:pPr>
      <w:r>
        <w:rPr>
          <w:rFonts w:hint="eastAsia"/>
        </w:rPr>
        <w:t>（2）评价对象和范围</w:t>
      </w:r>
    </w:p>
    <w:p w14:paraId="1A06A2F2">
      <w:pPr>
        <w:ind w:firstLine="640"/>
      </w:pPr>
      <w:r>
        <w:t>评价对象为</w:t>
      </w:r>
      <w:r>
        <w:rPr>
          <w:rFonts w:hint="eastAsia"/>
        </w:rPr>
        <w:t>武汉经济技术开发区（汉南区）2021年度园林绿化维护资金</w:t>
      </w:r>
      <w:r>
        <w:t>15,803.21</w:t>
      </w:r>
      <w:r>
        <w:rPr>
          <w:rFonts w:hint="eastAsia"/>
        </w:rPr>
        <w:t>万元。</w:t>
      </w:r>
    </w:p>
    <w:p w14:paraId="0BA5CCBF">
      <w:pPr>
        <w:ind w:firstLine="640"/>
        <w:rPr>
          <w:highlight w:val="yellow"/>
        </w:rPr>
      </w:pPr>
      <w:r>
        <w:t>评价范围包含</w:t>
      </w:r>
      <w:r>
        <w:rPr>
          <w:rFonts w:hint="eastAsia"/>
        </w:rPr>
        <w:t>资金执行、产出和效益。</w:t>
      </w:r>
    </w:p>
    <w:p w14:paraId="72AC8304">
      <w:pPr>
        <w:pStyle w:val="5"/>
        <w:ind w:firstLine="643"/>
      </w:pPr>
      <w:bookmarkStart w:id="61" w:name="_Toc6013"/>
      <w:bookmarkStart w:id="62" w:name="_Toc13854"/>
      <w:r>
        <w:rPr>
          <w:rFonts w:hint="eastAsia"/>
        </w:rPr>
        <w:t>2.评价方法</w:t>
      </w:r>
      <w:bookmarkEnd w:id="61"/>
      <w:bookmarkEnd w:id="62"/>
    </w:p>
    <w:p w14:paraId="5F2B232B">
      <w:pPr>
        <w:ind w:firstLine="640"/>
      </w:pPr>
      <w:r>
        <w:t>本项目绩效评价采用的主要评价方法为比较法、因素分析法等。</w:t>
      </w:r>
    </w:p>
    <w:p w14:paraId="14F1060F">
      <w:pPr>
        <w:ind w:firstLine="640"/>
      </w:pPr>
      <w:r>
        <w:t>比较法。是指将实施情况与绩效目标、历史情况、不同部门和地区同类支出情况进行比较的方法。</w:t>
      </w:r>
    </w:p>
    <w:p w14:paraId="7D823454">
      <w:pPr>
        <w:ind w:firstLine="640"/>
      </w:pPr>
      <w:r>
        <w:t>因素分析法。是指综合分析影响绩效目标实现、实施效果的内外部因素的方法。</w:t>
      </w:r>
    </w:p>
    <w:p w14:paraId="071E7447">
      <w:pPr>
        <w:pStyle w:val="5"/>
        <w:ind w:firstLine="643"/>
      </w:pPr>
      <w:bookmarkStart w:id="63" w:name="_Toc29042"/>
      <w:bookmarkStart w:id="64" w:name="_Toc1743"/>
      <w:r>
        <w:rPr>
          <w:rFonts w:hint="eastAsia"/>
        </w:rPr>
        <w:t>3.综合评分方法</w:t>
      </w:r>
      <w:bookmarkEnd w:id="63"/>
      <w:bookmarkEnd w:id="64"/>
    </w:p>
    <w:p w14:paraId="365F81B7">
      <w:pPr>
        <w:ind w:firstLine="640"/>
        <w:rPr>
          <w:rFonts w:cs="Times New Roman"/>
          <w:color w:val="auto"/>
          <w:kern w:val="0"/>
          <w:szCs w:val="32"/>
        </w:rPr>
      </w:pPr>
      <w:r>
        <w:t>运用上述评价方法，依据评价指标体系，采用百分制打分，</w:t>
      </w:r>
      <w:r>
        <w:rPr>
          <w:rFonts w:hint="eastAsia"/>
        </w:rPr>
        <w:t>结合各指标权重，衡量实际绩效值与评价标准值偏离程度，对不同的实现程度赋予不同分值</w:t>
      </w:r>
      <w:r>
        <w:t>。</w:t>
      </w:r>
    </w:p>
    <w:p w14:paraId="09000C9F">
      <w:pPr>
        <w:pStyle w:val="5"/>
        <w:ind w:firstLine="643"/>
      </w:pPr>
      <w:bookmarkStart w:id="65" w:name="_Toc6264"/>
      <w:bookmarkStart w:id="66" w:name="_Toc5393"/>
      <w:r>
        <w:rPr>
          <w:rFonts w:hint="eastAsia"/>
        </w:rPr>
        <w:t>4.时间安排</w:t>
      </w:r>
      <w:bookmarkEnd w:id="65"/>
      <w:bookmarkEnd w:id="66"/>
    </w:p>
    <w:p w14:paraId="2DBB141D">
      <w:pPr>
        <w:ind w:firstLine="640"/>
      </w:pPr>
      <w:r>
        <w:t>本次自评时间从2022年4月25日至2022年5月10日，历时16天。自评工作程序如下：</w:t>
      </w:r>
    </w:p>
    <w:p w14:paraId="6FDA7D62">
      <w:pPr>
        <w:ind w:firstLine="640"/>
      </w:pPr>
      <w:r>
        <w:rPr>
          <w:rFonts w:hint="eastAsia"/>
        </w:rPr>
        <w:t>（1）制定工作方案</w:t>
      </w:r>
    </w:p>
    <w:p w14:paraId="2C090EC4">
      <w:pPr>
        <w:ind w:firstLine="640"/>
      </w:pPr>
      <w:r>
        <w:rPr>
          <w:rFonts w:hint="eastAsia"/>
        </w:rPr>
        <w:t>项目自评工作方案由区自然资源和规划局会同第三方机构共同研究制订，根据部门主要负责同志要求和武汉经济技术开发区（汉南区）财政局发布的</w:t>
      </w:r>
      <w:r>
        <w:rPr>
          <w:rFonts w:hint="eastAsia"/>
          <w:szCs w:val="32"/>
        </w:rPr>
        <w:t>《关于开展2022年预算绩效评价及项目支出绩效运行监控的通知》（武经开〔202</w:t>
      </w:r>
      <w:r>
        <w:rPr>
          <w:szCs w:val="32"/>
        </w:rPr>
        <w:t>2</w:t>
      </w:r>
      <w:r>
        <w:rPr>
          <w:rFonts w:hint="eastAsia"/>
          <w:szCs w:val="32"/>
        </w:rPr>
        <w:t>〕</w:t>
      </w:r>
      <w:r>
        <w:rPr>
          <w:szCs w:val="32"/>
        </w:rPr>
        <w:t>8</w:t>
      </w:r>
      <w:r>
        <w:rPr>
          <w:rFonts w:hint="eastAsia"/>
          <w:szCs w:val="32"/>
        </w:rPr>
        <w:t>号）</w:t>
      </w:r>
      <w:r>
        <w:rPr>
          <w:rFonts w:hint="eastAsia"/>
        </w:rPr>
        <w:t>启动部门自评工作。启动项目自评工作。</w:t>
      </w:r>
    </w:p>
    <w:p w14:paraId="728839E9">
      <w:pPr>
        <w:ind w:firstLine="640"/>
      </w:pPr>
      <w:r>
        <w:rPr>
          <w:rFonts w:hint="eastAsia"/>
        </w:rPr>
        <w:t>（2）组织实施自评</w:t>
      </w:r>
    </w:p>
    <w:p w14:paraId="6F228F23">
      <w:pPr>
        <w:ind w:firstLine="640"/>
      </w:pPr>
      <w:r>
        <w:rPr>
          <w:rFonts w:hint="eastAsia"/>
        </w:rPr>
        <w:t>区自然资源和规划局会同</w:t>
      </w:r>
      <w:r>
        <w:t>第三方机构及时成立工作组，</w:t>
      </w:r>
      <w:r>
        <w:rPr>
          <w:rFonts w:hint="eastAsia"/>
        </w:rPr>
        <w:t>通过案卷研究、调研访谈等方式收集、核实数据和信息，并对这些数据和信息进行整理分析。</w:t>
      </w:r>
    </w:p>
    <w:p w14:paraId="1BDA1659">
      <w:pPr>
        <w:ind w:firstLine="640"/>
      </w:pPr>
      <w:r>
        <w:rPr>
          <w:rFonts w:hint="eastAsia"/>
        </w:rPr>
        <w:t>（3）撰写项目自评结果</w:t>
      </w:r>
    </w:p>
    <w:p w14:paraId="189805B6">
      <w:pPr>
        <w:ind w:firstLine="640"/>
      </w:pPr>
      <w:r>
        <w:rPr>
          <w:rFonts w:hint="eastAsia"/>
        </w:rPr>
        <w:t>在整理分析基础上，形成项目自评结果。</w:t>
      </w:r>
    </w:p>
    <w:p w14:paraId="1B1FE57F">
      <w:pPr>
        <w:ind w:firstLine="640"/>
      </w:pPr>
      <w:r>
        <w:rPr>
          <w:rFonts w:hint="eastAsia"/>
        </w:rPr>
        <w:t>（4）建立项目自评档案</w:t>
      </w:r>
    </w:p>
    <w:p w14:paraId="31B3EC77">
      <w:pPr>
        <w:ind w:firstLine="640"/>
      </w:pPr>
      <w:r>
        <w:rPr>
          <w:rFonts w:hint="eastAsia"/>
        </w:rPr>
        <w:t>项目自评结果按时报送相应资金管理科室并及时归档备查。</w:t>
      </w:r>
    </w:p>
    <w:bookmarkEnd w:id="60"/>
    <w:p w14:paraId="5E8354F7">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67" w:name="_Toc31889"/>
      <w:bookmarkStart w:id="68" w:name="_Toc28731"/>
      <w:bookmarkStart w:id="69" w:name="_Toc16572"/>
      <w:bookmarkStart w:id="70" w:name="_Toc16187"/>
      <w:bookmarkStart w:id="71" w:name="_Toc6163"/>
      <w:r>
        <w:rPr>
          <w:rFonts w:hint="eastAsia" w:ascii="Times New Roman" w:hAnsi="Times New Roman" w:eastAsia="楷体" w:cs="Times New Roman"/>
        </w:rPr>
        <w:t>（三）</w:t>
      </w:r>
      <w:r>
        <w:rPr>
          <w:rFonts w:ascii="Times New Roman" w:hAnsi="Times New Roman" w:eastAsia="楷体" w:cs="Times New Roman"/>
        </w:rPr>
        <w:t>绩效</w:t>
      </w:r>
      <w:r>
        <w:rPr>
          <w:rFonts w:hint="eastAsia" w:ascii="Times New Roman" w:hAnsi="Times New Roman" w:eastAsia="楷体" w:cs="Times New Roman"/>
        </w:rPr>
        <w:t>目标</w:t>
      </w:r>
      <w:r>
        <w:rPr>
          <w:rFonts w:ascii="Times New Roman" w:hAnsi="Times New Roman" w:eastAsia="楷体" w:cs="Times New Roman"/>
        </w:rPr>
        <w:t>完成情况分析</w:t>
      </w:r>
      <w:bookmarkEnd w:id="67"/>
      <w:bookmarkEnd w:id="68"/>
      <w:bookmarkEnd w:id="69"/>
      <w:bookmarkEnd w:id="70"/>
      <w:bookmarkEnd w:id="71"/>
    </w:p>
    <w:p w14:paraId="6F5F695C">
      <w:pPr>
        <w:pStyle w:val="5"/>
        <w:ind w:firstLine="643"/>
      </w:pPr>
      <w:bookmarkStart w:id="72" w:name="_Toc16689"/>
      <w:bookmarkStart w:id="73" w:name="_Toc5479"/>
      <w:r>
        <w:rPr>
          <w:rFonts w:hint="eastAsia"/>
        </w:rPr>
        <w:t>1.预算执行情况分析（满分20分，得分</w:t>
      </w:r>
      <w:r>
        <w:t>19.7</w:t>
      </w:r>
      <w:r>
        <w:rPr>
          <w:rFonts w:hint="eastAsia"/>
        </w:rPr>
        <w:t>分）</w:t>
      </w:r>
      <w:bookmarkEnd w:id="72"/>
      <w:bookmarkEnd w:id="73"/>
    </w:p>
    <w:p w14:paraId="3A59E243">
      <w:pPr>
        <w:ind w:firstLine="640"/>
      </w:pPr>
      <w:r>
        <w:rPr>
          <w:rFonts w:hint="eastAsia"/>
        </w:rPr>
        <w:t>本项目2021年预算总额为15803.21万元， 2021年实际支出资金15598.81万元，综合预算执行率为98.71%，得分19.7分。</w:t>
      </w:r>
    </w:p>
    <w:p w14:paraId="2549F74A">
      <w:pPr>
        <w:pStyle w:val="5"/>
        <w:ind w:firstLine="643"/>
      </w:pPr>
      <w:bookmarkStart w:id="74" w:name="_Toc18842"/>
      <w:bookmarkStart w:id="75" w:name="_Toc15609"/>
      <w:bookmarkStart w:id="76" w:name="_Toc406666374"/>
      <w:bookmarkStart w:id="77" w:name="_Toc406668048"/>
      <w:bookmarkStart w:id="78" w:name="_Toc387957823"/>
      <w:bookmarkStart w:id="79" w:name="_Toc361304699"/>
      <w:bookmarkStart w:id="80" w:name="_Toc17271_WPSOffice_Level2"/>
      <w:bookmarkStart w:id="81" w:name="_Toc361302036"/>
      <w:r>
        <w:rPr>
          <w:rFonts w:hint="eastAsia"/>
        </w:rPr>
        <w:t>2.绩效目标完成情况分析（满分80分，得分78分）</w:t>
      </w:r>
      <w:bookmarkEnd w:id="74"/>
      <w:bookmarkEnd w:id="75"/>
    </w:p>
    <w:p w14:paraId="21A08848">
      <w:pPr>
        <w:ind w:firstLine="640"/>
      </w:pPr>
      <w:r>
        <w:rPr>
          <w:rFonts w:hint="eastAsia"/>
        </w:rPr>
        <w:t>本项目共设置1</w:t>
      </w:r>
      <w:r>
        <w:t>2</w:t>
      </w:r>
      <w:r>
        <w:rPr>
          <w:rFonts w:hint="eastAsia"/>
        </w:rPr>
        <w:t>个绩效指标，完成了1</w:t>
      </w:r>
      <w:r>
        <w:t>1</w:t>
      </w:r>
      <w:r>
        <w:rPr>
          <w:rFonts w:hint="eastAsia"/>
        </w:rPr>
        <w:t>个，其中：产出指标6个，满分40分，得分</w:t>
      </w:r>
      <w:r>
        <w:t>40</w:t>
      </w:r>
      <w:r>
        <w:rPr>
          <w:rFonts w:hint="eastAsia"/>
        </w:rPr>
        <w:t>分；效益指标</w:t>
      </w:r>
      <w:r>
        <w:t>3</w:t>
      </w:r>
      <w:r>
        <w:rPr>
          <w:rFonts w:hint="eastAsia"/>
        </w:rPr>
        <w:t>个，满分30分，得分30分；可持续指标1个，满分5分，得分</w:t>
      </w:r>
      <w:r>
        <w:t>3</w:t>
      </w:r>
      <w:r>
        <w:rPr>
          <w:rFonts w:hint="eastAsia"/>
        </w:rPr>
        <w:t>分；满意度指标1个，满分</w:t>
      </w:r>
      <w:r>
        <w:t>5</w:t>
      </w:r>
      <w:r>
        <w:rPr>
          <w:rFonts w:hint="eastAsia"/>
        </w:rPr>
        <w:t>分，得分</w:t>
      </w:r>
      <w:r>
        <w:t>5</w:t>
      </w:r>
      <w:r>
        <w:rPr>
          <w:rFonts w:hint="eastAsia"/>
        </w:rPr>
        <w:t>分。</w:t>
      </w:r>
    </w:p>
    <w:p w14:paraId="2699070D">
      <w:pPr>
        <w:ind w:firstLine="640"/>
      </w:pPr>
      <w:r>
        <w:rPr>
          <w:rFonts w:hint="eastAsia"/>
        </w:rPr>
        <w:t>（</w:t>
      </w:r>
      <w:r>
        <w:t>1</w:t>
      </w:r>
      <w:r>
        <w:rPr>
          <w:rFonts w:hint="eastAsia"/>
        </w:rPr>
        <w:t>）产出指标完成情况分析（满分40分，得分</w:t>
      </w:r>
      <w:r>
        <w:t>40</w:t>
      </w:r>
      <w:r>
        <w:rPr>
          <w:rFonts w:hint="eastAsia"/>
        </w:rPr>
        <w:t>分）</w:t>
      </w:r>
    </w:p>
    <w:p w14:paraId="57B04FD8">
      <w:pPr>
        <w:ind w:firstLine="640"/>
      </w:pPr>
      <w:r>
        <w:rPr>
          <w:rFonts w:hint="eastAsia"/>
        </w:rPr>
        <w:t>①园林绿化资源普查完成率：</w:t>
      </w:r>
      <w:r>
        <w:t>满分</w:t>
      </w:r>
      <w:r>
        <w:rPr>
          <w:rFonts w:hint="eastAsia"/>
        </w:rPr>
        <w:t>10</w:t>
      </w:r>
      <w:r>
        <w:t>分，得分</w:t>
      </w:r>
      <w:r>
        <w:rPr>
          <w:rFonts w:hint="eastAsia"/>
        </w:rPr>
        <w:t>10</w:t>
      </w:r>
      <w:r>
        <w:t>分</w:t>
      </w:r>
    </w:p>
    <w:p w14:paraId="21F3EE4F">
      <w:pPr>
        <w:ind w:firstLine="640"/>
      </w:pPr>
      <w:r>
        <w:rPr>
          <w:rFonts w:hint="eastAsia"/>
        </w:rPr>
        <w:t>每个月召集养护单位和监理单位进行工作总结和下月部署，并且建群加强监督管理，在群里发检查通报和巡查通报，园林绿化资源普查完成率达100%。</w:t>
      </w:r>
    </w:p>
    <w:p w14:paraId="260A0233">
      <w:pPr>
        <w:ind w:firstLine="640"/>
      </w:pPr>
      <w:r>
        <w:rPr>
          <w:rFonts w:hint="eastAsia"/>
        </w:rPr>
        <w:t>②园林绿化养护完成率：</w:t>
      </w:r>
      <w:r>
        <w:t>满分</w:t>
      </w:r>
      <w:r>
        <w:rPr>
          <w:rFonts w:hint="eastAsia"/>
        </w:rPr>
        <w:t>10</w:t>
      </w:r>
      <w:r>
        <w:t>分，得分</w:t>
      </w:r>
      <w:r>
        <w:rPr>
          <w:rFonts w:hint="eastAsia"/>
        </w:rPr>
        <w:t>10</w:t>
      </w:r>
      <w:r>
        <w:t>分</w:t>
      </w:r>
    </w:p>
    <w:p w14:paraId="69032C87">
      <w:pPr>
        <w:ind w:firstLine="640"/>
      </w:pPr>
      <w:r>
        <w:rPr>
          <w:rFonts w:hint="eastAsia"/>
        </w:rPr>
        <w:t>在加强全区公共道路园林绿化养护管理工作的同时，突出重点区域和重点线路，加强公园绿地精细化养护管理。一是强化日常管理。根据季节特点和《导则》要求，加大对绿化植物的整形修剪、病虫害防治和绿化设施维护，确保植物长势和景观效果；二是做好极端天气树木清理及管护工作。为应对5月份中旬极端天气，组织绿化建设、施工、养护、监理单位共20个园林绿化抢险应急小组，每天出动抢险救灾人员850余人，工作车辆120多台，吊车、挖机等机械设备36台，修剪扶正倒树11000余株。三是坚持问题整改。针对市局第三方考核、区城管督导和自查发现的问题，及时督办养护企业进行问题整改，整改合格率达100%，养护排名在全市前列。</w:t>
      </w:r>
    </w:p>
    <w:p w14:paraId="39D01441">
      <w:pPr>
        <w:ind w:firstLine="640"/>
      </w:pPr>
      <w:r>
        <w:rPr>
          <w:rFonts w:hint="eastAsia"/>
        </w:rPr>
        <w:t>③小型单项及花卉移植项目完成率：</w:t>
      </w:r>
      <w:r>
        <w:t>满分</w:t>
      </w:r>
      <w:r>
        <w:rPr>
          <w:rFonts w:hint="eastAsia"/>
        </w:rPr>
        <w:t>10</w:t>
      </w:r>
      <w:r>
        <w:t>分，得分</w:t>
      </w:r>
      <w:r>
        <w:rPr>
          <w:rFonts w:hint="eastAsia"/>
        </w:rPr>
        <w:t>10</w:t>
      </w:r>
      <w:r>
        <w:t>分</w:t>
      </w:r>
    </w:p>
    <w:p w14:paraId="7EA5D9F3">
      <w:pPr>
        <w:pStyle w:val="2"/>
        <w:ind w:firstLine="640"/>
      </w:pPr>
      <w:r>
        <w:rPr>
          <w:rFonts w:hint="eastAsia"/>
        </w:rPr>
        <w:t>东风大道全力一路塑木铺装恢复项目、美的集团红外线道路绿化迁移项目等小型单项项目，龙灵山花坡花田花海建设项目等花卉移植项目均完成验收，工程质量达到合同及有关技术规范要求。完成率达到100%。</w:t>
      </w:r>
    </w:p>
    <w:p w14:paraId="3BA74566">
      <w:pPr>
        <w:ind w:firstLine="640"/>
      </w:pPr>
      <w:r>
        <w:rPr>
          <w:rFonts w:hint="eastAsia"/>
        </w:rPr>
        <w:t>④社区改造工程完成数：</w:t>
      </w:r>
      <w:r>
        <w:t>满分5分，得分5分</w:t>
      </w:r>
    </w:p>
    <w:p w14:paraId="1B1E394B">
      <w:pPr>
        <w:ind w:firstLine="640"/>
      </w:pPr>
      <w:r>
        <w:rPr>
          <w:rFonts w:hint="eastAsia"/>
        </w:rPr>
        <w:t>一是对湿地监控及宣教设施进行维修改造，修复城市绿肺，保护城市生态屏障；二是配合市政道路改造，推广林荫道建设，在可实施范围内尽可能增加绿量来提升道路绿化品质，完善区域内绿道成环成网，完成目标。</w:t>
      </w:r>
    </w:p>
    <w:p w14:paraId="7188A08D">
      <w:pPr>
        <w:ind w:firstLine="640"/>
      </w:pPr>
      <w:r>
        <w:rPr>
          <w:rFonts w:hint="eastAsia"/>
        </w:rPr>
        <w:t>⑤金秋菊展完成率：</w:t>
      </w:r>
      <w:r>
        <w:t>满分5分，得分5分</w:t>
      </w:r>
    </w:p>
    <w:p w14:paraId="218424CE">
      <w:pPr>
        <w:ind w:firstLine="640"/>
      </w:pPr>
      <w:r>
        <w:rPr>
          <w:rFonts w:hint="eastAsia"/>
        </w:rPr>
        <w:t>成功举办了202</w:t>
      </w:r>
      <w:r>
        <w:t>1</w:t>
      </w:r>
      <w:r>
        <w:rPr>
          <w:rFonts w:hint="eastAsia"/>
        </w:rPr>
        <w:t>年金秋菊展活动，展出菊花18万余盆，品种超1000种。金秋菊展完成率达到100%。</w:t>
      </w:r>
    </w:p>
    <w:p w14:paraId="6584B5BF">
      <w:pPr>
        <w:ind w:firstLine="640"/>
      </w:pPr>
      <w:r>
        <w:rPr>
          <w:rFonts w:hint="eastAsia" w:ascii="仿宋" w:hAnsi="仿宋"/>
        </w:rPr>
        <w:t>⑥</w:t>
      </w:r>
      <w:r>
        <w:rPr>
          <w:rFonts w:hint="eastAsia"/>
        </w:rPr>
        <w:t>项目验收合格率：</w:t>
      </w:r>
      <w:r>
        <w:t>满分5分，得分5分</w:t>
      </w:r>
    </w:p>
    <w:p w14:paraId="2F3D4218">
      <w:pPr>
        <w:ind w:firstLine="640"/>
      </w:pPr>
      <w:r>
        <w:rPr>
          <w:rFonts w:hint="eastAsia"/>
        </w:rPr>
        <w:t>各项目均及时完成并通过验收，验收有记录，验收合格率达100%。</w:t>
      </w:r>
    </w:p>
    <w:p w14:paraId="5C1D6729">
      <w:pPr>
        <w:ind w:firstLine="640"/>
      </w:pPr>
      <w:r>
        <w:rPr>
          <w:rFonts w:hint="eastAsia" w:ascii="仿宋" w:hAnsi="仿宋"/>
        </w:rPr>
        <w:t>⑦</w:t>
      </w:r>
      <w:r>
        <w:rPr>
          <w:rFonts w:hint="eastAsia"/>
        </w:rPr>
        <w:t>树木修剪及时率：</w:t>
      </w:r>
      <w:r>
        <w:t>满分</w:t>
      </w:r>
      <w:r>
        <w:rPr>
          <w:rFonts w:hint="eastAsia"/>
        </w:rPr>
        <w:t>5</w:t>
      </w:r>
      <w:r>
        <w:t>分，得分5分</w:t>
      </w:r>
    </w:p>
    <w:p w14:paraId="6F0B84EE">
      <w:pPr>
        <w:ind w:firstLine="640"/>
      </w:pPr>
      <w:r>
        <w:rPr>
          <w:rFonts w:hint="eastAsia"/>
        </w:rPr>
        <w:t>一是强化日常管理。根据季节特点和《导则》要求，加大对绿化植物的整形修剪维护，确保植物长势和景观效果；二是做好极端天气树木清理及管护工作。为应对5月份中旬极端天气，组织绿化建设、施工、养护、监理单位共20个园林绿化抢险应急小组，修剪扶正倒树11000余株，完成目标。</w:t>
      </w:r>
    </w:p>
    <w:p w14:paraId="27F79406">
      <w:pPr>
        <w:ind w:firstLine="640"/>
      </w:pPr>
      <w:r>
        <w:rPr>
          <w:rFonts w:hint="eastAsia"/>
        </w:rPr>
        <w:t>（2）效益指标完成情况分析（满分30分，得分30分）</w:t>
      </w:r>
    </w:p>
    <w:p w14:paraId="5FF683DE">
      <w:pPr>
        <w:ind w:firstLine="640"/>
      </w:pPr>
      <w:r>
        <w:rPr>
          <w:rFonts w:hint="eastAsia"/>
        </w:rPr>
        <w:t>①</w:t>
      </w:r>
      <w:r>
        <w:t>绿化修复提升度</w:t>
      </w:r>
      <w:r>
        <w:rPr>
          <w:rFonts w:hint="eastAsia"/>
        </w:rPr>
        <w:t>有提升：满分10分，得分10分</w:t>
      </w:r>
    </w:p>
    <w:p w14:paraId="0F2DC5C0">
      <w:pPr>
        <w:ind w:firstLine="640"/>
      </w:pPr>
      <w:r>
        <w:rPr>
          <w:rFonts w:hint="eastAsia"/>
        </w:rPr>
        <w:t>202</w:t>
      </w:r>
      <w:r>
        <w:t>1</w:t>
      </w:r>
      <w:r>
        <w:rPr>
          <w:rFonts w:hint="eastAsia"/>
        </w:rPr>
        <w:t>年在加强全区公共道路园林绿化养护管理工作的同时，突出重点区域和重点线路，加强公园绿地精细化养护管理，绿化修复能力得到较大提升。</w:t>
      </w:r>
    </w:p>
    <w:p w14:paraId="6A081204">
      <w:pPr>
        <w:ind w:firstLine="640"/>
      </w:pPr>
      <w:r>
        <w:rPr>
          <w:rFonts w:hint="eastAsia"/>
        </w:rPr>
        <w:t>②园林景观美化度有提升：满分10分，得分10分</w:t>
      </w:r>
    </w:p>
    <w:p w14:paraId="52A8174B">
      <w:pPr>
        <w:ind w:firstLine="640"/>
      </w:pPr>
      <w:r>
        <w:t>园林绿化养护、时令花卉种植、花田花海布置以及金秋菊展的布展，共同提升了园林景观美化度。</w:t>
      </w:r>
    </w:p>
    <w:p w14:paraId="15926B0B">
      <w:pPr>
        <w:ind w:firstLine="640"/>
      </w:pPr>
      <w:r>
        <w:rPr>
          <w:rFonts w:hint="eastAsia"/>
        </w:rPr>
        <w:t>③病虫害危害减少度：满分</w:t>
      </w:r>
      <w:r>
        <w:t>10</w:t>
      </w:r>
      <w:r>
        <w:rPr>
          <w:rFonts w:hint="eastAsia"/>
        </w:rPr>
        <w:t>分，得分</w:t>
      </w:r>
      <w:r>
        <w:t>10</w:t>
      </w:r>
      <w:r>
        <w:rPr>
          <w:rFonts w:hint="eastAsia"/>
        </w:rPr>
        <w:t>分</w:t>
      </w:r>
    </w:p>
    <w:p w14:paraId="2D2153D2">
      <w:pPr>
        <w:ind w:firstLine="640"/>
      </w:pPr>
      <w:r>
        <w:rPr>
          <w:rFonts w:hint="eastAsia"/>
        </w:rPr>
        <w:t>202</w:t>
      </w:r>
      <w:r>
        <w:t>1</w:t>
      </w:r>
      <w:r>
        <w:rPr>
          <w:rFonts w:hint="eastAsia"/>
        </w:rPr>
        <w:t>年积极开展森林病虫害防治工作，遏制松材线虫病等重大有害生物的疫情扩散。2021年共清除病枯死松树3100株，挂设诱捕监测点74个，防治松褐天牛1.2万亩次，检疫巡查85家次；完成青山、横山等处1500亩白蚁防治工作；防治红火蚁巢594个。综上，</w:t>
      </w:r>
      <w:r>
        <w:t>病虫害危害</w:t>
      </w:r>
      <w:r>
        <w:rPr>
          <w:rFonts w:hint="eastAsia"/>
        </w:rPr>
        <w:t>有</w:t>
      </w:r>
      <w:r>
        <w:t>明显减少。</w:t>
      </w:r>
    </w:p>
    <w:p w14:paraId="5E150720">
      <w:pPr>
        <w:ind w:firstLine="640"/>
      </w:pPr>
      <w:r>
        <w:rPr>
          <w:rFonts w:hint="eastAsia"/>
        </w:rPr>
        <w:t>（</w:t>
      </w:r>
      <w:r>
        <w:t>3</w:t>
      </w:r>
      <w:r>
        <w:rPr>
          <w:rFonts w:hint="eastAsia"/>
        </w:rPr>
        <w:t>）可持续性影响指标完成情况分析（满分</w:t>
      </w:r>
      <w:r>
        <w:t>5</w:t>
      </w:r>
      <w:r>
        <w:rPr>
          <w:rFonts w:hint="eastAsia"/>
        </w:rPr>
        <w:t>分，得分3分）</w:t>
      </w:r>
    </w:p>
    <w:p w14:paraId="054732F9">
      <w:pPr>
        <w:ind w:firstLine="640"/>
      </w:pPr>
      <w:r>
        <w:rPr>
          <w:rFonts w:hint="eastAsia"/>
        </w:rPr>
        <w:t>对小型单项的维修，不但减少了安全隐患，而且提高了市民的满意度；绿化养护和花卉栽植对增绿提质有可持续影响。由于体制机制等原因，缺少一支强有力的绿化执法队伍，绿色保护任务繁重，能力较弱，侵绿、毁绿现象时有发生；群众绿色生态保护意识、“红线意识”不强，突破绿色底线搞开发建设，生态“红线”时有突破，绿色保护形势依然严峻。</w:t>
      </w:r>
    </w:p>
    <w:p w14:paraId="177B3820">
      <w:pPr>
        <w:ind w:firstLine="640"/>
      </w:pPr>
      <w:r>
        <w:rPr>
          <w:rFonts w:hint="eastAsia"/>
        </w:rPr>
        <w:t>（</w:t>
      </w:r>
      <w:r>
        <w:t>4</w:t>
      </w:r>
      <w:r>
        <w:rPr>
          <w:rFonts w:hint="eastAsia"/>
        </w:rPr>
        <w:t>）满意度指标完成情况分析（满分</w:t>
      </w:r>
      <w:r>
        <w:t>5</w:t>
      </w:r>
      <w:r>
        <w:rPr>
          <w:rFonts w:hint="eastAsia"/>
        </w:rPr>
        <w:t>分，得分</w:t>
      </w:r>
      <w:r>
        <w:t>5</w:t>
      </w:r>
      <w:r>
        <w:rPr>
          <w:rFonts w:hint="eastAsia"/>
        </w:rPr>
        <w:t>分）</w:t>
      </w:r>
    </w:p>
    <w:p w14:paraId="6D24E9E8">
      <w:pPr>
        <w:ind w:firstLine="640"/>
        <w:rPr>
          <w:rFonts w:cs="Times New Roman"/>
          <w:color w:val="auto"/>
          <w:kern w:val="0"/>
          <w:szCs w:val="32"/>
        </w:rPr>
      </w:pPr>
      <w:r>
        <w:rPr>
          <w:rFonts w:hint="eastAsia"/>
        </w:rPr>
        <w:t>2021年园林管理中心在市长热线、区长热线和城市留言板三个平台中共接件701件，另有园林110联动13件，阳光信访2件。合计716件，其中不满意件40件，投诉处理满意率94.4%，完成目标。</w:t>
      </w:r>
      <w:bookmarkEnd w:id="76"/>
      <w:bookmarkEnd w:id="77"/>
      <w:bookmarkEnd w:id="78"/>
      <w:bookmarkEnd w:id="79"/>
      <w:bookmarkEnd w:id="80"/>
      <w:bookmarkEnd w:id="81"/>
      <w:bookmarkStart w:id="82" w:name="_Toc1551"/>
    </w:p>
    <w:p w14:paraId="3C2E51A8">
      <w:pPr>
        <w:pStyle w:val="4"/>
        <w:shd w:val="clear" w:color="auto" w:fill="FFFFFF" w:themeFill="background1"/>
        <w:spacing w:before="0" w:after="0" w:line="560" w:lineRule="exact"/>
        <w:ind w:firstLine="643"/>
        <w:contextualSpacing/>
        <w:jc w:val="left"/>
        <w:rPr>
          <w:rFonts w:ascii="Times New Roman" w:hAnsi="Times New Roman" w:eastAsia="楷体" w:cs="Times New Roman"/>
          <w:highlight w:val="yellow"/>
        </w:rPr>
      </w:pPr>
      <w:bookmarkStart w:id="83" w:name="_Toc10960"/>
      <w:bookmarkStart w:id="84" w:name="_Toc10988"/>
      <w:bookmarkStart w:id="85" w:name="_Toc14821"/>
      <w:bookmarkStart w:id="86" w:name="_Toc22377"/>
      <w:r>
        <w:rPr>
          <w:rFonts w:hint="eastAsia" w:ascii="Times New Roman" w:hAnsi="Times New Roman" w:eastAsia="楷体" w:cs="Times New Roman"/>
        </w:rPr>
        <w:t>（四）</w:t>
      </w:r>
      <w:r>
        <w:rPr>
          <w:rFonts w:ascii="Times New Roman" w:hAnsi="Times New Roman" w:eastAsia="楷体" w:cs="Times New Roman"/>
        </w:rPr>
        <w:t>上年度</w:t>
      </w:r>
      <w:r>
        <w:rPr>
          <w:rFonts w:hint="eastAsia" w:ascii="Times New Roman" w:hAnsi="Times New Roman" w:eastAsia="楷体" w:cs="Times New Roman"/>
        </w:rPr>
        <w:t>部门自评</w:t>
      </w:r>
      <w:r>
        <w:rPr>
          <w:rFonts w:ascii="Times New Roman" w:hAnsi="Times New Roman" w:eastAsia="楷体" w:cs="Times New Roman"/>
        </w:rPr>
        <w:t>结果应用情况</w:t>
      </w:r>
      <w:bookmarkEnd w:id="82"/>
      <w:bookmarkEnd w:id="83"/>
      <w:bookmarkEnd w:id="84"/>
      <w:bookmarkEnd w:id="85"/>
      <w:bookmarkEnd w:id="86"/>
    </w:p>
    <w:p w14:paraId="57FF74EB">
      <w:pPr>
        <w:shd w:val="clear" w:color="auto" w:fill="FFFFFF" w:themeFill="background1"/>
        <w:ind w:firstLine="640"/>
        <w:rPr>
          <w:rFonts w:cs="Times New Roman"/>
          <w:color w:val="auto"/>
          <w:kern w:val="0"/>
          <w:szCs w:val="32"/>
        </w:rPr>
      </w:pPr>
      <w:r>
        <w:rPr>
          <w:rFonts w:hint="eastAsia" w:cs="Times New Roman"/>
          <w:color w:val="auto"/>
          <w:kern w:val="0"/>
          <w:szCs w:val="32"/>
        </w:rPr>
        <w:t>2021年强化了日常管理，在加强全区公共道路园林绿化养护管理工作的同时，突出重点区域和重点线路，加强了公园绿地精细化养护管理。</w:t>
      </w:r>
    </w:p>
    <w:p w14:paraId="7E3541DF">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87" w:name="_Toc24560"/>
      <w:bookmarkStart w:id="88" w:name="_Toc17717"/>
      <w:bookmarkStart w:id="89" w:name="_Toc21534"/>
      <w:bookmarkStart w:id="90" w:name="_Toc14383"/>
      <w:r>
        <w:rPr>
          <w:rFonts w:hint="eastAsia" w:ascii="Times New Roman" w:hAnsi="Times New Roman" w:eastAsia="楷体" w:cs="Times New Roman"/>
        </w:rPr>
        <w:t>（五）其他佐证材料</w:t>
      </w:r>
      <w:bookmarkEnd w:id="87"/>
      <w:bookmarkEnd w:id="88"/>
      <w:bookmarkEnd w:id="89"/>
      <w:bookmarkEnd w:id="90"/>
    </w:p>
    <w:p w14:paraId="5C2CF46E">
      <w:pPr>
        <w:shd w:val="clear" w:color="auto" w:fill="FFFFFF" w:themeFill="background1"/>
        <w:ind w:firstLine="640"/>
        <w:rPr>
          <w:rFonts w:cs="Times New Roman"/>
          <w:color w:val="auto"/>
          <w:kern w:val="0"/>
          <w:szCs w:val="32"/>
        </w:rPr>
      </w:pPr>
      <w:r>
        <w:rPr>
          <w:rFonts w:hint="eastAsia" w:cs="Times New Roman"/>
          <w:color w:val="auto"/>
          <w:kern w:val="0"/>
          <w:szCs w:val="32"/>
        </w:rPr>
        <w:t>无。</w:t>
      </w:r>
    </w:p>
    <w:p w14:paraId="43AA19DF">
      <w:pPr>
        <w:pStyle w:val="2"/>
        <w:ind w:firstLine="640"/>
      </w:pPr>
    </w:p>
    <w:p w14:paraId="6FAF47CA">
      <w:pPr>
        <w:shd w:val="clear" w:color="auto" w:fill="FFFFFF" w:themeFill="background1"/>
        <w:ind w:firstLine="640"/>
        <w:jc w:val="right"/>
        <w:rPr>
          <w:rFonts w:cs="Times New Roman"/>
          <w:bCs/>
          <w:color w:val="auto"/>
          <w:szCs w:val="32"/>
        </w:rPr>
      </w:pPr>
      <w:bookmarkStart w:id="91" w:name="_Toc32555"/>
      <w:bookmarkStart w:id="92" w:name="_Toc32181"/>
      <w:bookmarkStart w:id="93" w:name="_Toc20783"/>
      <w:r>
        <w:rPr>
          <w:rFonts w:hint="eastAsia" w:cs="Times New Roman"/>
          <w:bCs/>
          <w:color w:val="auto"/>
          <w:szCs w:val="32"/>
        </w:rPr>
        <w:t>武汉经济技术开发区（汉南区）</w:t>
      </w:r>
      <w:bookmarkEnd w:id="91"/>
      <w:bookmarkEnd w:id="92"/>
      <w:bookmarkEnd w:id="93"/>
      <w:bookmarkStart w:id="94" w:name="_Toc1992"/>
      <w:bookmarkStart w:id="95" w:name="_Toc18199"/>
      <w:bookmarkStart w:id="96" w:name="_Toc13029"/>
      <w:r>
        <w:rPr>
          <w:rFonts w:hint="eastAsia" w:cs="Times New Roman"/>
          <w:bCs/>
          <w:color w:val="auto"/>
          <w:szCs w:val="32"/>
        </w:rPr>
        <w:t>园林管理中心</w:t>
      </w:r>
      <w:bookmarkEnd w:id="94"/>
      <w:bookmarkEnd w:id="95"/>
      <w:bookmarkEnd w:id="96"/>
    </w:p>
    <w:p w14:paraId="32621109">
      <w:pPr>
        <w:shd w:val="clear" w:color="auto" w:fill="FFFFFF" w:themeFill="background1"/>
        <w:ind w:firstLine="4800" w:firstLineChars="1500"/>
        <w:jc w:val="right"/>
        <w:outlineLvl w:val="1"/>
        <w:rPr>
          <w:color w:val="auto"/>
        </w:rPr>
      </w:pPr>
      <w:bookmarkStart w:id="97" w:name="_Toc27968"/>
      <w:bookmarkStart w:id="98" w:name="_Toc2569"/>
      <w:bookmarkStart w:id="99" w:name="_Toc6034"/>
      <w:r>
        <w:rPr>
          <w:rFonts w:cs="Times New Roman"/>
          <w:bCs/>
          <w:color w:val="auto"/>
          <w:szCs w:val="32"/>
        </w:rPr>
        <w:t>2022年5月10日</w:t>
      </w:r>
      <w:bookmarkEnd w:id="97"/>
      <w:bookmarkEnd w:id="98"/>
      <w:bookmarkEnd w:id="99"/>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1134" w:footer="1134" w:gutter="0"/>
      <w:pgNumType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602295"/>
      <w:docPartObj>
        <w:docPartGallery w:val="AutoText"/>
      </w:docPartObj>
    </w:sdtPr>
    <w:sdtContent>
      <w:p w14:paraId="23EBD46A">
        <w:pPr>
          <w:pStyle w:val="16"/>
          <w:ind w:firstLine="360"/>
          <w:jc w:val="center"/>
        </w:pPr>
        <w:r>
          <w:fldChar w:fldCharType="begin"/>
        </w:r>
        <w:r>
          <w:instrText xml:space="preserve">PAGE   \* MERGEFORMAT</w:instrText>
        </w:r>
        <w:r>
          <w:fldChar w:fldCharType="separate"/>
        </w:r>
        <w:r>
          <w:rPr>
            <w:lang w:val="zh-CN"/>
          </w:rPr>
          <w:t>2</w:t>
        </w:r>
        <w:r>
          <w:fldChar w:fldCharType="end"/>
        </w:r>
      </w:p>
    </w:sdtContent>
  </w:sdt>
  <w:p w14:paraId="3221E949">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C91DB">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9C79B">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9BBF2">
    <w:pPr>
      <w:pStyle w:val="17"/>
      <w:pBdr>
        <w:bottom w:val="none" w:color="auto" w:sz="0" w:space="1"/>
      </w:pBdr>
      <w:ind w:firstLine="361"/>
      <w:jc w:val="right"/>
      <w:rPr>
        <w:rFonts w:ascii="仿宋_GB2312"/>
        <w:b/>
        <w:bCs/>
        <w:color w:val="auto"/>
        <w:kern w:val="0"/>
        <w:szCs w:val="21"/>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F2E91">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78465">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1A77D4"/>
    <w:multiLevelType w:val="singleLevel"/>
    <w:tmpl w:val="E71A77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00172A27"/>
    <w:rsid w:val="00000BCE"/>
    <w:rsid w:val="0000235E"/>
    <w:rsid w:val="00005ACA"/>
    <w:rsid w:val="00041573"/>
    <w:rsid w:val="00042F0E"/>
    <w:rsid w:val="0004520B"/>
    <w:rsid w:val="00045A13"/>
    <w:rsid w:val="000469E9"/>
    <w:rsid w:val="00057DB9"/>
    <w:rsid w:val="00063B28"/>
    <w:rsid w:val="000776B3"/>
    <w:rsid w:val="00082095"/>
    <w:rsid w:val="00090B91"/>
    <w:rsid w:val="00097D86"/>
    <w:rsid w:val="000A3161"/>
    <w:rsid w:val="000C740B"/>
    <w:rsid w:val="000C7EF3"/>
    <w:rsid w:val="000D0C9C"/>
    <w:rsid w:val="000D16ED"/>
    <w:rsid w:val="000D345F"/>
    <w:rsid w:val="000E3B94"/>
    <w:rsid w:val="000E4C5F"/>
    <w:rsid w:val="000F00A1"/>
    <w:rsid w:val="00100ED5"/>
    <w:rsid w:val="001056B5"/>
    <w:rsid w:val="00105BB0"/>
    <w:rsid w:val="0010757C"/>
    <w:rsid w:val="00112904"/>
    <w:rsid w:val="0011382C"/>
    <w:rsid w:val="00113DB3"/>
    <w:rsid w:val="0012463E"/>
    <w:rsid w:val="00137496"/>
    <w:rsid w:val="00137FB6"/>
    <w:rsid w:val="00157776"/>
    <w:rsid w:val="00157D03"/>
    <w:rsid w:val="00160436"/>
    <w:rsid w:val="0016503E"/>
    <w:rsid w:val="0016756C"/>
    <w:rsid w:val="00172A27"/>
    <w:rsid w:val="00175DBC"/>
    <w:rsid w:val="001776F1"/>
    <w:rsid w:val="00183400"/>
    <w:rsid w:val="00186A63"/>
    <w:rsid w:val="00190AB0"/>
    <w:rsid w:val="00192AE2"/>
    <w:rsid w:val="001935A2"/>
    <w:rsid w:val="00197D40"/>
    <w:rsid w:val="001A7916"/>
    <w:rsid w:val="001B4692"/>
    <w:rsid w:val="001B4A5E"/>
    <w:rsid w:val="001C2DB0"/>
    <w:rsid w:val="001C6082"/>
    <w:rsid w:val="001D0B01"/>
    <w:rsid w:val="001E4D34"/>
    <w:rsid w:val="001E6002"/>
    <w:rsid w:val="001F111C"/>
    <w:rsid w:val="001F2A79"/>
    <w:rsid w:val="001F40C7"/>
    <w:rsid w:val="001F6798"/>
    <w:rsid w:val="00202C21"/>
    <w:rsid w:val="002056EC"/>
    <w:rsid w:val="00205DC3"/>
    <w:rsid w:val="00207DFA"/>
    <w:rsid w:val="00210803"/>
    <w:rsid w:val="00213964"/>
    <w:rsid w:val="00215AC2"/>
    <w:rsid w:val="00216E7E"/>
    <w:rsid w:val="002222F3"/>
    <w:rsid w:val="0022638E"/>
    <w:rsid w:val="00242223"/>
    <w:rsid w:val="00242BDA"/>
    <w:rsid w:val="002447B8"/>
    <w:rsid w:val="00253BC9"/>
    <w:rsid w:val="00274644"/>
    <w:rsid w:val="00277235"/>
    <w:rsid w:val="00281FE0"/>
    <w:rsid w:val="00292E9C"/>
    <w:rsid w:val="0029370A"/>
    <w:rsid w:val="00297D4D"/>
    <w:rsid w:val="002A41AD"/>
    <w:rsid w:val="002A461B"/>
    <w:rsid w:val="002A76C8"/>
    <w:rsid w:val="002B54B8"/>
    <w:rsid w:val="002B78B4"/>
    <w:rsid w:val="002C400D"/>
    <w:rsid w:val="002C70BD"/>
    <w:rsid w:val="002D141B"/>
    <w:rsid w:val="002E5C09"/>
    <w:rsid w:val="002E63B8"/>
    <w:rsid w:val="002F115A"/>
    <w:rsid w:val="002F2D56"/>
    <w:rsid w:val="002F43A4"/>
    <w:rsid w:val="002F52EC"/>
    <w:rsid w:val="00301DD5"/>
    <w:rsid w:val="00307440"/>
    <w:rsid w:val="003121C1"/>
    <w:rsid w:val="00313CCC"/>
    <w:rsid w:val="0031733A"/>
    <w:rsid w:val="003257A1"/>
    <w:rsid w:val="00333AF8"/>
    <w:rsid w:val="0034643F"/>
    <w:rsid w:val="00347CB6"/>
    <w:rsid w:val="00350E53"/>
    <w:rsid w:val="00363C22"/>
    <w:rsid w:val="0037112F"/>
    <w:rsid w:val="00376564"/>
    <w:rsid w:val="0037710D"/>
    <w:rsid w:val="003A2520"/>
    <w:rsid w:val="003A509A"/>
    <w:rsid w:val="003A6643"/>
    <w:rsid w:val="003A794C"/>
    <w:rsid w:val="003B32F5"/>
    <w:rsid w:val="003B7807"/>
    <w:rsid w:val="003C3CD9"/>
    <w:rsid w:val="003C7E0D"/>
    <w:rsid w:val="003D0D08"/>
    <w:rsid w:val="003D5609"/>
    <w:rsid w:val="003D63FE"/>
    <w:rsid w:val="003D7415"/>
    <w:rsid w:val="003E4867"/>
    <w:rsid w:val="003F4432"/>
    <w:rsid w:val="003F52E5"/>
    <w:rsid w:val="0040029B"/>
    <w:rsid w:val="00401F6B"/>
    <w:rsid w:val="004116EE"/>
    <w:rsid w:val="00413859"/>
    <w:rsid w:val="00416A95"/>
    <w:rsid w:val="004214BF"/>
    <w:rsid w:val="0042449A"/>
    <w:rsid w:val="00427690"/>
    <w:rsid w:val="00432D6A"/>
    <w:rsid w:val="00433332"/>
    <w:rsid w:val="00434321"/>
    <w:rsid w:val="00437591"/>
    <w:rsid w:val="0044098A"/>
    <w:rsid w:val="00442196"/>
    <w:rsid w:val="00442525"/>
    <w:rsid w:val="0044364E"/>
    <w:rsid w:val="00447202"/>
    <w:rsid w:val="004479C4"/>
    <w:rsid w:val="0045701F"/>
    <w:rsid w:val="00457393"/>
    <w:rsid w:val="00460E20"/>
    <w:rsid w:val="00461170"/>
    <w:rsid w:val="00463143"/>
    <w:rsid w:val="00472FE1"/>
    <w:rsid w:val="00475FC0"/>
    <w:rsid w:val="00477B52"/>
    <w:rsid w:val="00486521"/>
    <w:rsid w:val="00491C41"/>
    <w:rsid w:val="00495268"/>
    <w:rsid w:val="004A3989"/>
    <w:rsid w:val="004A72D0"/>
    <w:rsid w:val="004B46C2"/>
    <w:rsid w:val="004B52B8"/>
    <w:rsid w:val="004B67C0"/>
    <w:rsid w:val="004B7F17"/>
    <w:rsid w:val="004D01EA"/>
    <w:rsid w:val="004D04CA"/>
    <w:rsid w:val="004D05A4"/>
    <w:rsid w:val="004D05BF"/>
    <w:rsid w:val="004D139B"/>
    <w:rsid w:val="004D37E1"/>
    <w:rsid w:val="004D39EC"/>
    <w:rsid w:val="004D4CE8"/>
    <w:rsid w:val="004E0CC3"/>
    <w:rsid w:val="004E2C3E"/>
    <w:rsid w:val="004E738A"/>
    <w:rsid w:val="004F1970"/>
    <w:rsid w:val="005012C1"/>
    <w:rsid w:val="0050166A"/>
    <w:rsid w:val="005018B1"/>
    <w:rsid w:val="00501A00"/>
    <w:rsid w:val="00505FAA"/>
    <w:rsid w:val="005124ED"/>
    <w:rsid w:val="005143EF"/>
    <w:rsid w:val="005211A6"/>
    <w:rsid w:val="00521539"/>
    <w:rsid w:val="00523725"/>
    <w:rsid w:val="00524D1B"/>
    <w:rsid w:val="00525D9F"/>
    <w:rsid w:val="005317BB"/>
    <w:rsid w:val="005361CA"/>
    <w:rsid w:val="005364A0"/>
    <w:rsid w:val="005479F7"/>
    <w:rsid w:val="00547A7F"/>
    <w:rsid w:val="005537B6"/>
    <w:rsid w:val="00560931"/>
    <w:rsid w:val="00561BB7"/>
    <w:rsid w:val="0056241D"/>
    <w:rsid w:val="00562647"/>
    <w:rsid w:val="00563387"/>
    <w:rsid w:val="00566DBF"/>
    <w:rsid w:val="005704EF"/>
    <w:rsid w:val="00574F25"/>
    <w:rsid w:val="0057621F"/>
    <w:rsid w:val="0057709B"/>
    <w:rsid w:val="00584F40"/>
    <w:rsid w:val="00585B6E"/>
    <w:rsid w:val="00591506"/>
    <w:rsid w:val="00591650"/>
    <w:rsid w:val="005A0F51"/>
    <w:rsid w:val="005B1BB4"/>
    <w:rsid w:val="005B5CC9"/>
    <w:rsid w:val="005B7EF8"/>
    <w:rsid w:val="005D2B03"/>
    <w:rsid w:val="005D5475"/>
    <w:rsid w:val="005D7D7D"/>
    <w:rsid w:val="005E3F49"/>
    <w:rsid w:val="005F0BEB"/>
    <w:rsid w:val="005F194D"/>
    <w:rsid w:val="005F3191"/>
    <w:rsid w:val="005F5F2E"/>
    <w:rsid w:val="005F684E"/>
    <w:rsid w:val="005F77AC"/>
    <w:rsid w:val="00603BCB"/>
    <w:rsid w:val="00606D4C"/>
    <w:rsid w:val="00607105"/>
    <w:rsid w:val="00610934"/>
    <w:rsid w:val="00612293"/>
    <w:rsid w:val="0063570D"/>
    <w:rsid w:val="006363F3"/>
    <w:rsid w:val="00642CE6"/>
    <w:rsid w:val="00643314"/>
    <w:rsid w:val="0065483E"/>
    <w:rsid w:val="006553BE"/>
    <w:rsid w:val="0066309B"/>
    <w:rsid w:val="0066674C"/>
    <w:rsid w:val="0067084C"/>
    <w:rsid w:val="006721F0"/>
    <w:rsid w:val="006735E6"/>
    <w:rsid w:val="00681307"/>
    <w:rsid w:val="006835DD"/>
    <w:rsid w:val="006841B6"/>
    <w:rsid w:val="006868DB"/>
    <w:rsid w:val="00695974"/>
    <w:rsid w:val="006A077A"/>
    <w:rsid w:val="006A0F96"/>
    <w:rsid w:val="006A4D2C"/>
    <w:rsid w:val="006B0900"/>
    <w:rsid w:val="006B32E0"/>
    <w:rsid w:val="006C1A51"/>
    <w:rsid w:val="006D0151"/>
    <w:rsid w:val="006D1AA1"/>
    <w:rsid w:val="006E2E4B"/>
    <w:rsid w:val="006E6118"/>
    <w:rsid w:val="006F0B86"/>
    <w:rsid w:val="006F1735"/>
    <w:rsid w:val="006F563D"/>
    <w:rsid w:val="0070143B"/>
    <w:rsid w:val="007140F3"/>
    <w:rsid w:val="00723325"/>
    <w:rsid w:val="00726383"/>
    <w:rsid w:val="007270A2"/>
    <w:rsid w:val="0072752E"/>
    <w:rsid w:val="00727DCF"/>
    <w:rsid w:val="00734427"/>
    <w:rsid w:val="00735A4A"/>
    <w:rsid w:val="00737E45"/>
    <w:rsid w:val="00740F51"/>
    <w:rsid w:val="00742B46"/>
    <w:rsid w:val="007553EB"/>
    <w:rsid w:val="007562F3"/>
    <w:rsid w:val="007634B9"/>
    <w:rsid w:val="00767E21"/>
    <w:rsid w:val="00775F0E"/>
    <w:rsid w:val="00776923"/>
    <w:rsid w:val="00777B26"/>
    <w:rsid w:val="007803EF"/>
    <w:rsid w:val="0078071F"/>
    <w:rsid w:val="00780C86"/>
    <w:rsid w:val="007816BD"/>
    <w:rsid w:val="007839C9"/>
    <w:rsid w:val="00785608"/>
    <w:rsid w:val="007859AE"/>
    <w:rsid w:val="0078607B"/>
    <w:rsid w:val="0079042A"/>
    <w:rsid w:val="00790EA6"/>
    <w:rsid w:val="007919FC"/>
    <w:rsid w:val="00794467"/>
    <w:rsid w:val="007A046C"/>
    <w:rsid w:val="007A27B6"/>
    <w:rsid w:val="007A2A85"/>
    <w:rsid w:val="007A77C9"/>
    <w:rsid w:val="007B11C9"/>
    <w:rsid w:val="007B2EEA"/>
    <w:rsid w:val="007B331C"/>
    <w:rsid w:val="007B6E85"/>
    <w:rsid w:val="007C0EE6"/>
    <w:rsid w:val="007C3F80"/>
    <w:rsid w:val="007C5737"/>
    <w:rsid w:val="007C7C58"/>
    <w:rsid w:val="007D084E"/>
    <w:rsid w:val="007D4314"/>
    <w:rsid w:val="007D7C3B"/>
    <w:rsid w:val="007D7C80"/>
    <w:rsid w:val="007E418B"/>
    <w:rsid w:val="007F1D75"/>
    <w:rsid w:val="007F789E"/>
    <w:rsid w:val="008029EF"/>
    <w:rsid w:val="00810E03"/>
    <w:rsid w:val="0081232B"/>
    <w:rsid w:val="00812B7F"/>
    <w:rsid w:val="0082075E"/>
    <w:rsid w:val="0083645F"/>
    <w:rsid w:val="00843C0A"/>
    <w:rsid w:val="008472BD"/>
    <w:rsid w:val="008502E4"/>
    <w:rsid w:val="00853E10"/>
    <w:rsid w:val="008549A9"/>
    <w:rsid w:val="00856928"/>
    <w:rsid w:val="00856EF9"/>
    <w:rsid w:val="00857F84"/>
    <w:rsid w:val="008609A6"/>
    <w:rsid w:val="00861E3F"/>
    <w:rsid w:val="0086496D"/>
    <w:rsid w:val="00864C95"/>
    <w:rsid w:val="00865A2B"/>
    <w:rsid w:val="00870A23"/>
    <w:rsid w:val="0087643A"/>
    <w:rsid w:val="0087757B"/>
    <w:rsid w:val="00877E54"/>
    <w:rsid w:val="008836B1"/>
    <w:rsid w:val="00883946"/>
    <w:rsid w:val="008873D3"/>
    <w:rsid w:val="008A0F3D"/>
    <w:rsid w:val="008A12BD"/>
    <w:rsid w:val="008A552E"/>
    <w:rsid w:val="008B112E"/>
    <w:rsid w:val="008B76A6"/>
    <w:rsid w:val="008C422A"/>
    <w:rsid w:val="008C5E3D"/>
    <w:rsid w:val="008D41B3"/>
    <w:rsid w:val="008E25EB"/>
    <w:rsid w:val="008E44E7"/>
    <w:rsid w:val="008E553A"/>
    <w:rsid w:val="008F081B"/>
    <w:rsid w:val="008F1329"/>
    <w:rsid w:val="008F6E39"/>
    <w:rsid w:val="00903CD6"/>
    <w:rsid w:val="00906C32"/>
    <w:rsid w:val="009111B9"/>
    <w:rsid w:val="00912BBC"/>
    <w:rsid w:val="00913A79"/>
    <w:rsid w:val="009159AD"/>
    <w:rsid w:val="00924611"/>
    <w:rsid w:val="009264BE"/>
    <w:rsid w:val="00930226"/>
    <w:rsid w:val="00930BA2"/>
    <w:rsid w:val="00935348"/>
    <w:rsid w:val="00940C31"/>
    <w:rsid w:val="00942ED1"/>
    <w:rsid w:val="00944272"/>
    <w:rsid w:val="00955DB7"/>
    <w:rsid w:val="0096250B"/>
    <w:rsid w:val="0096345A"/>
    <w:rsid w:val="009703F6"/>
    <w:rsid w:val="009768D3"/>
    <w:rsid w:val="00977073"/>
    <w:rsid w:val="009775EE"/>
    <w:rsid w:val="0098020F"/>
    <w:rsid w:val="00981ADA"/>
    <w:rsid w:val="009820F5"/>
    <w:rsid w:val="00990327"/>
    <w:rsid w:val="009A5A5B"/>
    <w:rsid w:val="009A789A"/>
    <w:rsid w:val="009B20AF"/>
    <w:rsid w:val="009B5280"/>
    <w:rsid w:val="009C5AEB"/>
    <w:rsid w:val="009C5B47"/>
    <w:rsid w:val="009D5F80"/>
    <w:rsid w:val="009E15E5"/>
    <w:rsid w:val="009E5535"/>
    <w:rsid w:val="009E583D"/>
    <w:rsid w:val="009E5DF0"/>
    <w:rsid w:val="009F3A72"/>
    <w:rsid w:val="009F7C8F"/>
    <w:rsid w:val="00A021CF"/>
    <w:rsid w:val="00A04703"/>
    <w:rsid w:val="00A11126"/>
    <w:rsid w:val="00A12791"/>
    <w:rsid w:val="00A1348C"/>
    <w:rsid w:val="00A17720"/>
    <w:rsid w:val="00A206AA"/>
    <w:rsid w:val="00A20CE0"/>
    <w:rsid w:val="00A2555F"/>
    <w:rsid w:val="00A27B77"/>
    <w:rsid w:val="00A3385E"/>
    <w:rsid w:val="00A34CBE"/>
    <w:rsid w:val="00A40E42"/>
    <w:rsid w:val="00A42D0C"/>
    <w:rsid w:val="00A5209D"/>
    <w:rsid w:val="00A52524"/>
    <w:rsid w:val="00A62E19"/>
    <w:rsid w:val="00A65F2E"/>
    <w:rsid w:val="00A77624"/>
    <w:rsid w:val="00A77CBA"/>
    <w:rsid w:val="00A82ECE"/>
    <w:rsid w:val="00A9175B"/>
    <w:rsid w:val="00AA4899"/>
    <w:rsid w:val="00AA6965"/>
    <w:rsid w:val="00AB22F1"/>
    <w:rsid w:val="00AB4AA7"/>
    <w:rsid w:val="00AB6533"/>
    <w:rsid w:val="00AB763C"/>
    <w:rsid w:val="00AC00AC"/>
    <w:rsid w:val="00AD4C79"/>
    <w:rsid w:val="00AD6177"/>
    <w:rsid w:val="00AD67A4"/>
    <w:rsid w:val="00AE279B"/>
    <w:rsid w:val="00AE44AE"/>
    <w:rsid w:val="00AF6938"/>
    <w:rsid w:val="00AF6B37"/>
    <w:rsid w:val="00AF6E00"/>
    <w:rsid w:val="00B01C12"/>
    <w:rsid w:val="00B0205D"/>
    <w:rsid w:val="00B04200"/>
    <w:rsid w:val="00B0435C"/>
    <w:rsid w:val="00B04F78"/>
    <w:rsid w:val="00B0660A"/>
    <w:rsid w:val="00B07690"/>
    <w:rsid w:val="00B1270E"/>
    <w:rsid w:val="00B30029"/>
    <w:rsid w:val="00B322E3"/>
    <w:rsid w:val="00B37D8E"/>
    <w:rsid w:val="00B452C2"/>
    <w:rsid w:val="00B45BDB"/>
    <w:rsid w:val="00B531BE"/>
    <w:rsid w:val="00B70E80"/>
    <w:rsid w:val="00B718A6"/>
    <w:rsid w:val="00B755AD"/>
    <w:rsid w:val="00B758D4"/>
    <w:rsid w:val="00B76E70"/>
    <w:rsid w:val="00B777E8"/>
    <w:rsid w:val="00B8113F"/>
    <w:rsid w:val="00B81BA0"/>
    <w:rsid w:val="00B93678"/>
    <w:rsid w:val="00B95408"/>
    <w:rsid w:val="00BA415E"/>
    <w:rsid w:val="00BA639C"/>
    <w:rsid w:val="00BA7B1E"/>
    <w:rsid w:val="00BB3A3C"/>
    <w:rsid w:val="00BB4FE5"/>
    <w:rsid w:val="00BB59FC"/>
    <w:rsid w:val="00BC2800"/>
    <w:rsid w:val="00BD0663"/>
    <w:rsid w:val="00BD0D7C"/>
    <w:rsid w:val="00BD214A"/>
    <w:rsid w:val="00BD2AA2"/>
    <w:rsid w:val="00BE2B4D"/>
    <w:rsid w:val="00BE3123"/>
    <w:rsid w:val="00BF11CA"/>
    <w:rsid w:val="00C0502A"/>
    <w:rsid w:val="00C051F6"/>
    <w:rsid w:val="00C3790C"/>
    <w:rsid w:val="00C47369"/>
    <w:rsid w:val="00C53CD5"/>
    <w:rsid w:val="00C568FA"/>
    <w:rsid w:val="00C5750E"/>
    <w:rsid w:val="00C648C6"/>
    <w:rsid w:val="00C6500F"/>
    <w:rsid w:val="00C658E7"/>
    <w:rsid w:val="00C700E3"/>
    <w:rsid w:val="00C70DC3"/>
    <w:rsid w:val="00C75F6D"/>
    <w:rsid w:val="00C87899"/>
    <w:rsid w:val="00C967E8"/>
    <w:rsid w:val="00CA5E09"/>
    <w:rsid w:val="00CA6A09"/>
    <w:rsid w:val="00CB1B36"/>
    <w:rsid w:val="00CB5754"/>
    <w:rsid w:val="00CB6C48"/>
    <w:rsid w:val="00CB7449"/>
    <w:rsid w:val="00CC05EC"/>
    <w:rsid w:val="00CC24DA"/>
    <w:rsid w:val="00CD24B4"/>
    <w:rsid w:val="00CD4462"/>
    <w:rsid w:val="00CD574B"/>
    <w:rsid w:val="00CE3B76"/>
    <w:rsid w:val="00CE4EAF"/>
    <w:rsid w:val="00CF14DD"/>
    <w:rsid w:val="00CF66CD"/>
    <w:rsid w:val="00D108CF"/>
    <w:rsid w:val="00D130BF"/>
    <w:rsid w:val="00D13AAD"/>
    <w:rsid w:val="00D17911"/>
    <w:rsid w:val="00D31233"/>
    <w:rsid w:val="00D33870"/>
    <w:rsid w:val="00D36CF6"/>
    <w:rsid w:val="00D4255E"/>
    <w:rsid w:val="00D46F74"/>
    <w:rsid w:val="00D4774C"/>
    <w:rsid w:val="00D528E3"/>
    <w:rsid w:val="00D535C0"/>
    <w:rsid w:val="00D53FDF"/>
    <w:rsid w:val="00D54038"/>
    <w:rsid w:val="00D549EE"/>
    <w:rsid w:val="00D60682"/>
    <w:rsid w:val="00D720DA"/>
    <w:rsid w:val="00D73537"/>
    <w:rsid w:val="00D8553E"/>
    <w:rsid w:val="00D85A83"/>
    <w:rsid w:val="00D876E2"/>
    <w:rsid w:val="00D90510"/>
    <w:rsid w:val="00D955C0"/>
    <w:rsid w:val="00D961E0"/>
    <w:rsid w:val="00D974D8"/>
    <w:rsid w:val="00DA01B6"/>
    <w:rsid w:val="00DA1255"/>
    <w:rsid w:val="00DB3D86"/>
    <w:rsid w:val="00DB5393"/>
    <w:rsid w:val="00DB785D"/>
    <w:rsid w:val="00DC1D6A"/>
    <w:rsid w:val="00DC3751"/>
    <w:rsid w:val="00DD0C8A"/>
    <w:rsid w:val="00DD2367"/>
    <w:rsid w:val="00DD30A3"/>
    <w:rsid w:val="00DD6D43"/>
    <w:rsid w:val="00DE5F2D"/>
    <w:rsid w:val="00DF40F5"/>
    <w:rsid w:val="00DF52A3"/>
    <w:rsid w:val="00DF558F"/>
    <w:rsid w:val="00E004B9"/>
    <w:rsid w:val="00E0756A"/>
    <w:rsid w:val="00E11CC2"/>
    <w:rsid w:val="00E202FC"/>
    <w:rsid w:val="00E23342"/>
    <w:rsid w:val="00E24E3F"/>
    <w:rsid w:val="00E41E33"/>
    <w:rsid w:val="00E461E7"/>
    <w:rsid w:val="00E463D8"/>
    <w:rsid w:val="00E5434B"/>
    <w:rsid w:val="00E66991"/>
    <w:rsid w:val="00E710AD"/>
    <w:rsid w:val="00E74284"/>
    <w:rsid w:val="00E74CE0"/>
    <w:rsid w:val="00E80A91"/>
    <w:rsid w:val="00E80E4E"/>
    <w:rsid w:val="00E81E2B"/>
    <w:rsid w:val="00E82158"/>
    <w:rsid w:val="00E851E6"/>
    <w:rsid w:val="00E869B5"/>
    <w:rsid w:val="00E90231"/>
    <w:rsid w:val="00E972E3"/>
    <w:rsid w:val="00EA4355"/>
    <w:rsid w:val="00EB4297"/>
    <w:rsid w:val="00EB42CA"/>
    <w:rsid w:val="00EC3C9B"/>
    <w:rsid w:val="00EC48BC"/>
    <w:rsid w:val="00ED0D27"/>
    <w:rsid w:val="00ED0EC0"/>
    <w:rsid w:val="00EE0B57"/>
    <w:rsid w:val="00EE20FC"/>
    <w:rsid w:val="00EE3BD0"/>
    <w:rsid w:val="00EE64F2"/>
    <w:rsid w:val="00EE75EE"/>
    <w:rsid w:val="00EF2C72"/>
    <w:rsid w:val="00EF34D4"/>
    <w:rsid w:val="00EF48B5"/>
    <w:rsid w:val="00EF706B"/>
    <w:rsid w:val="00F009EF"/>
    <w:rsid w:val="00F05808"/>
    <w:rsid w:val="00F06A6A"/>
    <w:rsid w:val="00F06C8E"/>
    <w:rsid w:val="00F07E11"/>
    <w:rsid w:val="00F11443"/>
    <w:rsid w:val="00F13BC5"/>
    <w:rsid w:val="00F13BC9"/>
    <w:rsid w:val="00F252EA"/>
    <w:rsid w:val="00F279C5"/>
    <w:rsid w:val="00F30649"/>
    <w:rsid w:val="00F310BE"/>
    <w:rsid w:val="00F45609"/>
    <w:rsid w:val="00F54A04"/>
    <w:rsid w:val="00F54D88"/>
    <w:rsid w:val="00F55A67"/>
    <w:rsid w:val="00F55E04"/>
    <w:rsid w:val="00F57D24"/>
    <w:rsid w:val="00F66E2A"/>
    <w:rsid w:val="00F772E3"/>
    <w:rsid w:val="00F82A64"/>
    <w:rsid w:val="00F84159"/>
    <w:rsid w:val="00F91F76"/>
    <w:rsid w:val="00F94346"/>
    <w:rsid w:val="00F96C66"/>
    <w:rsid w:val="00FA363F"/>
    <w:rsid w:val="00FB1612"/>
    <w:rsid w:val="00FB3255"/>
    <w:rsid w:val="00FC0048"/>
    <w:rsid w:val="00FC11E7"/>
    <w:rsid w:val="00FC4218"/>
    <w:rsid w:val="00FD738A"/>
    <w:rsid w:val="00FE0134"/>
    <w:rsid w:val="00FE7D73"/>
    <w:rsid w:val="00FF6200"/>
    <w:rsid w:val="024232A4"/>
    <w:rsid w:val="02776055"/>
    <w:rsid w:val="036E2A1F"/>
    <w:rsid w:val="03B71C58"/>
    <w:rsid w:val="044A0C1B"/>
    <w:rsid w:val="049847A1"/>
    <w:rsid w:val="04BD4A9D"/>
    <w:rsid w:val="05D26698"/>
    <w:rsid w:val="072A5838"/>
    <w:rsid w:val="076C23B4"/>
    <w:rsid w:val="07B079A4"/>
    <w:rsid w:val="08412974"/>
    <w:rsid w:val="084A2600"/>
    <w:rsid w:val="08604239"/>
    <w:rsid w:val="08FA61C3"/>
    <w:rsid w:val="0AC8577F"/>
    <w:rsid w:val="0C082429"/>
    <w:rsid w:val="0C493DF8"/>
    <w:rsid w:val="0EC57EF8"/>
    <w:rsid w:val="0EDD410B"/>
    <w:rsid w:val="0F4F4A37"/>
    <w:rsid w:val="0FB524D8"/>
    <w:rsid w:val="107C7A5F"/>
    <w:rsid w:val="10CF3D63"/>
    <w:rsid w:val="113F6C8F"/>
    <w:rsid w:val="11DA0840"/>
    <w:rsid w:val="12412ACA"/>
    <w:rsid w:val="12CA55C4"/>
    <w:rsid w:val="12EE19BE"/>
    <w:rsid w:val="14244852"/>
    <w:rsid w:val="14B0328A"/>
    <w:rsid w:val="14B51326"/>
    <w:rsid w:val="14CF2CB6"/>
    <w:rsid w:val="166A71F4"/>
    <w:rsid w:val="16971C8E"/>
    <w:rsid w:val="16DD5AF2"/>
    <w:rsid w:val="17005DDA"/>
    <w:rsid w:val="18FB0DD9"/>
    <w:rsid w:val="19900D35"/>
    <w:rsid w:val="19924586"/>
    <w:rsid w:val="1B026E16"/>
    <w:rsid w:val="1B6313F3"/>
    <w:rsid w:val="1B7846C6"/>
    <w:rsid w:val="1C104AD4"/>
    <w:rsid w:val="1CF965EF"/>
    <w:rsid w:val="1D30098B"/>
    <w:rsid w:val="1DD76909"/>
    <w:rsid w:val="1E050ED5"/>
    <w:rsid w:val="1E6A7BB2"/>
    <w:rsid w:val="1E782BDB"/>
    <w:rsid w:val="1F5775A2"/>
    <w:rsid w:val="1FEB3548"/>
    <w:rsid w:val="20A63291"/>
    <w:rsid w:val="20DD1F8C"/>
    <w:rsid w:val="21113084"/>
    <w:rsid w:val="21802732"/>
    <w:rsid w:val="21E8671C"/>
    <w:rsid w:val="22456C64"/>
    <w:rsid w:val="22AA3757"/>
    <w:rsid w:val="232269D1"/>
    <w:rsid w:val="232621DD"/>
    <w:rsid w:val="233738D3"/>
    <w:rsid w:val="23495265"/>
    <w:rsid w:val="236F776C"/>
    <w:rsid w:val="240759D6"/>
    <w:rsid w:val="24D4291D"/>
    <w:rsid w:val="259E2CD6"/>
    <w:rsid w:val="264A117F"/>
    <w:rsid w:val="26986994"/>
    <w:rsid w:val="26CB6A94"/>
    <w:rsid w:val="272F1C49"/>
    <w:rsid w:val="27435B2D"/>
    <w:rsid w:val="27944AF9"/>
    <w:rsid w:val="27DA55A6"/>
    <w:rsid w:val="2A4354D4"/>
    <w:rsid w:val="2A874D1D"/>
    <w:rsid w:val="2AAA7A11"/>
    <w:rsid w:val="2B3F79DB"/>
    <w:rsid w:val="2B545F28"/>
    <w:rsid w:val="2B585398"/>
    <w:rsid w:val="2BDA4E40"/>
    <w:rsid w:val="2C64728A"/>
    <w:rsid w:val="2C9A1AF4"/>
    <w:rsid w:val="2CD83B77"/>
    <w:rsid w:val="2DFE5C6B"/>
    <w:rsid w:val="2E1E559E"/>
    <w:rsid w:val="2E5A6865"/>
    <w:rsid w:val="2E6C2F7A"/>
    <w:rsid w:val="2EA20008"/>
    <w:rsid w:val="2EC46471"/>
    <w:rsid w:val="2F9624C7"/>
    <w:rsid w:val="2FFC5966"/>
    <w:rsid w:val="305C03AC"/>
    <w:rsid w:val="307211E8"/>
    <w:rsid w:val="30AB234B"/>
    <w:rsid w:val="318A2687"/>
    <w:rsid w:val="32051CD4"/>
    <w:rsid w:val="33B24FA9"/>
    <w:rsid w:val="351A2E78"/>
    <w:rsid w:val="35A63E94"/>
    <w:rsid w:val="36221461"/>
    <w:rsid w:val="364F1FD2"/>
    <w:rsid w:val="364F3BF3"/>
    <w:rsid w:val="369F177E"/>
    <w:rsid w:val="36BE63C3"/>
    <w:rsid w:val="379B020E"/>
    <w:rsid w:val="38C04BD1"/>
    <w:rsid w:val="38D17E4C"/>
    <w:rsid w:val="393F4B8E"/>
    <w:rsid w:val="39AB6039"/>
    <w:rsid w:val="3A933FF4"/>
    <w:rsid w:val="3B47028A"/>
    <w:rsid w:val="3B5C7CD9"/>
    <w:rsid w:val="3CC66EE8"/>
    <w:rsid w:val="3DE701D1"/>
    <w:rsid w:val="3E6738DC"/>
    <w:rsid w:val="40561CA7"/>
    <w:rsid w:val="43941FDA"/>
    <w:rsid w:val="445C18DD"/>
    <w:rsid w:val="45590F5C"/>
    <w:rsid w:val="460E70A4"/>
    <w:rsid w:val="46222CDE"/>
    <w:rsid w:val="46252B64"/>
    <w:rsid w:val="46C82706"/>
    <w:rsid w:val="47273F86"/>
    <w:rsid w:val="4868343D"/>
    <w:rsid w:val="486A0493"/>
    <w:rsid w:val="49501A22"/>
    <w:rsid w:val="49BF5CB7"/>
    <w:rsid w:val="4AB942D8"/>
    <w:rsid w:val="4B2C565D"/>
    <w:rsid w:val="4B4F2176"/>
    <w:rsid w:val="4BE97ED5"/>
    <w:rsid w:val="4D223B32"/>
    <w:rsid w:val="4D5A2B1B"/>
    <w:rsid w:val="4ECA7A01"/>
    <w:rsid w:val="4F100A39"/>
    <w:rsid w:val="4F89408D"/>
    <w:rsid w:val="4F8D54F3"/>
    <w:rsid w:val="50481668"/>
    <w:rsid w:val="506F791C"/>
    <w:rsid w:val="51D1552C"/>
    <w:rsid w:val="51EC6B3C"/>
    <w:rsid w:val="52337E49"/>
    <w:rsid w:val="52463E72"/>
    <w:rsid w:val="52713B5E"/>
    <w:rsid w:val="528303DD"/>
    <w:rsid w:val="52BF450F"/>
    <w:rsid w:val="53D71D82"/>
    <w:rsid w:val="55817093"/>
    <w:rsid w:val="56160E0B"/>
    <w:rsid w:val="562D65D5"/>
    <w:rsid w:val="56666088"/>
    <w:rsid w:val="56F61C90"/>
    <w:rsid w:val="57A06EA8"/>
    <w:rsid w:val="582C5A2B"/>
    <w:rsid w:val="584E3261"/>
    <w:rsid w:val="59F80580"/>
    <w:rsid w:val="5A4448F5"/>
    <w:rsid w:val="5AD46483"/>
    <w:rsid w:val="5B1D245A"/>
    <w:rsid w:val="5B373C9C"/>
    <w:rsid w:val="5B54003F"/>
    <w:rsid w:val="5C755DA0"/>
    <w:rsid w:val="5D191A98"/>
    <w:rsid w:val="5D2428B8"/>
    <w:rsid w:val="5D755BA3"/>
    <w:rsid w:val="5DAA4A8B"/>
    <w:rsid w:val="5DB82662"/>
    <w:rsid w:val="5DE975E6"/>
    <w:rsid w:val="5F401133"/>
    <w:rsid w:val="5F5312DA"/>
    <w:rsid w:val="5F597724"/>
    <w:rsid w:val="60996CF0"/>
    <w:rsid w:val="60E04FB4"/>
    <w:rsid w:val="610E5498"/>
    <w:rsid w:val="61501E97"/>
    <w:rsid w:val="620D4506"/>
    <w:rsid w:val="62926680"/>
    <w:rsid w:val="62A7625B"/>
    <w:rsid w:val="63983C1A"/>
    <w:rsid w:val="63A17B15"/>
    <w:rsid w:val="63CD2F4A"/>
    <w:rsid w:val="641448F3"/>
    <w:rsid w:val="64A52EE9"/>
    <w:rsid w:val="64B3759B"/>
    <w:rsid w:val="654C12EB"/>
    <w:rsid w:val="66133574"/>
    <w:rsid w:val="66BD40A9"/>
    <w:rsid w:val="680C6882"/>
    <w:rsid w:val="691A3E29"/>
    <w:rsid w:val="69497E1D"/>
    <w:rsid w:val="695F6485"/>
    <w:rsid w:val="6AED4CFD"/>
    <w:rsid w:val="6C3872EE"/>
    <w:rsid w:val="6D6B39EB"/>
    <w:rsid w:val="6DE123D1"/>
    <w:rsid w:val="6E965E3F"/>
    <w:rsid w:val="6EB439B0"/>
    <w:rsid w:val="6EF41217"/>
    <w:rsid w:val="6F100F13"/>
    <w:rsid w:val="6FDF37F7"/>
    <w:rsid w:val="70456C1C"/>
    <w:rsid w:val="7148282A"/>
    <w:rsid w:val="718F3D0A"/>
    <w:rsid w:val="72586AB5"/>
    <w:rsid w:val="725C6CA3"/>
    <w:rsid w:val="72B419CF"/>
    <w:rsid w:val="755F2701"/>
    <w:rsid w:val="75EA0EE8"/>
    <w:rsid w:val="76921C0F"/>
    <w:rsid w:val="772201F2"/>
    <w:rsid w:val="775C6379"/>
    <w:rsid w:val="77E61C76"/>
    <w:rsid w:val="78171136"/>
    <w:rsid w:val="79C15CF6"/>
    <w:rsid w:val="79CF3B1B"/>
    <w:rsid w:val="7A235085"/>
    <w:rsid w:val="7B895536"/>
    <w:rsid w:val="7C7225D5"/>
    <w:rsid w:val="7CBA536A"/>
    <w:rsid w:val="7D641DDF"/>
    <w:rsid w:val="7D693BAD"/>
    <w:rsid w:val="7D8B0CDD"/>
    <w:rsid w:val="7DC03A6F"/>
    <w:rsid w:val="7EE069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560" w:firstLineChars="200"/>
      <w:jc w:val="both"/>
    </w:pPr>
    <w:rPr>
      <w:rFonts w:ascii="Times New Roman" w:hAnsi="Times New Roman" w:eastAsia="仿宋" w:cs="宋体"/>
      <w:color w:val="000000"/>
      <w:kern w:val="2"/>
      <w:sz w:val="32"/>
      <w:szCs w:val="28"/>
      <w:lang w:val="en-US" w:eastAsia="zh-CN" w:bidi="ar-SA"/>
    </w:rPr>
  </w:style>
  <w:style w:type="paragraph" w:styleId="3">
    <w:name w:val="heading 1"/>
    <w:basedOn w:val="1"/>
    <w:next w:val="1"/>
    <w:link w:val="36"/>
    <w:qFormat/>
    <w:uiPriority w:val="0"/>
    <w:pPr>
      <w:keepNext/>
      <w:keepLines/>
      <w:outlineLvl w:val="0"/>
    </w:pPr>
    <w:rPr>
      <w:rFonts w:eastAsia="黑体" w:asciiTheme="minorHAnsi" w:hAnsiTheme="minorHAnsi" w:cstheme="minorBidi"/>
      <w:b/>
      <w:bCs/>
      <w:color w:val="auto"/>
      <w:kern w:val="44"/>
      <w:szCs w:val="44"/>
    </w:rPr>
  </w:style>
  <w:style w:type="paragraph" w:styleId="4">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color w:val="auto"/>
      <w:szCs w:val="32"/>
    </w:rPr>
  </w:style>
  <w:style w:type="paragraph" w:styleId="5">
    <w:name w:val="heading 3"/>
    <w:basedOn w:val="1"/>
    <w:next w:val="1"/>
    <w:link w:val="37"/>
    <w:unhideWhenUsed/>
    <w:qFormat/>
    <w:uiPriority w:val="0"/>
    <w:pPr>
      <w:keepNext/>
      <w:keepLines/>
      <w:outlineLvl w:val="2"/>
    </w:pPr>
    <w:rPr>
      <w:b/>
      <w:bCs/>
      <w:szCs w:val="32"/>
    </w:rPr>
  </w:style>
  <w:style w:type="paragraph" w:styleId="6">
    <w:name w:val="heading 5"/>
    <w:basedOn w:val="1"/>
    <w:next w:val="1"/>
    <w:qFormat/>
    <w:uiPriority w:val="0"/>
    <w:pPr>
      <w:keepNext/>
      <w:outlineLvl w:val="4"/>
    </w:pPr>
    <w:rPr>
      <w:rFonts w:ascii="宋体" w:hAnsi="宋体"/>
      <w:b/>
      <w:bCs/>
      <w:sz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7">
    <w:name w:val="toc 7"/>
    <w:basedOn w:val="1"/>
    <w:next w:val="1"/>
    <w:qFormat/>
    <w:uiPriority w:val="0"/>
    <w:pPr>
      <w:spacing w:line="360" w:lineRule="auto"/>
      <w:ind w:left="1800" w:firstLine="200"/>
      <w:jc w:val="left"/>
    </w:pPr>
    <w:rPr>
      <w:rFonts w:ascii="等线" w:hAnsi="等线" w:eastAsia="仿宋_GB2312" w:cs="Times New Roman"/>
      <w:color w:val="auto"/>
      <w:sz w:val="18"/>
      <w:szCs w:val="18"/>
    </w:rPr>
  </w:style>
  <w:style w:type="paragraph" w:styleId="8">
    <w:name w:val="Document Map"/>
    <w:basedOn w:val="1"/>
    <w:link w:val="39"/>
    <w:unhideWhenUsed/>
    <w:qFormat/>
    <w:uiPriority w:val="99"/>
    <w:rPr>
      <w:rFonts w:ascii="宋体"/>
      <w:sz w:val="18"/>
      <w:szCs w:val="18"/>
    </w:rPr>
  </w:style>
  <w:style w:type="paragraph" w:styleId="9">
    <w:name w:val="annotation text"/>
    <w:basedOn w:val="1"/>
    <w:link w:val="52"/>
    <w:qFormat/>
    <w:uiPriority w:val="0"/>
    <w:pPr>
      <w:spacing w:line="360" w:lineRule="auto"/>
      <w:ind w:firstLine="200"/>
      <w:jc w:val="left"/>
    </w:pPr>
    <w:rPr>
      <w:rFonts w:ascii="等线" w:hAnsi="等线" w:eastAsia="仿宋_GB2312" w:cs="Times New Roman"/>
      <w:color w:val="auto"/>
      <w:sz w:val="24"/>
      <w:szCs w:val="24"/>
    </w:rPr>
  </w:style>
  <w:style w:type="paragraph" w:styleId="10">
    <w:name w:val="Body Text Indent"/>
    <w:basedOn w:val="1"/>
    <w:link w:val="54"/>
    <w:qFormat/>
    <w:uiPriority w:val="99"/>
    <w:pPr>
      <w:ind w:firstLine="1200" w:firstLineChars="375"/>
    </w:pPr>
    <w:rPr>
      <w:rFonts w:ascii="等线" w:hAnsi="等线" w:eastAsia="仿宋_GB2312" w:cs="Times New Roman"/>
      <w:color w:val="auto"/>
      <w:szCs w:val="24"/>
    </w:rPr>
  </w:style>
  <w:style w:type="paragraph" w:styleId="11">
    <w:name w:val="toc 5"/>
    <w:basedOn w:val="1"/>
    <w:next w:val="1"/>
    <w:qFormat/>
    <w:uiPriority w:val="0"/>
    <w:pPr>
      <w:spacing w:line="360" w:lineRule="auto"/>
      <w:ind w:left="1200" w:firstLine="200"/>
      <w:jc w:val="left"/>
    </w:pPr>
    <w:rPr>
      <w:rFonts w:ascii="等线" w:hAnsi="等线" w:eastAsia="仿宋_GB2312" w:cs="Times New Roman"/>
      <w:color w:val="auto"/>
      <w:sz w:val="18"/>
      <w:szCs w:val="18"/>
    </w:rPr>
  </w:style>
  <w:style w:type="paragraph" w:styleId="12">
    <w:name w:val="toc 3"/>
    <w:basedOn w:val="1"/>
    <w:next w:val="1"/>
    <w:unhideWhenUsed/>
    <w:qFormat/>
    <w:uiPriority w:val="39"/>
    <w:pPr>
      <w:ind w:left="840" w:leftChars="400"/>
    </w:pPr>
  </w:style>
  <w:style w:type="paragraph" w:styleId="13">
    <w:name w:val="toc 8"/>
    <w:basedOn w:val="1"/>
    <w:next w:val="1"/>
    <w:qFormat/>
    <w:uiPriority w:val="0"/>
    <w:pPr>
      <w:spacing w:line="360" w:lineRule="auto"/>
      <w:ind w:left="2100" w:firstLine="200"/>
      <w:jc w:val="left"/>
    </w:pPr>
    <w:rPr>
      <w:rFonts w:ascii="等线" w:hAnsi="等线" w:eastAsia="仿宋_GB2312" w:cs="Times New Roman"/>
      <w:color w:val="auto"/>
      <w:sz w:val="18"/>
      <w:szCs w:val="18"/>
    </w:rPr>
  </w:style>
  <w:style w:type="paragraph" w:styleId="14">
    <w:name w:val="Date"/>
    <w:basedOn w:val="1"/>
    <w:next w:val="1"/>
    <w:link w:val="55"/>
    <w:unhideWhenUsed/>
    <w:qFormat/>
    <w:uiPriority w:val="99"/>
    <w:pPr>
      <w:spacing w:line="360" w:lineRule="auto"/>
      <w:ind w:left="100" w:leftChars="2500" w:firstLine="200"/>
    </w:pPr>
    <w:rPr>
      <w:rFonts w:ascii="等线" w:hAnsi="等线" w:eastAsia="仿宋_GB2312" w:cs="Times New Roman"/>
      <w:color w:val="auto"/>
      <w:sz w:val="24"/>
      <w:szCs w:val="24"/>
    </w:rPr>
  </w:style>
  <w:style w:type="paragraph" w:styleId="15">
    <w:name w:val="Balloon Text"/>
    <w:basedOn w:val="1"/>
    <w:link w:val="40"/>
    <w:unhideWhenUsed/>
    <w:qFormat/>
    <w:uiPriority w:val="0"/>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tabs>
        <w:tab w:val="right" w:leader="dot" w:pos="8296"/>
      </w:tabs>
      <w:spacing w:line="360" w:lineRule="exact"/>
    </w:pPr>
    <w:rPr>
      <w:rFonts w:ascii="仿宋_GB2312" w:hAnsi="仿宋"/>
      <w:b/>
    </w:rPr>
  </w:style>
  <w:style w:type="paragraph" w:styleId="19">
    <w:name w:val="toc 4"/>
    <w:basedOn w:val="1"/>
    <w:next w:val="1"/>
    <w:qFormat/>
    <w:uiPriority w:val="0"/>
    <w:pPr>
      <w:tabs>
        <w:tab w:val="right" w:leader="dot" w:pos="8693"/>
      </w:tabs>
      <w:spacing w:line="300" w:lineRule="exact"/>
      <w:ind w:left="902" w:firstLine="200"/>
      <w:jc w:val="left"/>
    </w:pPr>
    <w:rPr>
      <w:rFonts w:ascii="等线" w:hAnsi="等线" w:eastAsia="仿宋_GB2312" w:cs="Times New Roman"/>
      <w:color w:val="auto"/>
      <w:szCs w:val="18"/>
    </w:rPr>
  </w:style>
  <w:style w:type="paragraph" w:styleId="20">
    <w:name w:val="Subtitle"/>
    <w:basedOn w:val="1"/>
    <w:next w:val="1"/>
    <w:link w:val="56"/>
    <w:qFormat/>
    <w:uiPriority w:val="11"/>
    <w:pPr>
      <w:spacing w:before="240" w:after="60" w:line="312" w:lineRule="auto"/>
      <w:jc w:val="center"/>
      <w:outlineLvl w:val="1"/>
    </w:pPr>
    <w:rPr>
      <w:rFonts w:ascii="Cambria" w:hAnsi="Cambria" w:eastAsia="等线" w:cs="Times New Roman"/>
      <w:b/>
      <w:bCs/>
      <w:color w:val="auto"/>
      <w:kern w:val="28"/>
      <w:sz w:val="20"/>
      <w:szCs w:val="32"/>
    </w:rPr>
  </w:style>
  <w:style w:type="paragraph" w:styleId="21">
    <w:name w:val="toc 6"/>
    <w:basedOn w:val="1"/>
    <w:next w:val="1"/>
    <w:qFormat/>
    <w:uiPriority w:val="0"/>
    <w:pPr>
      <w:spacing w:line="360" w:lineRule="auto"/>
      <w:ind w:left="1500" w:firstLine="200"/>
      <w:jc w:val="left"/>
    </w:pPr>
    <w:rPr>
      <w:rFonts w:ascii="等线" w:hAnsi="等线" w:eastAsia="仿宋_GB2312" w:cs="Times New Roman"/>
      <w:color w:val="auto"/>
      <w:sz w:val="18"/>
      <w:szCs w:val="18"/>
    </w:rPr>
  </w:style>
  <w:style w:type="paragraph" w:styleId="22">
    <w:name w:val="toc 2"/>
    <w:basedOn w:val="1"/>
    <w:next w:val="1"/>
    <w:unhideWhenUsed/>
    <w:qFormat/>
    <w:uiPriority w:val="39"/>
    <w:pPr>
      <w:ind w:left="420" w:leftChars="200"/>
    </w:pPr>
  </w:style>
  <w:style w:type="paragraph" w:styleId="23">
    <w:name w:val="toc 9"/>
    <w:basedOn w:val="1"/>
    <w:next w:val="1"/>
    <w:qFormat/>
    <w:uiPriority w:val="0"/>
    <w:pPr>
      <w:spacing w:line="360" w:lineRule="auto"/>
      <w:ind w:left="2400" w:firstLine="200"/>
      <w:jc w:val="left"/>
    </w:pPr>
    <w:rPr>
      <w:rFonts w:ascii="等线" w:hAnsi="等线" w:eastAsia="仿宋_GB2312" w:cs="Times New Roman"/>
      <w:color w:val="auto"/>
      <w:sz w:val="18"/>
      <w:szCs w:val="18"/>
    </w:rPr>
  </w:style>
  <w:style w:type="paragraph" w:styleId="24">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auto"/>
      <w:kern w:val="0"/>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olor w:val="auto"/>
      <w:kern w:val="0"/>
      <w:sz w:val="24"/>
      <w:szCs w:val="24"/>
    </w:rPr>
  </w:style>
  <w:style w:type="paragraph" w:styleId="26">
    <w:name w:val="Title"/>
    <w:basedOn w:val="1"/>
    <w:next w:val="1"/>
    <w:link w:val="44"/>
    <w:qFormat/>
    <w:uiPriority w:val="10"/>
    <w:pPr>
      <w:spacing w:line="360" w:lineRule="auto"/>
      <w:ind w:firstLine="200"/>
      <w:jc w:val="left"/>
      <w:outlineLvl w:val="3"/>
    </w:pPr>
    <w:rPr>
      <w:rFonts w:ascii="Cambria" w:hAnsi="Cambria" w:eastAsia="仿宋_GB2312" w:cs="Times New Roman"/>
      <w:bCs/>
      <w:color w:val="auto"/>
      <w:sz w:val="24"/>
      <w:szCs w:val="32"/>
    </w:rPr>
  </w:style>
  <w:style w:type="paragraph" w:styleId="27">
    <w:name w:val="annotation subject"/>
    <w:basedOn w:val="9"/>
    <w:next w:val="9"/>
    <w:link w:val="57"/>
    <w:semiHidden/>
    <w:unhideWhenUsed/>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rPr>
  </w:style>
  <w:style w:type="character" w:styleId="32">
    <w:name w:val="page number"/>
    <w:basedOn w:val="30"/>
    <w:qFormat/>
    <w:uiPriority w:val="99"/>
    <w:rPr>
      <w:rFonts w:cs="Times New Roman"/>
    </w:rPr>
  </w:style>
  <w:style w:type="character" w:styleId="33">
    <w:name w:val="FollowedHyperlink"/>
    <w:basedOn w:val="30"/>
    <w:semiHidden/>
    <w:unhideWhenUsed/>
    <w:qFormat/>
    <w:uiPriority w:val="99"/>
    <w:rPr>
      <w:color w:val="800080"/>
      <w:u w:val="single"/>
    </w:rPr>
  </w:style>
  <w:style w:type="character" w:styleId="34">
    <w:name w:val="Hyperlink"/>
    <w:basedOn w:val="30"/>
    <w:unhideWhenUsed/>
    <w:qFormat/>
    <w:uiPriority w:val="99"/>
    <w:rPr>
      <w:color w:val="0563C1" w:themeColor="hyperlink"/>
      <w:u w:val="single"/>
      <w14:textFill>
        <w14:solidFill>
          <w14:schemeClr w14:val="hlink"/>
        </w14:solidFill>
      </w14:textFill>
    </w:rPr>
  </w:style>
  <w:style w:type="character" w:styleId="35">
    <w:name w:val="annotation reference"/>
    <w:basedOn w:val="30"/>
    <w:semiHidden/>
    <w:unhideWhenUsed/>
    <w:qFormat/>
    <w:uiPriority w:val="99"/>
    <w:rPr>
      <w:sz w:val="21"/>
      <w:szCs w:val="21"/>
    </w:rPr>
  </w:style>
  <w:style w:type="character" w:customStyle="1" w:styleId="36">
    <w:name w:val="标题 1 字符"/>
    <w:basedOn w:val="30"/>
    <w:link w:val="3"/>
    <w:qFormat/>
    <w:uiPriority w:val="0"/>
    <w:rPr>
      <w:rFonts w:eastAsia="黑体" w:asciiTheme="minorHAnsi" w:hAnsiTheme="minorHAnsi" w:cstheme="minorBidi"/>
      <w:b/>
      <w:bCs/>
      <w:color w:val="auto"/>
      <w:kern w:val="44"/>
      <w:sz w:val="32"/>
      <w:szCs w:val="44"/>
    </w:rPr>
  </w:style>
  <w:style w:type="character" w:customStyle="1" w:styleId="37">
    <w:name w:val="标题 3 字符"/>
    <w:basedOn w:val="30"/>
    <w:link w:val="5"/>
    <w:semiHidden/>
    <w:qFormat/>
    <w:uiPriority w:val="9"/>
    <w:rPr>
      <w:rFonts w:eastAsia="仿宋"/>
      <w:b/>
      <w:bCs/>
      <w:sz w:val="32"/>
      <w:szCs w:val="32"/>
    </w:rPr>
  </w:style>
  <w:style w:type="character" w:customStyle="1" w:styleId="38">
    <w:name w:val="标题 2 字符"/>
    <w:basedOn w:val="30"/>
    <w:link w:val="4"/>
    <w:qFormat/>
    <w:uiPriority w:val="9"/>
    <w:rPr>
      <w:rFonts w:asciiTheme="majorHAnsi" w:hAnsiTheme="majorHAnsi" w:eastAsiaTheme="majorEastAsia" w:cstheme="majorBidi"/>
      <w:b/>
      <w:bCs/>
      <w:color w:val="auto"/>
      <w:sz w:val="32"/>
      <w:szCs w:val="32"/>
    </w:rPr>
  </w:style>
  <w:style w:type="character" w:customStyle="1" w:styleId="39">
    <w:name w:val="文档结构图 字符"/>
    <w:basedOn w:val="30"/>
    <w:link w:val="8"/>
    <w:qFormat/>
    <w:uiPriority w:val="0"/>
    <w:rPr>
      <w:rFonts w:ascii="宋体"/>
      <w:sz w:val="18"/>
      <w:szCs w:val="18"/>
    </w:rPr>
  </w:style>
  <w:style w:type="character" w:customStyle="1" w:styleId="40">
    <w:name w:val="批注框文本 字符"/>
    <w:basedOn w:val="30"/>
    <w:link w:val="15"/>
    <w:qFormat/>
    <w:uiPriority w:val="0"/>
    <w:rPr>
      <w:sz w:val="18"/>
      <w:szCs w:val="18"/>
    </w:rPr>
  </w:style>
  <w:style w:type="character" w:customStyle="1" w:styleId="41">
    <w:name w:val="页脚 字符"/>
    <w:basedOn w:val="30"/>
    <w:link w:val="16"/>
    <w:qFormat/>
    <w:uiPriority w:val="99"/>
    <w:rPr>
      <w:sz w:val="18"/>
      <w:szCs w:val="18"/>
    </w:rPr>
  </w:style>
  <w:style w:type="character" w:customStyle="1" w:styleId="42">
    <w:name w:val="页眉 字符"/>
    <w:basedOn w:val="30"/>
    <w:link w:val="17"/>
    <w:qFormat/>
    <w:uiPriority w:val="99"/>
    <w:rPr>
      <w:sz w:val="18"/>
      <w:szCs w:val="18"/>
    </w:rPr>
  </w:style>
  <w:style w:type="character" w:customStyle="1" w:styleId="43">
    <w:name w:val="HTML 预设格式 字符"/>
    <w:basedOn w:val="30"/>
    <w:link w:val="24"/>
    <w:qFormat/>
    <w:uiPriority w:val="99"/>
    <w:rPr>
      <w:rFonts w:ascii="宋体" w:hAnsi="宋体"/>
      <w:color w:val="auto"/>
      <w:kern w:val="0"/>
      <w:sz w:val="24"/>
      <w:szCs w:val="24"/>
    </w:rPr>
  </w:style>
  <w:style w:type="character" w:customStyle="1" w:styleId="44">
    <w:name w:val="标题 字符"/>
    <w:basedOn w:val="30"/>
    <w:link w:val="26"/>
    <w:qFormat/>
    <w:uiPriority w:val="10"/>
    <w:rPr>
      <w:rFonts w:ascii="Cambria" w:hAnsi="Cambria" w:eastAsia="仿宋_GB2312" w:cs="Times New Roman"/>
      <w:bCs/>
      <w:color w:val="auto"/>
      <w:sz w:val="24"/>
      <w:szCs w:val="32"/>
    </w:rPr>
  </w:style>
  <w:style w:type="paragraph" w:styleId="45">
    <w:name w:val="List Paragraph"/>
    <w:basedOn w:val="1"/>
    <w:qFormat/>
    <w:uiPriority w:val="34"/>
    <w:pPr>
      <w:ind w:firstLine="420"/>
    </w:pPr>
    <w:rPr>
      <w:rFonts w:cstheme="minorBidi"/>
      <w:color w:val="auto"/>
      <w:szCs w:val="22"/>
    </w:rPr>
  </w:style>
  <w:style w:type="paragraph" w:customStyle="1" w:styleId="46">
    <w:name w:val="列出段落5"/>
    <w:basedOn w:val="1"/>
    <w:qFormat/>
    <w:uiPriority w:val="0"/>
    <w:pPr>
      <w:ind w:firstLine="420"/>
    </w:pPr>
    <w:rPr>
      <w:rFonts w:ascii="Calibri" w:hAnsi="Calibri"/>
      <w:color w:val="auto"/>
      <w:sz w:val="21"/>
      <w:szCs w:val="21"/>
    </w:rPr>
  </w:style>
  <w:style w:type="paragraph" w:customStyle="1" w:styleId="47">
    <w:name w:val="列出段落2"/>
    <w:basedOn w:val="1"/>
    <w:qFormat/>
    <w:uiPriority w:val="99"/>
    <w:pPr>
      <w:ind w:firstLine="420"/>
    </w:pPr>
    <w:rPr>
      <w:rFonts w:ascii="Calibri" w:hAnsi="Calibri"/>
      <w:color w:val="auto"/>
      <w:sz w:val="21"/>
      <w:szCs w:val="21"/>
    </w:rPr>
  </w:style>
  <w:style w:type="paragraph" w:customStyle="1" w:styleId="48">
    <w:name w:val="列出段落3"/>
    <w:basedOn w:val="1"/>
    <w:qFormat/>
    <w:uiPriority w:val="0"/>
    <w:pPr>
      <w:spacing w:line="360" w:lineRule="auto"/>
      <w:ind w:firstLine="420"/>
    </w:pPr>
    <w:rPr>
      <w:rFonts w:eastAsia="仿宋_GB2312" w:cs="Times New Roman"/>
      <w:color w:val="auto"/>
      <w:sz w:val="24"/>
      <w:szCs w:val="24"/>
    </w:rPr>
  </w:style>
  <w:style w:type="paragraph" w:customStyle="1" w:styleId="49">
    <w:name w:val="WPSOffice手动目录 1"/>
    <w:qFormat/>
    <w:uiPriority w:val="0"/>
    <w:rPr>
      <w:rFonts w:ascii="Calibri" w:hAnsi="Calibri" w:eastAsia="宋体" w:cs="Times New Roman"/>
      <w:lang w:val="en-US" w:eastAsia="zh-CN" w:bidi="ar-SA"/>
    </w:rPr>
  </w:style>
  <w:style w:type="paragraph" w:customStyle="1" w:styleId="50">
    <w:name w:val="WPSOffice手动目录 2"/>
    <w:qFormat/>
    <w:uiPriority w:val="0"/>
    <w:pPr>
      <w:ind w:left="200" w:leftChars="200"/>
    </w:pPr>
    <w:rPr>
      <w:rFonts w:ascii="Calibri" w:hAnsi="Calibri" w:eastAsia="宋体" w:cs="Times New Roman"/>
      <w:lang w:val="en-US" w:eastAsia="zh-CN" w:bidi="ar-SA"/>
    </w:rPr>
  </w:style>
  <w:style w:type="paragraph" w:customStyle="1" w:styleId="51">
    <w:name w:val="WPSOffice手动目录 3"/>
    <w:qFormat/>
    <w:uiPriority w:val="0"/>
    <w:pPr>
      <w:ind w:left="400" w:leftChars="400"/>
    </w:pPr>
    <w:rPr>
      <w:rFonts w:ascii="Calibri" w:hAnsi="Calibri" w:eastAsia="宋体" w:cs="Times New Roman"/>
      <w:lang w:val="en-US" w:eastAsia="zh-CN" w:bidi="ar-SA"/>
    </w:rPr>
  </w:style>
  <w:style w:type="character" w:customStyle="1" w:styleId="52">
    <w:name w:val="批注文字 字符"/>
    <w:link w:val="9"/>
    <w:qFormat/>
    <w:uiPriority w:val="0"/>
    <w:rPr>
      <w:rFonts w:ascii="等线" w:hAnsi="等线" w:eastAsia="仿宋_GB2312"/>
      <w:kern w:val="2"/>
      <w:sz w:val="24"/>
      <w:szCs w:val="24"/>
    </w:rPr>
  </w:style>
  <w:style w:type="character" w:customStyle="1" w:styleId="53">
    <w:name w:val="批注文字 Char"/>
    <w:basedOn w:val="30"/>
    <w:qFormat/>
    <w:uiPriority w:val="99"/>
    <w:rPr>
      <w:rFonts w:cs="宋体"/>
      <w:color w:val="000000"/>
      <w:kern w:val="2"/>
      <w:sz w:val="28"/>
      <w:szCs w:val="28"/>
    </w:rPr>
  </w:style>
  <w:style w:type="character" w:customStyle="1" w:styleId="54">
    <w:name w:val="正文文本缩进 字符"/>
    <w:basedOn w:val="30"/>
    <w:link w:val="10"/>
    <w:qFormat/>
    <w:uiPriority w:val="99"/>
    <w:rPr>
      <w:rFonts w:ascii="等线" w:hAnsi="等线" w:eastAsia="仿宋_GB2312"/>
      <w:kern w:val="2"/>
      <w:sz w:val="32"/>
      <w:szCs w:val="24"/>
    </w:rPr>
  </w:style>
  <w:style w:type="character" w:customStyle="1" w:styleId="55">
    <w:name w:val="日期 字符"/>
    <w:basedOn w:val="30"/>
    <w:link w:val="14"/>
    <w:qFormat/>
    <w:uiPriority w:val="99"/>
    <w:rPr>
      <w:rFonts w:ascii="等线" w:hAnsi="等线" w:eastAsia="仿宋_GB2312"/>
      <w:kern w:val="2"/>
      <w:sz w:val="24"/>
      <w:szCs w:val="24"/>
    </w:rPr>
  </w:style>
  <w:style w:type="character" w:customStyle="1" w:styleId="56">
    <w:name w:val="副标题 字符"/>
    <w:basedOn w:val="30"/>
    <w:link w:val="20"/>
    <w:qFormat/>
    <w:uiPriority w:val="11"/>
    <w:rPr>
      <w:rFonts w:ascii="Cambria" w:hAnsi="Cambria" w:eastAsia="等线"/>
      <w:b/>
      <w:bCs/>
      <w:kern w:val="28"/>
      <w:szCs w:val="32"/>
    </w:rPr>
  </w:style>
  <w:style w:type="character" w:customStyle="1" w:styleId="57">
    <w:name w:val="批注主题 字符"/>
    <w:basedOn w:val="52"/>
    <w:link w:val="27"/>
    <w:semiHidden/>
    <w:qFormat/>
    <w:uiPriority w:val="99"/>
    <w:rPr>
      <w:rFonts w:ascii="等线" w:hAnsi="等线" w:eastAsia="仿宋_GB2312"/>
      <w:b/>
      <w:bCs/>
      <w:kern w:val="2"/>
      <w:sz w:val="24"/>
      <w:szCs w:val="24"/>
    </w:rPr>
  </w:style>
  <w:style w:type="character" w:customStyle="1" w:styleId="58">
    <w:name w:val="批注主题 Char"/>
    <w:basedOn w:val="53"/>
    <w:link w:val="59"/>
    <w:qFormat/>
    <w:uiPriority w:val="0"/>
    <w:rPr>
      <w:rFonts w:cs="宋体"/>
      <w:b/>
      <w:bCs/>
      <w:color w:val="000000"/>
      <w:kern w:val="2"/>
      <w:sz w:val="28"/>
      <w:szCs w:val="28"/>
    </w:rPr>
  </w:style>
  <w:style w:type="paragraph" w:customStyle="1" w:styleId="59">
    <w:name w:val="批注主题1"/>
    <w:basedOn w:val="9"/>
    <w:next w:val="9"/>
    <w:link w:val="58"/>
    <w:qFormat/>
    <w:uiPriority w:val="0"/>
    <w:rPr>
      <w:rFonts w:ascii="Times New Roman" w:hAnsi="Times New Roman" w:eastAsia="宋体" w:cs="宋体"/>
      <w:b/>
      <w:bCs/>
      <w:color w:val="000000"/>
      <w:sz w:val="28"/>
      <w:szCs w:val="28"/>
    </w:rPr>
  </w:style>
  <w:style w:type="character" w:customStyle="1" w:styleId="60">
    <w:name w:val="apple-converted-space"/>
    <w:basedOn w:val="30"/>
    <w:qFormat/>
    <w:uiPriority w:val="0"/>
  </w:style>
  <w:style w:type="character" w:customStyle="1" w:styleId="61">
    <w:name w:val="页码1"/>
    <w:basedOn w:val="30"/>
    <w:qFormat/>
    <w:uiPriority w:val="0"/>
  </w:style>
  <w:style w:type="character" w:customStyle="1" w:styleId="62">
    <w:name w:val="批注引用1"/>
    <w:qFormat/>
    <w:uiPriority w:val="0"/>
    <w:rPr>
      <w:sz w:val="21"/>
      <w:szCs w:val="21"/>
    </w:rPr>
  </w:style>
  <w:style w:type="paragraph" w:customStyle="1" w:styleId="63">
    <w:name w:val="文档结构图1"/>
    <w:basedOn w:val="1"/>
    <w:qFormat/>
    <w:uiPriority w:val="0"/>
    <w:pPr>
      <w:spacing w:line="360" w:lineRule="auto"/>
      <w:ind w:firstLine="200"/>
    </w:pPr>
    <w:rPr>
      <w:rFonts w:ascii="宋体" w:hAnsi="等线" w:eastAsia="等线" w:cs="Times New Roman"/>
      <w:color w:val="auto"/>
      <w:sz w:val="18"/>
      <w:szCs w:val="18"/>
    </w:rPr>
  </w:style>
  <w:style w:type="paragraph" w:customStyle="1" w:styleId="64">
    <w:name w:val="_Style 1"/>
    <w:basedOn w:val="1"/>
    <w:qFormat/>
    <w:uiPriority w:val="0"/>
    <w:pPr>
      <w:spacing w:line="360" w:lineRule="auto"/>
      <w:ind w:firstLine="200"/>
    </w:pPr>
    <w:rPr>
      <w:rFonts w:ascii="等线" w:hAnsi="等线" w:cs="Times New Roman"/>
      <w:color w:val="auto"/>
      <w:sz w:val="21"/>
      <w:szCs w:val="24"/>
    </w:rPr>
  </w:style>
  <w:style w:type="paragraph" w:customStyle="1" w:styleId="65">
    <w:name w:val="p16"/>
    <w:basedOn w:val="1"/>
    <w:qFormat/>
    <w:uiPriority w:val="0"/>
    <w:pPr>
      <w:widowControl/>
      <w:ind w:firstLine="420"/>
    </w:pPr>
    <w:rPr>
      <w:rFonts w:ascii="Calibri" w:hAnsi="Calibri"/>
      <w:color w:val="auto"/>
      <w:kern w:val="0"/>
      <w:sz w:val="21"/>
      <w:szCs w:val="21"/>
    </w:rPr>
  </w:style>
  <w:style w:type="paragraph" w:customStyle="1" w:styleId="66">
    <w:name w:val="日期1"/>
    <w:basedOn w:val="1"/>
    <w:next w:val="1"/>
    <w:qFormat/>
    <w:uiPriority w:val="0"/>
    <w:pPr>
      <w:spacing w:line="360" w:lineRule="auto"/>
      <w:ind w:left="100" w:leftChars="2500" w:firstLine="200"/>
    </w:pPr>
    <w:rPr>
      <w:rFonts w:ascii="等线" w:hAnsi="等线" w:cs="Times New Roman"/>
      <w:color w:val="auto"/>
      <w:sz w:val="21"/>
      <w:szCs w:val="24"/>
    </w:rPr>
  </w:style>
  <w:style w:type="paragraph" w:customStyle="1" w:styleId="67">
    <w:name w:val="列出段落4"/>
    <w:basedOn w:val="1"/>
    <w:qFormat/>
    <w:uiPriority w:val="0"/>
    <w:pPr>
      <w:ind w:firstLine="420"/>
    </w:pPr>
    <w:rPr>
      <w:rFonts w:ascii="Calibri" w:hAnsi="Calibri"/>
      <w:color w:val="auto"/>
      <w:sz w:val="21"/>
      <w:szCs w:val="21"/>
    </w:rPr>
  </w:style>
  <w:style w:type="paragraph" w:customStyle="1" w:styleId="68">
    <w:name w:val="无间隔1"/>
    <w:qFormat/>
    <w:uiPriority w:val="0"/>
    <w:pPr>
      <w:widowControl w:val="0"/>
      <w:spacing w:line="360" w:lineRule="auto"/>
      <w:ind w:firstLine="200" w:firstLineChars="200"/>
      <w:outlineLvl w:val="2"/>
    </w:pPr>
    <w:rPr>
      <w:rFonts w:ascii="等线" w:hAnsi="等线" w:eastAsia="仿宋_GB2312" w:cs="Times New Roman"/>
      <w:kern w:val="2"/>
      <w:sz w:val="24"/>
      <w:szCs w:val="24"/>
      <w:lang w:val="en-US" w:eastAsia="zh-CN" w:bidi="ar-SA"/>
    </w:rPr>
  </w:style>
  <w:style w:type="paragraph" w:customStyle="1" w:styleId="69">
    <w:name w:val="修订11"/>
    <w:qFormat/>
    <w:uiPriority w:val="0"/>
    <w:rPr>
      <w:rFonts w:ascii="等线" w:hAnsi="等线" w:eastAsia="仿宋_GB2312" w:cs="Times New Roman"/>
      <w:kern w:val="2"/>
      <w:sz w:val="24"/>
      <w:szCs w:val="24"/>
      <w:lang w:val="en-US" w:eastAsia="zh-CN" w:bidi="ar-SA"/>
    </w:rPr>
  </w:style>
  <w:style w:type="paragraph" w:customStyle="1" w:styleId="70">
    <w:name w:val="reader-word-layer"/>
    <w:basedOn w:val="1"/>
    <w:qFormat/>
    <w:uiPriority w:val="0"/>
    <w:pPr>
      <w:widowControl/>
      <w:spacing w:before="100" w:beforeAutospacing="1" w:after="100" w:afterAutospacing="1"/>
      <w:jc w:val="left"/>
    </w:pPr>
    <w:rPr>
      <w:rFonts w:ascii="宋体" w:hAnsi="宋体"/>
      <w:color w:val="auto"/>
      <w:kern w:val="0"/>
      <w:sz w:val="24"/>
      <w:szCs w:val="24"/>
    </w:rPr>
  </w:style>
  <w:style w:type="paragraph" w:customStyle="1" w:styleId="71">
    <w:name w:val="TOC 标题1"/>
    <w:basedOn w:val="3"/>
    <w:next w:val="1"/>
    <w:qFormat/>
    <w:uiPriority w:val="0"/>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paragraph" w:customStyle="1" w:styleId="72">
    <w:name w:val="列出段落1"/>
    <w:basedOn w:val="1"/>
    <w:qFormat/>
    <w:uiPriority w:val="0"/>
    <w:pPr>
      <w:spacing w:line="360" w:lineRule="auto"/>
      <w:ind w:firstLine="420"/>
    </w:pPr>
    <w:rPr>
      <w:rFonts w:ascii="等线" w:hAnsi="等线" w:eastAsia="仿宋_GB2312" w:cs="Times New Roman"/>
      <w:color w:val="auto"/>
      <w:sz w:val="24"/>
      <w:szCs w:val="24"/>
    </w:rPr>
  </w:style>
  <w:style w:type="paragraph" w:customStyle="1" w:styleId="73">
    <w:name w:val="TOC 标题2"/>
    <w:basedOn w:val="3"/>
    <w:next w:val="1"/>
    <w:unhideWhenUsed/>
    <w:qFormat/>
    <w:uiPriority w:val="39"/>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character" w:customStyle="1" w:styleId="74">
    <w:name w:val="Body text|1_"/>
    <w:basedOn w:val="30"/>
    <w:link w:val="75"/>
    <w:qFormat/>
    <w:uiPriority w:val="0"/>
    <w:rPr>
      <w:rFonts w:ascii="宋体" w:hAnsi="宋体" w:cs="宋体"/>
      <w:sz w:val="28"/>
      <w:szCs w:val="28"/>
      <w:lang w:val="zh-TW" w:eastAsia="zh-TW" w:bidi="zh-TW"/>
    </w:rPr>
  </w:style>
  <w:style w:type="paragraph" w:customStyle="1" w:styleId="75">
    <w:name w:val="Body text|1"/>
    <w:basedOn w:val="1"/>
    <w:link w:val="74"/>
    <w:qFormat/>
    <w:uiPriority w:val="0"/>
    <w:pPr>
      <w:spacing w:line="406" w:lineRule="auto"/>
      <w:ind w:firstLine="400"/>
      <w:jc w:val="left"/>
    </w:pPr>
    <w:rPr>
      <w:rFonts w:ascii="宋体" w:hAnsi="宋体"/>
      <w:color w:val="auto"/>
      <w:kern w:val="0"/>
      <w:lang w:val="zh-TW" w:eastAsia="zh-TW" w:bidi="zh-TW"/>
    </w:rPr>
  </w:style>
  <w:style w:type="paragraph" w:customStyle="1" w:styleId="76">
    <w:name w:val="font5"/>
    <w:basedOn w:val="1"/>
    <w:qFormat/>
    <w:uiPriority w:val="0"/>
    <w:pPr>
      <w:widowControl/>
      <w:spacing w:before="100" w:beforeAutospacing="1" w:after="100" w:afterAutospacing="1"/>
      <w:jc w:val="left"/>
    </w:pPr>
    <w:rPr>
      <w:rFonts w:ascii="宋体" w:hAnsi="宋体"/>
      <w:color w:val="auto"/>
      <w:kern w:val="0"/>
      <w:sz w:val="18"/>
      <w:szCs w:val="18"/>
    </w:rPr>
  </w:style>
  <w:style w:type="paragraph" w:customStyle="1" w:styleId="7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auto"/>
      <w:kern w:val="0"/>
      <w:sz w:val="24"/>
      <w:szCs w:val="24"/>
    </w:rPr>
  </w:style>
  <w:style w:type="paragraph" w:customStyle="1" w:styleId="80">
    <w:name w:val="xl80"/>
    <w:basedOn w:val="1"/>
    <w:qFormat/>
    <w:uiPriority w:val="0"/>
    <w:pPr>
      <w:widowControl/>
      <w:spacing w:before="100" w:beforeAutospacing="1" w:after="100" w:afterAutospacing="1"/>
      <w:jc w:val="center"/>
      <w:textAlignment w:val="center"/>
    </w:pPr>
    <w:rPr>
      <w:rFonts w:ascii="宋体" w:hAnsi="宋体"/>
      <w:color w:val="auto"/>
      <w:kern w:val="0"/>
      <w:sz w:val="24"/>
      <w:szCs w:val="24"/>
    </w:rPr>
  </w:style>
  <w:style w:type="paragraph" w:customStyle="1" w:styleId="81">
    <w:name w:val="font6"/>
    <w:basedOn w:val="1"/>
    <w:qFormat/>
    <w:uiPriority w:val="0"/>
    <w:pPr>
      <w:widowControl/>
      <w:spacing w:before="100" w:beforeAutospacing="1" w:after="100" w:afterAutospacing="1"/>
      <w:jc w:val="left"/>
    </w:pPr>
    <w:rPr>
      <w:rFonts w:ascii="宋体" w:hAnsi="宋体"/>
      <w:b/>
      <w:bCs/>
      <w:color w:val="auto"/>
      <w:kern w:val="0"/>
      <w:sz w:val="54"/>
      <w:szCs w:val="54"/>
    </w:rPr>
  </w:style>
  <w:style w:type="paragraph" w:customStyle="1" w:styleId="8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auto"/>
      <w:kern w:val="0"/>
      <w:sz w:val="24"/>
      <w:szCs w:val="24"/>
    </w:rPr>
  </w:style>
  <w:style w:type="paragraph" w:customStyle="1" w:styleId="8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auto"/>
      <w:kern w:val="0"/>
      <w:sz w:val="22"/>
      <w:szCs w:val="22"/>
    </w:rPr>
  </w:style>
  <w:style w:type="paragraph" w:customStyle="1" w:styleId="8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color w:val="auto"/>
      <w:kern w:val="0"/>
      <w:sz w:val="22"/>
      <w:szCs w:val="22"/>
    </w:rPr>
  </w:style>
  <w:style w:type="character" w:customStyle="1" w:styleId="85">
    <w:name w:val="文档结构图 Char1"/>
    <w:semiHidden/>
    <w:qFormat/>
    <w:uiPriority w:val="99"/>
    <w:rPr>
      <w:rFonts w:ascii="宋体"/>
      <w:kern w:val="2"/>
      <w:sz w:val="18"/>
      <w:szCs w:val="18"/>
    </w:rPr>
  </w:style>
  <w:style w:type="paragraph" w:customStyle="1" w:styleId="86">
    <w:name w:val="修订1"/>
    <w:semiHidden/>
    <w:qFormat/>
    <w:uiPriority w:val="99"/>
    <w:rPr>
      <w:rFonts w:ascii="等线" w:hAnsi="等线" w:eastAsia="仿宋_GB2312" w:cs="Times New Roman"/>
      <w:kern w:val="2"/>
      <w:sz w:val="24"/>
      <w:szCs w:val="24"/>
      <w:lang w:val="en-US" w:eastAsia="zh-CN" w:bidi="ar-SA"/>
    </w:rPr>
  </w:style>
  <w:style w:type="character" w:customStyle="1" w:styleId="87">
    <w:name w:val="font41"/>
    <w:basedOn w:val="30"/>
    <w:qFormat/>
    <w:uiPriority w:val="0"/>
    <w:rPr>
      <w:rFonts w:hint="eastAsia" w:ascii="宋体" w:hAnsi="宋体" w:eastAsia="宋体" w:cs="宋体"/>
      <w:color w:val="000000"/>
      <w:sz w:val="20"/>
      <w:szCs w:val="20"/>
      <w:u w:val="none"/>
    </w:rPr>
  </w:style>
  <w:style w:type="character" w:customStyle="1" w:styleId="88">
    <w:name w:val="font11"/>
    <w:basedOn w:val="30"/>
    <w:qFormat/>
    <w:uiPriority w:val="0"/>
    <w:rPr>
      <w:rFonts w:hint="eastAsia" w:ascii="宋体" w:hAnsi="宋体" w:eastAsia="宋体" w:cs="宋体"/>
      <w:color w:val="FF0000"/>
      <w:sz w:val="20"/>
      <w:szCs w:val="20"/>
      <w:u w:val="none"/>
    </w:rPr>
  </w:style>
  <w:style w:type="character" w:customStyle="1" w:styleId="89">
    <w:name w:val="font71"/>
    <w:basedOn w:val="30"/>
    <w:qFormat/>
    <w:uiPriority w:val="0"/>
    <w:rPr>
      <w:rFonts w:hint="eastAsia" w:ascii="仿宋" w:hAnsi="仿宋" w:eastAsia="仿宋" w:cs="仿宋"/>
      <w:color w:val="FF0000"/>
      <w:sz w:val="20"/>
      <w:szCs w:val="20"/>
      <w:u w:val="none"/>
    </w:rPr>
  </w:style>
  <w:style w:type="character" w:customStyle="1" w:styleId="90">
    <w:name w:val="font21"/>
    <w:basedOn w:val="30"/>
    <w:qFormat/>
    <w:uiPriority w:val="0"/>
    <w:rPr>
      <w:rFonts w:hint="eastAsia" w:ascii="仿宋" w:hAnsi="仿宋" w:eastAsia="仿宋" w:cs="仿宋"/>
      <w:color w:val="ED7D31"/>
      <w:sz w:val="20"/>
      <w:szCs w:val="20"/>
      <w:u w:val="none"/>
    </w:rPr>
  </w:style>
  <w:style w:type="character" w:customStyle="1" w:styleId="91">
    <w:name w:val="font51"/>
    <w:basedOn w:val="30"/>
    <w:qFormat/>
    <w:uiPriority w:val="0"/>
    <w:rPr>
      <w:rFonts w:hint="eastAsia" w:ascii="仿宋" w:hAnsi="仿宋" w:eastAsia="仿宋" w:cs="仿宋"/>
      <w:color w:val="000000"/>
      <w:sz w:val="20"/>
      <w:szCs w:val="20"/>
      <w:u w:val="none"/>
    </w:rPr>
  </w:style>
  <w:style w:type="character" w:customStyle="1" w:styleId="92">
    <w:name w:val="font31"/>
    <w:basedOn w:val="30"/>
    <w:qFormat/>
    <w:uiPriority w:val="0"/>
    <w:rPr>
      <w:rFonts w:hint="eastAsia" w:ascii="仿宋" w:hAnsi="仿宋" w:eastAsia="仿宋" w:cs="仿宋"/>
      <w:color w:val="0070C0"/>
      <w:sz w:val="20"/>
      <w:szCs w:val="20"/>
      <w:u w:val="none"/>
    </w:rPr>
  </w:style>
  <w:style w:type="character" w:customStyle="1" w:styleId="93">
    <w:name w:val="font91"/>
    <w:basedOn w:val="30"/>
    <w:qFormat/>
    <w:uiPriority w:val="0"/>
    <w:rPr>
      <w:rFonts w:ascii="Wingdings" w:hAnsi="Wingdings" w:cs="Wingdings"/>
      <w:color w:val="000000"/>
      <w:sz w:val="20"/>
      <w:szCs w:val="20"/>
      <w:u w:val="none"/>
    </w:rPr>
  </w:style>
  <w:style w:type="character" w:customStyle="1" w:styleId="94">
    <w:name w:val="font61"/>
    <w:basedOn w:val="30"/>
    <w:qFormat/>
    <w:uiPriority w:val="0"/>
    <w:rPr>
      <w:rFonts w:hint="eastAsia" w:ascii="仿宋" w:hAnsi="仿宋" w:eastAsia="仿宋" w:cs="仿宋"/>
      <w:color w:val="000000"/>
      <w:sz w:val="20"/>
      <w:szCs w:val="20"/>
      <w:u w:val="none"/>
    </w:rPr>
  </w:style>
  <w:style w:type="character" w:customStyle="1" w:styleId="95">
    <w:name w:val="font81"/>
    <w:basedOn w:val="30"/>
    <w:qFormat/>
    <w:uiPriority w:val="0"/>
    <w:rPr>
      <w:rFonts w:hint="default" w:ascii="Times New Roman" w:hAnsi="Times New Roman" w:cs="Times New Roman"/>
      <w:color w:val="000000"/>
      <w:sz w:val="20"/>
      <w:szCs w:val="20"/>
      <w:u w:val="none"/>
    </w:rPr>
  </w:style>
  <w:style w:type="character" w:customStyle="1" w:styleId="96">
    <w:name w:val="font01"/>
    <w:basedOn w:val="3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D982-CC96-4AA7-8216-1019302448E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910</Words>
  <Characters>963</Characters>
  <Lines>42</Lines>
  <Paragraphs>12</Paragraphs>
  <TotalTime>142</TotalTime>
  <ScaleCrop>false</ScaleCrop>
  <LinksUpToDate>false</LinksUpToDate>
  <CharactersWithSpaces>989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pc</dc:creator>
  <cp:lastModifiedBy>周琴</cp:lastModifiedBy>
  <cp:lastPrinted>2022-05-18T01:15:00Z</cp:lastPrinted>
  <dcterms:modified xsi:type="dcterms:W3CDTF">2025-02-12T02:17:13Z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5F2BE19DB3CD40A59E3F3BDFBAFD4983</vt:lpwstr>
  </property>
  <property fmtid="{D5CDD505-2E9C-101B-9397-08002B2CF9AE}" pid="4" name="KSOTemplateDocerSaveRecord">
    <vt:lpwstr>eyJoZGlkIjoiNjA3ZTYxNDkwNGJhMThmY2ZjZGNkM2E3ZGFjMWIzNjIiLCJ1c2VySWQiOiIxMjU4NzE5OTk5In0=</vt:lpwstr>
  </property>
</Properties>
</file>