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附件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7</w:t>
      </w:r>
    </w:p>
    <w:p>
      <w:pPr>
        <w:pageBreakBefore w:val="0"/>
        <w:widowControl/>
        <w:shd w:val="clear" w:color="auto" w:fill="FFFFFF"/>
        <w:tabs>
          <w:tab w:val="left" w:pos="444"/>
          <w:tab w:val="center" w:pos="448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32"/>
          <w:szCs w:val="24"/>
          <w:highlight w:val="none"/>
          <w:lang w:eastAsia="zh-CN"/>
        </w:rPr>
        <w:tab/>
      </w:r>
      <w:r>
        <w:rPr>
          <w:rFonts w:hint="eastAsia" w:ascii="Arial Narrow" w:hAnsi="Arial Narrow" w:eastAsia="仿宋_GB2312" w:cs="Arial Narrow"/>
          <w:b/>
          <w:color w:val="auto"/>
          <w:kern w:val="2"/>
          <w:sz w:val="32"/>
          <w:szCs w:val="24"/>
          <w:highlight w:val="none"/>
          <w:lang w:eastAsia="zh-CN"/>
        </w:rPr>
        <w:tab/>
      </w:r>
      <w:r>
        <w:rPr>
          <w:rFonts w:hint="eastAsia" w:ascii="Arial Narrow" w:hAnsi="Arial Narrow" w:eastAsia="仿宋_GB2312" w:cs="Arial Narrow"/>
          <w:b/>
          <w:color w:val="auto"/>
          <w:kern w:val="2"/>
          <w:sz w:val="32"/>
          <w:szCs w:val="24"/>
          <w:highlight w:val="none"/>
        </w:rPr>
        <w:t>绩效评价实施方案 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根据财政部印发的《财政支出绩效评价管理暂行办法》、《湖北省人民政府关于推进预算绩效管理的意见》，结合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具体情况，参考相关领域专家意见，制定本绩效评价实施方案，为绩效评价具体实施提供指导，确保绩效评价工作的顺利开展。</w:t>
      </w:r>
      <w:r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  <w:t> 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一、评价对象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本次评价对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 w:bidi="ar-SA"/>
        </w:rPr>
        <w:t>象为“规划设计经费、土地集约利用评价及基准地价更新服务费项目”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。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二、评价工作依据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（一）《中华人民共和国预算法》；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（二）财政部《财政支出绩效评价管理暂行办法》（财预〔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2011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〕285号）；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（三）关于印发《湖北省财政项目资金绩效评价操作指南》的通知（鄂财函〔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2014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〕376号）；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（四）《湖北省人民政府关于推进预算绩效管理的意见》（鄂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政发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2013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9号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）；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（五）《湖北省财政厅关于印发〈湖北省省级财政项目资金绩效评价实施暂行办法〉的通知》（鄂财绩发〔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2013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5号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）；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（六）《湖北省省级财政支出绩效评价结果应用暂行办法》（鄂财绩发〔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2016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17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号）；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default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（七）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《区财政局关于开展2019年度预算绩效自评工作的通知》（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武经开财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〔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20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〕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号）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三、评价工作方法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（一）绩效评价的方式包括现场评价和非现场评价方式。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绩效评价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采取现场评价的方式进行评价。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现场评价需要绩效评价项目小组到现场采取询问、观察、检查、复核、发放问卷等方式对评价项目的有关情况进行核实，对收集的资料进行整理和科学的分析，根据综合分析的结果得出评价结果，撰写评价报告。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（二）绩效评价方法主要包括成本效益分析法、比较法、最低成本法、公众评判法、统计计算法等。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绩效评价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根据项目特点和评价工作的要求，选择比较法、公众评判法、统计计算法等方法进行绩效评价分析，与此同时，我们收集了大量项目实施单位的各种统计资料进行分析研究。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1）比较法。是指通过对绩效目标与实际实施效果的对比，综合分析绩效目标实现程度。项目小组根据收集的项目资料和实地观察，了解项目实际实施情况，与项目申报时确定的绩效目标进行对比，评价绩效目标的实现程度。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2）公众评判法。是指通过专家评估等对财政支出效果进行评判，评价绩效目标实现程度。项目小组将对参与的管理部门和项目具体实施单位进行访谈，收集项目具体实施情况和效果的相关证据，为绩效分析结论提供有力支撑。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3）统计计算法。是指采用各种专业（或专门）指标的计算方法，通过收集项目实施的相关数据，采用统计或核算等方式进行计算实际完成或达到的结果，评价绩效目标实现程度。项目小组根据相关文件依据，设计符合项目特点的评价指标体系，然后采集数据按照计算公式进行计算分析，并根据计算结果分析项目的绩效目标实现程度。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bookmarkStart w:id="0" w:name="_Toc388270915"/>
      <w:bookmarkStart w:id="1" w:name="_Toc387957814"/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（三）证据收集方法</w:t>
      </w:r>
      <w:bookmarkEnd w:id="0"/>
      <w:bookmarkEnd w:id="1"/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bCs/>
          <w:color w:val="auto"/>
          <w:sz w:val="24"/>
          <w:szCs w:val="24"/>
          <w:highlight w:val="none"/>
        </w:rPr>
        <w:t>绩效评价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计划采取深入项目单位实地察看、面访、座谈、查阅相关资料、核查财务凭证等证据收集方法，并从项目单位获取大量高质量和准确可靠的数据信息，同时对项目实施相关机构进行访谈，收集绩效评价所需的基础性资料。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四、评分办法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绩效评价结果采取评分与评级相结合的形式，具体分值和等级根据不同评价内容设定，体现客观公正，具有公信力。量化分值一般为百分制，绩效评价等级标准分为：优（A）、良（B）、中（C）、差（D）4个评价等级。其中：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优（A）：评价总分≥90分，良（B）：90分&gt;评价总分≥80分</w:t>
      </w:r>
    </w:p>
    <w:p>
      <w:pPr>
        <w:pStyle w:val="13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中（C）： 80 分&gt;评价总分≥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分，差（D）：评价总分&lt;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分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五、评价实施步骤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（一）成立绩效评价项目小组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在武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汉经济开发区（汉南区）国土资源和规划局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（以下简称：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国土规划局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），根据《湖北省人民政府关于推进预算绩效管理的意见》、《湖北省财政厅关于印发〈湖北省省级财政项目资金绩效评价实施暂行办法〉的通知》和</w:t>
      </w:r>
      <w:r>
        <w:rPr>
          <w:rFonts w:hint="eastAsia" w:ascii="Arial Narrow" w:hAnsi="Arial Narrow" w:eastAsia="仿宋_GB2312" w:cs="Arial Narrow"/>
          <w:color w:val="auto"/>
          <w:highlight w:val="none"/>
        </w:rPr>
        <w:t>《区财政局关于开展2019年度预算绩效自评工作的通知》（武经开财〔2020〕10号）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等文件要求，成立绩效评价项目小组，具体实施绩效评价工作。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（二）绩效评价实施过程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1．制定绩效评价工作方案，工作方案包括绩效评价实施方案、评价指标体系及评价标准、访谈大纲、基础数据表、绩效评价资料清单。项目小组对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“规划设计经费、土地集约利用评价及基准地价更新服务费项目”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绩效评价相关事项进行讨论与研究，与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国土规划局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反复商讨并制定绩效评价指标体系以及所需的基础数据表，确定评价证据、数据来源及证据收集方法。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2．根据制定的绩效评价工作方案，收集项目实施单位项目实施材料，通过现场评价方法进行绩效评价。包括收集、审核基础资料；开展现场核查，核实项目是否实施以及项目实施情况是否良好，并进行拍照留痕；对收集的证据运用科学的方法进行综合分析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3．根据分析后的情况评分，形成综合评价结果，将评价结果纳入已确定的各项指标临界区间进行比较，确定绩效评价等级（优、良、中、差）。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4．对评价工作进行总结，将项目基本情况、项目单位绩效报告情况、绩效评价工作情况、评价分析及评价结果、评价等级、经验及做法、问题及建议等形成书面报告，向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val="en-US" w:eastAsia="zh-CN"/>
        </w:rPr>
        <w:t>国土规划局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汇报。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（三）建立绩效评价工作档案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绩效评价项目小组对评价工作进行总结，将工作背景、时间地点、工作基本情况、评价结果、评价等级、评价工作中的问题及工作建议等形成书面材料，建立项目评价工作档案。</w:t>
      </w:r>
    </w:p>
    <w:p>
      <w:pPr>
        <w:pStyle w:val="13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2"/>
        <w:jc w:val="both"/>
        <w:textAlignment w:val="auto"/>
        <w:outlineLvl w:val="0"/>
        <w:rPr>
          <w:rFonts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b/>
          <w:color w:val="auto"/>
          <w:kern w:val="2"/>
          <w:sz w:val="24"/>
          <w:szCs w:val="24"/>
          <w:highlight w:val="none"/>
        </w:rPr>
        <w:t>六、评价组组成人员及分工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（一）评价小组成员不得少于4名，评价小组应具备以下能力：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绩效评价知识和技能：具有成功开展绩效评价所需的知识、技能和经验。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沟通能力：具有良好的沟通能力，能与利益相关者进行友好沟通，促进利益相关者参与绩效评价并提供必要协助。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组织协调能力：具有良好的组织协调能力，包括组织和调动各种资源、协调评价中不同任务的进展、控制评价任务在规定的时间内完成。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了解项目情况：了解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“规划设计经费、土地集约利用评</w:t>
      </w:r>
      <w:bookmarkStart w:id="2" w:name="_GoBack"/>
      <w:bookmarkEnd w:id="2"/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  <w:lang w:eastAsia="zh-CN"/>
        </w:rPr>
        <w:t>价及基准地价更新服务费项目”</w:t>
      </w: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相关政策、优先重点、面临的主要问题。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ascii="Arial Narrow" w:hAnsi="Arial Narrow" w:eastAsia="仿宋_GB2312" w:cs="Arial Narrow"/>
          <w:color w:val="auto"/>
          <w:sz w:val="24"/>
          <w:szCs w:val="24"/>
          <w:highlight w:val="none"/>
        </w:rPr>
      </w:pPr>
      <w:r>
        <w:rPr>
          <w:rFonts w:hint="eastAsia" w:ascii="Arial Narrow" w:hAnsi="Arial Narrow" w:eastAsia="仿宋_GB2312" w:cs="Arial Narrow"/>
          <w:color w:val="auto"/>
          <w:sz w:val="24"/>
          <w:szCs w:val="24"/>
          <w:highlight w:val="none"/>
        </w:rPr>
        <w:t>（二）评价组成人员分工具体如下：</w:t>
      </w:r>
    </w:p>
    <w:tbl>
      <w:tblPr>
        <w:tblStyle w:val="8"/>
        <w:tblW w:w="8695" w:type="dxa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260"/>
        <w:gridCol w:w="297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  <w:t>活动描述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  <w:t>时间安排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b/>
                <w:color w:val="auto"/>
                <w:sz w:val="21"/>
                <w:szCs w:val="21"/>
                <w:highlight w:val="none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制定绩效评价工作方案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5月29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冯秋燕、王钦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设计绩效评价指标体系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周琴、李寒月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进行现场评价，收集、整理资料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 xml:space="preserve">日 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-5日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周琴、李寒月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对相关部门负责人进行访谈、收集相关证据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12日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周琴、李寒月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撰写绩效评价报告、整理附件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周琴、李寒月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与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国土规划局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沟通、反馈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并修改报告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-14日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冯秋燕、王钦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5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3260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提交绩效评价报告终稿</w:t>
            </w:r>
          </w:p>
        </w:tc>
        <w:tc>
          <w:tcPr>
            <w:tcW w:w="2977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Arial Narrow" w:hAnsi="Arial Narrow" w:eastAsia="仿宋_GB2312" w:cs="Arial Narrow"/>
                <w:color w:val="auto"/>
                <w:sz w:val="21"/>
                <w:szCs w:val="21"/>
                <w:highlight w:val="none"/>
                <w:lang w:val="en-US" w:eastAsia="zh-CN"/>
              </w:rPr>
              <w:t>冯秋燕、王钦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ascii="Arial Narrow" w:hAnsi="Arial Narrow" w:eastAsia="仿宋_GB2312" w:cs="仿宋"/>
          <w:color w:val="auto"/>
          <w:sz w:val="24"/>
          <w:szCs w:val="24"/>
          <w:highlight w:val="none"/>
        </w:rPr>
      </w:pPr>
    </w:p>
    <w:sectPr>
      <w:headerReference r:id="rId3" w:type="default"/>
      <w:pgSz w:w="11906" w:h="16838"/>
      <w:pgMar w:top="2835" w:right="1417" w:bottom="1417" w:left="1984" w:header="708" w:footer="680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Arial Narrow">
    <w:panose1 w:val="020B06060202020A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AF"/>
    <w:rsid w:val="00056BB6"/>
    <w:rsid w:val="000572BF"/>
    <w:rsid w:val="00071888"/>
    <w:rsid w:val="00075172"/>
    <w:rsid w:val="00077360"/>
    <w:rsid w:val="000816A5"/>
    <w:rsid w:val="00083D6E"/>
    <w:rsid w:val="000A69D4"/>
    <w:rsid w:val="000B5511"/>
    <w:rsid w:val="000C4409"/>
    <w:rsid w:val="000C6CA2"/>
    <w:rsid w:val="000E3259"/>
    <w:rsid w:val="000E50C2"/>
    <w:rsid w:val="00106B4E"/>
    <w:rsid w:val="00131F96"/>
    <w:rsid w:val="00140985"/>
    <w:rsid w:val="00142E1E"/>
    <w:rsid w:val="00217DB2"/>
    <w:rsid w:val="00282F70"/>
    <w:rsid w:val="002D2097"/>
    <w:rsid w:val="002E5EC1"/>
    <w:rsid w:val="002F04C3"/>
    <w:rsid w:val="00314422"/>
    <w:rsid w:val="00323B43"/>
    <w:rsid w:val="0034397B"/>
    <w:rsid w:val="00385A50"/>
    <w:rsid w:val="00392326"/>
    <w:rsid w:val="003A22E7"/>
    <w:rsid w:val="003D37D8"/>
    <w:rsid w:val="00407AA5"/>
    <w:rsid w:val="00414BF5"/>
    <w:rsid w:val="00416959"/>
    <w:rsid w:val="004358AB"/>
    <w:rsid w:val="0043622D"/>
    <w:rsid w:val="00476DBA"/>
    <w:rsid w:val="00476EAE"/>
    <w:rsid w:val="0049271C"/>
    <w:rsid w:val="00503177"/>
    <w:rsid w:val="005A0DE8"/>
    <w:rsid w:val="005C1C8E"/>
    <w:rsid w:val="006128BF"/>
    <w:rsid w:val="00662C18"/>
    <w:rsid w:val="0069369B"/>
    <w:rsid w:val="006C2014"/>
    <w:rsid w:val="006D564A"/>
    <w:rsid w:val="006F342F"/>
    <w:rsid w:val="0070653F"/>
    <w:rsid w:val="0077045C"/>
    <w:rsid w:val="007708E8"/>
    <w:rsid w:val="0079256F"/>
    <w:rsid w:val="007C3B52"/>
    <w:rsid w:val="007C63C1"/>
    <w:rsid w:val="007C6939"/>
    <w:rsid w:val="007E0C17"/>
    <w:rsid w:val="0080479A"/>
    <w:rsid w:val="00826BEF"/>
    <w:rsid w:val="00856598"/>
    <w:rsid w:val="00892E3A"/>
    <w:rsid w:val="008B7726"/>
    <w:rsid w:val="008D564C"/>
    <w:rsid w:val="00907AA1"/>
    <w:rsid w:val="00913B6E"/>
    <w:rsid w:val="00922613"/>
    <w:rsid w:val="009252B2"/>
    <w:rsid w:val="00945C09"/>
    <w:rsid w:val="00950529"/>
    <w:rsid w:val="009D225C"/>
    <w:rsid w:val="00A17389"/>
    <w:rsid w:val="00A83723"/>
    <w:rsid w:val="00AE62C8"/>
    <w:rsid w:val="00AF6265"/>
    <w:rsid w:val="00B10157"/>
    <w:rsid w:val="00B3361C"/>
    <w:rsid w:val="00B67469"/>
    <w:rsid w:val="00B80839"/>
    <w:rsid w:val="00C03C7E"/>
    <w:rsid w:val="00C3216E"/>
    <w:rsid w:val="00C65C77"/>
    <w:rsid w:val="00C66E28"/>
    <w:rsid w:val="00C85022"/>
    <w:rsid w:val="00CD3BD9"/>
    <w:rsid w:val="00D04922"/>
    <w:rsid w:val="00D47AAA"/>
    <w:rsid w:val="00D52746"/>
    <w:rsid w:val="00DA2E33"/>
    <w:rsid w:val="00DA6BAF"/>
    <w:rsid w:val="00DB6325"/>
    <w:rsid w:val="00DD3F29"/>
    <w:rsid w:val="00DD6540"/>
    <w:rsid w:val="00DD7766"/>
    <w:rsid w:val="00DE19CD"/>
    <w:rsid w:val="00DE6808"/>
    <w:rsid w:val="00E71FF8"/>
    <w:rsid w:val="00EC0F4A"/>
    <w:rsid w:val="00EC5438"/>
    <w:rsid w:val="00F06650"/>
    <w:rsid w:val="00F23380"/>
    <w:rsid w:val="00F7375E"/>
    <w:rsid w:val="00F76763"/>
    <w:rsid w:val="00FC7EF6"/>
    <w:rsid w:val="00FF13DF"/>
    <w:rsid w:val="00FF6998"/>
    <w:rsid w:val="016075C2"/>
    <w:rsid w:val="016A1358"/>
    <w:rsid w:val="03954A03"/>
    <w:rsid w:val="09E52695"/>
    <w:rsid w:val="0A1F7488"/>
    <w:rsid w:val="0A825F31"/>
    <w:rsid w:val="0CF40621"/>
    <w:rsid w:val="0EAA17E7"/>
    <w:rsid w:val="0FD552A0"/>
    <w:rsid w:val="119310CE"/>
    <w:rsid w:val="14EA0E4C"/>
    <w:rsid w:val="151168F1"/>
    <w:rsid w:val="18921F18"/>
    <w:rsid w:val="1A333BED"/>
    <w:rsid w:val="1A91356E"/>
    <w:rsid w:val="1B6005D0"/>
    <w:rsid w:val="20AC63AB"/>
    <w:rsid w:val="243B7BFC"/>
    <w:rsid w:val="265C7042"/>
    <w:rsid w:val="269771D7"/>
    <w:rsid w:val="274B7800"/>
    <w:rsid w:val="27FC6A70"/>
    <w:rsid w:val="2E750146"/>
    <w:rsid w:val="2F640C2E"/>
    <w:rsid w:val="2FDB3C0E"/>
    <w:rsid w:val="30EB77EA"/>
    <w:rsid w:val="322A6AE4"/>
    <w:rsid w:val="332D52BB"/>
    <w:rsid w:val="34320B0E"/>
    <w:rsid w:val="344C1EB0"/>
    <w:rsid w:val="34D97264"/>
    <w:rsid w:val="356375DC"/>
    <w:rsid w:val="356817B0"/>
    <w:rsid w:val="39854416"/>
    <w:rsid w:val="3A3D0B14"/>
    <w:rsid w:val="3ABC3DF7"/>
    <w:rsid w:val="3E0C2DD7"/>
    <w:rsid w:val="40425C7E"/>
    <w:rsid w:val="41DD1838"/>
    <w:rsid w:val="426C6D49"/>
    <w:rsid w:val="44090DAF"/>
    <w:rsid w:val="46656302"/>
    <w:rsid w:val="4A253E60"/>
    <w:rsid w:val="4EE27366"/>
    <w:rsid w:val="51950691"/>
    <w:rsid w:val="51CF6B9C"/>
    <w:rsid w:val="555552A1"/>
    <w:rsid w:val="571B5A30"/>
    <w:rsid w:val="59FD16B3"/>
    <w:rsid w:val="5BE84E9A"/>
    <w:rsid w:val="5C4E5938"/>
    <w:rsid w:val="5C79006C"/>
    <w:rsid w:val="5C867518"/>
    <w:rsid w:val="5CF86DA0"/>
    <w:rsid w:val="5F386BAA"/>
    <w:rsid w:val="6298563A"/>
    <w:rsid w:val="62BE23D8"/>
    <w:rsid w:val="668211BC"/>
    <w:rsid w:val="68250891"/>
    <w:rsid w:val="68754AC8"/>
    <w:rsid w:val="6A136D7E"/>
    <w:rsid w:val="6CA94432"/>
    <w:rsid w:val="6F972637"/>
    <w:rsid w:val="71FF2C12"/>
    <w:rsid w:val="730C10E8"/>
    <w:rsid w:val="776D36B4"/>
    <w:rsid w:val="781B619B"/>
    <w:rsid w:val="7AF72227"/>
    <w:rsid w:val="7BA25B46"/>
    <w:rsid w:val="7BBB277F"/>
    <w:rsid w:val="7C874C17"/>
    <w:rsid w:val="7D0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</w:style>
  <w:style w:type="paragraph" w:styleId="4">
    <w:name w:val="Balloon Text"/>
    <w:basedOn w:val="1"/>
    <w:link w:val="15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ahoma" w:hAnsi="Tahoma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批注文字 Char"/>
    <w:basedOn w:val="9"/>
    <w:link w:val="3"/>
    <w:semiHidden/>
    <w:qFormat/>
    <w:uiPriority w:val="99"/>
    <w:rPr>
      <w:rFonts w:ascii="Tahoma" w:hAnsi="Tahoma"/>
      <w:sz w:val="22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ahoma" w:hAnsi="Tahoma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406</Words>
  <Characters>2319</Characters>
  <Lines>19</Lines>
  <Paragraphs>5</Paragraphs>
  <TotalTime>3</TotalTime>
  <ScaleCrop>false</ScaleCrop>
  <LinksUpToDate>false</LinksUpToDate>
  <CharactersWithSpaces>2720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2015-06-17T07:56:00Z</dcterms:created>
  <dc:creator>admin</dc:creator>
  <cp:lastModifiedBy>windy*</cp:lastModifiedBy>
  <dcterms:modified xsi:type="dcterms:W3CDTF">2020-06-03T08:53:15Z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