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0" w:leftChars="0" w:firstLine="0" w:firstLineChars="0"/>
        <w:rPr>
          <w:rFonts w:hint="default" w:ascii="Arial Narrow" w:hAnsi="Arial Narrow" w:eastAsia="仿宋_GB2312" w:cs="Arial Narrow"/>
          <w:sz w:val="22"/>
        </w:rPr>
      </w:pPr>
      <w:r>
        <w:rPr>
          <w:rFonts w:hint="default" w:ascii="Arial Narrow" w:hAnsi="Arial Narrow" w:eastAsia="仿宋_GB2312" w:cs="Arial Narrow"/>
          <w:sz w:val="22"/>
        </w:rPr>
        <w:t>附件5</w:t>
      </w:r>
      <w:bookmarkStart w:id="87" w:name="_GoBack"/>
      <w:bookmarkEnd w:id="87"/>
    </w:p>
    <w:sdt>
      <w:sdtPr>
        <w:rPr>
          <w:rFonts w:hint="default" w:ascii="Arial Narrow" w:hAnsi="Arial Narrow" w:eastAsia="仿宋_GB2312" w:cs="Arial Narrow"/>
          <w:b w:val="0"/>
          <w:bCs w:val="0"/>
          <w:color w:val="auto"/>
          <w:kern w:val="2"/>
          <w:sz w:val="21"/>
          <w:szCs w:val="22"/>
          <w:lang w:val="zh-CN"/>
        </w:rPr>
        <w:id w:val="2074697515"/>
        <w:docPartObj>
          <w:docPartGallery w:val="Table of Contents"/>
          <w:docPartUnique/>
        </w:docPartObj>
      </w:sdtPr>
      <w:sdtEndPr>
        <w:rPr>
          <w:rFonts w:hint="default" w:ascii="Arial Narrow" w:hAnsi="Arial Narrow" w:eastAsia="仿宋_GB2312" w:cs="Arial Narrow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3"/>
            <w:jc w:val="center"/>
            <w:rPr>
              <w:rFonts w:hint="default" w:ascii="Arial Narrow" w:hAnsi="Arial Narrow" w:eastAsia="仿宋_GB2312" w:cs="Arial Narrow"/>
            </w:rPr>
          </w:pPr>
          <w:r>
            <w:rPr>
              <w:rFonts w:hint="default" w:ascii="Arial Narrow" w:hAnsi="Arial Narrow" w:eastAsia="仿宋_GB2312" w:cs="Arial Narrow"/>
              <w:color w:val="000000" w:themeColor="text1"/>
              <w:sz w:val="32"/>
              <w:szCs w:val="32"/>
              <w:lang w:val="zh-CN"/>
              <w14:textFill>
                <w14:solidFill>
                  <w14:schemeClr w14:val="tx1"/>
                </w14:solidFill>
              </w14:textFill>
            </w:rPr>
            <w:t>评价依据目录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fldChar w:fldCharType="begin"/>
          </w:r>
          <w:r>
            <w:instrText xml:space="preserve">TOC \o "1-3" \n  \u </w:instrText>
          </w:r>
          <w:r>
            <w:fldChar w:fldCharType="separate"/>
          </w:r>
          <w:r>
            <w:rPr>
              <w:rFonts w:hint="eastAsia" w:ascii="Arial Narrow" w:hAnsi="Arial Narrow" w:eastAsia="仿宋_GB2312" w:cs="Arial Narrow"/>
              <w:bCs w:val="0"/>
              <w:lang w:val="en-US" w:eastAsia="zh-CN"/>
            </w:rPr>
            <w:t xml:space="preserve">一、 </w:t>
          </w:r>
          <w:r>
            <w:rPr>
              <w:rFonts w:hint="default" w:ascii="Arial Narrow" w:hAnsi="Arial Narrow" w:eastAsia="仿宋_GB2312" w:cs="Arial Narrow"/>
              <w:bCs w:val="0"/>
              <w:lang w:val="en-US" w:eastAsia="zh-CN"/>
            </w:rPr>
            <w:t>部门三定方案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二、《汉南区国土资源和规划管理局档案数字化工作方案》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三、《汉南区国土资源和规划局关于成立局档案工作领导小组的通知》（汉土规发【2013】5号）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四、《2019年开发区部门项目申报及绩效目标表》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五、《武汉开发区（汉南区）财政局关于批复武汉经济技术开发区（汉南区）国土资源和规划局2019年预算的函》（武经开财预【2019】1号）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六、关于申请追加不动产登记档案整理扫描超出部分经费的请示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七、项目支出明细账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八、记账凭证及有关附件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九、内部控制手册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十</w:t>
          </w:r>
          <w:r>
            <w:rPr>
              <w:rFonts w:hint="default" w:ascii="Arial Narrow" w:hAnsi="Arial Narrow" w:eastAsia="仿宋_GB2312" w:cs="Arial Narrow"/>
              <w:bCs w:val="0"/>
              <w:lang w:eastAsia="zh-CN"/>
            </w:rPr>
            <w:t>、</w:t>
          </w:r>
          <w:r>
            <w:rPr>
              <w:rFonts w:hint="default" w:ascii="Arial Narrow" w:hAnsi="Arial Narrow" w:eastAsia="仿宋_GB2312" w:cs="Arial Narrow"/>
              <w:bCs w:val="0"/>
            </w:rPr>
            <w:t>《档案保管、鉴定销毁制度》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  <w:szCs w:val="28"/>
            </w:rPr>
            <w:t>十一、</w:t>
          </w:r>
          <w:r>
            <w:rPr>
              <w:rFonts w:hint="default" w:ascii="Arial Narrow" w:hAnsi="Arial Narrow" w:eastAsia="仿宋_GB2312" w:cs="Arial Narrow"/>
              <w:bCs w:val="0"/>
            </w:rPr>
            <w:t>《档案保密制度》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十二、《档案查阅制度》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十三、《档案数字化加工扫描合同书》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十四、武汉经济技术开发区（汉南区）自然资源和规划局经开档案室2019-2020年档案移交清单资料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十五、2017-1年商品房批量预告（抵押）档案移交清单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十六、经开其他专业2019年整理统计表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十七、《武汉经济开发区（汉南区）国土资源和规划局2019年档案数字化扫描多页数据抽检表》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十八、《借阅档案登记簿》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十九、《档案库房温湿度测记表》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二十、《档案安全检查记录》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二十一、《关于印发汉南区国土资源和规划局档案查阅制度的通知》</w:t>
          </w:r>
        </w:p>
        <w:p>
          <w:pPr>
            <w:pStyle w:val="6"/>
            <w:tabs>
              <w:tab w:val="right" w:pos="8306"/>
              <w:tab w:val="clear" w:pos="8296"/>
            </w:tabs>
          </w:pPr>
          <w:r>
            <w:rPr>
              <w:rFonts w:hint="default" w:ascii="Arial Narrow" w:hAnsi="Arial Narrow" w:eastAsia="仿宋_GB2312" w:cs="Arial Narrow"/>
              <w:bCs w:val="0"/>
            </w:rPr>
            <w:t>二十二、信息中心职责和分工</w:t>
          </w:r>
        </w:p>
        <w:p>
          <w:pPr>
            <w:rPr>
              <w:rFonts w:hint="default" w:ascii="Arial Narrow" w:hAnsi="Arial Narrow" w:eastAsia="仿宋_GB2312" w:cs="Arial Narrow"/>
            </w:rPr>
          </w:pPr>
          <w:r>
            <w:fldChar w:fldCharType="end"/>
          </w:r>
        </w:p>
      </w:sdtContent>
    </w:sdt>
    <w:p>
      <w:pPr>
        <w:pStyle w:val="4"/>
        <w:numPr>
          <w:ilvl w:val="0"/>
          <w:numId w:val="1"/>
        </w:numPr>
        <w:rPr>
          <w:rFonts w:hint="default" w:ascii="Arial Narrow" w:hAnsi="Arial Narrow" w:eastAsia="仿宋_GB2312" w:cs="Arial Narrow"/>
          <w:b w:val="0"/>
          <w:bCs w:val="0"/>
          <w:lang w:val="en-US" w:eastAsia="zh-CN"/>
        </w:rPr>
      </w:pPr>
      <w:bookmarkStart w:id="0" w:name="_Toc22462"/>
      <w:bookmarkStart w:id="1" w:name="_Toc14698382"/>
      <w:r>
        <w:rPr>
          <w:rFonts w:hint="default" w:ascii="Arial Narrow" w:hAnsi="Arial Narrow" w:eastAsia="仿宋_GB2312" w:cs="Arial Narrow"/>
          <w:b w:val="0"/>
          <w:bCs w:val="0"/>
          <w:lang w:val="en-US" w:eastAsia="zh-CN"/>
        </w:rPr>
        <w:t>部门三定方案</w:t>
      </w:r>
      <w:bookmarkEnd w:id="0"/>
    </w:p>
    <w:p>
      <w:pPr>
        <w:numPr>
          <w:ilvl w:val="0"/>
          <w:numId w:val="0"/>
        </w:numPr>
        <w:outlineLvl w:val="9"/>
        <w:rPr>
          <w:rFonts w:hint="default" w:ascii="Arial Narrow" w:hAnsi="Arial Narrow" w:eastAsia="仿宋_GB2312" w:cs="Arial Narrow"/>
          <w:lang w:val="en-US" w:eastAsia="zh-CN"/>
        </w:rPr>
      </w:pP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659380" cy="3442335"/>
            <wp:effectExtent l="0" t="0" r="762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lang w:val="en-US" w:eastAsia="zh-CN"/>
        </w:rPr>
        <w:t xml:space="preserve"> 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366010" cy="3185160"/>
            <wp:effectExtent l="0" t="0" r="15240" b="152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left"/>
        <w:rPr>
          <w:rFonts w:hint="default" w:ascii="Arial Narrow" w:hAnsi="Arial Narrow" w:eastAsia="仿宋_GB2312" w:cs="Arial Narrow"/>
          <w:b w:val="0"/>
          <w:bCs w:val="0"/>
          <w:kern w:val="0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2" w:name="_Toc516221663"/>
      <w:bookmarkStart w:id="3" w:name="_Toc14698383"/>
      <w:bookmarkStart w:id="4" w:name="_Toc19078"/>
      <w:bookmarkStart w:id="5" w:name="_Toc517961387"/>
      <w:bookmarkStart w:id="6" w:name="_Toc517961414"/>
      <w:r>
        <w:rPr>
          <w:rFonts w:hint="default" w:ascii="Arial Narrow" w:hAnsi="Arial Narrow" w:eastAsia="仿宋_GB2312" w:cs="Arial Narrow"/>
          <w:b w:val="0"/>
          <w:bCs w:val="0"/>
        </w:rPr>
        <w:t>二、</w:t>
      </w:r>
      <w:bookmarkEnd w:id="2"/>
      <w:bookmarkEnd w:id="3"/>
      <w:r>
        <w:rPr>
          <w:rFonts w:hint="default" w:ascii="Arial Narrow" w:hAnsi="Arial Narrow" w:eastAsia="仿宋_GB2312" w:cs="Arial Narrow"/>
          <w:b w:val="0"/>
          <w:bCs w:val="0"/>
        </w:rPr>
        <w:t>《汉南区国土资源和规划管理局档案数字化工作方案》</w:t>
      </w:r>
      <w:bookmarkEnd w:id="4"/>
    </w:p>
    <w:p>
      <w:pPr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  <w:b w:val="0"/>
          <w:bCs w:val="0"/>
        </w:rPr>
        <w:drawing>
          <wp:inline distT="0" distB="0" distL="0" distR="0">
            <wp:extent cx="2505075" cy="293624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9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b w:val="0"/>
          <w:bCs w:val="0"/>
        </w:rPr>
        <w:t xml:space="preserve">  </w:t>
      </w:r>
      <w:r>
        <w:rPr>
          <w:rFonts w:hint="default" w:ascii="Arial Narrow" w:hAnsi="Arial Narrow" w:eastAsia="仿宋_GB2312" w:cs="Arial Narrow"/>
          <w:b w:val="0"/>
          <w:bCs w:val="0"/>
        </w:rPr>
        <w:drawing>
          <wp:inline distT="0" distB="0" distL="0" distR="0">
            <wp:extent cx="2399030" cy="3102610"/>
            <wp:effectExtent l="0" t="0" r="1270" b="254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27" cy="31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p>
      <w:pPr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  <w:b w:val="0"/>
          <w:bCs w:val="0"/>
        </w:rPr>
        <w:t xml:space="preserve">  </w:t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7" w:name="_Toc517961415"/>
      <w:bookmarkStart w:id="8" w:name="_Toc516221664"/>
      <w:bookmarkStart w:id="9" w:name="_Toc14698384"/>
      <w:bookmarkStart w:id="10" w:name="_Toc517961388"/>
      <w:bookmarkStart w:id="11" w:name="_Toc24892"/>
      <w:r>
        <w:rPr>
          <w:rFonts w:hint="default" w:ascii="Arial Narrow" w:hAnsi="Arial Narrow" w:eastAsia="仿宋_GB2312" w:cs="Arial Narrow"/>
          <w:b w:val="0"/>
          <w:bCs w:val="0"/>
        </w:rPr>
        <w:t>三、</w:t>
      </w:r>
      <w:bookmarkEnd w:id="7"/>
      <w:bookmarkEnd w:id="8"/>
      <w:bookmarkEnd w:id="9"/>
      <w:bookmarkEnd w:id="10"/>
      <w:r>
        <w:rPr>
          <w:rFonts w:hint="default" w:ascii="Arial Narrow" w:hAnsi="Arial Narrow" w:eastAsia="仿宋_GB2312" w:cs="Arial Narrow"/>
          <w:b w:val="0"/>
          <w:bCs w:val="0"/>
        </w:rPr>
        <w:t>《汉南区国土资源和规划局关于成立局档案工作领导小组的通知》（汉土规发【2013】5号）</w:t>
      </w:r>
      <w:bookmarkEnd w:id="11"/>
    </w:p>
    <w:p>
      <w:pPr>
        <w:widowControl/>
        <w:rPr>
          <w:rFonts w:hint="default" w:ascii="Arial Narrow" w:hAnsi="Arial Narrow" w:eastAsia="仿宋_GB2312" w:cs="Arial Narrow"/>
          <w:b w:val="0"/>
          <w:bCs w:val="0"/>
          <w:kern w:val="0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Arial Narrow" w:hAnsi="Arial Narrow" w:eastAsia="仿宋_GB2312" w:cs="Arial Narrow"/>
          <w:b w:val="0"/>
          <w:bCs w:val="0"/>
          <w:kern w:val="0"/>
          <w:sz w:val="24"/>
          <w:szCs w:val="24"/>
        </w:rPr>
        <w:t xml:space="preserve">   </w:t>
      </w:r>
      <w:r>
        <w:rPr>
          <w:rFonts w:hint="default" w:ascii="Arial Narrow" w:hAnsi="Arial Narrow" w:eastAsia="仿宋_GB2312" w:cs="Arial Narrow"/>
          <w:b w:val="0"/>
          <w:bCs w:val="0"/>
          <w:sz w:val="24"/>
          <w:szCs w:val="32"/>
        </w:rPr>
        <w:drawing>
          <wp:inline distT="0" distB="0" distL="0" distR="0">
            <wp:extent cx="2458720" cy="3203575"/>
            <wp:effectExtent l="0" t="0" r="1778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20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b w:val="0"/>
          <w:bCs w:val="0"/>
          <w:sz w:val="24"/>
          <w:szCs w:val="32"/>
          <w:lang w:val="en-US" w:eastAsia="zh-CN"/>
        </w:rPr>
        <w:t xml:space="preserve">   </w:t>
      </w:r>
      <w:r>
        <w:rPr>
          <w:rFonts w:hint="default" w:ascii="Arial Narrow" w:hAnsi="Arial Narrow" w:eastAsia="仿宋_GB2312" w:cs="Arial Narrow"/>
          <w:b w:val="0"/>
          <w:bCs w:val="0"/>
        </w:rPr>
        <w:drawing>
          <wp:inline distT="0" distB="0" distL="0" distR="0">
            <wp:extent cx="2313940" cy="3220085"/>
            <wp:effectExtent l="0" t="0" r="1016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325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Arial Narrow" w:hAnsi="Arial Narrow" w:eastAsia="仿宋_GB2312" w:cs="Arial Narrow"/>
          <w:b w:val="0"/>
          <w:bCs w:val="0"/>
          <w:kern w:val="0"/>
          <w:sz w:val="24"/>
          <w:szCs w:val="24"/>
        </w:rPr>
      </w:pPr>
    </w:p>
    <w:p>
      <w:pPr>
        <w:widowControl/>
        <w:jc w:val="left"/>
        <w:rPr>
          <w:rFonts w:hint="default" w:ascii="Arial Narrow" w:hAnsi="Arial Narrow" w:eastAsia="仿宋_GB2312" w:cs="Arial Narrow"/>
          <w:b w:val="0"/>
          <w:bCs w:val="0"/>
          <w:kern w:val="0"/>
          <w:sz w:val="24"/>
          <w:szCs w:val="24"/>
        </w:rPr>
      </w:pPr>
      <w:r>
        <w:rPr>
          <w:rFonts w:hint="default" w:ascii="Arial Narrow" w:hAnsi="Arial Narrow" w:eastAsia="仿宋_GB2312" w:cs="Arial Narrow"/>
          <w:b w:val="0"/>
          <w:bCs w:val="0"/>
        </w:rPr>
        <w:t xml:space="preserve"> </w:t>
      </w:r>
    </w:p>
    <w:p>
      <w:pPr>
        <w:widowControl/>
        <w:jc w:val="center"/>
        <w:rPr>
          <w:rFonts w:hint="default" w:ascii="Arial Narrow" w:hAnsi="Arial Narrow" w:eastAsia="仿宋_GB2312" w:cs="Arial Narrow"/>
          <w:b w:val="0"/>
          <w:bCs w:val="0"/>
          <w:kern w:val="0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12" w:name="_Toc517961389"/>
      <w:bookmarkStart w:id="13" w:name="_Toc516221665"/>
      <w:bookmarkStart w:id="14" w:name="_Toc517961416"/>
      <w:bookmarkStart w:id="15" w:name="_Toc14698385"/>
      <w:bookmarkStart w:id="16" w:name="_Toc24096"/>
      <w:r>
        <w:rPr>
          <w:rFonts w:hint="default" w:ascii="Arial Narrow" w:hAnsi="Arial Narrow" w:eastAsia="仿宋_GB2312" w:cs="Arial Narrow"/>
          <w:b w:val="0"/>
          <w:bCs w:val="0"/>
        </w:rPr>
        <w:t>四、</w:t>
      </w:r>
      <w:bookmarkEnd w:id="12"/>
      <w:bookmarkEnd w:id="13"/>
      <w:bookmarkEnd w:id="14"/>
      <w:bookmarkEnd w:id="15"/>
      <w:r>
        <w:rPr>
          <w:rFonts w:hint="default" w:ascii="Arial Narrow" w:hAnsi="Arial Narrow" w:eastAsia="仿宋_GB2312" w:cs="Arial Narrow"/>
          <w:b w:val="0"/>
          <w:bCs w:val="0"/>
        </w:rPr>
        <w:t>《2019年开发区部门项目申报及绩效目标表》</w:t>
      </w:r>
      <w:bookmarkEnd w:id="16"/>
      <w:r>
        <w:rPr>
          <w:rFonts w:hint="default" w:ascii="Arial Narrow" w:hAnsi="Arial Narrow" w:eastAsia="仿宋_GB2312" w:cs="Arial Narrow"/>
          <w:b w:val="0"/>
          <w:bCs w:val="0"/>
        </w:rPr>
        <w:t xml:space="preserve">                                                                   </w:t>
      </w:r>
    </w:p>
    <w:p>
      <w:pPr>
        <w:spacing w:line="360" w:lineRule="auto"/>
        <w:jc w:val="left"/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746375" cy="3225800"/>
            <wp:effectExtent l="0" t="0" r="15875" b="1270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b w:val="0"/>
          <w:bCs w:val="0"/>
        </w:rPr>
        <w:t xml:space="preserve"> 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238375" cy="3045460"/>
            <wp:effectExtent l="0" t="0" r="9525" b="25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17" w:name="_Toc517961417"/>
      <w:bookmarkStart w:id="18" w:name="_Toc517961390"/>
      <w:bookmarkStart w:id="19" w:name="_Toc516221666"/>
      <w:bookmarkStart w:id="20" w:name="_Toc14698386"/>
      <w:bookmarkStart w:id="21" w:name="_Toc14798"/>
      <w:r>
        <w:rPr>
          <w:rFonts w:hint="default" w:ascii="Arial Narrow" w:hAnsi="Arial Narrow" w:eastAsia="仿宋_GB2312" w:cs="Arial Narrow"/>
          <w:b w:val="0"/>
          <w:bCs w:val="0"/>
        </w:rPr>
        <w:t>五、</w:t>
      </w:r>
      <w:bookmarkEnd w:id="17"/>
      <w:bookmarkEnd w:id="18"/>
      <w:bookmarkEnd w:id="19"/>
      <w:bookmarkEnd w:id="20"/>
      <w:r>
        <w:rPr>
          <w:rFonts w:hint="default" w:ascii="Arial Narrow" w:hAnsi="Arial Narrow" w:eastAsia="仿宋_GB2312" w:cs="Arial Narrow"/>
          <w:b w:val="0"/>
          <w:bCs w:val="0"/>
        </w:rPr>
        <w:t>《武汉开发区（汉南区）财政局关于批复武汉经济技术开发区（汉南区）国土资源和规划局2019年预算的函》（武经开财预【2019】1号）</w:t>
      </w:r>
      <w:bookmarkEnd w:id="21"/>
      <w:r>
        <w:rPr>
          <w:rFonts w:hint="default" w:ascii="Arial Narrow" w:hAnsi="Arial Narrow" w:eastAsia="仿宋_GB2312" w:cs="Arial Narrow"/>
          <w:b w:val="0"/>
          <w:bCs w:val="0"/>
        </w:rPr>
        <w:t xml:space="preserve">    </w:t>
      </w:r>
    </w:p>
    <w:p>
      <w:pPr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</w:pP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468245" cy="3427095"/>
            <wp:effectExtent l="0" t="0" r="8255" b="190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  <w:t xml:space="preserve"> 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496185" cy="3388360"/>
            <wp:effectExtent l="0" t="0" r="18415" b="254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22" w:name="_Toc14698387"/>
      <w:bookmarkStart w:id="23" w:name="_Toc516221667"/>
      <w:bookmarkStart w:id="24" w:name="_Toc517961418"/>
      <w:bookmarkStart w:id="25" w:name="_Toc517961391"/>
      <w:bookmarkStart w:id="26" w:name="_Toc12128"/>
      <w:r>
        <w:rPr>
          <w:rFonts w:hint="default" w:ascii="Arial Narrow" w:hAnsi="Arial Narrow" w:eastAsia="仿宋_GB2312" w:cs="Arial Narrow"/>
          <w:b w:val="0"/>
          <w:bCs w:val="0"/>
        </w:rPr>
        <w:t>六、</w:t>
      </w:r>
      <w:bookmarkEnd w:id="22"/>
      <w:bookmarkEnd w:id="23"/>
      <w:bookmarkEnd w:id="24"/>
      <w:bookmarkEnd w:id="25"/>
      <w:r>
        <w:rPr>
          <w:rFonts w:hint="default" w:ascii="Arial Narrow" w:hAnsi="Arial Narrow" w:eastAsia="仿宋_GB2312" w:cs="Arial Narrow"/>
          <w:b w:val="0"/>
          <w:bCs w:val="0"/>
        </w:rPr>
        <w:t>关于申请追加不动产登记档案整理扫描超出部分经费的请示</w:t>
      </w:r>
      <w:bookmarkEnd w:id="26"/>
    </w:p>
    <w:p>
      <w:pPr>
        <w:rPr>
          <w:rFonts w:hint="default" w:ascii="Arial Narrow" w:hAnsi="Arial Narrow" w:eastAsia="仿宋_GB2312" w:cs="Arial Narrow"/>
        </w:rPr>
      </w:pP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607945" cy="3500755"/>
            <wp:effectExtent l="0" t="0" r="1905" b="444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  <w:b w:val="0"/>
          <w:bCs w:val="0"/>
        </w:rPr>
        <w:t xml:space="preserve">  </w:t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27" w:name="_Toc517961419"/>
      <w:bookmarkStart w:id="28" w:name="_Toc516221668"/>
      <w:bookmarkStart w:id="29" w:name="_Toc517961392"/>
      <w:bookmarkStart w:id="30" w:name="_Toc14698388"/>
      <w:bookmarkStart w:id="31" w:name="_Toc30153"/>
      <w:r>
        <w:rPr>
          <w:rFonts w:hint="default" w:ascii="Arial Narrow" w:hAnsi="Arial Narrow" w:eastAsia="仿宋_GB2312" w:cs="Arial Narrow"/>
          <w:b w:val="0"/>
          <w:bCs w:val="0"/>
        </w:rPr>
        <w:t>七、</w:t>
      </w:r>
      <w:bookmarkEnd w:id="27"/>
      <w:bookmarkEnd w:id="28"/>
      <w:bookmarkEnd w:id="29"/>
      <w:bookmarkEnd w:id="30"/>
      <w:r>
        <w:rPr>
          <w:rFonts w:hint="default" w:ascii="Arial Narrow" w:hAnsi="Arial Narrow" w:eastAsia="仿宋_GB2312" w:cs="Arial Narrow"/>
          <w:b w:val="0"/>
          <w:bCs w:val="0"/>
        </w:rPr>
        <w:t>项目支出明细账</w:t>
      </w:r>
      <w:bookmarkEnd w:id="31"/>
    </w:p>
    <w:p>
      <w:pPr>
        <w:rPr>
          <w:rFonts w:hint="default" w:ascii="Arial Narrow" w:hAnsi="Arial Narrow" w:eastAsia="仿宋_GB2312" w:cs="Arial Narrow"/>
          <w:b w:val="0"/>
          <w:bCs w:val="0"/>
        </w:rPr>
      </w:pPr>
    </w:p>
    <w:p>
      <w:pPr>
        <w:rPr>
          <w:rFonts w:hint="default" w:ascii="Arial Narrow" w:hAnsi="Arial Narrow" w:eastAsia="仿宋_GB2312" w:cs="Arial Narrow"/>
          <w:b w:val="0"/>
          <w:bCs w:val="0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5021580" cy="3305810"/>
            <wp:effectExtent l="0" t="0" r="7620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32" w:name="_Toc14698389"/>
      <w:bookmarkStart w:id="33" w:name="_Toc10851"/>
      <w:bookmarkStart w:id="34" w:name="_Toc517961393"/>
      <w:bookmarkStart w:id="35" w:name="_Toc516221669"/>
      <w:bookmarkStart w:id="36" w:name="_Toc517961420"/>
      <w:r>
        <w:rPr>
          <w:rFonts w:hint="default" w:ascii="Arial Narrow" w:hAnsi="Arial Narrow" w:eastAsia="仿宋_GB2312" w:cs="Arial Narrow"/>
          <w:b w:val="0"/>
          <w:bCs w:val="0"/>
        </w:rPr>
        <w:t>八、</w:t>
      </w:r>
      <w:bookmarkEnd w:id="32"/>
      <w:r>
        <w:rPr>
          <w:rFonts w:hint="default" w:ascii="Arial Narrow" w:hAnsi="Arial Narrow" w:eastAsia="仿宋_GB2312" w:cs="Arial Narrow"/>
          <w:b w:val="0"/>
          <w:bCs w:val="0"/>
        </w:rPr>
        <w:t>记账凭证及有关附件</w:t>
      </w:r>
      <w:bookmarkEnd w:id="33"/>
    </w:p>
    <w:p>
      <w:pPr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  <w:b w:val="0"/>
          <w:bCs w:val="0"/>
        </w:rPr>
        <w:t xml:space="preserve"> 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5001260" cy="2773680"/>
            <wp:effectExtent l="0" t="0" r="8890" b="762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4909185" cy="2994025"/>
            <wp:effectExtent l="0" t="0" r="5715" b="1587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 Narrow" w:hAnsi="Arial Narrow" w:eastAsia="仿宋_GB2312" w:cs="Arial Narrow"/>
          <w:b w:val="0"/>
          <w:bCs w:val="0"/>
        </w:rPr>
      </w:pP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37" w:name="_Toc14698390"/>
      <w:bookmarkStart w:id="38" w:name="_Toc15744"/>
      <w:r>
        <w:rPr>
          <w:rFonts w:hint="default" w:ascii="Arial Narrow" w:hAnsi="Arial Narrow" w:eastAsia="仿宋_GB2312" w:cs="Arial Narrow"/>
          <w:b w:val="0"/>
          <w:bCs w:val="0"/>
        </w:rPr>
        <w:t>九、</w:t>
      </w:r>
      <w:bookmarkEnd w:id="37"/>
      <w:r>
        <w:rPr>
          <w:rFonts w:hint="default" w:ascii="Arial Narrow" w:hAnsi="Arial Narrow" w:eastAsia="仿宋_GB2312" w:cs="Arial Narrow"/>
          <w:b w:val="0"/>
          <w:bCs w:val="0"/>
        </w:rPr>
        <w:t>内部控制手册</w:t>
      </w:r>
      <w:bookmarkEnd w:id="38"/>
    </w:p>
    <w:p>
      <w:pPr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  <w:b w:val="0"/>
          <w:bCs w:val="0"/>
        </w:rPr>
        <w:t xml:space="preserve">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703830" cy="3622040"/>
            <wp:effectExtent l="0" t="0" r="1270" b="1651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lang w:val="en-US" w:eastAsia="zh-CN"/>
        </w:rPr>
        <w:t xml:space="preserve"> 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329180" cy="3533140"/>
            <wp:effectExtent l="0" t="0" r="13970" b="1016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39" w:name="_Toc14698391"/>
      <w:bookmarkStart w:id="40" w:name="_Toc22554"/>
      <w:r>
        <w:rPr>
          <w:rFonts w:hint="default" w:ascii="Arial Narrow" w:hAnsi="Arial Narrow" w:eastAsia="仿宋_GB2312" w:cs="Arial Narrow"/>
          <w:b w:val="0"/>
          <w:bCs w:val="0"/>
        </w:rPr>
        <w:t>十</w:t>
      </w:r>
      <w:r>
        <w:rPr>
          <w:rFonts w:hint="default" w:ascii="Arial Narrow" w:hAnsi="Arial Narrow" w:eastAsia="仿宋_GB2312" w:cs="Arial Narrow"/>
          <w:b w:val="0"/>
          <w:bCs w:val="0"/>
          <w:lang w:eastAsia="zh-CN"/>
        </w:rPr>
        <w:t>、</w:t>
      </w:r>
      <w:bookmarkEnd w:id="39"/>
      <w:r>
        <w:rPr>
          <w:rFonts w:hint="default" w:ascii="Arial Narrow" w:hAnsi="Arial Narrow" w:eastAsia="仿宋_GB2312" w:cs="Arial Narrow"/>
          <w:b w:val="0"/>
          <w:bCs w:val="0"/>
        </w:rPr>
        <w:t>《档案保管、鉴定销毁制度》</w:t>
      </w:r>
      <w:bookmarkEnd w:id="40"/>
    </w:p>
    <w:p>
      <w:pPr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  <w:b w:val="0"/>
          <w:bCs w:val="0"/>
        </w:rPr>
        <w:t xml:space="preserve">  </w:t>
      </w:r>
      <w:r>
        <w:rPr>
          <w:rFonts w:hint="default" w:ascii="Arial Narrow" w:hAnsi="Arial Narrow" w:eastAsia="仿宋_GB2312" w:cs="Arial Narrow"/>
          <w:b w:val="0"/>
          <w:bCs w:val="0"/>
          <w:sz w:val="24"/>
          <w:szCs w:val="32"/>
        </w:rPr>
        <w:drawing>
          <wp:inline distT="0" distB="0" distL="0" distR="0">
            <wp:extent cx="2437765" cy="3279775"/>
            <wp:effectExtent l="0" t="0" r="635" b="158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028" cy="32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b w:val="0"/>
          <w:bCs w:val="0"/>
          <w:sz w:val="24"/>
          <w:szCs w:val="32"/>
        </w:rPr>
        <w:drawing>
          <wp:inline distT="0" distB="0" distL="0" distR="0">
            <wp:extent cx="2479040" cy="3209925"/>
            <wp:effectExtent l="0" t="0" r="1651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92" cy="32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  <w:b w:val="0"/>
          <w:bCs w:val="0"/>
          <w:sz w:val="24"/>
          <w:szCs w:val="28"/>
        </w:rPr>
        <w:t xml:space="preserve"> </w:t>
      </w:r>
      <w:bookmarkStart w:id="41" w:name="_Toc14698392"/>
      <w:bookmarkStart w:id="42" w:name="_Toc6246"/>
      <w:r>
        <w:rPr>
          <w:rFonts w:hint="default" w:ascii="Arial Narrow" w:hAnsi="Arial Narrow" w:eastAsia="仿宋_GB2312" w:cs="Arial Narrow"/>
          <w:b w:val="0"/>
          <w:bCs w:val="0"/>
          <w:sz w:val="24"/>
          <w:szCs w:val="28"/>
        </w:rPr>
        <w:t>十一、</w:t>
      </w:r>
      <w:bookmarkEnd w:id="41"/>
      <w:r>
        <w:rPr>
          <w:rFonts w:hint="default" w:ascii="Arial Narrow" w:hAnsi="Arial Narrow" w:eastAsia="仿宋_GB2312" w:cs="Arial Narrow"/>
          <w:b w:val="0"/>
          <w:bCs w:val="0"/>
        </w:rPr>
        <w:t>《档案保密制度》</w:t>
      </w:r>
      <w:bookmarkEnd w:id="42"/>
    </w:p>
    <w:p>
      <w:pPr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  <w:b w:val="0"/>
          <w:bCs w:val="0"/>
        </w:rPr>
        <w:drawing>
          <wp:inline distT="0" distB="0" distL="0" distR="0">
            <wp:extent cx="2447290" cy="3101340"/>
            <wp:effectExtent l="0" t="0" r="1016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10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b w:val="0"/>
          <w:bCs w:val="0"/>
        </w:rPr>
        <w:drawing>
          <wp:inline distT="0" distB="0" distL="0" distR="0">
            <wp:extent cx="2408555" cy="3793490"/>
            <wp:effectExtent l="0" t="0" r="1079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37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b w:val="0"/>
          <w:bCs w:val="0"/>
        </w:rPr>
        <w:t xml:space="preserve"> </w:t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43" w:name="_Toc14698393"/>
      <w:bookmarkStart w:id="44" w:name="_Toc17254"/>
      <w:r>
        <w:rPr>
          <w:rFonts w:hint="default" w:ascii="Arial Narrow" w:hAnsi="Arial Narrow" w:eastAsia="仿宋_GB2312" w:cs="Arial Narrow"/>
          <w:b w:val="0"/>
          <w:bCs w:val="0"/>
        </w:rPr>
        <w:t>十二、</w:t>
      </w:r>
      <w:bookmarkEnd w:id="34"/>
      <w:bookmarkEnd w:id="35"/>
      <w:bookmarkEnd w:id="36"/>
      <w:bookmarkEnd w:id="43"/>
      <w:r>
        <w:rPr>
          <w:rFonts w:hint="default" w:ascii="Arial Narrow" w:hAnsi="Arial Narrow" w:eastAsia="仿宋_GB2312" w:cs="Arial Narrow"/>
          <w:b w:val="0"/>
          <w:bCs w:val="0"/>
        </w:rPr>
        <w:t>《档案查阅制度》</w:t>
      </w:r>
      <w:bookmarkEnd w:id="44"/>
    </w:p>
    <w:p>
      <w:pPr>
        <w:rPr>
          <w:rFonts w:hint="default" w:ascii="Arial Narrow" w:hAnsi="Arial Narrow" w:eastAsia="仿宋_GB2312" w:cs="Arial Narrow"/>
          <w:b w:val="0"/>
          <w:bCs w:val="0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Arial Narrow" w:hAnsi="Arial Narrow" w:eastAsia="仿宋_GB2312" w:cs="Arial Narrow"/>
          <w:b w:val="0"/>
          <w:bCs w:val="0"/>
        </w:rPr>
        <w:drawing>
          <wp:inline distT="0" distB="0" distL="0" distR="0">
            <wp:extent cx="2874010" cy="31737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352" cy="317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b w:val="0"/>
          <w:bCs w:val="0"/>
        </w:rPr>
        <w:drawing>
          <wp:inline distT="0" distB="0" distL="0" distR="0">
            <wp:extent cx="2299335" cy="2927985"/>
            <wp:effectExtent l="0" t="0" r="571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53" cy="29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45" w:name="_Toc517961394"/>
      <w:bookmarkStart w:id="46" w:name="_Toc14698394"/>
      <w:bookmarkStart w:id="47" w:name="_Toc516221670"/>
      <w:bookmarkStart w:id="48" w:name="_Toc517961421"/>
      <w:bookmarkStart w:id="49" w:name="_Toc27178"/>
      <w:r>
        <w:rPr>
          <w:rFonts w:hint="default" w:ascii="Arial Narrow" w:hAnsi="Arial Narrow" w:eastAsia="仿宋_GB2312" w:cs="Arial Narrow"/>
          <w:b w:val="0"/>
          <w:bCs w:val="0"/>
        </w:rPr>
        <w:t>十三、</w:t>
      </w:r>
      <w:bookmarkEnd w:id="45"/>
      <w:bookmarkEnd w:id="46"/>
      <w:bookmarkEnd w:id="47"/>
      <w:bookmarkEnd w:id="48"/>
      <w:r>
        <w:rPr>
          <w:rFonts w:hint="default" w:ascii="Arial Narrow" w:hAnsi="Arial Narrow" w:eastAsia="仿宋_GB2312" w:cs="Arial Narrow"/>
          <w:b w:val="0"/>
          <w:bCs w:val="0"/>
        </w:rPr>
        <w:t>《档案数字化加工扫描合同书》</w:t>
      </w:r>
      <w:bookmarkEnd w:id="49"/>
    </w:p>
    <w:p>
      <w:pPr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563495" cy="3369310"/>
            <wp:effectExtent l="0" t="0" r="8255" b="254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lang w:val="en-US" w:eastAsia="zh-CN"/>
        </w:rPr>
        <w:t xml:space="preserve"> 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480945" cy="3326765"/>
            <wp:effectExtent l="0" t="0" r="14605" b="698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50" w:name="_Toc14698395"/>
      <w:bookmarkStart w:id="51" w:name="_Toc517961422"/>
      <w:bookmarkStart w:id="52" w:name="_Toc516221671"/>
      <w:bookmarkStart w:id="53" w:name="_Toc517961395"/>
      <w:bookmarkStart w:id="54" w:name="_Toc31811"/>
      <w:r>
        <w:rPr>
          <w:rFonts w:hint="default" w:ascii="Arial Narrow" w:hAnsi="Arial Narrow" w:eastAsia="仿宋_GB2312" w:cs="Arial Narrow"/>
          <w:b w:val="0"/>
          <w:bCs w:val="0"/>
        </w:rPr>
        <w:t>十四、</w:t>
      </w:r>
      <w:bookmarkEnd w:id="50"/>
      <w:bookmarkEnd w:id="51"/>
      <w:bookmarkEnd w:id="52"/>
      <w:bookmarkEnd w:id="53"/>
      <w:r>
        <w:rPr>
          <w:rFonts w:hint="default" w:ascii="Arial Narrow" w:hAnsi="Arial Narrow" w:eastAsia="仿宋_GB2312" w:cs="Arial Narrow"/>
          <w:b w:val="0"/>
          <w:bCs w:val="0"/>
        </w:rPr>
        <w:t>武汉经济技术开发区（汉南区）自然资源和规划局经开档案室2019-2020年档案移交清单资料</w:t>
      </w:r>
      <w:bookmarkEnd w:id="54"/>
      <w:r>
        <w:rPr>
          <w:rFonts w:hint="default" w:ascii="Arial Narrow" w:hAnsi="Arial Narrow" w:eastAsia="仿宋_GB2312" w:cs="Arial Narrow"/>
          <w:b w:val="0"/>
          <w:bCs w:val="0"/>
        </w:rPr>
        <w:tab/>
      </w:r>
    </w:p>
    <w:p>
      <w:pPr>
        <w:widowControl/>
        <w:tabs>
          <w:tab w:val="left" w:pos="6615"/>
        </w:tabs>
        <w:jc w:val="left"/>
        <w:rPr>
          <w:rFonts w:hint="default" w:ascii="Arial Narrow" w:hAnsi="Arial Narrow" w:eastAsia="仿宋_GB2312" w:cs="Arial Narrow"/>
          <w:b w:val="0"/>
          <w:bCs w:val="0"/>
          <w:kern w:val="0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630170" cy="3585210"/>
            <wp:effectExtent l="0" t="0" r="1778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lang w:val="en-US" w:eastAsia="zh-CN"/>
        </w:rPr>
        <w:t xml:space="preserve"> 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326005" cy="3581400"/>
            <wp:effectExtent l="0" t="0" r="1714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Arial Narrow" w:hAnsi="Arial Narrow" w:eastAsia="仿宋_GB2312" w:cs="Arial Narrow"/>
          <w:b w:val="0"/>
          <w:bCs w:val="0"/>
          <w:kern w:val="0"/>
          <w:sz w:val="24"/>
          <w:szCs w:val="24"/>
          <w:lang w:eastAsia="zh-CN"/>
        </w:rPr>
      </w:pPr>
    </w:p>
    <w:p>
      <w:pPr>
        <w:widowControl/>
        <w:jc w:val="center"/>
        <w:rPr>
          <w:rFonts w:hint="default" w:ascii="Arial Narrow" w:hAnsi="Arial Narrow" w:eastAsia="仿宋_GB2312" w:cs="Arial Narrow"/>
          <w:b w:val="0"/>
          <w:bCs w:val="0"/>
          <w:kern w:val="0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55" w:name="_Toc517961423"/>
      <w:bookmarkStart w:id="56" w:name="_Toc516221672"/>
      <w:bookmarkStart w:id="57" w:name="_Toc517961396"/>
      <w:bookmarkStart w:id="58" w:name="_Toc14698396"/>
      <w:bookmarkStart w:id="59" w:name="_Toc31161"/>
      <w:r>
        <w:rPr>
          <w:rFonts w:hint="default" w:ascii="Arial Narrow" w:hAnsi="Arial Narrow" w:eastAsia="仿宋_GB2312" w:cs="Arial Narrow"/>
          <w:b w:val="0"/>
          <w:bCs w:val="0"/>
        </w:rPr>
        <w:t>十五、</w:t>
      </w:r>
      <w:bookmarkEnd w:id="55"/>
      <w:bookmarkEnd w:id="56"/>
      <w:bookmarkEnd w:id="57"/>
      <w:bookmarkEnd w:id="58"/>
      <w:r>
        <w:rPr>
          <w:rFonts w:hint="default" w:ascii="Arial Narrow" w:hAnsi="Arial Narrow" w:eastAsia="仿宋_GB2312" w:cs="Arial Narrow"/>
          <w:b w:val="0"/>
          <w:bCs w:val="0"/>
        </w:rPr>
        <w:t>2017-1年商品房批量预告（抵押）档案移交清单</w:t>
      </w:r>
      <w:bookmarkEnd w:id="59"/>
    </w:p>
    <w:p>
      <w:pPr>
        <w:spacing w:line="360" w:lineRule="auto"/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</w:pPr>
      <w:r>
        <w:rPr>
          <w:rFonts w:hint="default" w:ascii="Arial Narrow" w:hAnsi="Arial Narrow" w:eastAsia="仿宋_GB2312" w:cs="Arial Narrow"/>
          <w:b w:val="0"/>
          <w:bCs w:val="0"/>
        </w:rPr>
        <w:t xml:space="preserve">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4552950" cy="2844165"/>
            <wp:effectExtent l="0" t="0" r="0" b="1333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60" w:name="_Toc517961424"/>
      <w:bookmarkStart w:id="61" w:name="_Toc516221673"/>
      <w:bookmarkStart w:id="62" w:name="_Toc517961397"/>
      <w:bookmarkStart w:id="63" w:name="_Toc14698397"/>
      <w:bookmarkStart w:id="64" w:name="_Toc20804"/>
      <w:r>
        <w:rPr>
          <w:rFonts w:hint="default" w:ascii="Arial Narrow" w:hAnsi="Arial Narrow" w:eastAsia="仿宋_GB2312" w:cs="Arial Narrow"/>
          <w:b w:val="0"/>
          <w:bCs w:val="0"/>
        </w:rPr>
        <w:t>十六、</w:t>
      </w:r>
      <w:bookmarkEnd w:id="60"/>
      <w:bookmarkEnd w:id="61"/>
      <w:bookmarkEnd w:id="62"/>
      <w:bookmarkEnd w:id="63"/>
      <w:r>
        <w:rPr>
          <w:rFonts w:hint="default" w:ascii="Arial Narrow" w:hAnsi="Arial Narrow" w:eastAsia="仿宋_GB2312" w:cs="Arial Narrow"/>
          <w:b w:val="0"/>
          <w:bCs w:val="0"/>
        </w:rPr>
        <w:t>经开其他专业2019年整理统计表</w:t>
      </w:r>
      <w:bookmarkEnd w:id="64"/>
    </w:p>
    <w:p>
      <w:pPr>
        <w:widowControl/>
        <w:jc w:val="left"/>
        <w:rPr>
          <w:rFonts w:hint="default" w:ascii="Arial Narrow" w:hAnsi="Arial Narrow" w:eastAsia="仿宋_GB2312" w:cs="Arial Narrow"/>
          <w:b w:val="0"/>
          <w:bCs w:val="0"/>
          <w:kern w:val="0"/>
          <w:sz w:val="24"/>
          <w:szCs w:val="24"/>
        </w:rPr>
      </w:pP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850515" cy="3391535"/>
            <wp:effectExtent l="0" t="0" r="6985" b="1841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65" w:name="_Toc14698398"/>
      <w:bookmarkStart w:id="66" w:name="_Toc516221674"/>
      <w:bookmarkStart w:id="67" w:name="_Toc517961398"/>
      <w:bookmarkStart w:id="68" w:name="_Toc517961425"/>
      <w:bookmarkStart w:id="69" w:name="_Toc22861"/>
      <w:r>
        <w:rPr>
          <w:rFonts w:hint="default" w:ascii="Arial Narrow" w:hAnsi="Arial Narrow" w:eastAsia="仿宋_GB2312" w:cs="Arial Narrow"/>
          <w:b w:val="0"/>
          <w:bCs w:val="0"/>
        </w:rPr>
        <w:t>十七、</w:t>
      </w:r>
      <w:bookmarkEnd w:id="65"/>
      <w:bookmarkEnd w:id="66"/>
      <w:bookmarkEnd w:id="67"/>
      <w:bookmarkEnd w:id="68"/>
      <w:r>
        <w:rPr>
          <w:rFonts w:hint="default" w:ascii="Arial Narrow" w:hAnsi="Arial Narrow" w:eastAsia="仿宋_GB2312" w:cs="Arial Narrow"/>
          <w:b w:val="0"/>
          <w:bCs w:val="0"/>
        </w:rPr>
        <w:t>《武汉经济开发区（汉南区）国土资源和规划局2019年档案数字化扫描多页数据抽检表》</w:t>
      </w:r>
      <w:bookmarkEnd w:id="69"/>
    </w:p>
    <w:p>
      <w:pPr>
        <w:jc w:val="left"/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</w:pPr>
      <w:r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  <w:t xml:space="preserve">   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380615" cy="3711575"/>
            <wp:effectExtent l="0" t="0" r="63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lang w:val="en-US" w:eastAsia="zh-CN"/>
        </w:rPr>
        <w:t xml:space="preserve">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494915" cy="3751580"/>
            <wp:effectExtent l="0" t="0" r="635" b="12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70" w:name="_Toc517961399"/>
      <w:bookmarkStart w:id="71" w:name="_Toc516221681"/>
      <w:bookmarkStart w:id="72" w:name="_Toc14698399"/>
      <w:bookmarkStart w:id="73" w:name="_Toc517961426"/>
      <w:bookmarkStart w:id="74" w:name="_Toc23014"/>
      <w:r>
        <w:rPr>
          <w:rFonts w:hint="default" w:ascii="Arial Narrow" w:hAnsi="Arial Narrow" w:eastAsia="仿宋_GB2312" w:cs="Arial Narrow"/>
          <w:b w:val="0"/>
          <w:bCs w:val="0"/>
        </w:rPr>
        <w:t>十八、</w:t>
      </w:r>
      <w:bookmarkEnd w:id="70"/>
      <w:bookmarkEnd w:id="71"/>
      <w:bookmarkEnd w:id="72"/>
      <w:bookmarkEnd w:id="73"/>
      <w:r>
        <w:rPr>
          <w:rFonts w:hint="default" w:ascii="Arial Narrow" w:hAnsi="Arial Narrow" w:eastAsia="仿宋_GB2312" w:cs="Arial Narrow"/>
          <w:b w:val="0"/>
          <w:bCs w:val="0"/>
        </w:rPr>
        <w:t>《借阅档案登记簿》</w:t>
      </w:r>
      <w:bookmarkEnd w:id="74"/>
    </w:p>
    <w:p>
      <w:pPr>
        <w:pStyle w:val="5"/>
        <w:rPr>
          <w:rFonts w:hint="default" w:ascii="Arial Narrow" w:hAnsi="Arial Narrow" w:eastAsia="仿宋_GB2312" w:cs="Arial Narrow"/>
          <w:b w:val="0"/>
          <w:bCs w:val="0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4804410" cy="3141345"/>
            <wp:effectExtent l="0" t="0" r="15240" b="1905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 Narrow" w:hAnsi="Arial Narrow" w:eastAsia="仿宋_GB2312" w:cs="Arial Narrow"/>
          <w:b w:val="0"/>
          <w:bCs w:val="0"/>
        </w:rPr>
      </w:pPr>
      <w:r>
        <w:rPr>
          <w:rFonts w:hint="default" w:ascii="Arial Narrow" w:hAnsi="Arial Narrow" w:eastAsia="仿宋_GB2312" w:cs="Arial Narrow"/>
          <w:b w:val="0"/>
          <w:bCs w:val="0"/>
        </w:rPr>
        <w:t xml:space="preserve">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4819650" cy="3244850"/>
            <wp:effectExtent l="0" t="0" r="0" b="1270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75" w:name="_Toc517961427"/>
      <w:bookmarkStart w:id="76" w:name="_Toc14698400"/>
      <w:bookmarkStart w:id="77" w:name="_Toc517961400"/>
      <w:bookmarkStart w:id="78" w:name="_Toc516221683"/>
      <w:bookmarkStart w:id="79" w:name="_Toc32751"/>
      <w:r>
        <w:rPr>
          <w:rFonts w:hint="default" w:ascii="Arial Narrow" w:hAnsi="Arial Narrow" w:eastAsia="仿宋_GB2312" w:cs="Arial Narrow"/>
          <w:b w:val="0"/>
          <w:bCs w:val="0"/>
        </w:rPr>
        <w:t>十九、</w:t>
      </w:r>
      <w:bookmarkEnd w:id="75"/>
      <w:bookmarkEnd w:id="76"/>
      <w:bookmarkEnd w:id="77"/>
      <w:bookmarkEnd w:id="78"/>
      <w:bookmarkStart w:id="80" w:name="_Toc516221684"/>
      <w:r>
        <w:rPr>
          <w:rFonts w:hint="default" w:ascii="Arial Narrow" w:hAnsi="Arial Narrow" w:eastAsia="仿宋_GB2312" w:cs="Arial Narrow"/>
          <w:b w:val="0"/>
          <w:bCs w:val="0"/>
        </w:rPr>
        <w:t>《档案库房温湿度测记表》</w:t>
      </w:r>
      <w:bookmarkEnd w:id="79"/>
    </w:p>
    <w:p>
      <w:pPr>
        <w:spacing w:line="360" w:lineRule="auto"/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</w:pPr>
      <w:r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  <w:t xml:space="preserve">   </w:t>
      </w:r>
      <w:bookmarkEnd w:id="80"/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443480" cy="3529330"/>
            <wp:effectExtent l="0" t="0" r="13970" b="1397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lang w:val="en-US" w:eastAsia="zh-CN"/>
        </w:rPr>
        <w:t xml:space="preserve">  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339340" cy="3522345"/>
            <wp:effectExtent l="0" t="0" r="3810" b="190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81" w:name="_Toc14698401"/>
      <w:bookmarkStart w:id="82" w:name="_Toc135"/>
      <w:r>
        <w:rPr>
          <w:rFonts w:hint="default" w:ascii="Arial Narrow" w:hAnsi="Arial Narrow" w:eastAsia="仿宋_GB2312" w:cs="Arial Narrow"/>
          <w:b w:val="0"/>
          <w:bCs w:val="0"/>
        </w:rPr>
        <w:t>二十、</w:t>
      </w:r>
      <w:bookmarkEnd w:id="81"/>
      <w:r>
        <w:rPr>
          <w:rFonts w:hint="default" w:ascii="Arial Narrow" w:hAnsi="Arial Narrow" w:eastAsia="仿宋_GB2312" w:cs="Arial Narrow"/>
          <w:b w:val="0"/>
          <w:bCs w:val="0"/>
        </w:rPr>
        <w:t>《档案安全检查记录》</w:t>
      </w:r>
      <w:bookmarkEnd w:id="82"/>
    </w:p>
    <w:p>
      <w:pPr>
        <w:spacing w:line="360" w:lineRule="auto"/>
        <w:jc w:val="left"/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</w:pP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506345" cy="3555365"/>
            <wp:effectExtent l="0" t="0" r="8255" b="6985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lang w:val="en-US" w:eastAsia="zh-CN"/>
        </w:rPr>
        <w:t xml:space="preserve">  </w:t>
      </w:r>
      <w:r>
        <w:rPr>
          <w:rFonts w:hint="default" w:ascii="Arial Narrow" w:hAnsi="Arial Narrow" w:eastAsia="仿宋_GB2312" w:cs="Arial Narrow"/>
        </w:rPr>
        <w:drawing>
          <wp:inline distT="0" distB="0" distL="114300" distR="114300">
            <wp:extent cx="2540000" cy="3545205"/>
            <wp:effectExtent l="0" t="0" r="12700" b="17145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83" w:name="_Toc14698402"/>
      <w:bookmarkStart w:id="84" w:name="_Toc10265"/>
      <w:r>
        <w:rPr>
          <w:rFonts w:hint="default" w:ascii="Arial Narrow" w:hAnsi="Arial Narrow" w:eastAsia="仿宋_GB2312" w:cs="Arial Narrow"/>
          <w:b w:val="0"/>
          <w:bCs w:val="0"/>
        </w:rPr>
        <w:t>二十一、</w:t>
      </w:r>
      <w:bookmarkEnd w:id="83"/>
      <w:r>
        <w:rPr>
          <w:rFonts w:hint="default" w:ascii="Arial Narrow" w:hAnsi="Arial Narrow" w:eastAsia="仿宋_GB2312" w:cs="Arial Narrow"/>
          <w:b w:val="0"/>
          <w:bCs w:val="0"/>
        </w:rPr>
        <w:t>《关于印发汉南区国土资源和规划局档案查阅制度的通知》</w:t>
      </w:r>
      <w:bookmarkEnd w:id="84"/>
    </w:p>
    <w:p>
      <w:pPr>
        <w:spacing w:line="360" w:lineRule="auto"/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</w:pPr>
      <w:r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  <w:drawing>
          <wp:inline distT="0" distB="0" distL="0" distR="0">
            <wp:extent cx="2051685" cy="2816225"/>
            <wp:effectExtent l="0" t="0" r="5715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13" cy="28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  <w:drawing>
          <wp:inline distT="0" distB="0" distL="0" distR="0">
            <wp:extent cx="2667635" cy="3125470"/>
            <wp:effectExtent l="0" t="0" r="18415" b="177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96" cy="31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Arial Narrow" w:hAnsi="Arial Narrow" w:eastAsia="仿宋_GB2312" w:cs="Arial Narrow"/>
          <w:b w:val="0"/>
          <w:bCs w:val="0"/>
        </w:rPr>
      </w:pPr>
      <w:bookmarkStart w:id="85" w:name="_Toc14698403"/>
      <w:bookmarkStart w:id="86" w:name="_Toc28930"/>
      <w:r>
        <w:rPr>
          <w:rFonts w:hint="default" w:ascii="Arial Narrow" w:hAnsi="Arial Narrow" w:eastAsia="仿宋_GB2312" w:cs="Arial Narrow"/>
          <w:b w:val="0"/>
          <w:bCs w:val="0"/>
        </w:rPr>
        <w:t>二十二、</w:t>
      </w:r>
      <w:bookmarkEnd w:id="85"/>
      <w:r>
        <w:rPr>
          <w:rFonts w:hint="default" w:ascii="Arial Narrow" w:hAnsi="Arial Narrow" w:eastAsia="仿宋_GB2312" w:cs="Arial Narrow"/>
          <w:b w:val="0"/>
          <w:bCs w:val="0"/>
        </w:rPr>
        <w:t>信息中心职责和分工</w:t>
      </w:r>
      <w:bookmarkEnd w:id="86"/>
    </w:p>
    <w:p>
      <w:pPr>
        <w:spacing w:line="360" w:lineRule="auto"/>
        <w:rPr>
          <w:rFonts w:hint="default" w:ascii="Arial Narrow" w:hAnsi="Arial Narrow" w:eastAsia="仿宋_GB2312" w:cs="Arial Narrow"/>
          <w:b w:val="0"/>
          <w:bCs w:val="0"/>
          <w:sz w:val="24"/>
          <w:szCs w:val="24"/>
        </w:rPr>
      </w:pPr>
      <w:r>
        <w:rPr>
          <w:rFonts w:hint="default" w:ascii="Arial Narrow" w:hAnsi="Arial Narrow" w:eastAsia="仿宋_GB2312" w:cs="Arial Narrow"/>
          <w:b/>
          <w:sz w:val="24"/>
          <w:szCs w:val="24"/>
        </w:rPr>
        <w:drawing>
          <wp:inline distT="0" distB="0" distL="0" distR="0">
            <wp:extent cx="2814320" cy="3101340"/>
            <wp:effectExtent l="0" t="0" r="508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3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Narrow" w:hAnsi="Arial Narrow" w:eastAsia="仿宋_GB2312" w:cs="Arial Narrow"/>
          <w:b/>
          <w:sz w:val="24"/>
          <w:szCs w:val="24"/>
        </w:rPr>
        <w:drawing>
          <wp:inline distT="0" distB="0" distL="0" distR="0">
            <wp:extent cx="2008505" cy="3163570"/>
            <wp:effectExtent l="0" t="0" r="10795" b="177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251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B3943D"/>
    <w:multiLevelType w:val="singleLevel"/>
    <w:tmpl w:val="E3B3943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E9A"/>
    <w:rsid w:val="00000534"/>
    <w:rsid w:val="0000131C"/>
    <w:rsid w:val="00020E4F"/>
    <w:rsid w:val="00044BEE"/>
    <w:rsid w:val="00054F8B"/>
    <w:rsid w:val="000A7518"/>
    <w:rsid w:val="000B64F1"/>
    <w:rsid w:val="000C5416"/>
    <w:rsid w:val="000D0489"/>
    <w:rsid w:val="000E6487"/>
    <w:rsid w:val="000F74BA"/>
    <w:rsid w:val="001122B9"/>
    <w:rsid w:val="00137C6B"/>
    <w:rsid w:val="001648B1"/>
    <w:rsid w:val="00172692"/>
    <w:rsid w:val="00172AE1"/>
    <w:rsid w:val="00195278"/>
    <w:rsid w:val="001A0696"/>
    <w:rsid w:val="001B3DE0"/>
    <w:rsid w:val="001C40DA"/>
    <w:rsid w:val="001F3FD6"/>
    <w:rsid w:val="001F4C5B"/>
    <w:rsid w:val="001F7AA2"/>
    <w:rsid w:val="00216841"/>
    <w:rsid w:val="002400F7"/>
    <w:rsid w:val="00265D8E"/>
    <w:rsid w:val="002B5F14"/>
    <w:rsid w:val="002B7060"/>
    <w:rsid w:val="002F0B00"/>
    <w:rsid w:val="003740FA"/>
    <w:rsid w:val="003A2E9A"/>
    <w:rsid w:val="003B57FA"/>
    <w:rsid w:val="003E1690"/>
    <w:rsid w:val="003E4B47"/>
    <w:rsid w:val="00473C91"/>
    <w:rsid w:val="00475024"/>
    <w:rsid w:val="00475DAB"/>
    <w:rsid w:val="004D34DE"/>
    <w:rsid w:val="0053008B"/>
    <w:rsid w:val="00561224"/>
    <w:rsid w:val="005765E1"/>
    <w:rsid w:val="005B583C"/>
    <w:rsid w:val="00601729"/>
    <w:rsid w:val="00634F88"/>
    <w:rsid w:val="00640972"/>
    <w:rsid w:val="0064586C"/>
    <w:rsid w:val="0065195B"/>
    <w:rsid w:val="0067243C"/>
    <w:rsid w:val="00674E8E"/>
    <w:rsid w:val="00676CCA"/>
    <w:rsid w:val="00690AC8"/>
    <w:rsid w:val="00693A29"/>
    <w:rsid w:val="006A46BD"/>
    <w:rsid w:val="00752F40"/>
    <w:rsid w:val="00754AF6"/>
    <w:rsid w:val="007647D9"/>
    <w:rsid w:val="00781FAF"/>
    <w:rsid w:val="007C08A3"/>
    <w:rsid w:val="007D3C4C"/>
    <w:rsid w:val="007E01D0"/>
    <w:rsid w:val="007E29F7"/>
    <w:rsid w:val="007E5F17"/>
    <w:rsid w:val="008127A8"/>
    <w:rsid w:val="008141CD"/>
    <w:rsid w:val="00820E5C"/>
    <w:rsid w:val="0084505A"/>
    <w:rsid w:val="00847B59"/>
    <w:rsid w:val="00864DA3"/>
    <w:rsid w:val="008934C6"/>
    <w:rsid w:val="008C7F13"/>
    <w:rsid w:val="008E51FA"/>
    <w:rsid w:val="009004B9"/>
    <w:rsid w:val="009416A4"/>
    <w:rsid w:val="0094444E"/>
    <w:rsid w:val="00980794"/>
    <w:rsid w:val="00995569"/>
    <w:rsid w:val="009C3F6F"/>
    <w:rsid w:val="009E1FAA"/>
    <w:rsid w:val="009F002D"/>
    <w:rsid w:val="009F77C0"/>
    <w:rsid w:val="00A2229A"/>
    <w:rsid w:val="00A72105"/>
    <w:rsid w:val="00A84BF4"/>
    <w:rsid w:val="00A920D3"/>
    <w:rsid w:val="00A95ACF"/>
    <w:rsid w:val="00AE09FB"/>
    <w:rsid w:val="00B14811"/>
    <w:rsid w:val="00B3329C"/>
    <w:rsid w:val="00B418C1"/>
    <w:rsid w:val="00BB78AD"/>
    <w:rsid w:val="00BC3F3B"/>
    <w:rsid w:val="00BE26C0"/>
    <w:rsid w:val="00BF3F53"/>
    <w:rsid w:val="00C0196B"/>
    <w:rsid w:val="00C073E0"/>
    <w:rsid w:val="00C14A74"/>
    <w:rsid w:val="00C2055C"/>
    <w:rsid w:val="00C218D5"/>
    <w:rsid w:val="00CA61BA"/>
    <w:rsid w:val="00CA727D"/>
    <w:rsid w:val="00CB424D"/>
    <w:rsid w:val="00CD4EBC"/>
    <w:rsid w:val="00CD6CC9"/>
    <w:rsid w:val="00CF551D"/>
    <w:rsid w:val="00D035A2"/>
    <w:rsid w:val="00D37C9D"/>
    <w:rsid w:val="00D479C6"/>
    <w:rsid w:val="00D72B73"/>
    <w:rsid w:val="00D907B7"/>
    <w:rsid w:val="00D94988"/>
    <w:rsid w:val="00D95056"/>
    <w:rsid w:val="00D9723B"/>
    <w:rsid w:val="00DA50D0"/>
    <w:rsid w:val="00DA5926"/>
    <w:rsid w:val="00DB1DCD"/>
    <w:rsid w:val="00DC1580"/>
    <w:rsid w:val="00DD1B5E"/>
    <w:rsid w:val="00E05FF4"/>
    <w:rsid w:val="00E0681E"/>
    <w:rsid w:val="00E4199E"/>
    <w:rsid w:val="00E849BF"/>
    <w:rsid w:val="00E97EDB"/>
    <w:rsid w:val="00EA225B"/>
    <w:rsid w:val="00EC6680"/>
    <w:rsid w:val="00EC72F1"/>
    <w:rsid w:val="00F1500D"/>
    <w:rsid w:val="00F31150"/>
    <w:rsid w:val="00F31CFE"/>
    <w:rsid w:val="00F3479A"/>
    <w:rsid w:val="00F92753"/>
    <w:rsid w:val="00FF279A"/>
    <w:rsid w:val="05C36055"/>
    <w:rsid w:val="098158AC"/>
    <w:rsid w:val="0C785B22"/>
    <w:rsid w:val="109121D3"/>
    <w:rsid w:val="1C7601D3"/>
    <w:rsid w:val="23311C2A"/>
    <w:rsid w:val="257B4B97"/>
    <w:rsid w:val="279A40D3"/>
    <w:rsid w:val="2BE3753A"/>
    <w:rsid w:val="2C4C5147"/>
    <w:rsid w:val="3B7C0040"/>
    <w:rsid w:val="40F578B4"/>
    <w:rsid w:val="419D50CB"/>
    <w:rsid w:val="45EA0320"/>
    <w:rsid w:val="477478C5"/>
    <w:rsid w:val="4A120683"/>
    <w:rsid w:val="4BBB714C"/>
    <w:rsid w:val="4D862CF7"/>
    <w:rsid w:val="5E6C7594"/>
    <w:rsid w:val="603D4169"/>
    <w:rsid w:val="61BA127D"/>
    <w:rsid w:val="6558541C"/>
    <w:rsid w:val="6F31028B"/>
    <w:rsid w:val="6FF35CAB"/>
    <w:rsid w:val="749A270F"/>
    <w:rsid w:val="7BA20C81"/>
    <w:rsid w:val="7E0A0AB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15"/>
    <w:qFormat/>
    <w:uiPriority w:val="9"/>
    <w:pPr>
      <w:keepNext/>
      <w:keepLines/>
      <w:pBdr>
        <w:bottom w:val="single" w:color="DEEAF6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5B9BD5" w:themeColor="accent1"/>
      <w:sz w:val="36"/>
      <w:szCs w:val="36"/>
      <w:lang w:val="en-US" w:eastAsia="ja-JP" w:bidi="ar-SA"/>
      <w14:textFill>
        <w14:solidFill>
          <w14:schemeClr w14:val="accent1"/>
        </w14:solidFill>
      </w14:textFill>
    </w:rPr>
  </w:style>
  <w:style w:type="paragraph" w:styleId="3">
    <w:name w:val="heading 2"/>
    <w:next w:val="1"/>
    <w:link w:val="16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44546A" w:themeColor="text2"/>
      <w:sz w:val="26"/>
      <w:szCs w:val="26"/>
      <w:lang w:val="en-US" w:eastAsia="ja-JP" w:bidi="ar-SA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360" w:lineRule="auto"/>
      <w:outlineLvl w:val="2"/>
    </w:pPr>
    <w:rPr>
      <w:rFonts w:eastAsia="仿宋_GB2312"/>
      <w:b/>
      <w:bCs/>
      <w:sz w:val="24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  <w:ind w:left="840" w:leftChars="400"/>
      <w:jc w:val="left"/>
    </w:pPr>
  </w:style>
  <w:style w:type="paragraph" w:styleId="7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semiHidden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Char"/>
    <w:basedOn w:val="13"/>
    <w:link w:val="2"/>
    <w:qFormat/>
    <w:uiPriority w:val="9"/>
    <w:rPr>
      <w:rFonts w:eastAsia="Microsoft YaHei UI" w:asciiTheme="majorHAnsi" w:hAnsiTheme="majorHAnsi" w:cstheme="majorBidi"/>
      <w:color w:val="5B9BD5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16">
    <w:name w:val="标题 2 Char"/>
    <w:basedOn w:val="13"/>
    <w:link w:val="3"/>
    <w:qFormat/>
    <w:uiPriority w:val="9"/>
    <w:rPr>
      <w:rFonts w:eastAsia="Microsoft YaHei UI"/>
      <w:b/>
      <w:bCs/>
      <w:color w:val="44546A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17">
    <w:name w:val="标题 3 Char"/>
    <w:basedOn w:val="13"/>
    <w:link w:val="4"/>
    <w:qFormat/>
    <w:uiPriority w:val="9"/>
    <w:rPr>
      <w:rFonts w:eastAsia="仿宋_GB2312"/>
      <w:b/>
      <w:bCs/>
      <w:sz w:val="24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pBdr>
        <w:bottom w:val="none" w:color="auto" w:sz="0" w:space="0"/>
      </w:pBdr>
      <w:spacing w:before="240" w:after="0" w:line="259" w:lineRule="auto"/>
      <w:outlineLvl w:val="9"/>
    </w:pPr>
    <w:rPr>
      <w:rFonts w:eastAsiaTheme="majorEastAsia"/>
      <w:color w:val="2E75B6" w:themeColor="accent1" w:themeShade="BF"/>
      <w:sz w:val="32"/>
      <w:szCs w:val="32"/>
      <w:lang w:eastAsia="zh-CN"/>
    </w:rPr>
  </w:style>
  <w:style w:type="character" w:customStyle="1" w:styleId="19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20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21">
    <w:name w:val="批注框文本 Char"/>
    <w:basedOn w:val="13"/>
    <w:link w:val="7"/>
    <w:semiHidden/>
    <w:qFormat/>
    <w:uiPriority w:val="99"/>
    <w:rPr>
      <w:kern w:val="2"/>
      <w:sz w:val="18"/>
      <w:szCs w:val="18"/>
    </w:rPr>
  </w:style>
  <w:style w:type="character" w:customStyle="1" w:styleId="22">
    <w:name w:val="标题 4 Char"/>
    <w:basedOn w:val="13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23">
    <w:name w:val="TOC Heading"/>
    <w:basedOn w:val="2"/>
    <w:next w:val="1"/>
    <w:semiHidden/>
    <w:unhideWhenUsed/>
    <w:qFormat/>
    <w:uiPriority w:val="39"/>
    <w:pPr>
      <w:pBdr>
        <w:bottom w:val="none" w:color="auto" w:sz="0" w:space="0"/>
      </w:pBdr>
      <w:spacing w:before="480" w:after="0" w:line="276" w:lineRule="auto"/>
      <w:outlineLvl w:val="9"/>
    </w:pPr>
    <w:rPr>
      <w:rFonts w:eastAsiaTheme="majorEastAsia"/>
      <w:b/>
      <w:bCs/>
      <w:color w:val="2E75B6" w:themeColor="accent1" w:themeShade="BF"/>
      <w:sz w:val="28"/>
      <w:szCs w:val="2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4594D2-B7EE-44E9-9E70-7C35E6A89F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512</Words>
  <Characters>2923</Characters>
  <Lines>24</Lines>
  <Paragraphs>6</Paragraphs>
  <TotalTime>1</TotalTime>
  <ScaleCrop>false</ScaleCrop>
  <LinksUpToDate>false</LinksUpToDate>
  <CharactersWithSpaces>3429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2019-07-18T09:42:00Z</dcterms:created>
  <dc:creator>lenovo</dc:creator>
  <cp:lastModifiedBy>李寒月</cp:lastModifiedBy>
  <dcterms:modified xsi:type="dcterms:W3CDTF">2020-06-03T07:05:40Z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