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360" w:lineRule="auto"/>
        <w:ind w:firstLine="723"/>
        <w:jc w:val="center"/>
        <w:outlineLvl w:val="0"/>
        <w:rPr>
          <w:rFonts w:hint="eastAsia" w:eastAsia="宋体" w:cs="Times New Roman"/>
          <w:b/>
          <w:color w:val="auto"/>
          <w:sz w:val="36"/>
          <w:szCs w:val="36"/>
        </w:rPr>
      </w:pPr>
      <w:bookmarkStart w:id="0" w:name="_Toc24764"/>
      <w:bookmarkStart w:id="1" w:name="_Toc11705"/>
      <w:r>
        <w:rPr>
          <w:rFonts w:hint="eastAsia" w:eastAsia="宋体" w:cs="Times New Roman"/>
          <w:b/>
          <w:color w:val="auto"/>
          <w:sz w:val="36"/>
          <w:szCs w:val="36"/>
        </w:rPr>
        <w:t>2022年度疫情防控保障经费、</w:t>
      </w:r>
    </w:p>
    <w:p>
      <w:pPr>
        <w:shd w:val="clear" w:color="auto" w:fill="FFFFFF" w:themeFill="background1"/>
        <w:spacing w:line="360" w:lineRule="auto"/>
        <w:ind w:firstLine="723"/>
        <w:jc w:val="center"/>
        <w:outlineLvl w:val="0"/>
        <w:rPr>
          <w:rFonts w:cs="Times New Roman"/>
          <w:b/>
          <w:color w:val="auto"/>
          <w:sz w:val="36"/>
          <w:szCs w:val="36"/>
        </w:rPr>
      </w:pPr>
      <w:r>
        <w:rPr>
          <w:rFonts w:hint="eastAsia" w:eastAsia="宋体" w:cs="Times New Roman"/>
          <w:b/>
          <w:color w:val="auto"/>
          <w:sz w:val="36"/>
          <w:szCs w:val="36"/>
        </w:rPr>
        <w:t>高速公路检疫检测站点防疫补贴自评结果</w:t>
      </w:r>
      <w:bookmarkEnd w:id="0"/>
      <w:bookmarkEnd w:id="1"/>
    </w:p>
    <w:p>
      <w:pPr>
        <w:pStyle w:val="26"/>
        <w:shd w:val="clear" w:color="auto" w:fill="FFFFFF" w:themeFill="background1"/>
        <w:spacing w:line="360" w:lineRule="auto"/>
        <w:ind w:firstLine="0" w:firstLineChars="0"/>
        <w:jc w:val="center"/>
        <w:outlineLvl w:val="0"/>
        <w:rPr>
          <w:rFonts w:ascii="楷体" w:hAnsi="楷体" w:eastAsia="楷体" w:cs="楷体"/>
          <w:b/>
          <w:sz w:val="32"/>
        </w:rPr>
      </w:pPr>
      <w:bookmarkStart w:id="2" w:name="_Toc15949"/>
      <w:bookmarkStart w:id="3" w:name="_Toc27748"/>
      <w:bookmarkStart w:id="4" w:name="_Toc25753"/>
      <w:r>
        <w:rPr>
          <w:rFonts w:hint="eastAsia" w:ascii="楷体" w:hAnsi="楷体" w:eastAsia="楷体" w:cs="楷体"/>
          <w:b/>
          <w:sz w:val="32"/>
        </w:rPr>
        <w:t>（缩略版）</w:t>
      </w:r>
      <w:bookmarkEnd w:id="2"/>
      <w:bookmarkEnd w:id="3"/>
      <w:bookmarkEnd w:id="4"/>
    </w:p>
    <w:p>
      <w:pPr>
        <w:pStyle w:val="26"/>
        <w:shd w:val="clear" w:color="auto" w:fill="FFFFFF" w:themeFill="background1"/>
        <w:spacing w:line="360" w:lineRule="auto"/>
        <w:ind w:firstLine="643"/>
        <w:jc w:val="both"/>
        <w:outlineLvl w:val="0"/>
        <w:rPr>
          <w:rFonts w:ascii="Times New Roman" w:hAnsi="Times New Roman" w:eastAsia="黑体"/>
          <w:b/>
          <w:sz w:val="32"/>
        </w:rPr>
      </w:pPr>
      <w:bookmarkStart w:id="5" w:name="_Toc26153"/>
      <w:bookmarkStart w:id="6" w:name="_Toc17316"/>
      <w:bookmarkStart w:id="7" w:name="_Toc27312"/>
      <w:bookmarkStart w:id="8" w:name="_Toc11888"/>
      <w:r>
        <w:rPr>
          <w:rFonts w:hint="eastAsia" w:ascii="Times New Roman" w:hAnsi="Times New Roman" w:eastAsia="黑体"/>
          <w:b/>
          <w:sz w:val="32"/>
        </w:rPr>
        <w:t>一、自评</w:t>
      </w:r>
      <w:r>
        <w:rPr>
          <w:rFonts w:ascii="Times New Roman" w:hAnsi="Times New Roman" w:eastAsia="黑体"/>
          <w:b/>
          <w:sz w:val="32"/>
        </w:rPr>
        <w:t>结论</w:t>
      </w:r>
      <w:bookmarkEnd w:id="5"/>
      <w:bookmarkEnd w:id="6"/>
      <w:bookmarkEnd w:id="7"/>
      <w:bookmarkEnd w:id="8"/>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bookmarkStart w:id="9" w:name="_Toc22037"/>
      <w:bookmarkStart w:id="10" w:name="_Toc31042"/>
      <w:bookmarkStart w:id="11" w:name="_Toc27117"/>
      <w:bookmarkStart w:id="12" w:name="_Toc24793"/>
      <w:r>
        <w:rPr>
          <w:rFonts w:hint="eastAsia" w:ascii="Times New Roman" w:hAnsi="Times New Roman" w:eastAsia="楷体" w:cs="Times New Roman"/>
        </w:rPr>
        <w:t>（一）自评得分</w:t>
      </w:r>
      <w:bookmarkEnd w:id="9"/>
      <w:bookmarkEnd w:id="10"/>
      <w:bookmarkEnd w:id="11"/>
      <w:bookmarkEnd w:id="12"/>
    </w:p>
    <w:p>
      <w:pPr>
        <w:spacing w:line="360" w:lineRule="auto"/>
        <w:ind w:firstLine="640"/>
        <w:rPr>
          <w:rFonts w:cs="Times New Roman"/>
          <w:color w:val="auto"/>
          <w:kern w:val="0"/>
          <w:szCs w:val="32"/>
        </w:rPr>
      </w:pPr>
      <w:r>
        <w:rPr>
          <w:rFonts w:hint="eastAsia"/>
        </w:rPr>
        <w:t>武汉经济技术开发区（汉南区）住房和建设局2022年度疫情防控保障经费、高速公路检疫检测站点防疫补贴</w:t>
      </w:r>
      <w:r>
        <w:t>绩效评价综合得分为</w:t>
      </w:r>
      <w:r>
        <w:rPr>
          <w:rFonts w:hint="eastAsia"/>
          <w:lang w:val="en-US" w:eastAsia="zh-CN"/>
        </w:rPr>
        <w:t>92.9</w:t>
      </w:r>
      <w:r>
        <w:t>分。</w:t>
      </w:r>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bookmarkStart w:id="13" w:name="_Toc6277"/>
      <w:bookmarkStart w:id="14" w:name="_Toc19004"/>
      <w:bookmarkStart w:id="15" w:name="_Toc17113"/>
      <w:bookmarkStart w:id="16" w:name="_Toc16152"/>
      <w:r>
        <w:rPr>
          <w:rFonts w:hint="eastAsia" w:ascii="Times New Roman" w:hAnsi="Times New Roman" w:eastAsia="楷体" w:cs="Times New Roman"/>
        </w:rPr>
        <w:t>（二）绩效目标完成情况</w:t>
      </w:r>
      <w:bookmarkEnd w:id="13"/>
      <w:bookmarkEnd w:id="14"/>
      <w:bookmarkEnd w:id="15"/>
      <w:bookmarkEnd w:id="16"/>
    </w:p>
    <w:p>
      <w:pPr>
        <w:spacing w:line="360" w:lineRule="auto"/>
        <w:ind w:firstLine="640"/>
        <w:rPr>
          <w:bCs/>
          <w:szCs w:val="32"/>
        </w:rPr>
      </w:pPr>
      <w:r>
        <w:rPr>
          <w:rFonts w:hint="eastAsia"/>
          <w:bCs/>
          <w:szCs w:val="32"/>
        </w:rPr>
        <w:t>1.执行率情况。</w:t>
      </w:r>
      <w:r>
        <w:rPr>
          <w:rFonts w:hint="eastAsia"/>
        </w:rPr>
        <w:t>2022年度项目预算金额为</w:t>
      </w:r>
      <w:r>
        <w:t>1</w:t>
      </w:r>
      <w:r>
        <w:rPr>
          <w:rFonts w:hint="eastAsia"/>
          <w:lang w:val="en-US" w:eastAsia="zh-CN"/>
        </w:rPr>
        <w:t>,</w:t>
      </w:r>
      <w:r>
        <w:t>544</w:t>
      </w:r>
      <w:r>
        <w:rPr>
          <w:rFonts w:hint="eastAsia"/>
          <w:lang w:val="en-US" w:eastAsia="zh-CN"/>
        </w:rPr>
        <w:t>.00</w:t>
      </w:r>
      <w:r>
        <w:rPr>
          <w:rFonts w:hint="eastAsia"/>
        </w:rPr>
        <w:t>万元。本项目年度实际支出</w:t>
      </w:r>
      <w:r>
        <w:t>1</w:t>
      </w:r>
      <w:r>
        <w:rPr>
          <w:rFonts w:hint="eastAsia"/>
          <w:lang w:val="en-US" w:eastAsia="zh-CN"/>
        </w:rPr>
        <w:t>,</w:t>
      </w:r>
      <w:r>
        <w:t>127</w:t>
      </w:r>
      <w:r>
        <w:rPr>
          <w:rFonts w:hint="eastAsia"/>
          <w:lang w:val="en-US" w:eastAsia="zh-CN"/>
        </w:rPr>
        <w:t>.00</w:t>
      </w:r>
      <w:r>
        <w:rPr>
          <w:rFonts w:hint="eastAsia"/>
        </w:rPr>
        <w:t>万元，预算执行率为</w:t>
      </w:r>
      <w:r>
        <w:t>72.99</w:t>
      </w:r>
      <w:r>
        <w:rPr>
          <w:rFonts w:hint="eastAsia"/>
        </w:rPr>
        <w:t>%</w:t>
      </w:r>
      <w: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bCs/>
          <w:szCs w:val="32"/>
        </w:rPr>
      </w:pPr>
      <w:r>
        <w:rPr>
          <w:rFonts w:hint="eastAsia"/>
          <w:bCs/>
          <w:szCs w:val="32"/>
        </w:rPr>
        <w:t>2.完成的绩效目标。本项目共设置</w:t>
      </w:r>
      <w:r>
        <w:rPr>
          <w:rFonts w:hint="eastAsia"/>
          <w:bCs/>
          <w:szCs w:val="32"/>
          <w:lang w:val="en-US" w:eastAsia="zh-CN"/>
        </w:rPr>
        <w:t>11</w:t>
      </w:r>
      <w:r>
        <w:rPr>
          <w:rFonts w:hint="eastAsia"/>
          <w:bCs/>
          <w:szCs w:val="32"/>
        </w:rPr>
        <w:t>个绩效指标，完成了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bCs/>
          <w:szCs w:val="32"/>
        </w:rPr>
      </w:pPr>
      <w:r>
        <w:rPr>
          <w:rFonts w:hint="eastAsia"/>
          <w:bCs/>
          <w:szCs w:val="32"/>
          <w:lang w:val="en-US" w:eastAsia="zh-CN"/>
        </w:rPr>
        <w:t>11</w:t>
      </w:r>
      <w:r>
        <w:rPr>
          <w:rFonts w:hint="eastAsia"/>
          <w:bCs/>
          <w:szCs w:val="32"/>
        </w:rPr>
        <w:t>个。项目产出较好，并取得了较好的社会效益。</w:t>
      </w:r>
    </w:p>
    <w:p>
      <w:pPr>
        <w:spacing w:line="360" w:lineRule="auto"/>
        <w:ind w:firstLine="640"/>
        <w:rPr>
          <w:bCs/>
          <w:szCs w:val="32"/>
        </w:rPr>
      </w:pPr>
      <w:r>
        <w:rPr>
          <w:rFonts w:hint="eastAsia"/>
          <w:bCs/>
          <w:szCs w:val="32"/>
        </w:rPr>
        <w:t>3.未完成的绩效目标。</w:t>
      </w:r>
      <w:r>
        <w:rPr>
          <w:rFonts w:hint="eastAsia"/>
        </w:rPr>
        <w:t>本项目没有未完成的绩效目标。</w:t>
      </w:r>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bookmarkStart w:id="17" w:name="_Toc12544"/>
      <w:bookmarkStart w:id="18" w:name="_Toc14306"/>
      <w:bookmarkStart w:id="19" w:name="_Toc24094"/>
      <w:bookmarkStart w:id="20" w:name="_Toc49867096"/>
      <w:bookmarkStart w:id="21" w:name="_Toc30659"/>
      <w:r>
        <w:rPr>
          <w:rFonts w:hint="eastAsia" w:ascii="Times New Roman" w:hAnsi="Times New Roman" w:eastAsia="楷体" w:cs="Times New Roman"/>
        </w:rPr>
        <w:t>（三）存在的问题和原因</w:t>
      </w:r>
      <w:bookmarkEnd w:id="17"/>
      <w:bookmarkEnd w:id="18"/>
      <w:bookmarkEnd w:id="19"/>
      <w:bookmarkEnd w:id="20"/>
      <w:bookmarkEnd w:id="21"/>
    </w:p>
    <w:p>
      <w:pPr>
        <w:widowControl/>
        <w:spacing w:line="360" w:lineRule="auto"/>
        <w:ind w:firstLine="643"/>
        <w:outlineLvl w:val="2"/>
        <w:rPr>
          <w:rFonts w:cs="Times New Roman"/>
          <w:b/>
          <w:color w:val="000000" w:themeColor="text1"/>
          <w:szCs w:val="32"/>
          <w14:textFill>
            <w14:solidFill>
              <w14:schemeClr w14:val="tx1"/>
            </w14:solidFill>
          </w14:textFill>
        </w:rPr>
      </w:pPr>
      <w:bookmarkStart w:id="22" w:name="_Toc3644"/>
      <w:r>
        <w:rPr>
          <w:rFonts w:hint="eastAsia" w:cs="Times New Roman"/>
          <w:b/>
          <w:color w:val="000000" w:themeColor="text1"/>
          <w:szCs w:val="32"/>
          <w14:textFill>
            <w14:solidFill>
              <w14:schemeClr w14:val="tx1"/>
            </w14:solidFill>
          </w14:textFill>
        </w:rPr>
        <w:t>1.上年度绩效评价结果应用情况</w:t>
      </w:r>
      <w:bookmarkEnd w:id="22"/>
    </w:p>
    <w:p>
      <w:pPr>
        <w:spacing w:line="360" w:lineRule="auto"/>
        <w:ind w:firstLine="640"/>
        <w:rPr>
          <w:rFonts w:hint="eastAsia" w:eastAsia="仿宋"/>
          <w:bCs/>
          <w:szCs w:val="32"/>
          <w:lang w:eastAsia="zh-CN"/>
        </w:rPr>
      </w:pPr>
      <w:r>
        <w:rPr>
          <w:rFonts w:hint="eastAsia"/>
          <w:bCs/>
          <w:szCs w:val="32"/>
        </w:rPr>
        <w:t>本项目上年度</w:t>
      </w:r>
      <w:r>
        <w:rPr>
          <w:rFonts w:hint="eastAsia"/>
          <w:bCs/>
          <w:szCs w:val="32"/>
          <w:lang w:val="en-US" w:eastAsia="zh-CN"/>
        </w:rPr>
        <w:t>未纳入绩效自评范围</w:t>
      </w:r>
    </w:p>
    <w:p>
      <w:pPr>
        <w:widowControl/>
        <w:spacing w:line="360" w:lineRule="auto"/>
        <w:ind w:firstLine="643"/>
        <w:outlineLvl w:val="2"/>
        <w:rPr>
          <w:rFonts w:cs="Times New Roman"/>
          <w:b/>
          <w:color w:val="000000" w:themeColor="text1"/>
          <w:szCs w:val="32"/>
          <w14:textFill>
            <w14:solidFill>
              <w14:schemeClr w14:val="tx1"/>
            </w14:solidFill>
          </w14:textFill>
        </w:rPr>
      </w:pPr>
      <w:bookmarkStart w:id="23" w:name="_Toc29819"/>
      <w:r>
        <w:rPr>
          <w:rFonts w:hint="eastAsia" w:cs="Times New Roman"/>
          <w:b/>
          <w:color w:val="000000" w:themeColor="text1"/>
          <w:szCs w:val="32"/>
          <w14:textFill>
            <w14:solidFill>
              <w14:schemeClr w14:val="tx1"/>
            </w14:solidFill>
          </w14:textFill>
        </w:rPr>
        <w:t>2.本年度绩效管理中存在的问题和原因</w:t>
      </w:r>
      <w:bookmarkEnd w:id="23"/>
    </w:p>
    <w:p>
      <w:pPr>
        <w:spacing w:line="360" w:lineRule="auto"/>
        <w:ind w:firstLine="640"/>
        <w:rPr>
          <w:bCs/>
          <w:szCs w:val="32"/>
        </w:rPr>
      </w:pPr>
      <w:r>
        <w:rPr>
          <w:rFonts w:hint="eastAsia"/>
          <w:bCs/>
          <w:szCs w:val="32"/>
        </w:rPr>
        <w:t>（1）本项目2022</w:t>
      </w:r>
      <w:r>
        <w:rPr>
          <w:rFonts w:hint="eastAsia"/>
          <w:bCs/>
          <w:szCs w:val="32"/>
          <w:lang w:val="en-US" w:eastAsia="zh-CN"/>
        </w:rPr>
        <w:t>年度未设置绩效考核指标，资金按照工作开展需求申请，资金来源不一，涉及市级专项资金，追加预算资金，部门预算中调剂的资金等各种来源，项目需加强资金审计，据实结算。</w:t>
      </w:r>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bookmarkStart w:id="24" w:name="_Toc10441"/>
      <w:bookmarkStart w:id="25" w:name="_Toc11879"/>
      <w:bookmarkStart w:id="26" w:name="_Toc9638"/>
      <w:bookmarkStart w:id="27" w:name="_Toc8732"/>
      <w:r>
        <w:rPr>
          <w:rFonts w:hint="eastAsia" w:ascii="Times New Roman" w:hAnsi="Times New Roman" w:eastAsia="楷体" w:cs="Times New Roman"/>
        </w:rPr>
        <w:t>（四）下一步拟改进措施</w:t>
      </w:r>
      <w:bookmarkEnd w:id="24"/>
      <w:bookmarkEnd w:id="25"/>
      <w:bookmarkEnd w:id="26"/>
      <w:bookmarkEnd w:id="27"/>
    </w:p>
    <w:p>
      <w:pPr>
        <w:widowControl/>
        <w:spacing w:line="360" w:lineRule="auto"/>
        <w:ind w:firstLine="643"/>
        <w:outlineLvl w:val="2"/>
        <w:rPr>
          <w:b/>
          <w:color w:val="000000" w:themeColor="text1"/>
          <w:szCs w:val="32"/>
          <w14:textFill>
            <w14:solidFill>
              <w14:schemeClr w14:val="tx1"/>
            </w14:solidFill>
          </w14:textFill>
        </w:rPr>
      </w:pPr>
      <w:r>
        <w:rPr>
          <w:rFonts w:hint="eastAsia"/>
          <w:b/>
          <w:color w:val="000000" w:themeColor="text1"/>
          <w:szCs w:val="32"/>
          <w14:textFill>
            <w14:solidFill>
              <w14:schemeClr w14:val="tx1"/>
            </w14:solidFill>
          </w14:textFill>
        </w:rPr>
        <w:t>1.下一步拟改进措施</w:t>
      </w:r>
    </w:p>
    <w:p>
      <w:pPr>
        <w:ind w:firstLine="640"/>
        <w:rPr>
          <w:szCs w:val="32"/>
        </w:rPr>
      </w:pPr>
      <w:r>
        <w:rPr>
          <w:rFonts w:hint="eastAsia"/>
          <w:szCs w:val="32"/>
        </w:rPr>
        <w:t>提高预算绩效指标编制水平。结合预算执行情况</w:t>
      </w:r>
      <w:r>
        <w:rPr>
          <w:rFonts w:hint="eastAsia"/>
          <w:szCs w:val="32"/>
          <w:lang w:val="en-US" w:eastAsia="zh-CN"/>
        </w:rPr>
        <w:t>和</w:t>
      </w:r>
      <w:r>
        <w:rPr>
          <w:rFonts w:hint="eastAsia"/>
          <w:szCs w:val="32"/>
        </w:rPr>
        <w:t>工作重点，合理编制绩效目标指标体系</w:t>
      </w:r>
      <w:r>
        <w:rPr>
          <w:rFonts w:hint="eastAsia"/>
          <w:szCs w:val="32"/>
          <w:lang w:eastAsia="zh-CN"/>
        </w:rPr>
        <w:t>，</w:t>
      </w:r>
      <w:r>
        <w:rPr>
          <w:rFonts w:hint="eastAsia"/>
          <w:szCs w:val="32"/>
        </w:rPr>
        <w:t>加强</w:t>
      </w:r>
      <w:r>
        <w:rPr>
          <w:rFonts w:hint="eastAsia"/>
          <w:szCs w:val="32"/>
          <w:lang w:val="en-US" w:eastAsia="zh-CN"/>
        </w:rPr>
        <w:t>资金支付的</w:t>
      </w:r>
      <w:r>
        <w:rPr>
          <w:rFonts w:hint="eastAsia"/>
          <w:szCs w:val="32"/>
        </w:rPr>
        <w:t>考核力度。</w:t>
      </w:r>
    </w:p>
    <w:p>
      <w:pPr>
        <w:widowControl/>
        <w:spacing w:line="360" w:lineRule="auto"/>
        <w:ind w:firstLine="643"/>
        <w:outlineLvl w:val="2"/>
        <w:rPr>
          <w:b/>
          <w:color w:val="000000" w:themeColor="text1"/>
          <w:szCs w:val="32"/>
          <w14:textFill>
            <w14:solidFill>
              <w14:schemeClr w14:val="tx1"/>
            </w14:solidFill>
          </w14:textFill>
        </w:rPr>
      </w:pPr>
      <w:r>
        <w:rPr>
          <w:rFonts w:hint="eastAsia"/>
          <w:b/>
          <w:color w:val="000000" w:themeColor="text1"/>
          <w:szCs w:val="32"/>
          <w14:textFill>
            <w14:solidFill>
              <w14:schemeClr w14:val="tx1"/>
            </w14:solidFill>
          </w14:textFill>
        </w:rPr>
        <w:t>2.拟与预算安排相结合情况</w:t>
      </w:r>
    </w:p>
    <w:p>
      <w:pPr>
        <w:bidi w:val="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本项目绩效指标设置不够完善。通过本次自评，梳理项目内容，完善绩效指标编制。拟将指标调整为</w:t>
      </w:r>
      <w:r>
        <w:rPr>
          <w:rFonts w:hint="eastAsia"/>
          <w:color w:val="000000" w:themeColor="text1"/>
          <w:szCs w:val="32"/>
          <w:lang w:eastAsia="zh-CN"/>
          <w14:textFill>
            <w14:solidFill>
              <w14:schemeClr w14:val="tx1"/>
            </w14:solidFill>
          </w14:textFill>
        </w:rPr>
        <w:t>“</w:t>
      </w:r>
      <w:r>
        <w:rPr>
          <w:rFonts w:hint="eastAsia"/>
          <w:lang w:val="en-US" w:eastAsia="zh-CN"/>
        </w:rPr>
        <w:t>核酸采样点数量充足</w:t>
      </w:r>
      <w:r>
        <w:rPr>
          <w:rFonts w:hint="eastAsia"/>
          <w:color w:val="000000" w:themeColor="text1"/>
          <w:szCs w:val="32"/>
          <w:lang w:eastAsia="zh-CN"/>
          <w14:textFill>
            <w14:solidFill>
              <w14:schemeClr w14:val="tx1"/>
            </w14:solidFill>
          </w14:textFill>
        </w:rPr>
        <w:t>”</w:t>
      </w:r>
      <w:r>
        <w:rPr>
          <w:rFonts w:hint="eastAsia"/>
          <w:lang w:val="en-US" w:eastAsia="zh-CN"/>
        </w:rPr>
        <w:t>、“疫情排查率100%”、“疫情查验安保人数充足”、“后勤、防护物资储备保障充足”、“防控排查措施科学有效”、“消杀覆盖率100%”、“阶段性工作目标完成率100%”、“信息上报及时”、“中高风险地区通行记录车辆查验率100%”、“市民对防疫查验工作满意度≥90%”</w:t>
      </w:r>
      <w:r>
        <w:rPr>
          <w:rFonts w:hint="eastAsia"/>
          <w:color w:val="000000" w:themeColor="text1"/>
          <w:szCs w:val="32"/>
          <w14:textFill>
            <w14:solidFill>
              <w14:schemeClr w14:val="tx1"/>
            </w14:solidFill>
          </w14:textFill>
        </w:rPr>
        <w:t>，各指标值根据工作需要进行调整。</w:t>
      </w:r>
    </w:p>
    <w:p>
      <w:pPr>
        <w:ind w:firstLine="640"/>
        <w:rPr>
          <w:bCs/>
          <w:szCs w:val="32"/>
        </w:rPr>
      </w:pPr>
    </w:p>
    <w:p>
      <w:pPr>
        <w:ind w:firstLine="640"/>
      </w:pPr>
      <w:r>
        <w:rPr>
          <w:rFonts w:hint="eastAsia"/>
          <w:bCs/>
          <w:szCs w:val="32"/>
        </w:rPr>
        <w:t>附件：2022年度疫情防控保障经费、高速公路检疫检测站点防疫补贴自评表</w:t>
      </w:r>
    </w:p>
    <w:p>
      <w:pPr>
        <w:ind w:firstLineChars="175"/>
        <w:rPr>
          <w:rFonts w:eastAsia="楷体" w:cs="Times New Roman"/>
        </w:rPr>
      </w:pPr>
      <w:r>
        <w:rPr>
          <w:rFonts w:hint="eastAsia" w:cs="Times New Roman"/>
          <w:color w:val="auto"/>
          <w:kern w:val="0"/>
          <w:szCs w:val="32"/>
        </w:rPr>
        <w:br w:type="page"/>
      </w:r>
      <w:bookmarkStart w:id="28" w:name="_Toc3349"/>
      <w:bookmarkStart w:id="29" w:name="_Toc11755"/>
      <w:bookmarkStart w:id="30" w:name="_Toc29700"/>
      <w:bookmarkStart w:id="31" w:name="_Toc16053"/>
      <w:r>
        <w:rPr>
          <w:rFonts w:hint="eastAsia" w:eastAsia="楷体" w:cs="Times New Roman"/>
        </w:rPr>
        <w:t>附件：</w:t>
      </w:r>
    </w:p>
    <w:tbl>
      <w:tblPr>
        <w:tblStyle w:val="28"/>
        <w:tblW w:w="5000" w:type="pct"/>
        <w:tblInd w:w="0" w:type="dxa"/>
        <w:tblLayout w:type="autofit"/>
        <w:tblCellMar>
          <w:top w:w="0" w:type="dxa"/>
          <w:left w:w="108" w:type="dxa"/>
          <w:bottom w:w="0" w:type="dxa"/>
          <w:right w:w="108" w:type="dxa"/>
        </w:tblCellMar>
      </w:tblPr>
      <w:tblGrid>
        <w:gridCol w:w="528"/>
        <w:gridCol w:w="967"/>
        <w:gridCol w:w="1195"/>
        <w:gridCol w:w="1977"/>
        <w:gridCol w:w="1680"/>
        <w:gridCol w:w="1397"/>
        <w:gridCol w:w="1316"/>
      </w:tblGrid>
      <w:tr>
        <w:tblPrEx>
          <w:tblCellMar>
            <w:top w:w="0" w:type="dxa"/>
            <w:left w:w="108" w:type="dxa"/>
            <w:bottom w:w="0" w:type="dxa"/>
            <w:right w:w="108" w:type="dxa"/>
          </w:tblCellMar>
        </w:tblPrEx>
        <w:trPr>
          <w:trHeight w:val="600" w:hRule="atLeast"/>
        </w:trPr>
        <w:tc>
          <w:tcPr>
            <w:tcW w:w="5000" w:type="pct"/>
            <w:gridSpan w:val="7"/>
            <w:tcBorders>
              <w:top w:val="nil"/>
              <w:left w:val="nil"/>
              <w:bottom w:val="nil"/>
              <w:right w:val="nil"/>
            </w:tcBorders>
            <w:shd w:val="clear" w:color="auto" w:fill="auto"/>
            <w:vAlign w:val="center"/>
          </w:tcPr>
          <w:p>
            <w:pPr>
              <w:widowControl/>
              <w:spacing w:line="240" w:lineRule="auto"/>
              <w:ind w:firstLine="0" w:firstLineChars="0"/>
              <w:jc w:val="center"/>
              <w:rPr>
                <w:rFonts w:hint="eastAsia" w:eastAsia="宋体" w:cs="Times New Roman"/>
                <w:b/>
                <w:color w:val="auto"/>
                <w:sz w:val="36"/>
                <w:szCs w:val="36"/>
              </w:rPr>
            </w:pPr>
            <w:r>
              <w:rPr>
                <w:rFonts w:hint="eastAsia" w:ascii="仿宋" w:hAnsi="仿宋"/>
                <w:b/>
                <w:bCs/>
                <w:kern w:val="0"/>
                <w:szCs w:val="32"/>
              </w:rPr>
              <w:t>2022年度疫情防控保障经费</w:t>
            </w:r>
            <w:r>
              <w:rPr>
                <w:rFonts w:hint="eastAsia" w:eastAsia="宋体" w:cs="Times New Roman"/>
                <w:b/>
                <w:color w:val="auto"/>
                <w:sz w:val="36"/>
                <w:szCs w:val="36"/>
              </w:rPr>
              <w:t>、</w:t>
            </w:r>
          </w:p>
          <w:p>
            <w:pPr>
              <w:widowControl/>
              <w:spacing w:line="240" w:lineRule="auto"/>
              <w:ind w:firstLine="0" w:firstLineChars="0"/>
              <w:jc w:val="center"/>
              <w:rPr>
                <w:rFonts w:ascii="仿宋" w:hAnsi="仿宋"/>
                <w:b/>
                <w:bCs/>
                <w:kern w:val="0"/>
                <w:szCs w:val="32"/>
              </w:rPr>
            </w:pPr>
            <w:r>
              <w:rPr>
                <w:rFonts w:hint="eastAsia" w:ascii="仿宋" w:hAnsi="仿宋"/>
                <w:b/>
                <w:bCs/>
                <w:kern w:val="0"/>
                <w:szCs w:val="32"/>
              </w:rPr>
              <w:t xml:space="preserve">高速公路检疫检测站点防疫补贴项目自评表 </w:t>
            </w:r>
          </w:p>
        </w:tc>
      </w:tr>
      <w:tr>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单位名称：武汉经济技术开发区（汉南区）住房和建设局                         </w:t>
            </w:r>
          </w:p>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填报日期：2023年4月20日</w:t>
            </w:r>
          </w:p>
        </w:tc>
      </w:tr>
      <w:tr>
        <w:tblPrEx>
          <w:tblCellMar>
            <w:top w:w="0" w:type="dxa"/>
            <w:left w:w="108" w:type="dxa"/>
            <w:bottom w:w="0" w:type="dxa"/>
            <w:right w:w="108" w:type="dxa"/>
          </w:tblCellMar>
        </w:tblPrEx>
        <w:trPr>
          <w:trHeight w:val="420" w:hRule="atLeast"/>
        </w:trPr>
        <w:tc>
          <w:tcPr>
            <w:tcW w:w="8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项目名称</w:t>
            </w:r>
          </w:p>
        </w:tc>
        <w:tc>
          <w:tcPr>
            <w:tcW w:w="4174"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疫情防控保障经费、高速公路检疫检测站点防疫补贴</w:t>
            </w:r>
          </w:p>
        </w:tc>
      </w:tr>
      <w:tr>
        <w:tblPrEx>
          <w:tblCellMar>
            <w:top w:w="0" w:type="dxa"/>
            <w:left w:w="108" w:type="dxa"/>
            <w:bottom w:w="0" w:type="dxa"/>
            <w:right w:w="108" w:type="dxa"/>
          </w:tblCellMar>
        </w:tblPrEx>
        <w:trPr>
          <w:trHeight w:val="720" w:hRule="atLeast"/>
        </w:trPr>
        <w:tc>
          <w:tcPr>
            <w:tcW w:w="8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主管部门</w:t>
            </w:r>
          </w:p>
        </w:tc>
        <w:tc>
          <w:tcPr>
            <w:tcW w:w="1751"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武汉经济技术开发区（汉南区）</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住房和建设局</w:t>
            </w:r>
          </w:p>
        </w:tc>
        <w:tc>
          <w:tcPr>
            <w:tcW w:w="9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项目实施单位</w:t>
            </w:r>
          </w:p>
        </w:tc>
        <w:tc>
          <w:tcPr>
            <w:tcW w:w="1496"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武汉经济技术开发区</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（汉南区）住房和建设局</w:t>
            </w:r>
          </w:p>
        </w:tc>
      </w:tr>
      <w:tr>
        <w:tblPrEx>
          <w:tblCellMar>
            <w:top w:w="0" w:type="dxa"/>
            <w:left w:w="108" w:type="dxa"/>
            <w:bottom w:w="0" w:type="dxa"/>
            <w:right w:w="108" w:type="dxa"/>
          </w:tblCellMar>
        </w:tblPrEx>
        <w:trPr>
          <w:trHeight w:val="720" w:hRule="atLeast"/>
        </w:trPr>
        <w:tc>
          <w:tcPr>
            <w:tcW w:w="825"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项目类别</w:t>
            </w:r>
          </w:p>
        </w:tc>
        <w:tc>
          <w:tcPr>
            <w:tcW w:w="4174"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1.部门预算项目 □              2.财政专项资金   </w:t>
            </w:r>
            <w:r>
              <w:rPr>
                <w:rFonts w:ascii="Wingdings" w:hAnsi="Wingdings"/>
                <w:kern w:val="0"/>
                <w:sz w:val="20"/>
                <w:szCs w:val="20"/>
              </w:rPr>
              <w:sym w:font="Wingdings" w:char="00FE"/>
            </w:r>
          </w:p>
        </w:tc>
      </w:tr>
      <w:tr>
        <w:tblPrEx>
          <w:tblCellMar>
            <w:top w:w="0" w:type="dxa"/>
            <w:left w:w="108" w:type="dxa"/>
            <w:bottom w:w="0" w:type="dxa"/>
            <w:right w:w="108" w:type="dxa"/>
          </w:tblCellMar>
        </w:tblPrEx>
        <w:trPr>
          <w:trHeight w:val="720" w:hRule="atLeast"/>
        </w:trPr>
        <w:tc>
          <w:tcPr>
            <w:tcW w:w="825"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项目属性</w:t>
            </w:r>
          </w:p>
        </w:tc>
        <w:tc>
          <w:tcPr>
            <w:tcW w:w="4174"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1.持续性项目      </w:t>
            </w:r>
            <w:r>
              <w:rPr>
                <w:rFonts w:ascii="Wingdings" w:hAnsi="Wingdings"/>
                <w:kern w:val="0"/>
                <w:sz w:val="20"/>
                <w:szCs w:val="20"/>
              </w:rPr>
              <w:t>þ</w:t>
            </w:r>
            <w:r>
              <w:rPr>
                <w:rFonts w:hint="eastAsia" w:ascii="仿宋" w:hAnsi="仿宋"/>
                <w:kern w:val="0"/>
                <w:sz w:val="20"/>
                <w:szCs w:val="20"/>
              </w:rPr>
              <w:t xml:space="preserve">           2.新增性项目     □</w:t>
            </w:r>
          </w:p>
        </w:tc>
      </w:tr>
      <w:tr>
        <w:tblPrEx>
          <w:tblCellMar>
            <w:top w:w="0" w:type="dxa"/>
            <w:left w:w="108" w:type="dxa"/>
            <w:bottom w:w="0" w:type="dxa"/>
            <w:right w:w="108" w:type="dxa"/>
          </w:tblCellMar>
        </w:tblPrEx>
        <w:trPr>
          <w:trHeight w:val="720" w:hRule="atLeast"/>
        </w:trPr>
        <w:tc>
          <w:tcPr>
            <w:tcW w:w="825"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项目类型</w:t>
            </w:r>
          </w:p>
        </w:tc>
        <w:tc>
          <w:tcPr>
            <w:tcW w:w="4174"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1.常年性项目     □            2.延续性项目    </w:t>
            </w:r>
            <w:r>
              <w:rPr>
                <w:rFonts w:ascii="Wingdings" w:hAnsi="Wingdings"/>
                <w:kern w:val="0"/>
                <w:sz w:val="20"/>
                <w:szCs w:val="20"/>
              </w:rPr>
              <w:t>þ</w:t>
            </w:r>
            <w:r>
              <w:rPr>
                <w:rFonts w:hint="eastAsia" w:ascii="仿宋" w:hAnsi="仿宋"/>
                <w:kern w:val="0"/>
                <w:sz w:val="20"/>
                <w:szCs w:val="20"/>
              </w:rPr>
              <w:t xml:space="preserve">      3.一次性项目    □</w:t>
            </w:r>
          </w:p>
        </w:tc>
      </w:tr>
      <w:tr>
        <w:tblPrEx>
          <w:tblCellMar>
            <w:top w:w="0" w:type="dxa"/>
            <w:left w:w="108" w:type="dxa"/>
            <w:bottom w:w="0" w:type="dxa"/>
            <w:right w:w="108" w:type="dxa"/>
          </w:tblCellMar>
        </w:tblPrEx>
        <w:trPr>
          <w:trHeight w:val="705" w:hRule="atLeast"/>
        </w:trPr>
        <w:tc>
          <w:tcPr>
            <w:tcW w:w="8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预算执行情况</w:t>
            </w:r>
          </w:p>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（万元）</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（20分）</w:t>
            </w:r>
          </w:p>
        </w:tc>
        <w:tc>
          <w:tcPr>
            <w:tcW w:w="660" w:type="pct"/>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年度财政资金总额</w:t>
            </w:r>
          </w:p>
        </w:tc>
        <w:tc>
          <w:tcPr>
            <w:tcW w:w="109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预算数（A）</w:t>
            </w:r>
          </w:p>
        </w:tc>
        <w:tc>
          <w:tcPr>
            <w:tcW w:w="9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执行数（B）</w:t>
            </w:r>
          </w:p>
        </w:tc>
        <w:tc>
          <w:tcPr>
            <w:tcW w:w="77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执行率(B/A)</w:t>
            </w:r>
          </w:p>
        </w:tc>
        <w:tc>
          <w:tcPr>
            <w:tcW w:w="72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得分(20分*执行率)</w:t>
            </w:r>
          </w:p>
        </w:tc>
      </w:tr>
      <w:tr>
        <w:tblPrEx>
          <w:tblCellMar>
            <w:top w:w="0" w:type="dxa"/>
            <w:left w:w="108" w:type="dxa"/>
            <w:bottom w:w="0" w:type="dxa"/>
            <w:right w:w="108" w:type="dxa"/>
          </w:tblCellMar>
        </w:tblPrEx>
        <w:trPr>
          <w:trHeight w:val="525" w:hRule="atLeast"/>
        </w:trPr>
        <w:tc>
          <w:tcPr>
            <w:tcW w:w="82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660"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109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ascii="仿宋" w:hAnsi="仿宋"/>
                <w:kern w:val="0"/>
                <w:sz w:val="20"/>
                <w:szCs w:val="20"/>
              </w:rPr>
              <w:t>1544</w:t>
            </w:r>
          </w:p>
        </w:tc>
        <w:tc>
          <w:tcPr>
            <w:tcW w:w="9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ascii="仿宋" w:hAnsi="仿宋"/>
                <w:kern w:val="0"/>
                <w:sz w:val="20"/>
                <w:szCs w:val="20"/>
              </w:rPr>
              <w:t>1127</w:t>
            </w:r>
          </w:p>
        </w:tc>
        <w:tc>
          <w:tcPr>
            <w:tcW w:w="77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ascii="仿宋" w:hAnsi="仿宋"/>
                <w:kern w:val="0"/>
                <w:sz w:val="20"/>
                <w:szCs w:val="20"/>
              </w:rPr>
              <w:t>72.99</w:t>
            </w:r>
            <w:r>
              <w:rPr>
                <w:rFonts w:hint="eastAsia" w:ascii="仿宋" w:hAnsi="仿宋"/>
                <w:kern w:val="0"/>
                <w:sz w:val="20"/>
                <w:szCs w:val="20"/>
              </w:rPr>
              <w:t>%</w:t>
            </w:r>
          </w:p>
        </w:tc>
        <w:tc>
          <w:tcPr>
            <w:tcW w:w="72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ascii="仿宋" w:hAnsi="仿宋"/>
                <w:kern w:val="0"/>
                <w:sz w:val="20"/>
                <w:szCs w:val="20"/>
              </w:rPr>
              <w:t>14.6</w:t>
            </w:r>
          </w:p>
        </w:tc>
      </w:tr>
      <w:tr>
        <w:tblPrEx>
          <w:tblCellMar>
            <w:top w:w="0" w:type="dxa"/>
            <w:left w:w="108" w:type="dxa"/>
            <w:bottom w:w="0" w:type="dxa"/>
            <w:right w:w="108" w:type="dxa"/>
          </w:tblCellMar>
        </w:tblPrEx>
        <w:trPr>
          <w:trHeight w:val="720" w:hRule="atLeast"/>
        </w:trPr>
        <w:tc>
          <w:tcPr>
            <w:tcW w:w="291" w:type="pct"/>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年度绩效目标</w:t>
            </w:r>
          </w:p>
        </w:tc>
        <w:tc>
          <w:tcPr>
            <w:tcW w:w="533"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一级</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w:t>
            </w:r>
          </w:p>
        </w:tc>
        <w:tc>
          <w:tcPr>
            <w:tcW w:w="66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二级指标</w:t>
            </w:r>
          </w:p>
        </w:tc>
        <w:tc>
          <w:tcPr>
            <w:tcW w:w="109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指标名称</w:t>
            </w:r>
          </w:p>
        </w:tc>
        <w:tc>
          <w:tcPr>
            <w:tcW w:w="9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年初目标值（A）</w:t>
            </w:r>
          </w:p>
        </w:tc>
        <w:tc>
          <w:tcPr>
            <w:tcW w:w="77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实际完成值（B）</w:t>
            </w:r>
          </w:p>
        </w:tc>
        <w:tc>
          <w:tcPr>
            <w:tcW w:w="72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restart"/>
            <w:tcBorders>
              <w:top w:val="single" w:color="auto" w:sz="4" w:space="0"/>
              <w:left w:val="single" w:color="auto" w:sz="4" w:space="0"/>
              <w:right w:val="single" w:color="auto" w:sz="4" w:space="0"/>
            </w:tcBorders>
            <w:shd w:val="clear" w:color="auto" w:fill="auto"/>
            <w:vAlign w:val="center"/>
          </w:tcPr>
          <w:p>
            <w:pPr>
              <w:widowControl/>
              <w:tabs>
                <w:tab w:val="left" w:pos="467"/>
              </w:tabs>
              <w:spacing w:line="240" w:lineRule="auto"/>
              <w:ind w:firstLine="0" w:firstLineChars="0"/>
              <w:jc w:val="center"/>
              <w:rPr>
                <w:rFonts w:ascii="仿宋" w:hAnsi="仿宋"/>
                <w:kern w:val="0"/>
                <w:sz w:val="20"/>
                <w:szCs w:val="20"/>
              </w:rPr>
            </w:pPr>
            <w:r>
              <w:rPr>
                <w:rFonts w:hint="eastAsia" w:ascii="仿宋" w:hAnsi="仿宋"/>
                <w:kern w:val="0"/>
                <w:sz w:val="20"/>
                <w:szCs w:val="20"/>
              </w:rPr>
              <w:t>产出</w:t>
            </w:r>
          </w:p>
          <w:p>
            <w:pPr>
              <w:widowControl/>
              <w:tabs>
                <w:tab w:val="left" w:pos="467"/>
              </w:tabs>
              <w:spacing w:line="240" w:lineRule="auto"/>
              <w:ind w:firstLine="0" w:firstLineChars="0"/>
              <w:jc w:val="center"/>
              <w:rPr>
                <w:rFonts w:ascii="仿宋" w:hAnsi="仿宋"/>
                <w:kern w:val="0"/>
                <w:sz w:val="20"/>
                <w:szCs w:val="20"/>
              </w:rPr>
            </w:pPr>
            <w:r>
              <w:rPr>
                <w:rFonts w:hint="eastAsia" w:ascii="仿宋" w:hAnsi="仿宋"/>
                <w:kern w:val="0"/>
                <w:sz w:val="20"/>
                <w:szCs w:val="20"/>
              </w:rPr>
              <w:t>指标</w:t>
            </w:r>
          </w:p>
          <w:p>
            <w:pPr>
              <w:widowControl/>
              <w:tabs>
                <w:tab w:val="left" w:pos="467"/>
              </w:tabs>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6</w:t>
            </w:r>
            <w:r>
              <w:rPr>
                <w:rFonts w:hint="eastAsia" w:ascii="仿宋" w:hAnsi="仿宋"/>
                <w:kern w:val="0"/>
                <w:sz w:val="20"/>
                <w:szCs w:val="20"/>
              </w:rPr>
              <w:t>0分）</w:t>
            </w:r>
          </w:p>
        </w:tc>
        <w:tc>
          <w:tcPr>
            <w:tcW w:w="660" w:type="pct"/>
            <w:vMerge w:val="restart"/>
            <w:tcBorders>
              <w:top w:val="single" w:color="auto" w:sz="4" w:space="0"/>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数量指标</w:t>
            </w:r>
          </w:p>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20</w:t>
            </w:r>
            <w:r>
              <w:rPr>
                <w:rFonts w:hint="eastAsia" w:ascii="仿宋" w:hAnsi="仿宋"/>
                <w:kern w:val="0"/>
                <w:sz w:val="20"/>
                <w:szCs w:val="20"/>
              </w:rPr>
              <w:t>分）</w:t>
            </w: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eastAsia="仿宋"/>
                <w:sz w:val="20"/>
                <w:szCs w:val="20"/>
                <w:lang w:val="en-US" w:eastAsia="zh-CN"/>
              </w:rPr>
            </w:pPr>
            <w:r>
              <w:rPr>
                <w:rFonts w:hint="eastAsia"/>
                <w:sz w:val="20"/>
                <w:szCs w:val="20"/>
                <w:lang w:val="en-US" w:eastAsia="zh-CN"/>
              </w:rPr>
              <w:t>核酸采样点</w:t>
            </w:r>
            <w:r>
              <w:rPr>
                <w:rFonts w:hint="eastAsia" w:ascii="仿宋" w:hAnsi="仿宋"/>
                <w:kern w:val="0"/>
                <w:sz w:val="20"/>
                <w:szCs w:val="20"/>
              </w:rPr>
              <w:t>（5分）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数量充足</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数量充足</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right w:val="single" w:color="auto" w:sz="4" w:space="0"/>
            </w:tcBorders>
            <w:shd w:val="clear" w:color="auto" w:fill="auto"/>
            <w:vAlign w:val="center"/>
          </w:tcPr>
          <w:p>
            <w:pPr>
              <w:widowControl/>
              <w:tabs>
                <w:tab w:val="left" w:pos="467"/>
              </w:tabs>
              <w:spacing w:line="240" w:lineRule="auto"/>
              <w:ind w:firstLine="0" w:firstLineChars="0"/>
              <w:jc w:val="center"/>
              <w:rPr>
                <w:rFonts w:ascii="仿宋" w:hAnsi="仿宋"/>
                <w:kern w:val="0"/>
                <w:sz w:val="20"/>
                <w:szCs w:val="20"/>
              </w:rPr>
            </w:pPr>
          </w:p>
        </w:tc>
        <w:tc>
          <w:tcPr>
            <w:tcW w:w="660"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sz w:val="20"/>
                <w:szCs w:val="20"/>
              </w:rPr>
              <w:t>疫情排查率</w:t>
            </w:r>
            <w:r>
              <w:rPr>
                <w:rFonts w:hint="eastAsia" w:ascii="仿宋" w:hAnsi="仿宋"/>
                <w:kern w:val="0"/>
                <w:sz w:val="20"/>
                <w:szCs w:val="20"/>
              </w:rPr>
              <w:t>（5分）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w:t>
            </w:r>
            <w:r>
              <w:rPr>
                <w:rFonts w:ascii="仿宋" w:hAnsi="仿宋"/>
                <w:kern w:val="0"/>
                <w:sz w:val="20"/>
                <w:szCs w:val="20"/>
              </w:rPr>
              <w:t>00%</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w:t>
            </w:r>
            <w:r>
              <w:rPr>
                <w:rFonts w:ascii="仿宋" w:hAnsi="仿宋"/>
                <w:kern w:val="0"/>
                <w:sz w:val="20"/>
                <w:szCs w:val="20"/>
              </w:rPr>
              <w:t>00%</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right w:val="single" w:color="auto" w:sz="4" w:space="0"/>
            </w:tcBorders>
            <w:shd w:val="clear" w:color="auto" w:fill="auto"/>
            <w:vAlign w:val="center"/>
          </w:tcPr>
          <w:p>
            <w:pPr>
              <w:widowControl/>
              <w:tabs>
                <w:tab w:val="left" w:pos="467"/>
              </w:tabs>
              <w:spacing w:line="240" w:lineRule="auto"/>
              <w:ind w:firstLine="0" w:firstLineChars="0"/>
              <w:jc w:val="center"/>
              <w:rPr>
                <w:rFonts w:ascii="仿宋" w:hAnsi="仿宋"/>
                <w:kern w:val="0"/>
                <w:sz w:val="20"/>
                <w:szCs w:val="20"/>
              </w:rPr>
            </w:pPr>
          </w:p>
        </w:tc>
        <w:tc>
          <w:tcPr>
            <w:tcW w:w="660" w:type="pct"/>
            <w:vMerge w:val="continue"/>
            <w:tcBorders>
              <w:left w:val="single" w:color="auto" w:sz="4" w:space="0"/>
              <w:right w:val="single" w:color="auto" w:sz="4" w:space="0"/>
            </w:tcBorders>
            <w:shd w:val="clear" w:color="auto" w:fill="auto"/>
            <w:vAlign w:val="center"/>
          </w:tcPr>
          <w:p>
            <w:pPr>
              <w:widowControl/>
              <w:spacing w:line="240" w:lineRule="auto"/>
              <w:ind w:left="0" w:leftChars="0" w:firstLine="0" w:firstLineChars="0"/>
              <w:jc w:val="center"/>
              <w:rPr>
                <w:rFonts w:ascii="仿宋" w:hAnsi="仿宋"/>
                <w:kern w:val="0"/>
                <w:sz w:val="20"/>
                <w:szCs w:val="20"/>
              </w:rPr>
            </w:pP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rPr>
            </w:pPr>
            <w:r>
              <w:rPr>
                <w:rFonts w:hint="eastAsia"/>
                <w:sz w:val="20"/>
                <w:szCs w:val="20"/>
              </w:rPr>
              <w:t>疫情查验安保</w:t>
            </w:r>
          </w:p>
          <w:p>
            <w:pPr>
              <w:widowControl/>
              <w:spacing w:line="240" w:lineRule="auto"/>
              <w:ind w:firstLine="0" w:firstLineChars="0"/>
              <w:jc w:val="center"/>
              <w:rPr>
                <w:sz w:val="20"/>
                <w:szCs w:val="20"/>
              </w:rPr>
            </w:pPr>
            <w:r>
              <w:rPr>
                <w:rFonts w:hint="eastAsia"/>
                <w:sz w:val="20"/>
                <w:szCs w:val="20"/>
              </w:rPr>
              <w:t>人数</w:t>
            </w:r>
            <w:r>
              <w:rPr>
                <w:rFonts w:hint="eastAsia" w:ascii="仿宋" w:hAnsi="仿宋"/>
                <w:kern w:val="0"/>
                <w:sz w:val="20"/>
                <w:szCs w:val="20"/>
              </w:rPr>
              <w:t>（5分）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lang w:val="en-US" w:eastAsia="zh-CN"/>
              </w:rPr>
            </w:pPr>
            <w:r>
              <w:rPr>
                <w:sz w:val="20"/>
                <w:szCs w:val="20"/>
              </w:rPr>
              <w:t>值守</w:t>
            </w:r>
            <w:r>
              <w:rPr>
                <w:rFonts w:hint="eastAsia"/>
                <w:sz w:val="20"/>
                <w:szCs w:val="20"/>
                <w:lang w:val="en-US" w:eastAsia="zh-CN"/>
              </w:rPr>
              <w:t>人数能够实现</w:t>
            </w:r>
            <w:r>
              <w:rPr>
                <w:rFonts w:hint="eastAsia"/>
                <w:sz w:val="20"/>
                <w:szCs w:val="20"/>
              </w:rPr>
              <w:t>2</w:t>
            </w:r>
            <w:r>
              <w:rPr>
                <w:sz w:val="20"/>
                <w:szCs w:val="20"/>
              </w:rPr>
              <w:t>4</w:t>
            </w:r>
            <w:r>
              <w:rPr>
                <w:rFonts w:hint="eastAsia"/>
                <w:sz w:val="20"/>
                <w:szCs w:val="20"/>
              </w:rPr>
              <w:t>小时</w:t>
            </w:r>
            <w:r>
              <w:rPr>
                <w:rFonts w:hint="eastAsia"/>
                <w:sz w:val="20"/>
                <w:szCs w:val="20"/>
                <w:lang w:val="en-US" w:eastAsia="zh-CN"/>
              </w:rPr>
              <w:t>轮换</w:t>
            </w:r>
          </w:p>
          <w:p>
            <w:pPr>
              <w:widowControl/>
              <w:spacing w:line="240" w:lineRule="auto"/>
              <w:ind w:firstLine="0" w:firstLineChars="0"/>
              <w:jc w:val="center"/>
              <w:rPr>
                <w:rFonts w:ascii="仿宋" w:hAnsi="仿宋"/>
                <w:kern w:val="0"/>
                <w:sz w:val="20"/>
                <w:szCs w:val="20"/>
              </w:rPr>
            </w:pPr>
            <w:r>
              <w:rPr>
                <w:rFonts w:hint="eastAsia"/>
                <w:sz w:val="20"/>
                <w:szCs w:val="20"/>
              </w:rPr>
              <w:t>值班</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满足24小时值班要求</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60" w:type="pct"/>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sz w:val="20"/>
                <w:szCs w:val="20"/>
              </w:rPr>
            </w:pPr>
            <w:r>
              <w:rPr>
                <w:rFonts w:hint="eastAsia"/>
                <w:sz w:val="20"/>
                <w:szCs w:val="20"/>
                <w:lang w:val="en-US" w:eastAsia="zh-CN"/>
              </w:rPr>
              <w:t>防疫设备</w:t>
            </w:r>
            <w:r>
              <w:rPr>
                <w:rFonts w:hint="eastAsia"/>
                <w:sz w:val="20"/>
                <w:szCs w:val="20"/>
              </w:rPr>
              <w:t>到位</w:t>
            </w:r>
          </w:p>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（5分）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到位率100%</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rPr>
            </w:pPr>
            <w:r>
              <w:rPr>
                <w:rFonts w:hint="eastAsia" w:ascii="仿宋" w:hAnsi="仿宋"/>
                <w:kern w:val="0"/>
                <w:sz w:val="20"/>
                <w:szCs w:val="20"/>
                <w:lang w:val="en-US" w:eastAsia="zh-CN"/>
              </w:rPr>
              <w:t>66.18%</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3.3</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60" w:type="pct"/>
            <w:vMerge w:val="restart"/>
            <w:tcBorders>
              <w:top w:val="single" w:color="auto" w:sz="4" w:space="0"/>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质量指标</w:t>
            </w:r>
          </w:p>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3</w:t>
            </w:r>
            <w:r>
              <w:rPr>
                <w:rFonts w:hint="eastAsia" w:ascii="仿宋" w:hAnsi="仿宋"/>
                <w:kern w:val="0"/>
                <w:sz w:val="20"/>
                <w:szCs w:val="20"/>
              </w:rPr>
              <w:t>0分）</w:t>
            </w: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后勤、防护物资储备</w:t>
            </w:r>
            <w:r>
              <w:rPr>
                <w:rFonts w:hint="eastAsia" w:ascii="仿宋" w:hAnsi="仿宋"/>
                <w:kern w:val="0"/>
                <w:sz w:val="20"/>
                <w:szCs w:val="20"/>
              </w:rPr>
              <w:t>（</w:t>
            </w:r>
            <w:r>
              <w:rPr>
                <w:rFonts w:hint="eastAsia" w:ascii="仿宋" w:hAnsi="仿宋"/>
                <w:kern w:val="0"/>
                <w:sz w:val="20"/>
                <w:szCs w:val="20"/>
                <w:lang w:val="en-US" w:eastAsia="zh-CN"/>
              </w:rPr>
              <w:t>10</w:t>
            </w:r>
            <w:r>
              <w:rPr>
                <w:rFonts w:hint="eastAsia" w:ascii="仿宋" w:hAnsi="仿宋"/>
                <w:kern w:val="0"/>
                <w:sz w:val="20"/>
                <w:szCs w:val="20"/>
              </w:rPr>
              <w:t>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保障充足</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保障充足</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60"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防控排查措施</w:t>
            </w:r>
          </w:p>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10</w:t>
            </w:r>
            <w:r>
              <w:rPr>
                <w:rFonts w:hint="eastAsia" w:ascii="仿宋" w:hAnsi="仿宋"/>
                <w:kern w:val="0"/>
                <w:sz w:val="20"/>
                <w:szCs w:val="20"/>
              </w:rPr>
              <w:t>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科学有效</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科学有效</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60" w:type="pct"/>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sz w:val="20"/>
                <w:szCs w:val="20"/>
              </w:rPr>
              <w:t>消杀覆盖率</w:t>
            </w:r>
            <w:r>
              <w:rPr>
                <w:rFonts w:hint="eastAsia" w:ascii="仿宋" w:hAnsi="仿宋"/>
                <w:kern w:val="0"/>
                <w:sz w:val="20"/>
                <w:szCs w:val="20"/>
              </w:rPr>
              <w:t>（</w:t>
            </w:r>
            <w:r>
              <w:rPr>
                <w:rFonts w:hint="eastAsia" w:ascii="仿宋" w:hAnsi="仿宋"/>
                <w:kern w:val="0"/>
                <w:sz w:val="20"/>
                <w:szCs w:val="20"/>
                <w:lang w:val="en-US" w:eastAsia="zh-CN"/>
              </w:rPr>
              <w:t>10</w:t>
            </w:r>
            <w:r>
              <w:rPr>
                <w:rFonts w:hint="eastAsia" w:ascii="仿宋" w:hAnsi="仿宋"/>
                <w:kern w:val="0"/>
                <w:sz w:val="20"/>
                <w:szCs w:val="20"/>
              </w:rPr>
              <w:t>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w:t>
            </w:r>
            <w:r>
              <w:rPr>
                <w:rFonts w:ascii="仿宋" w:hAnsi="仿宋"/>
                <w:kern w:val="0"/>
                <w:sz w:val="20"/>
                <w:szCs w:val="20"/>
              </w:rPr>
              <w:t>00%</w:t>
            </w:r>
          </w:p>
        </w:tc>
        <w:tc>
          <w:tcPr>
            <w:tcW w:w="13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w:t>
            </w:r>
            <w:r>
              <w:rPr>
                <w:rFonts w:ascii="仿宋" w:hAnsi="仿宋"/>
                <w:kern w:val="0"/>
                <w:sz w:val="20"/>
                <w:szCs w:val="20"/>
              </w:rPr>
              <w:t>00%</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60" w:type="pct"/>
            <w:vMerge w:val="restart"/>
            <w:tcBorders>
              <w:top w:val="single" w:color="auto" w:sz="4" w:space="0"/>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时效指标</w:t>
            </w:r>
          </w:p>
          <w:p>
            <w:pPr>
              <w:widowControl/>
              <w:spacing w:line="240" w:lineRule="auto"/>
              <w:ind w:firstLine="0" w:firstLineChars="0"/>
              <w:jc w:val="center"/>
            </w:pPr>
            <w:r>
              <w:rPr>
                <w:rFonts w:hint="eastAsia" w:ascii="仿宋" w:hAnsi="仿宋"/>
                <w:kern w:val="0"/>
                <w:sz w:val="20"/>
                <w:szCs w:val="20"/>
              </w:rPr>
              <w:t>（10分）</w:t>
            </w: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阶段性工作目标</w:t>
            </w:r>
          </w:p>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完成率</w:t>
            </w:r>
            <w:r>
              <w:rPr>
                <w:rFonts w:hint="eastAsia" w:ascii="仿宋" w:hAnsi="仿宋"/>
                <w:kern w:val="0"/>
                <w:sz w:val="20"/>
                <w:szCs w:val="20"/>
              </w:rPr>
              <w:t>（5分）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100%</w:t>
            </w:r>
          </w:p>
        </w:tc>
        <w:tc>
          <w:tcPr>
            <w:tcW w:w="13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100%</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vMerge w:val="continue"/>
            <w:tcBorders>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60" w:type="pct"/>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pP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rPr>
              <w:t>信息上报及时</w:t>
            </w:r>
            <w:r>
              <w:rPr>
                <w:rFonts w:hint="eastAsia" w:ascii="仿宋" w:hAnsi="仿宋"/>
                <w:kern w:val="0"/>
                <w:sz w:val="20"/>
                <w:szCs w:val="20"/>
                <w:lang w:val="en-US" w:eastAsia="zh-CN"/>
              </w:rPr>
              <w:t>性</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val="en-US" w:eastAsia="zh-CN"/>
              </w:rPr>
            </w:pPr>
            <w:r>
              <w:rPr>
                <w:rFonts w:hint="eastAsia" w:ascii="仿宋" w:hAnsi="仿宋"/>
                <w:kern w:val="0"/>
                <w:sz w:val="20"/>
                <w:szCs w:val="20"/>
                <w:lang w:val="en-US" w:eastAsia="zh-CN"/>
              </w:rPr>
              <w:t>及时</w:t>
            </w:r>
          </w:p>
        </w:tc>
        <w:tc>
          <w:tcPr>
            <w:tcW w:w="13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及时</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tcBorders>
              <w:top w:val="single" w:color="auto" w:sz="4" w:space="0"/>
              <w:left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效益</w:t>
            </w:r>
          </w:p>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指标</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1</w:t>
            </w:r>
            <w:r>
              <w:rPr>
                <w:rFonts w:hint="eastAsia" w:ascii="仿宋" w:hAnsi="仿宋"/>
                <w:kern w:val="0"/>
                <w:sz w:val="20"/>
                <w:szCs w:val="20"/>
              </w:rPr>
              <w:t>0分）</w:t>
            </w:r>
          </w:p>
        </w:tc>
        <w:tc>
          <w:tcPr>
            <w:tcW w:w="660" w:type="pct"/>
            <w:tcBorders>
              <w:top w:val="single" w:color="auto" w:sz="4" w:space="0"/>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社会效益</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1</w:t>
            </w:r>
            <w:r>
              <w:rPr>
                <w:rFonts w:hint="eastAsia" w:ascii="仿宋" w:hAnsi="仿宋"/>
                <w:kern w:val="0"/>
                <w:sz w:val="20"/>
                <w:szCs w:val="20"/>
              </w:rPr>
              <w:t>0分）</w:t>
            </w:r>
          </w:p>
        </w:tc>
        <w:tc>
          <w:tcPr>
            <w:tcW w:w="109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中高风险地区通行记录车辆查验率</w:t>
            </w:r>
          </w:p>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rPr>
              <w:t>（</w:t>
            </w:r>
            <w:r>
              <w:rPr>
                <w:rFonts w:hint="eastAsia" w:ascii="仿宋" w:hAnsi="仿宋"/>
                <w:kern w:val="0"/>
                <w:sz w:val="20"/>
                <w:szCs w:val="20"/>
                <w:lang w:val="en-US" w:eastAsia="zh-CN"/>
              </w:rPr>
              <w:t>1</w:t>
            </w:r>
            <w:r>
              <w:rPr>
                <w:rFonts w:hint="eastAsia" w:ascii="仿宋" w:hAnsi="仿宋"/>
                <w:kern w:val="0"/>
                <w:sz w:val="20"/>
                <w:szCs w:val="20"/>
              </w:rPr>
              <w:t>0分）</w:t>
            </w: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13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100%</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3" w:type="pc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满意度指标</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（10分）</w:t>
            </w:r>
          </w:p>
        </w:tc>
        <w:tc>
          <w:tcPr>
            <w:tcW w:w="66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服务对象</w:t>
            </w:r>
          </w:p>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rPr>
              <w:t>满意度</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（10分）</w:t>
            </w:r>
          </w:p>
        </w:tc>
        <w:tc>
          <w:tcPr>
            <w:tcW w:w="109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市民对防疫查验工作满</w:t>
            </w:r>
            <w:r>
              <w:rPr>
                <w:rFonts w:hint="eastAsia" w:ascii="仿宋" w:hAnsi="仿宋"/>
                <w:kern w:val="0"/>
                <w:sz w:val="20"/>
                <w:szCs w:val="20"/>
              </w:rPr>
              <w:t>意度（</w:t>
            </w:r>
            <w:r>
              <w:rPr>
                <w:rFonts w:hint="eastAsia" w:ascii="仿宋" w:hAnsi="仿宋"/>
                <w:kern w:val="0"/>
                <w:sz w:val="20"/>
                <w:szCs w:val="20"/>
                <w:lang w:val="en-US" w:eastAsia="zh-CN"/>
              </w:rPr>
              <w:t>1</w:t>
            </w:r>
            <w:r>
              <w:rPr>
                <w:rFonts w:hint="eastAsia" w:ascii="仿宋" w:hAnsi="仿宋"/>
                <w:kern w:val="0"/>
                <w:sz w:val="20"/>
                <w:szCs w:val="20"/>
              </w:rPr>
              <w:t>0分）</w:t>
            </w:r>
          </w:p>
        </w:tc>
        <w:tc>
          <w:tcPr>
            <w:tcW w:w="927"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90</w:t>
            </w:r>
            <w:r>
              <w:rPr>
                <w:rFonts w:hint="eastAsia" w:ascii="仿宋" w:hAnsi="仿宋"/>
                <w:kern w:val="0"/>
                <w:sz w:val="20"/>
                <w:szCs w:val="20"/>
              </w:rPr>
              <w:t>%</w:t>
            </w:r>
          </w:p>
        </w:tc>
        <w:tc>
          <w:tcPr>
            <w:tcW w:w="771"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95</w:t>
            </w:r>
            <w:r>
              <w:rPr>
                <w:rFonts w:hint="eastAsia" w:ascii="仿宋" w:hAnsi="仿宋"/>
                <w:kern w:val="0"/>
                <w:sz w:val="20"/>
                <w:szCs w:val="20"/>
              </w:rPr>
              <w:t>%</w:t>
            </w:r>
          </w:p>
        </w:tc>
        <w:tc>
          <w:tcPr>
            <w:tcW w:w="72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tblPrEx>
          <w:tblCellMar>
            <w:top w:w="0" w:type="dxa"/>
            <w:left w:w="108" w:type="dxa"/>
            <w:bottom w:w="0" w:type="dxa"/>
            <w:right w:w="108" w:type="dxa"/>
          </w:tblCellMar>
        </w:tblPrEx>
        <w:trPr>
          <w:trHeight w:val="465" w:hRule="atLeast"/>
        </w:trPr>
        <w:tc>
          <w:tcPr>
            <w:tcW w:w="291" w:type="pct"/>
            <w:tcBorders>
              <w:top w:val="nil"/>
              <w:left w:val="single" w:color="auto" w:sz="4" w:space="0"/>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总分</w:t>
            </w:r>
          </w:p>
        </w:tc>
        <w:tc>
          <w:tcPr>
            <w:tcW w:w="4708"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w:t>
            </w:r>
            <w:r>
              <w:rPr>
                <w:rFonts w:hint="eastAsia" w:ascii="仿宋" w:hAnsi="仿宋"/>
                <w:kern w:val="0"/>
                <w:sz w:val="20"/>
                <w:szCs w:val="20"/>
                <w:lang w:val="en-US" w:eastAsia="zh-CN"/>
              </w:rPr>
              <w:t>2.9</w:t>
            </w:r>
            <w:r>
              <w:rPr>
                <w:rFonts w:hint="eastAsia" w:ascii="仿宋" w:hAnsi="仿宋"/>
                <w:kern w:val="0"/>
                <w:sz w:val="20"/>
                <w:szCs w:val="20"/>
              </w:rPr>
              <w:t>分</w:t>
            </w:r>
          </w:p>
        </w:tc>
      </w:tr>
      <w:tr>
        <w:tblPrEx>
          <w:tblCellMar>
            <w:top w:w="0" w:type="dxa"/>
            <w:left w:w="108" w:type="dxa"/>
            <w:bottom w:w="0" w:type="dxa"/>
            <w:right w:w="108" w:type="dxa"/>
          </w:tblCellMar>
        </w:tblPrEx>
        <w:trPr>
          <w:trHeight w:val="1062" w:hRule="atLeast"/>
        </w:trPr>
        <w:tc>
          <w:tcPr>
            <w:tcW w:w="8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偏差大或目标未完成原因分析</w:t>
            </w:r>
          </w:p>
        </w:tc>
        <w:tc>
          <w:tcPr>
            <w:tcW w:w="4174" w:type="pct"/>
            <w:gridSpan w:val="5"/>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default" w:ascii="仿宋" w:hAnsi="仿宋" w:eastAsia="仿宋"/>
                <w:kern w:val="0"/>
                <w:sz w:val="20"/>
                <w:szCs w:val="20"/>
                <w:lang w:val="en-US" w:eastAsia="zh-CN"/>
              </w:rPr>
            </w:pPr>
            <w:r>
              <w:rPr>
                <w:rFonts w:hint="eastAsia"/>
                <w:sz w:val="20"/>
                <w:szCs w:val="20"/>
                <w:lang w:val="en-US" w:eastAsia="zh-CN"/>
              </w:rPr>
              <w:t>防疫设备</w:t>
            </w:r>
            <w:r>
              <w:rPr>
                <w:rFonts w:hint="eastAsia"/>
                <w:sz w:val="20"/>
                <w:szCs w:val="20"/>
              </w:rPr>
              <w:t>到位</w:t>
            </w:r>
            <w:r>
              <w:rPr>
                <w:rFonts w:hint="eastAsia"/>
                <w:sz w:val="20"/>
                <w:szCs w:val="20"/>
                <w:lang w:val="en-US" w:eastAsia="zh-CN"/>
              </w:rPr>
              <w:t>率指标未完成，原因是根据市防控指挥部工作要求，疫情防控检查需扫码终端设备与独家供货商长江运通公司对接，高速卡口共计68个车道，因设备需定时充电，每车道最少需要2台，共需136台，但因供货商货源不足，经协商只能提供90台，设备到位率66%。</w:t>
            </w:r>
          </w:p>
        </w:tc>
      </w:tr>
      <w:tr>
        <w:tblPrEx>
          <w:tblCellMar>
            <w:top w:w="0" w:type="dxa"/>
            <w:left w:w="108" w:type="dxa"/>
            <w:bottom w:w="0" w:type="dxa"/>
            <w:right w:w="108" w:type="dxa"/>
          </w:tblCellMar>
        </w:tblPrEx>
        <w:trPr>
          <w:trHeight w:val="1160" w:hRule="atLeast"/>
        </w:trPr>
        <w:tc>
          <w:tcPr>
            <w:tcW w:w="8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改进措施及结果应用方案</w:t>
            </w:r>
          </w:p>
        </w:tc>
        <w:tc>
          <w:tcPr>
            <w:tcW w:w="4174"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default" w:ascii="仿宋" w:hAnsi="仿宋" w:eastAsia="仿宋"/>
                <w:kern w:val="0"/>
                <w:sz w:val="20"/>
                <w:szCs w:val="20"/>
                <w:lang w:val="en-US" w:eastAsia="zh-CN"/>
              </w:rPr>
            </w:pPr>
            <w:r>
              <w:rPr>
                <w:rFonts w:hint="eastAsia" w:ascii="仿宋" w:hAnsi="仿宋"/>
                <w:kern w:val="0"/>
                <w:sz w:val="20"/>
                <w:szCs w:val="20"/>
                <w:lang w:val="en-US" w:eastAsia="zh-CN"/>
              </w:rPr>
              <w:t>对必要使用的硬件设备，需扩宽采购商渠道，打通市场中间环节，确保设备顺利采购。</w:t>
            </w:r>
          </w:p>
        </w:tc>
      </w:tr>
    </w:tbl>
    <w:p>
      <w:pPr>
        <w:pStyle w:val="2"/>
        <w:ind w:firstLine="640"/>
      </w:pPr>
    </w:p>
    <w:bookmarkEnd w:id="28"/>
    <w:bookmarkEnd w:id="29"/>
    <w:bookmarkEnd w:id="30"/>
    <w:bookmarkEnd w:id="31"/>
    <w:p>
      <w:pPr>
        <w:pStyle w:val="3"/>
        <w:pageBreakBefore/>
        <w:shd w:val="clear" w:color="auto" w:fill="FFFFFF" w:themeFill="background1"/>
        <w:spacing w:line="360" w:lineRule="auto"/>
        <w:ind w:firstLine="643"/>
        <w:rPr>
          <w:rFonts w:ascii="Times New Roman" w:hAnsi="Times New Roman" w:cs="Times New Roman"/>
        </w:rPr>
      </w:pPr>
      <w:bookmarkStart w:id="32" w:name="_Toc9411"/>
      <w:bookmarkStart w:id="33" w:name="_Toc19524"/>
      <w:bookmarkStart w:id="34" w:name="_Toc6356"/>
      <w:bookmarkStart w:id="35" w:name="_Toc20605"/>
      <w:bookmarkStart w:id="36" w:name="_Toc14313"/>
      <w:r>
        <w:rPr>
          <w:rFonts w:hint="eastAsia" w:ascii="Times New Roman" w:hAnsi="Times New Roman" w:cs="Times New Roman"/>
          <w:kern w:val="2"/>
          <w:szCs w:val="32"/>
        </w:rPr>
        <w:t>二、</w:t>
      </w:r>
      <w:r>
        <w:rPr>
          <w:rFonts w:ascii="Times New Roman" w:hAnsi="Times New Roman" w:cs="Times New Roman"/>
          <w:kern w:val="2"/>
          <w:szCs w:val="32"/>
        </w:rPr>
        <w:t>佐证材料</w:t>
      </w:r>
      <w:bookmarkEnd w:id="32"/>
      <w:bookmarkEnd w:id="33"/>
      <w:bookmarkEnd w:id="34"/>
      <w:bookmarkEnd w:id="35"/>
      <w:bookmarkEnd w:id="36"/>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bookmarkStart w:id="37" w:name="_Toc2015"/>
      <w:bookmarkStart w:id="38" w:name="_Toc15156"/>
      <w:bookmarkStart w:id="39" w:name="_Toc25168"/>
      <w:bookmarkStart w:id="40" w:name="_Toc21519"/>
      <w:bookmarkStart w:id="41" w:name="_Toc5884"/>
      <w:r>
        <w:rPr>
          <w:rFonts w:hint="eastAsia" w:ascii="Times New Roman" w:hAnsi="Times New Roman" w:eastAsia="楷体" w:cs="Times New Roman"/>
        </w:rPr>
        <w:t>（一）</w:t>
      </w:r>
      <w:r>
        <w:rPr>
          <w:rFonts w:ascii="Times New Roman" w:hAnsi="Times New Roman" w:eastAsia="楷体" w:cs="Times New Roman"/>
        </w:rPr>
        <w:t>基本情况</w:t>
      </w:r>
      <w:bookmarkEnd w:id="37"/>
      <w:bookmarkEnd w:id="38"/>
      <w:bookmarkEnd w:id="39"/>
      <w:bookmarkEnd w:id="40"/>
      <w:bookmarkEnd w:id="41"/>
      <w:bookmarkStart w:id="42" w:name="_Toc7020634"/>
    </w:p>
    <w:p>
      <w:pPr>
        <w:pStyle w:val="5"/>
        <w:spacing w:line="360" w:lineRule="auto"/>
        <w:ind w:firstLine="643"/>
      </w:pPr>
      <w:bookmarkStart w:id="43" w:name="_Toc20435"/>
      <w:bookmarkStart w:id="44" w:name="_Toc18740"/>
      <w:r>
        <w:rPr>
          <w:rFonts w:hint="eastAsia"/>
        </w:rPr>
        <w:t>1.</w:t>
      </w:r>
      <w:r>
        <w:t>项目</w:t>
      </w:r>
      <w:r>
        <w:rPr>
          <w:rFonts w:hint="eastAsia"/>
        </w:rPr>
        <w:t>立项目的</w:t>
      </w:r>
      <w:bookmarkEnd w:id="43"/>
      <w:bookmarkEnd w:id="44"/>
    </w:p>
    <w:p>
      <w:pPr>
        <w:bidi w:val="0"/>
        <w:spacing w:line="360" w:lineRule="auto"/>
        <w:rPr>
          <w:rFonts w:hint="default"/>
          <w:lang w:val="en-US" w:eastAsia="zh-CN"/>
        </w:rPr>
      </w:pPr>
      <w:bookmarkStart w:id="45" w:name="_Toc13283"/>
      <w:bookmarkStart w:id="46" w:name="_Toc10717"/>
      <w:r>
        <w:rPr>
          <w:rFonts w:hint="eastAsia"/>
          <w:lang w:val="en-US" w:eastAsia="zh-CN"/>
        </w:rPr>
        <w:t>2022年度春运工作启动以来，国内多地出现散发和聚集性疫情，为进一步组密筑牢疫情防控网，科学规范做好市域内高速公路入口疫情防控工作，武汉市新冠肺炎疫情防控指挥部办公室发布《市新冠肺炎疫情防控指挥部办公室关于进一步加强市域内高速公路入口疫情防控工作的意见》（武防指办[2022]4号）文件，要求各高速公路运营单位严格执行《公路服务区和收费站新冠肺炎疫情防控工作指南》（交公路明点[2021]273号），严格落实人员、物品、环境“三同防”要求，阻断“五类”病毒传播途径，积极配合属地区疫情防控指挥部，做好公路服务和收费站等重点场所疫情防控工作。</w:t>
      </w:r>
    </w:p>
    <w:p>
      <w:pPr>
        <w:pStyle w:val="5"/>
        <w:spacing w:line="360" w:lineRule="auto"/>
        <w:ind w:firstLine="643"/>
      </w:pPr>
      <w:r>
        <w:t>2.</w:t>
      </w:r>
      <w:r>
        <w:rPr>
          <w:rFonts w:hint="eastAsia"/>
        </w:rPr>
        <w:t>年度</w:t>
      </w:r>
      <w:r>
        <w:t>绩效目标</w:t>
      </w:r>
      <w:bookmarkEnd w:id="45"/>
      <w:bookmarkEnd w:id="46"/>
    </w:p>
    <w:p>
      <w:pPr>
        <w:shd w:val="clear" w:color="auto" w:fill="FFFFFF" w:themeFill="background1"/>
        <w:spacing w:line="360" w:lineRule="auto"/>
        <w:ind w:firstLine="640"/>
        <w:rPr>
          <w:rFonts w:cs="Times New Roman"/>
          <w:color w:val="auto"/>
          <w:kern w:val="0"/>
          <w:szCs w:val="32"/>
        </w:rPr>
      </w:pPr>
      <w:r>
        <w:rPr>
          <w:rFonts w:hint="eastAsia" w:cs="Times New Roman"/>
          <w:color w:val="auto"/>
          <w:kern w:val="0"/>
          <w:szCs w:val="32"/>
        </w:rPr>
        <w:t>本项目2022年绩效指标设置</w:t>
      </w:r>
      <w:r>
        <w:rPr>
          <w:rFonts w:hint="eastAsia" w:cs="Times New Roman"/>
          <w:color w:val="auto"/>
          <w:kern w:val="0"/>
          <w:szCs w:val="32"/>
          <w:lang w:val="en-US" w:eastAsia="zh-CN"/>
        </w:rPr>
        <w:t>不完整</w:t>
      </w:r>
      <w:r>
        <w:rPr>
          <w:rFonts w:hint="eastAsia" w:cs="Times New Roman"/>
          <w:color w:val="auto"/>
          <w:kern w:val="0"/>
          <w:szCs w:val="32"/>
        </w:rPr>
        <w:t>，</w:t>
      </w:r>
      <w:r>
        <w:rPr>
          <w:rFonts w:hint="eastAsia" w:cs="Times New Roman"/>
          <w:color w:val="auto"/>
          <w:kern w:val="0"/>
          <w:szCs w:val="32"/>
          <w:lang w:val="en-US" w:eastAsia="zh-CN"/>
        </w:rPr>
        <w:t>为</w:t>
      </w:r>
      <w:r>
        <w:rPr>
          <w:rFonts w:hint="eastAsia" w:cs="Times New Roman"/>
          <w:color w:val="auto"/>
          <w:kern w:val="0"/>
          <w:szCs w:val="32"/>
        </w:rPr>
        <w:t>全面反映项目的产出和效果，故将本项目绩效目标调整如下：</w:t>
      </w:r>
    </w:p>
    <w:p>
      <w:pPr>
        <w:bidi w:val="0"/>
        <w:spacing w:line="360" w:lineRule="auto"/>
        <w:rPr>
          <w:rFonts w:hint="eastAsia"/>
          <w:lang w:val="en-US" w:eastAsia="zh-CN"/>
        </w:rPr>
      </w:pPr>
      <w:r>
        <w:rPr>
          <w:rFonts w:hint="eastAsia"/>
          <w:lang w:val="en-US" w:eastAsia="zh-CN"/>
        </w:rPr>
        <w:t>核酸采样点数量充足、疫情排查率100%、疫情查验安保人数充足、后勤、防护物资储备保障充足、防控排查措施科学有效、消杀覆盖率100%、阶段性工作目标完成率100%、信息上报及时、中高风险地区通行记录车辆查验率100%、市民对防疫查验工作满意度≥90%。</w:t>
      </w:r>
    </w:p>
    <w:p>
      <w:pPr>
        <w:widowControl/>
        <w:spacing w:line="360" w:lineRule="auto"/>
        <w:ind w:firstLine="643"/>
        <w:outlineLvl w:val="2"/>
        <w:rPr>
          <w:b/>
          <w:color w:val="000000" w:themeColor="text1"/>
          <w:szCs w:val="32"/>
          <w14:textFill>
            <w14:solidFill>
              <w14:schemeClr w14:val="tx1"/>
            </w14:solidFill>
          </w14:textFill>
        </w:rPr>
      </w:pPr>
      <w:r>
        <w:rPr>
          <w:rFonts w:hint="eastAsia"/>
          <w:b/>
          <w:color w:val="000000" w:themeColor="text1"/>
          <w:szCs w:val="32"/>
          <w14:textFill>
            <w14:solidFill>
              <w14:schemeClr w14:val="tx1"/>
            </w14:solidFill>
          </w14:textFill>
        </w:rPr>
        <w:t>3.项目资金情况</w:t>
      </w:r>
    </w:p>
    <w:bookmarkEnd w:id="42"/>
    <w:p>
      <w:pPr>
        <w:spacing w:line="360" w:lineRule="auto"/>
        <w:ind w:firstLine="640"/>
        <w:rPr>
          <w:bCs/>
          <w:szCs w:val="32"/>
        </w:rPr>
      </w:pPr>
      <w:bookmarkStart w:id="47" w:name="_Toc32177"/>
      <w:bookmarkStart w:id="48" w:name="_Toc30784"/>
      <w:bookmarkStart w:id="49" w:name="_Toc24782"/>
      <w:bookmarkStart w:id="50" w:name="_Toc13091"/>
      <w:bookmarkStart w:id="51" w:name="_Toc19582"/>
      <w:bookmarkStart w:id="52" w:name="_Toc8397035"/>
      <w:r>
        <w:rPr>
          <w:rFonts w:hint="eastAsia"/>
        </w:rPr>
        <w:t>2022年度项目预算金额为</w:t>
      </w:r>
      <w:r>
        <w:t>1</w:t>
      </w:r>
      <w:r>
        <w:rPr>
          <w:rFonts w:hint="eastAsia"/>
          <w:lang w:val="en-US" w:eastAsia="zh-CN"/>
        </w:rPr>
        <w:t>,</w:t>
      </w:r>
      <w:r>
        <w:t>544</w:t>
      </w:r>
      <w:r>
        <w:rPr>
          <w:rFonts w:hint="eastAsia"/>
          <w:lang w:val="en-US" w:eastAsia="zh-CN"/>
        </w:rPr>
        <w:t>.00</w:t>
      </w:r>
      <w:r>
        <w:rPr>
          <w:rFonts w:hint="eastAsia"/>
        </w:rPr>
        <w:t>万元。本项目年度实际支出</w:t>
      </w:r>
      <w:r>
        <w:t>1</w:t>
      </w:r>
      <w:r>
        <w:rPr>
          <w:rFonts w:hint="eastAsia"/>
          <w:lang w:val="en-US" w:eastAsia="zh-CN"/>
        </w:rPr>
        <w:t>,</w:t>
      </w:r>
      <w:r>
        <w:t>127</w:t>
      </w:r>
      <w:r>
        <w:rPr>
          <w:rFonts w:hint="eastAsia"/>
          <w:lang w:val="en-US" w:eastAsia="zh-CN"/>
        </w:rPr>
        <w:t>.00</w:t>
      </w:r>
      <w:r>
        <w:rPr>
          <w:rFonts w:hint="eastAsia"/>
        </w:rPr>
        <w:t>万元，预算执行率为</w:t>
      </w:r>
      <w:r>
        <w:t>72.99</w:t>
      </w:r>
      <w:r>
        <w:rPr>
          <w:rFonts w:hint="eastAsia"/>
        </w:rPr>
        <w:t>%</w:t>
      </w:r>
      <w:r>
        <w:t>。</w:t>
      </w:r>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r>
        <w:rPr>
          <w:rFonts w:hint="eastAsia" w:ascii="Times New Roman" w:hAnsi="Times New Roman" w:eastAsia="楷体" w:cs="Times New Roman"/>
        </w:rPr>
        <w:t>（二）部门自评</w:t>
      </w:r>
      <w:r>
        <w:rPr>
          <w:rFonts w:ascii="Times New Roman" w:hAnsi="Times New Roman" w:eastAsia="楷体" w:cs="Times New Roman"/>
        </w:rPr>
        <w:t>工作开展情况</w:t>
      </w:r>
      <w:bookmarkEnd w:id="47"/>
      <w:bookmarkEnd w:id="48"/>
      <w:bookmarkEnd w:id="49"/>
      <w:bookmarkEnd w:id="50"/>
      <w:bookmarkEnd w:id="51"/>
      <w:bookmarkEnd w:id="52"/>
    </w:p>
    <w:p>
      <w:pPr>
        <w:widowControl/>
        <w:spacing w:line="360" w:lineRule="auto"/>
        <w:ind w:firstLine="640"/>
        <w:rPr>
          <w:color w:val="000000" w:themeColor="text1"/>
          <w:szCs w:val="32"/>
          <w14:textFill>
            <w14:solidFill>
              <w14:schemeClr w14:val="tx1"/>
            </w14:solidFill>
          </w14:textFill>
        </w:rPr>
      </w:pPr>
      <w:bookmarkStart w:id="53" w:name="_Toc28731"/>
      <w:bookmarkStart w:id="54" w:name="_Toc16572"/>
      <w:bookmarkStart w:id="55" w:name="_Toc16187"/>
      <w:bookmarkStart w:id="56" w:name="_Toc31889"/>
      <w:bookmarkStart w:id="57" w:name="_Toc6163"/>
      <w:r>
        <w:rPr>
          <w:rFonts w:hint="eastAsia"/>
          <w:color w:val="000000" w:themeColor="text1"/>
          <w:szCs w:val="32"/>
          <w14:textFill>
            <w14:solidFill>
              <w14:schemeClr w14:val="tx1"/>
            </w14:solidFill>
          </w14:textFill>
        </w:rPr>
        <w:t>本次自评时间从2023年</w:t>
      </w:r>
      <w:r>
        <w:rPr>
          <w:color w:val="000000" w:themeColor="text1"/>
          <w:szCs w:val="32"/>
          <w14:textFill>
            <w14:solidFill>
              <w14:schemeClr w14:val="tx1"/>
            </w14:solidFill>
          </w14:textFill>
        </w:rPr>
        <w:t>4</w:t>
      </w:r>
      <w:r>
        <w:rPr>
          <w:rFonts w:hint="eastAsia"/>
          <w:color w:val="000000" w:themeColor="text1"/>
          <w:szCs w:val="32"/>
          <w14:textFill>
            <w14:solidFill>
              <w14:schemeClr w14:val="tx1"/>
            </w14:solidFill>
          </w14:textFill>
        </w:rPr>
        <w:t>月3日至2023年4月21日，历时</w:t>
      </w:r>
      <w:r>
        <w:rPr>
          <w:color w:val="000000" w:themeColor="text1"/>
          <w:szCs w:val="32"/>
          <w14:textFill>
            <w14:solidFill>
              <w14:schemeClr w14:val="tx1"/>
            </w14:solidFill>
          </w14:textFill>
        </w:rPr>
        <w:t>1</w:t>
      </w:r>
      <w:r>
        <w:rPr>
          <w:rFonts w:hint="eastAsia"/>
          <w:color w:val="000000" w:themeColor="text1"/>
          <w:szCs w:val="32"/>
          <w14:textFill>
            <w14:solidFill>
              <w14:schemeClr w14:val="tx1"/>
            </w14:solidFill>
          </w14:textFill>
        </w:rPr>
        <w:t>5天。自评工作程序如下：</w:t>
      </w:r>
    </w:p>
    <w:p>
      <w:pPr>
        <w:widowControl/>
        <w:spacing w:line="360" w:lineRule="auto"/>
        <w:ind w:firstLine="643"/>
        <w:rPr>
          <w:b/>
          <w:bCs/>
          <w:color w:val="000000" w:themeColor="text1"/>
          <w:szCs w:val="32"/>
          <w14:textFill>
            <w14:solidFill>
              <w14:schemeClr w14:val="tx1"/>
            </w14:solidFill>
          </w14:textFill>
        </w:rPr>
      </w:pPr>
      <w:r>
        <w:rPr>
          <w:b/>
          <w:bCs/>
          <w:color w:val="000000" w:themeColor="text1"/>
          <w:szCs w:val="32"/>
          <w14:textFill>
            <w14:solidFill>
              <w14:schemeClr w14:val="tx1"/>
            </w14:solidFill>
          </w14:textFill>
        </w:rPr>
        <w:t>1.</w:t>
      </w:r>
      <w:r>
        <w:rPr>
          <w:rFonts w:hint="eastAsia"/>
          <w:b/>
          <w:bCs/>
          <w:color w:val="000000" w:themeColor="text1"/>
          <w:szCs w:val="32"/>
          <w14:textFill>
            <w14:solidFill>
              <w14:schemeClr w14:val="tx1"/>
            </w14:solidFill>
          </w14:textFill>
        </w:rPr>
        <w:t>制定工作方案</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szCs w:val="32"/>
        </w:rPr>
        <w:t>《关于开展2023年预算绩效评价及项目支出绩效运行监控的通知》（武经开〔2023〕19号）</w:t>
      </w:r>
      <w:r>
        <w:rPr>
          <w:rFonts w:hint="eastAsia"/>
          <w:color w:val="000000" w:themeColor="text1"/>
          <w:szCs w:val="32"/>
          <w14:textFill>
            <w14:solidFill>
              <w14:schemeClr w14:val="tx1"/>
            </w14:solidFill>
          </w14:textFill>
        </w:rPr>
        <w:t>启动部门自评工作。</w:t>
      </w:r>
    </w:p>
    <w:p>
      <w:pPr>
        <w:widowControl/>
        <w:spacing w:line="360" w:lineRule="auto"/>
        <w:ind w:firstLine="643"/>
        <w:rPr>
          <w:b/>
          <w:bCs/>
          <w:color w:val="000000" w:themeColor="text1"/>
          <w:szCs w:val="32"/>
          <w14:textFill>
            <w14:solidFill>
              <w14:schemeClr w14:val="tx1"/>
            </w14:solidFill>
          </w14:textFill>
        </w:rPr>
      </w:pPr>
      <w:r>
        <w:rPr>
          <w:rFonts w:hint="eastAsia"/>
          <w:b/>
          <w:bCs/>
          <w:color w:val="000000" w:themeColor="text1"/>
          <w:szCs w:val="32"/>
          <w14:textFill>
            <w14:solidFill>
              <w14:schemeClr w14:val="tx1"/>
            </w14:solidFill>
          </w14:textFill>
        </w:rPr>
        <w:t>2.组织实施自评</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财务部门会同第三方机构及时成立工作组，通过调研访谈、电话访谈等方式收集、核实数据和信息，并对这些数据和信息进行整理分析。</w:t>
      </w:r>
    </w:p>
    <w:p>
      <w:pPr>
        <w:widowControl/>
        <w:spacing w:line="360" w:lineRule="auto"/>
        <w:ind w:firstLine="643"/>
        <w:rPr>
          <w:b/>
          <w:bCs/>
          <w:color w:val="000000" w:themeColor="text1"/>
          <w:szCs w:val="32"/>
          <w14:textFill>
            <w14:solidFill>
              <w14:schemeClr w14:val="tx1"/>
            </w14:solidFill>
          </w14:textFill>
        </w:rPr>
      </w:pPr>
      <w:r>
        <w:rPr>
          <w:rFonts w:hint="eastAsia"/>
          <w:b/>
          <w:bCs/>
          <w:color w:val="000000" w:themeColor="text1"/>
          <w:szCs w:val="32"/>
          <w14:textFill>
            <w14:solidFill>
              <w14:schemeClr w14:val="tx1"/>
            </w14:solidFill>
          </w14:textFill>
        </w:rPr>
        <w:t>3.撰写部门项目自评结果</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在整理分析基础上，形成部门项目自评结果。</w:t>
      </w:r>
    </w:p>
    <w:p>
      <w:pPr>
        <w:widowControl/>
        <w:spacing w:line="360" w:lineRule="auto"/>
        <w:ind w:firstLine="643"/>
        <w:rPr>
          <w:b/>
          <w:bCs/>
          <w:color w:val="000000" w:themeColor="text1"/>
          <w:szCs w:val="32"/>
          <w14:textFill>
            <w14:solidFill>
              <w14:schemeClr w14:val="tx1"/>
            </w14:solidFill>
          </w14:textFill>
        </w:rPr>
      </w:pPr>
      <w:r>
        <w:rPr>
          <w:rFonts w:hint="eastAsia"/>
          <w:b/>
          <w:bCs/>
          <w:color w:val="000000" w:themeColor="text1"/>
          <w:szCs w:val="32"/>
          <w14:textFill>
            <w14:solidFill>
              <w14:schemeClr w14:val="tx1"/>
            </w14:solidFill>
          </w14:textFill>
        </w:rPr>
        <w:t>4.建立部门项目自评档案</w:t>
      </w:r>
    </w:p>
    <w:p>
      <w:pPr>
        <w:widowControl/>
        <w:spacing w:line="360" w:lineRule="auto"/>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部门项目自评结果按时报送财政部门备案并及时归档备查。</w:t>
      </w:r>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r>
        <w:rPr>
          <w:rFonts w:hint="eastAsia" w:ascii="Times New Roman" w:hAnsi="Times New Roman" w:eastAsia="楷体" w:cs="Times New Roman"/>
        </w:rPr>
        <w:t>（三）</w:t>
      </w:r>
      <w:r>
        <w:rPr>
          <w:rFonts w:ascii="Times New Roman" w:hAnsi="Times New Roman" w:eastAsia="楷体" w:cs="Times New Roman"/>
        </w:rPr>
        <w:t>绩效</w:t>
      </w:r>
      <w:r>
        <w:rPr>
          <w:rFonts w:hint="eastAsia" w:ascii="Times New Roman" w:hAnsi="Times New Roman" w:eastAsia="楷体" w:cs="Times New Roman"/>
        </w:rPr>
        <w:t>目标</w:t>
      </w:r>
      <w:r>
        <w:rPr>
          <w:rFonts w:ascii="Times New Roman" w:hAnsi="Times New Roman" w:eastAsia="楷体" w:cs="Times New Roman"/>
        </w:rPr>
        <w:t>完成情况分析</w:t>
      </w:r>
      <w:bookmarkEnd w:id="53"/>
      <w:bookmarkEnd w:id="54"/>
      <w:bookmarkEnd w:id="55"/>
      <w:bookmarkEnd w:id="56"/>
      <w:bookmarkEnd w:id="57"/>
    </w:p>
    <w:p>
      <w:pPr>
        <w:pStyle w:val="5"/>
        <w:spacing w:line="360" w:lineRule="auto"/>
        <w:ind w:firstLine="643"/>
      </w:pPr>
      <w:bookmarkStart w:id="58" w:name="_Toc5479"/>
      <w:bookmarkStart w:id="59" w:name="_Toc16689"/>
      <w:r>
        <w:rPr>
          <w:rFonts w:hint="eastAsia"/>
        </w:rPr>
        <w:t>1.预算执行情况分析（满分20分，得分</w:t>
      </w:r>
      <w:r>
        <w:rPr>
          <w:rFonts w:hint="eastAsia"/>
          <w:lang w:val="en-US" w:eastAsia="zh-CN"/>
        </w:rPr>
        <w:t>14.6</w:t>
      </w:r>
      <w:r>
        <w:rPr>
          <w:rFonts w:hint="eastAsia"/>
        </w:rPr>
        <w:t>分）</w:t>
      </w:r>
      <w:bookmarkEnd w:id="58"/>
      <w:bookmarkEnd w:id="59"/>
    </w:p>
    <w:p>
      <w:pPr>
        <w:spacing w:line="360" w:lineRule="auto"/>
        <w:ind w:firstLine="640"/>
      </w:pPr>
      <w:r>
        <w:rPr>
          <w:rFonts w:hint="eastAsia"/>
        </w:rPr>
        <w:t>2022年度项目预算金额为</w:t>
      </w:r>
      <w:r>
        <w:t>1</w:t>
      </w:r>
      <w:r>
        <w:rPr>
          <w:rFonts w:hint="eastAsia"/>
          <w:lang w:val="en-US" w:eastAsia="zh-CN"/>
        </w:rPr>
        <w:t>,</w:t>
      </w:r>
      <w:r>
        <w:t>544</w:t>
      </w:r>
      <w:r>
        <w:rPr>
          <w:rFonts w:hint="eastAsia"/>
          <w:lang w:val="en-US" w:eastAsia="zh-CN"/>
        </w:rPr>
        <w:t>.00</w:t>
      </w:r>
      <w:r>
        <w:rPr>
          <w:rFonts w:hint="eastAsia"/>
        </w:rPr>
        <w:t>万元。本项目年度实际支出</w:t>
      </w:r>
      <w:r>
        <w:t>1</w:t>
      </w:r>
      <w:r>
        <w:rPr>
          <w:rFonts w:hint="eastAsia"/>
          <w:lang w:val="en-US" w:eastAsia="zh-CN"/>
        </w:rPr>
        <w:t>,</w:t>
      </w:r>
      <w:r>
        <w:t>127</w:t>
      </w:r>
      <w:r>
        <w:rPr>
          <w:rFonts w:hint="eastAsia"/>
          <w:lang w:val="en-US" w:eastAsia="zh-CN"/>
        </w:rPr>
        <w:t>.00</w:t>
      </w:r>
      <w:r>
        <w:rPr>
          <w:rFonts w:hint="eastAsia"/>
        </w:rPr>
        <w:t>万元，预算执行率为</w:t>
      </w:r>
      <w:r>
        <w:t>72.99</w:t>
      </w:r>
      <w:r>
        <w:rPr>
          <w:rFonts w:hint="eastAsia"/>
        </w:rPr>
        <w:t>%</w:t>
      </w:r>
      <w:r>
        <w:t>。</w:t>
      </w:r>
      <w:r>
        <w:rPr>
          <w:rFonts w:hint="eastAsia"/>
        </w:rPr>
        <w:t>得分</w:t>
      </w:r>
      <w:r>
        <w:rPr>
          <w:rFonts w:hint="eastAsia"/>
          <w:lang w:val="en-US" w:eastAsia="zh-CN"/>
        </w:rPr>
        <w:t>14.6</w:t>
      </w:r>
      <w:r>
        <w:rPr>
          <w:rFonts w:hint="eastAsia"/>
        </w:rPr>
        <w:t>分。</w:t>
      </w:r>
    </w:p>
    <w:p>
      <w:pPr>
        <w:pStyle w:val="5"/>
        <w:spacing w:line="360" w:lineRule="auto"/>
        <w:ind w:firstLine="643"/>
      </w:pPr>
      <w:bookmarkStart w:id="60" w:name="_Toc15609"/>
      <w:bookmarkStart w:id="61" w:name="_Toc18842"/>
      <w:bookmarkStart w:id="62" w:name="_Toc406668048"/>
      <w:bookmarkStart w:id="63" w:name="_Toc387957823"/>
      <w:bookmarkStart w:id="64" w:name="_Toc361302036"/>
      <w:bookmarkStart w:id="65" w:name="_Toc406666374"/>
      <w:bookmarkStart w:id="66" w:name="_Toc17271_WPSOffice_Level2"/>
      <w:bookmarkStart w:id="67" w:name="_Toc361304699"/>
      <w:r>
        <w:rPr>
          <w:rFonts w:hint="eastAsia"/>
        </w:rPr>
        <w:t>2.绩效目标完成情况分析（满分80分，得分</w:t>
      </w:r>
      <w:r>
        <w:rPr>
          <w:rFonts w:hint="eastAsia"/>
          <w:lang w:val="en-US" w:eastAsia="zh-CN"/>
        </w:rPr>
        <w:t>78.3</w:t>
      </w:r>
      <w:r>
        <w:rPr>
          <w:rFonts w:hint="eastAsia"/>
        </w:rPr>
        <w:t>分）</w:t>
      </w:r>
      <w:bookmarkEnd w:id="60"/>
      <w:bookmarkEnd w:id="61"/>
    </w:p>
    <w:p>
      <w:pPr>
        <w:spacing w:line="360" w:lineRule="auto"/>
        <w:ind w:firstLine="640"/>
        <w:rPr>
          <w:rFonts w:hint="eastAsia"/>
        </w:rPr>
      </w:pPr>
      <w:r>
        <w:rPr>
          <w:rFonts w:hint="eastAsia"/>
        </w:rPr>
        <w:t>（</w:t>
      </w:r>
      <w:r>
        <w:t>1</w:t>
      </w:r>
      <w:r>
        <w:rPr>
          <w:rFonts w:hint="eastAsia"/>
        </w:rPr>
        <w:t>）产出指标完成情况分析（满分</w:t>
      </w:r>
      <w:r>
        <w:rPr>
          <w:rFonts w:hint="eastAsia"/>
          <w:lang w:val="en-US" w:eastAsia="zh-CN"/>
        </w:rPr>
        <w:t>60</w:t>
      </w:r>
      <w:r>
        <w:rPr>
          <w:rFonts w:hint="eastAsia"/>
        </w:rPr>
        <w:t>分，得分</w:t>
      </w:r>
      <w:r>
        <w:rPr>
          <w:rFonts w:hint="eastAsia"/>
          <w:lang w:val="en-US" w:eastAsia="zh-CN"/>
        </w:rPr>
        <w:t>58.3</w:t>
      </w:r>
      <w:r>
        <w:rPr>
          <w:rFonts w:hint="eastAsia"/>
        </w:rPr>
        <w:t>分）</w:t>
      </w:r>
    </w:p>
    <w:p>
      <w:pPr>
        <w:spacing w:line="360" w:lineRule="auto"/>
        <w:ind w:firstLine="640"/>
        <w:rPr>
          <w:rFonts w:hint="eastAsia"/>
        </w:rPr>
      </w:pPr>
      <w:r>
        <w:rPr>
          <w:rFonts w:hint="eastAsia"/>
          <w:lang w:val="en-US" w:eastAsia="zh-CN"/>
        </w:rPr>
        <w:t>数量指标</w:t>
      </w:r>
      <w:r>
        <w:rPr>
          <w:rFonts w:hint="eastAsia"/>
        </w:rPr>
        <w:t>（满分</w:t>
      </w:r>
      <w:r>
        <w:rPr>
          <w:rFonts w:hint="eastAsia"/>
          <w:lang w:val="en-US" w:eastAsia="zh-CN"/>
        </w:rPr>
        <w:t>20</w:t>
      </w:r>
      <w:r>
        <w:rPr>
          <w:rFonts w:hint="eastAsia"/>
        </w:rPr>
        <w:t>分，得分</w:t>
      </w:r>
      <w:r>
        <w:rPr>
          <w:rFonts w:hint="eastAsia"/>
          <w:lang w:val="en-US" w:eastAsia="zh-CN"/>
        </w:rPr>
        <w:t>18.3</w:t>
      </w:r>
      <w:r>
        <w:rPr>
          <w:rFonts w:hint="eastAsia"/>
        </w:rPr>
        <w:t>分）</w:t>
      </w:r>
    </w:p>
    <w:p>
      <w:pPr>
        <w:shd w:val="clear" w:color="auto" w:fill="FFFFFF" w:themeFill="background1"/>
        <w:spacing w:line="360" w:lineRule="auto"/>
        <w:ind w:firstLine="640"/>
      </w:pPr>
      <w:r>
        <w:rPr>
          <w:rFonts w:hint="eastAsia"/>
        </w:rPr>
        <w:t>①</w:t>
      </w:r>
      <w:r>
        <w:rPr>
          <w:rFonts w:hint="eastAsia" w:cs="Times New Roman"/>
          <w:color w:val="auto"/>
          <w:kern w:val="0"/>
          <w:szCs w:val="32"/>
          <w:lang w:val="en-US" w:eastAsia="zh-CN"/>
        </w:rPr>
        <w:t>核酸采样点</w:t>
      </w:r>
      <w:r>
        <w:rPr>
          <w:rFonts w:hint="eastAsia"/>
        </w:rPr>
        <w:t>：</w:t>
      </w:r>
      <w:r>
        <w:t>满分</w:t>
      </w:r>
      <w:r>
        <w:rPr>
          <w:rFonts w:hint="eastAsia"/>
        </w:rPr>
        <w:t>5</w:t>
      </w:r>
      <w:r>
        <w:t>分，得分</w:t>
      </w:r>
      <w:r>
        <w:rPr>
          <w:rFonts w:hint="eastAsia"/>
        </w:rPr>
        <w:t>5</w:t>
      </w:r>
      <w:r>
        <w:t>分</w:t>
      </w:r>
    </w:p>
    <w:p>
      <w:pPr>
        <w:pStyle w:val="2"/>
        <w:spacing w:line="360" w:lineRule="auto"/>
        <w:rPr>
          <w:rFonts w:hint="default" w:eastAsia="仿宋"/>
          <w:lang w:val="en-US" w:eastAsia="zh-CN"/>
        </w:rPr>
      </w:pPr>
      <w:r>
        <w:rPr>
          <w:rFonts w:hint="eastAsia"/>
          <w:lang w:val="en-US" w:eastAsia="zh-CN"/>
        </w:rPr>
        <w:t>目标为核酸采样点数量充足，按照疫情防控工作要求，经开区在区内各高速公路出入口或国省干道旁设置检疫点，各检疫点均配有核酸采集区、工作人员休息区、物资存放区、车辆等待区、检验检疫区、登记区、车辆消杀区、留观区、废弃物暂存区等。核酸采样点配置充足，完成目标。</w:t>
      </w:r>
    </w:p>
    <w:p>
      <w:pPr>
        <w:shd w:val="clear" w:color="auto" w:fill="FFFFFF" w:themeFill="background1"/>
        <w:spacing w:line="360" w:lineRule="auto"/>
        <w:ind w:firstLine="640"/>
      </w:pPr>
      <w:r>
        <w:rPr>
          <w:rFonts w:hint="eastAsia"/>
        </w:rPr>
        <w:t>②</w:t>
      </w:r>
      <w:r>
        <w:rPr>
          <w:rFonts w:hint="eastAsia" w:cs="Times New Roman"/>
          <w:color w:val="auto"/>
          <w:kern w:val="0"/>
          <w:szCs w:val="32"/>
          <w:lang w:val="en-US" w:eastAsia="zh-CN"/>
        </w:rPr>
        <w:t>疫情排查率</w:t>
      </w:r>
      <w:r>
        <w:rPr>
          <w:rFonts w:hint="eastAsia"/>
        </w:rPr>
        <w:t>：</w:t>
      </w:r>
      <w:r>
        <w:t>满分</w:t>
      </w:r>
      <w:r>
        <w:rPr>
          <w:rFonts w:hint="eastAsia"/>
        </w:rPr>
        <w:t>5</w:t>
      </w:r>
      <w:r>
        <w:t>分，得分</w:t>
      </w:r>
      <w:r>
        <w:rPr>
          <w:rFonts w:hint="eastAsia"/>
        </w:rPr>
        <w:t>5</w:t>
      </w:r>
      <w:r>
        <w:t>分</w:t>
      </w:r>
    </w:p>
    <w:p>
      <w:pPr>
        <w:pStyle w:val="2"/>
        <w:spacing w:line="360" w:lineRule="auto"/>
        <w:ind w:firstLine="640"/>
        <w:rPr>
          <w:rFonts w:hint="default" w:eastAsia="仿宋"/>
          <w:lang w:val="en-US" w:eastAsia="zh-CN"/>
        </w:rPr>
      </w:pPr>
      <w:r>
        <w:rPr>
          <w:rFonts w:hint="eastAsia"/>
          <w:lang w:val="en-US" w:eastAsia="zh-CN"/>
        </w:rPr>
        <w:t>目标为疫情排查率100%，对所有来（返）汉人员进行体温检测，初次检测采用非接触式体温计检测；对所有来（返）汉人员的48小时内新冠核酸检测阴性证明进行检查；对不能提供48小时内新冠核酸检测阴性结果证明的外省来（返）汉人员进行现场核酸采样，并登记姓名、联系方式、来源地、目的地、核酸采样时间、应急物资运输车辆通行证编号等，并将登记的信息转目的地或集中隔离点所属区疫情防控指挥部，对所有来（返）汉人员排查率100%，完成目标。</w:t>
      </w:r>
      <w:bookmarkStart w:id="83" w:name="_GoBack"/>
      <w:bookmarkEnd w:id="83"/>
    </w:p>
    <w:p>
      <w:pPr>
        <w:shd w:val="clear" w:color="auto" w:fill="FFFFFF" w:themeFill="background1"/>
        <w:spacing w:line="360" w:lineRule="auto"/>
        <w:ind w:firstLine="640"/>
      </w:pPr>
      <w:r>
        <w:rPr>
          <w:rFonts w:hint="eastAsia"/>
        </w:rPr>
        <w:t>③</w:t>
      </w:r>
      <w:r>
        <w:rPr>
          <w:rFonts w:hint="eastAsia" w:cs="Times New Roman"/>
          <w:color w:val="auto"/>
          <w:kern w:val="0"/>
          <w:szCs w:val="32"/>
          <w:lang w:val="en-US" w:eastAsia="zh-CN"/>
        </w:rPr>
        <w:t>疫情查验安保人数</w:t>
      </w:r>
      <w:r>
        <w:rPr>
          <w:rFonts w:hint="eastAsia" w:cs="Times New Roman"/>
          <w:color w:val="auto"/>
          <w:kern w:val="0"/>
          <w:szCs w:val="32"/>
        </w:rPr>
        <w:t>：</w:t>
      </w:r>
      <w:r>
        <w:rPr>
          <w:rFonts w:hint="eastAsia"/>
        </w:rPr>
        <w:t>满分5分，得分5分</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default"/>
          <w:lang w:val="en-US" w:eastAsia="zh-CN"/>
        </w:rPr>
      </w:pPr>
      <w:r>
        <w:rPr>
          <w:rFonts w:hint="eastAsia"/>
          <w:lang w:val="en-US" w:eastAsia="zh-CN"/>
        </w:rPr>
        <w:t>目标为值守人数能够实现24小时轮换值班，经开区辖区内有9个入城口（8个高速公路入口、1个省道入口）设置9个检疫检测点，通过抽调工作人员及采购安保劳务公司服务，安排360多名安保人员，实现24小时开展重点地区来（返）汉车辆司乘人员查验工作，实现目标。</w:t>
      </w:r>
    </w:p>
    <w:p>
      <w:pPr>
        <w:spacing w:line="360" w:lineRule="auto"/>
        <w:ind w:firstLine="640"/>
      </w:pPr>
      <w:r>
        <w:rPr>
          <w:rFonts w:hint="eastAsia"/>
        </w:rPr>
        <w:t>④</w:t>
      </w:r>
      <w:r>
        <w:rPr>
          <w:rFonts w:hint="eastAsia" w:cs="Times New Roman"/>
          <w:color w:val="auto"/>
          <w:kern w:val="0"/>
          <w:szCs w:val="32"/>
          <w:lang w:val="en-US" w:eastAsia="zh-CN"/>
        </w:rPr>
        <w:t>防疫设备到位</w:t>
      </w:r>
      <w:r>
        <w:rPr>
          <w:rFonts w:hint="eastAsia" w:cs="Times New Roman"/>
          <w:color w:val="auto"/>
          <w:kern w:val="0"/>
          <w:szCs w:val="32"/>
        </w:rPr>
        <w:t>：</w:t>
      </w:r>
      <w:r>
        <w:t>满分5分，得分</w:t>
      </w:r>
      <w:r>
        <w:rPr>
          <w:rFonts w:hint="eastAsia"/>
          <w:lang w:val="en-US" w:eastAsia="zh-CN"/>
        </w:rPr>
        <w:t>3.3</w:t>
      </w:r>
      <w:r>
        <w:t>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lang w:val="en-US" w:eastAsia="zh-CN"/>
        </w:rPr>
      </w:pPr>
      <w:r>
        <w:rPr>
          <w:rFonts w:hint="eastAsia"/>
          <w:lang w:val="en-US" w:eastAsia="zh-CN"/>
        </w:rPr>
        <w:t>目标为设备到位率100%，根据市防控指挥部工作要求，疫情防控检查需扫码终端设备与独家供货商长江运通公司对接，设备单价约5300元/台，高速卡口共计68个车道，因设备需定时充电，每车道最少需要2台，共需136台，但因供货商货源不足，经协商只能提供90台，设备到位率66%。</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lang w:val="en-US" w:eastAsia="zh-CN"/>
        </w:rPr>
      </w:pPr>
      <w:r>
        <w:rPr>
          <w:rFonts w:hint="eastAsia"/>
          <w:lang w:val="en-US" w:eastAsia="zh-CN"/>
        </w:rPr>
        <w:t>质量指标（满分30分，得分30分）</w:t>
      </w:r>
    </w:p>
    <w:p>
      <w:pPr>
        <w:spacing w:line="360" w:lineRule="auto"/>
        <w:ind w:firstLine="640"/>
      </w:pPr>
      <w:r>
        <w:rPr>
          <w:rFonts w:hint="eastAsia"/>
          <w:lang w:val="en-US" w:eastAsia="zh-CN"/>
        </w:rPr>
        <w:t>①</w:t>
      </w:r>
      <w:r>
        <w:rPr>
          <w:rFonts w:hint="eastAsia" w:cs="Times New Roman"/>
          <w:color w:val="auto"/>
          <w:kern w:val="0"/>
          <w:szCs w:val="32"/>
          <w:lang w:val="en-US" w:eastAsia="zh-CN"/>
        </w:rPr>
        <w:t>后勤、防护物资储备</w:t>
      </w:r>
      <w:r>
        <w:rPr>
          <w:rFonts w:hint="eastAsia"/>
        </w:rPr>
        <w:t>：</w:t>
      </w:r>
      <w:r>
        <w:t>满分</w:t>
      </w:r>
      <w:r>
        <w:rPr>
          <w:rFonts w:hint="eastAsia"/>
        </w:rPr>
        <w:t>10</w:t>
      </w:r>
      <w:r>
        <w:t>分，得分</w:t>
      </w:r>
      <w:r>
        <w:rPr>
          <w:rFonts w:hint="eastAsia"/>
        </w:rPr>
        <w:t>10</w:t>
      </w:r>
      <w:r>
        <w:t>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eastAsia="仿宋"/>
          <w:lang w:val="en-US" w:eastAsia="zh-CN"/>
        </w:rPr>
      </w:pPr>
      <w:r>
        <w:rPr>
          <w:rFonts w:hint="eastAsia"/>
          <w:lang w:val="en-US" w:eastAsia="zh-CN"/>
        </w:rPr>
        <w:t>目标为保障充足，根据检疫检测点设置规范和现场工作需要，现场安装核酸采样、人员休整、信息登记三个独立区域配置5-7个集装箱。卡口户外露天24小时不间断作业，为保证值班人员有充足体力，采办方便面、饼干、纯净水等饮食。后勤、防护物资储备基本能够满足，完成目标。</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pPr>
      <w:r>
        <w:rPr>
          <w:rFonts w:hint="eastAsia"/>
        </w:rPr>
        <w:t>②</w:t>
      </w:r>
      <w:r>
        <w:rPr>
          <w:rFonts w:hint="eastAsia" w:cs="Times New Roman"/>
          <w:color w:val="auto"/>
          <w:kern w:val="0"/>
          <w:szCs w:val="32"/>
          <w:lang w:val="en-US" w:eastAsia="zh-CN"/>
        </w:rPr>
        <w:t>防控排查措施</w:t>
      </w:r>
      <w:r>
        <w:rPr>
          <w:rFonts w:hint="eastAsia"/>
        </w:rPr>
        <w:t>：</w:t>
      </w:r>
      <w:r>
        <w:t>满分</w:t>
      </w:r>
      <w:r>
        <w:rPr>
          <w:rFonts w:hint="eastAsia"/>
        </w:rPr>
        <w:t>10</w:t>
      </w:r>
      <w:r>
        <w:t>分，得分</w:t>
      </w:r>
      <w:r>
        <w:rPr>
          <w:rFonts w:hint="eastAsia"/>
        </w:rPr>
        <w:t>10</w:t>
      </w:r>
      <w:r>
        <w:t>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eastAsia="仿宋"/>
          <w:lang w:val="en-US" w:eastAsia="zh-CN"/>
        </w:rPr>
      </w:pPr>
      <w:r>
        <w:rPr>
          <w:rFonts w:hint="eastAsia"/>
          <w:lang w:val="en-US" w:eastAsia="zh-CN"/>
        </w:rPr>
        <w:t>目标为科学有效，按照检疫检测站点疫情防控工作指引，经开区对检疫点采用属地管理原则，检疫点按照“一点一专班”的方式实行24小时值班值守制度，制定应急处置预案。检疫点落实全员登记造册、健康码绿码上岗、全程接种新冠病毒疫苗上岗和培训合格持证上岗等管理要求，实行集中居住、定期核酸抽验，落实个人防护和预防性消毒措施，确保防疫点安全。防疫工作对检疫点设置提出要求，对场所、人员提出要求，在工作流程上明确检查、登记、核酸采样、消杀流程。防控排查措施科学有效，完成目标。</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pPr>
      <w:r>
        <w:rPr>
          <w:rFonts w:hint="eastAsia" w:ascii="仿宋" w:hAnsi="仿宋"/>
          <w:lang w:val="en-US" w:eastAsia="zh-CN"/>
        </w:rPr>
        <w:t>③消杀覆盖率</w:t>
      </w:r>
      <w:r>
        <w:rPr>
          <w:rFonts w:hint="eastAsia" w:cs="Times New Roman"/>
          <w:color w:val="auto"/>
          <w:kern w:val="0"/>
          <w:szCs w:val="32"/>
        </w:rPr>
        <w:t>：</w:t>
      </w:r>
      <w:r>
        <w:t>满分</w:t>
      </w:r>
      <w:r>
        <w:rPr>
          <w:rFonts w:hint="eastAsia"/>
        </w:rPr>
        <w:t>10</w:t>
      </w:r>
      <w:r>
        <w:t>分，得分</w:t>
      </w:r>
      <w:r>
        <w:rPr>
          <w:rFonts w:hint="eastAsia"/>
        </w:rPr>
        <w:t>10</w:t>
      </w:r>
      <w:r>
        <w:t>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lang w:val="en-US" w:eastAsia="zh-CN"/>
        </w:rPr>
      </w:pPr>
      <w:r>
        <w:rPr>
          <w:rFonts w:hint="eastAsia"/>
          <w:lang w:val="en-US" w:eastAsia="zh-CN"/>
        </w:rPr>
        <w:t>目标为消杀覆盖率达100%，经开区委托第三方专业机构对各高速公路卡口每天两次进行预防消杀，单次消杀面积为11032㎡，同时对黄红码等异常情况开展应急消杀，消杀覆盖率100%，完成目标。</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eastAsia"/>
          <w:lang w:val="en-US" w:eastAsia="zh-CN"/>
        </w:rPr>
      </w:pPr>
      <w:r>
        <w:rPr>
          <w:rFonts w:hint="eastAsia"/>
          <w:lang w:val="en-US" w:eastAsia="zh-CN"/>
        </w:rPr>
        <w:t>时效指标（满分10分，得分10分）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eastAsia"/>
          <w:lang w:val="en-US" w:eastAsia="zh-CN"/>
        </w:rPr>
      </w:pPr>
      <w:r>
        <w:rPr>
          <w:rFonts w:hint="eastAsia"/>
          <w:lang w:val="en-US" w:eastAsia="zh-CN"/>
        </w:rPr>
        <w:t>①阶段性工作目标完成率：满分5分，得分5分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lang w:val="en-US" w:eastAsia="zh-CN"/>
        </w:rPr>
      </w:pPr>
      <w:r>
        <w:rPr>
          <w:rFonts w:hint="eastAsia"/>
          <w:lang w:val="en-US" w:eastAsia="zh-CN"/>
        </w:rPr>
        <w:t>坚持防治结合、联防联控、群防群控，不断完善疾病预防控制体系建设，各级疾控机构的能力大幅提升；实施免疫规划政策，多种疫苗可预防传染病已经降到了历史最低水平；慢性病防控工作取得积极进展，促进慢性病的早防、早筛、早诊、早治，阶段性工作目标完成。</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eastAsia"/>
          <w:lang w:val="en-US" w:eastAsia="zh-CN"/>
        </w:rPr>
      </w:pPr>
      <w:r>
        <w:rPr>
          <w:rFonts w:hint="eastAsia"/>
          <w:lang w:val="en-US" w:eastAsia="zh-CN"/>
        </w:rPr>
        <w:t>②信息上报及时性：满分5分，得分5分</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rPr>
          <w:rFonts w:hint="default"/>
          <w:lang w:val="en-US" w:eastAsia="zh-CN"/>
        </w:rPr>
      </w:pPr>
      <w:r>
        <w:rPr>
          <w:rFonts w:hint="eastAsia"/>
          <w:lang w:val="en-US" w:eastAsia="zh-CN"/>
        </w:rPr>
        <w:t>目标为信息上报及时，按照高速公路入口等交通通道疫情防控相关要求，对过往车乘人员进行健康码扫描，通过网络实现数据实时上报，及时性目标完成。</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textAlignment w:val="auto"/>
      </w:pPr>
      <w:r>
        <w:rPr>
          <w:rFonts w:hint="eastAsia"/>
        </w:rPr>
        <w:t>（2）效益指标完成情况分析（满分</w:t>
      </w:r>
      <w:r>
        <w:rPr>
          <w:rFonts w:hint="eastAsia"/>
          <w:lang w:val="en-US" w:eastAsia="zh-CN"/>
        </w:rPr>
        <w:t>10</w:t>
      </w:r>
      <w:r>
        <w:rPr>
          <w:rFonts w:hint="eastAsia"/>
        </w:rPr>
        <w:t>分，得分</w:t>
      </w:r>
      <w:r>
        <w:rPr>
          <w:rFonts w:hint="eastAsia"/>
          <w:lang w:val="en-US" w:eastAsia="zh-CN"/>
        </w:rPr>
        <w:t>10</w:t>
      </w:r>
      <w:r>
        <w:rPr>
          <w:rFonts w:hint="eastAsia"/>
        </w:rPr>
        <w:t>分）</w:t>
      </w:r>
    </w:p>
    <w:p>
      <w:pPr>
        <w:spacing w:line="360" w:lineRule="auto"/>
        <w:ind w:firstLine="640"/>
      </w:pPr>
      <w:r>
        <w:rPr>
          <w:rFonts w:hint="eastAsia"/>
        </w:rPr>
        <w:t>①</w:t>
      </w:r>
      <w:r>
        <w:rPr>
          <w:rFonts w:hint="eastAsia" w:cs="Times New Roman"/>
          <w:color w:val="auto"/>
          <w:kern w:val="0"/>
          <w:szCs w:val="32"/>
          <w:lang w:val="en-US" w:eastAsia="zh-CN"/>
        </w:rPr>
        <w:t>中高风险地区通行记录车辆查验率</w:t>
      </w:r>
      <w:r>
        <w:rPr>
          <w:rFonts w:hint="eastAsia" w:cs="Times New Roman"/>
          <w:color w:val="auto"/>
          <w:kern w:val="0"/>
          <w:szCs w:val="32"/>
        </w:rPr>
        <w:t>：</w:t>
      </w:r>
      <w:r>
        <w:t>满分</w:t>
      </w:r>
      <w:r>
        <w:rPr>
          <w:rFonts w:hint="eastAsia"/>
        </w:rPr>
        <w:t>10</w:t>
      </w:r>
      <w:r>
        <w:t>分，得分</w:t>
      </w:r>
      <w:r>
        <w:rPr>
          <w:rFonts w:hint="eastAsia"/>
        </w:rPr>
        <w:t>10</w:t>
      </w:r>
      <w:r>
        <w:t>分</w:t>
      </w:r>
    </w:p>
    <w:p>
      <w:pPr>
        <w:pStyle w:val="2"/>
        <w:spacing w:line="360" w:lineRule="auto"/>
        <w:rPr>
          <w:rFonts w:hint="default" w:eastAsia="仿宋"/>
          <w:lang w:val="en-US" w:eastAsia="zh-CN"/>
        </w:rPr>
      </w:pPr>
      <w:r>
        <w:rPr>
          <w:rFonts w:hint="eastAsia"/>
          <w:lang w:val="en-US" w:eastAsia="zh-CN"/>
        </w:rPr>
        <w:t>目标为</w:t>
      </w:r>
      <w:r>
        <w:rPr>
          <w:rFonts w:hint="eastAsia" w:cs="Times New Roman"/>
          <w:color w:val="auto"/>
          <w:kern w:val="0"/>
          <w:szCs w:val="32"/>
          <w:lang w:val="en-US" w:eastAsia="zh-CN"/>
        </w:rPr>
        <w:t>中高风险地区通行记录车辆查验率100%，</w:t>
      </w:r>
      <w:r>
        <w:rPr>
          <w:rFonts w:hint="eastAsia"/>
          <w:lang w:val="en-US" w:eastAsia="zh-CN"/>
        </w:rPr>
        <w:t>由公安部门负责配合各区疫情防控指挥部设置检疫检测站点，运用大数据排查在重点地区武汉籍车辆及随车人员信息，分析对比市交通运输部门提供的收费站出站车辆信息及进入高速站点信息，排查重点地区来（返）汉车主信息，并会同相关部门按规定处置。对</w:t>
      </w:r>
      <w:r>
        <w:rPr>
          <w:rFonts w:hint="eastAsia" w:cs="Times New Roman"/>
          <w:color w:val="auto"/>
          <w:kern w:val="0"/>
          <w:szCs w:val="32"/>
          <w:lang w:val="en-US" w:eastAsia="zh-CN"/>
        </w:rPr>
        <w:t>中高风险地区通行记录车乘人员</w:t>
      </w:r>
      <w:r>
        <w:rPr>
          <w:rFonts w:hint="eastAsia"/>
          <w:lang w:val="en-US" w:eastAsia="zh-CN"/>
        </w:rPr>
        <w:t>进行现场核酸采样，并登记姓名、联系方式、来源地、目的地、核酸采样时间、运输车辆通行证编号等，并将登记的信息转目的地或集中隔离点所属区疫情防控指挥部，对</w:t>
      </w:r>
      <w:r>
        <w:rPr>
          <w:rFonts w:hint="eastAsia" w:cs="Times New Roman"/>
          <w:color w:val="auto"/>
          <w:kern w:val="0"/>
          <w:szCs w:val="32"/>
          <w:lang w:val="en-US" w:eastAsia="zh-CN"/>
        </w:rPr>
        <w:t>中高风险地区通行记录车辆查验率</w:t>
      </w:r>
      <w:r>
        <w:rPr>
          <w:rFonts w:hint="eastAsia"/>
          <w:lang w:val="en-US" w:eastAsia="zh-CN"/>
        </w:rPr>
        <w:t>100%，完成目标。</w:t>
      </w:r>
    </w:p>
    <w:p>
      <w:pPr>
        <w:spacing w:line="360" w:lineRule="auto"/>
        <w:ind w:firstLine="640"/>
      </w:pPr>
      <w:r>
        <w:rPr>
          <w:rFonts w:hint="eastAsia"/>
        </w:rPr>
        <w:t>（</w:t>
      </w:r>
      <w:r>
        <w:t>3</w:t>
      </w:r>
      <w:r>
        <w:rPr>
          <w:rFonts w:hint="eastAsia"/>
        </w:rPr>
        <w:t>）满意度指标完成情况分析（满分</w:t>
      </w:r>
      <w:r>
        <w:rPr>
          <w:rFonts w:hint="eastAsia"/>
          <w:lang w:val="en-US" w:eastAsia="zh-CN"/>
        </w:rPr>
        <w:t>10</w:t>
      </w:r>
      <w:r>
        <w:rPr>
          <w:rFonts w:hint="eastAsia"/>
        </w:rPr>
        <w:t>分，得分</w:t>
      </w:r>
      <w:r>
        <w:rPr>
          <w:rFonts w:hint="eastAsia"/>
          <w:lang w:val="en-US" w:eastAsia="zh-CN"/>
        </w:rPr>
        <w:t>10</w:t>
      </w:r>
      <w:r>
        <w:rPr>
          <w:rFonts w:hint="eastAsia"/>
        </w:rPr>
        <w:t>分）</w:t>
      </w:r>
    </w:p>
    <w:p>
      <w:pPr>
        <w:spacing w:line="360" w:lineRule="auto"/>
        <w:ind w:firstLine="640"/>
        <w:rPr>
          <w:rFonts w:cs="Times New Roman"/>
          <w:color w:val="auto"/>
          <w:kern w:val="0"/>
          <w:szCs w:val="32"/>
        </w:rPr>
      </w:pPr>
      <w:r>
        <w:rPr>
          <w:rFonts w:hint="eastAsia"/>
        </w:rPr>
        <w:t>目标为</w:t>
      </w:r>
      <w:r>
        <w:rPr>
          <w:rFonts w:hint="eastAsia" w:cs="Times New Roman"/>
          <w:color w:val="auto"/>
          <w:kern w:val="0"/>
          <w:szCs w:val="32"/>
        </w:rPr>
        <w:t>群众满意度≥9</w:t>
      </w:r>
      <w:r>
        <w:rPr>
          <w:rFonts w:hint="eastAsia" w:cs="Times New Roman"/>
          <w:color w:val="auto"/>
          <w:kern w:val="0"/>
          <w:szCs w:val="32"/>
          <w:lang w:val="en-US" w:eastAsia="zh-CN"/>
        </w:rPr>
        <w:t>0</w:t>
      </w:r>
      <w:r>
        <w:rPr>
          <w:rFonts w:hint="eastAsia" w:cs="Times New Roman"/>
          <w:color w:val="auto"/>
          <w:kern w:val="0"/>
          <w:szCs w:val="32"/>
        </w:rPr>
        <w:t>%</w:t>
      </w:r>
      <w:r>
        <w:rPr>
          <w:rFonts w:hint="eastAsia"/>
        </w:rPr>
        <w:t>，根据反馈结果，满意度达到95%，完成目标。</w:t>
      </w:r>
      <w:bookmarkEnd w:id="62"/>
      <w:bookmarkEnd w:id="63"/>
      <w:bookmarkEnd w:id="64"/>
      <w:bookmarkEnd w:id="65"/>
      <w:bookmarkEnd w:id="66"/>
      <w:bookmarkEnd w:id="67"/>
      <w:bookmarkStart w:id="68" w:name="_Toc1551"/>
    </w:p>
    <w:p>
      <w:pPr>
        <w:pStyle w:val="4"/>
        <w:shd w:val="clear" w:color="auto" w:fill="FFFFFF" w:themeFill="background1"/>
        <w:spacing w:before="0" w:after="0" w:line="360" w:lineRule="auto"/>
        <w:ind w:firstLine="643"/>
        <w:contextualSpacing/>
        <w:jc w:val="left"/>
        <w:rPr>
          <w:rFonts w:ascii="Times New Roman" w:hAnsi="Times New Roman" w:eastAsia="楷体" w:cs="Times New Roman"/>
          <w:highlight w:val="yellow"/>
        </w:rPr>
      </w:pPr>
      <w:bookmarkStart w:id="69" w:name="_Toc14821"/>
      <w:bookmarkStart w:id="70" w:name="_Toc10960"/>
      <w:bookmarkStart w:id="71" w:name="_Toc10988"/>
      <w:bookmarkStart w:id="72" w:name="_Toc22377"/>
      <w:r>
        <w:rPr>
          <w:rFonts w:hint="eastAsia" w:ascii="Times New Roman" w:hAnsi="Times New Roman" w:eastAsia="楷体" w:cs="Times New Roman"/>
        </w:rPr>
        <w:t>（四）</w:t>
      </w:r>
      <w:r>
        <w:rPr>
          <w:rFonts w:ascii="Times New Roman" w:hAnsi="Times New Roman" w:eastAsia="楷体" w:cs="Times New Roman"/>
        </w:rPr>
        <w:t>上年度</w:t>
      </w:r>
      <w:r>
        <w:rPr>
          <w:rFonts w:hint="eastAsia" w:ascii="Times New Roman" w:hAnsi="Times New Roman" w:eastAsia="楷体" w:cs="Times New Roman"/>
        </w:rPr>
        <w:t>部门自评</w:t>
      </w:r>
      <w:r>
        <w:rPr>
          <w:rFonts w:ascii="Times New Roman" w:hAnsi="Times New Roman" w:eastAsia="楷体" w:cs="Times New Roman"/>
        </w:rPr>
        <w:t>结果应用情况</w:t>
      </w:r>
      <w:bookmarkEnd w:id="68"/>
      <w:bookmarkEnd w:id="69"/>
      <w:bookmarkEnd w:id="70"/>
      <w:bookmarkEnd w:id="71"/>
      <w:bookmarkEnd w:id="72"/>
    </w:p>
    <w:p>
      <w:pPr>
        <w:spacing w:line="360" w:lineRule="auto"/>
        <w:ind w:firstLine="640"/>
        <w:rPr>
          <w:rFonts w:hint="eastAsia" w:eastAsia="仿宋"/>
          <w:bCs/>
          <w:szCs w:val="32"/>
          <w:lang w:eastAsia="zh-CN"/>
        </w:rPr>
      </w:pPr>
      <w:bookmarkStart w:id="73" w:name="_Toc21534"/>
      <w:bookmarkStart w:id="74" w:name="_Toc14383"/>
      <w:bookmarkStart w:id="75" w:name="_Toc17717"/>
      <w:bookmarkStart w:id="76" w:name="_Toc24560"/>
      <w:r>
        <w:rPr>
          <w:rFonts w:hint="eastAsia"/>
          <w:bCs/>
          <w:szCs w:val="32"/>
        </w:rPr>
        <w:t>本项目上年度</w:t>
      </w:r>
      <w:r>
        <w:rPr>
          <w:rFonts w:hint="eastAsia"/>
          <w:bCs/>
          <w:szCs w:val="32"/>
          <w:lang w:val="en-US" w:eastAsia="zh-CN"/>
        </w:rPr>
        <w:t>未纳入绩效自评范围</w:t>
      </w:r>
    </w:p>
    <w:p>
      <w:pPr>
        <w:pStyle w:val="4"/>
        <w:shd w:val="clear" w:color="auto" w:fill="FFFFFF" w:themeFill="background1"/>
        <w:spacing w:before="0" w:after="0" w:line="360" w:lineRule="auto"/>
        <w:ind w:firstLine="643"/>
        <w:contextualSpacing/>
        <w:jc w:val="left"/>
        <w:rPr>
          <w:rFonts w:ascii="Times New Roman" w:hAnsi="Times New Roman" w:eastAsia="楷体" w:cs="Times New Roman"/>
        </w:rPr>
      </w:pPr>
      <w:r>
        <w:rPr>
          <w:rFonts w:hint="eastAsia" w:ascii="Times New Roman" w:hAnsi="Times New Roman" w:eastAsia="楷体" w:cs="Times New Roman"/>
        </w:rPr>
        <w:t>（五）其他佐证材料</w:t>
      </w:r>
      <w:bookmarkEnd w:id="73"/>
      <w:bookmarkEnd w:id="74"/>
      <w:bookmarkEnd w:id="75"/>
      <w:bookmarkEnd w:id="76"/>
    </w:p>
    <w:p>
      <w:pPr>
        <w:shd w:val="clear" w:color="auto" w:fill="FFFFFF" w:themeFill="background1"/>
        <w:spacing w:line="360" w:lineRule="auto"/>
        <w:ind w:firstLine="640"/>
        <w:rPr>
          <w:rFonts w:cs="Times New Roman"/>
          <w:color w:val="auto"/>
          <w:kern w:val="0"/>
          <w:szCs w:val="32"/>
        </w:rPr>
      </w:pPr>
      <w:r>
        <w:rPr>
          <w:rFonts w:hint="eastAsia" w:cs="Times New Roman"/>
          <w:color w:val="auto"/>
          <w:kern w:val="0"/>
          <w:szCs w:val="32"/>
        </w:rPr>
        <w:t>无。</w:t>
      </w:r>
    </w:p>
    <w:p>
      <w:pPr>
        <w:pStyle w:val="2"/>
        <w:spacing w:line="360" w:lineRule="auto"/>
        <w:ind w:firstLine="640"/>
      </w:pPr>
    </w:p>
    <w:p>
      <w:pPr>
        <w:shd w:val="clear" w:color="auto" w:fill="FFFFFF" w:themeFill="background1"/>
        <w:spacing w:line="360" w:lineRule="auto"/>
        <w:ind w:firstLine="640"/>
        <w:jc w:val="right"/>
        <w:rPr>
          <w:rFonts w:cs="Times New Roman"/>
          <w:bCs/>
          <w:color w:val="auto"/>
          <w:szCs w:val="32"/>
        </w:rPr>
      </w:pPr>
      <w:bookmarkStart w:id="77" w:name="_Toc32555"/>
      <w:bookmarkStart w:id="78" w:name="_Toc20783"/>
      <w:bookmarkStart w:id="79" w:name="_Toc32181"/>
      <w:r>
        <w:rPr>
          <w:rFonts w:hint="eastAsia" w:cs="Times New Roman"/>
          <w:bCs/>
          <w:color w:val="auto"/>
          <w:szCs w:val="32"/>
        </w:rPr>
        <w:t>武汉经济技术开发区（汉南区）</w:t>
      </w:r>
      <w:bookmarkEnd w:id="77"/>
      <w:bookmarkEnd w:id="78"/>
      <w:bookmarkEnd w:id="79"/>
      <w:r>
        <w:rPr>
          <w:rFonts w:hint="eastAsia" w:cs="Times New Roman"/>
          <w:bCs/>
          <w:color w:val="auto"/>
          <w:szCs w:val="32"/>
        </w:rPr>
        <w:t>住房和城乡建设局</w:t>
      </w:r>
    </w:p>
    <w:p>
      <w:pPr>
        <w:shd w:val="clear" w:color="auto" w:fill="FFFFFF" w:themeFill="background1"/>
        <w:spacing w:line="360" w:lineRule="auto"/>
        <w:ind w:firstLine="640"/>
        <w:jc w:val="right"/>
        <w:rPr>
          <w:rFonts w:cs="Times New Roman"/>
          <w:bCs/>
          <w:color w:val="auto"/>
          <w:szCs w:val="32"/>
        </w:rPr>
      </w:pPr>
      <w:bookmarkStart w:id="80" w:name="_Toc27968"/>
      <w:bookmarkStart w:id="81" w:name="_Toc2569"/>
      <w:bookmarkStart w:id="82" w:name="_Toc6034"/>
      <w:r>
        <w:rPr>
          <w:rFonts w:hint="eastAsia" w:cs="Times New Roman"/>
          <w:bCs/>
          <w:color w:val="auto"/>
          <w:szCs w:val="32"/>
        </w:rPr>
        <w:t>2023年4月21日</w:t>
      </w:r>
      <w:bookmarkEnd w:id="80"/>
      <w:bookmarkEnd w:id="81"/>
      <w:bookmarkEnd w:id="82"/>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1134" w:footer="1134"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602295"/>
    </w:sdtPr>
    <w:sdtContent>
      <w:p>
        <w:pPr>
          <w:pStyle w:val="16"/>
          <w:ind w:firstLine="360"/>
          <w:jc w:val="center"/>
        </w:pPr>
        <w:r>
          <w:fldChar w:fldCharType="begin"/>
        </w:r>
        <w:r>
          <w:instrText xml:space="preserve">PAGE   \* MERGEFORMAT</w:instrText>
        </w:r>
        <w:r>
          <w:fldChar w:fldCharType="separate"/>
        </w:r>
        <w:r>
          <w:rPr>
            <w:lang w:val="zh-CN"/>
          </w:rPr>
          <w:t>2</w:t>
        </w:r>
        <w:r>
          <w:fldChar w:fldCharType="end"/>
        </w:r>
      </w:p>
    </w:sdtContent>
  </w:sdt>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ind w:firstLine="361"/>
      <w:jc w:val="right"/>
      <w:rPr>
        <w:rFonts w:ascii="仿宋_GB2312"/>
        <w:b/>
        <w:bCs/>
        <w:color w:val="auto"/>
        <w:kern w:val="0"/>
        <w:szCs w:val="21"/>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mI0OTE1YTE2MGJlNjY4YmQ1MTgwYzIxYTM1N2YifQ=="/>
    <w:docVar w:name="KSO_WPS_MARK_KEY" w:val="df0590da-4a40-4bea-8134-4a0d7c89abae"/>
  </w:docVars>
  <w:rsids>
    <w:rsidRoot w:val="00172A27"/>
    <w:rsid w:val="00000BCE"/>
    <w:rsid w:val="0000235E"/>
    <w:rsid w:val="00005ACA"/>
    <w:rsid w:val="00041573"/>
    <w:rsid w:val="00042F0E"/>
    <w:rsid w:val="0004520B"/>
    <w:rsid w:val="00045A13"/>
    <w:rsid w:val="000469E9"/>
    <w:rsid w:val="00057DB9"/>
    <w:rsid w:val="00063B28"/>
    <w:rsid w:val="000776B3"/>
    <w:rsid w:val="00082095"/>
    <w:rsid w:val="00090B91"/>
    <w:rsid w:val="00097D86"/>
    <w:rsid w:val="000A3161"/>
    <w:rsid w:val="000C740B"/>
    <w:rsid w:val="000C7EF3"/>
    <w:rsid w:val="000D0C9C"/>
    <w:rsid w:val="000D16ED"/>
    <w:rsid w:val="000D345F"/>
    <w:rsid w:val="000E3B94"/>
    <w:rsid w:val="000E4C5F"/>
    <w:rsid w:val="000F00A1"/>
    <w:rsid w:val="00100ED5"/>
    <w:rsid w:val="001056B5"/>
    <w:rsid w:val="00105BB0"/>
    <w:rsid w:val="0010757C"/>
    <w:rsid w:val="00112904"/>
    <w:rsid w:val="0011382C"/>
    <w:rsid w:val="00113DB3"/>
    <w:rsid w:val="0012463E"/>
    <w:rsid w:val="00137496"/>
    <w:rsid w:val="00137FB6"/>
    <w:rsid w:val="00157776"/>
    <w:rsid w:val="00157D03"/>
    <w:rsid w:val="00160436"/>
    <w:rsid w:val="0016503E"/>
    <w:rsid w:val="0016756C"/>
    <w:rsid w:val="00172A27"/>
    <w:rsid w:val="00175DBC"/>
    <w:rsid w:val="00176ACE"/>
    <w:rsid w:val="001776F1"/>
    <w:rsid w:val="00183400"/>
    <w:rsid w:val="00186A63"/>
    <w:rsid w:val="00190AB0"/>
    <w:rsid w:val="00192AE2"/>
    <w:rsid w:val="001935A2"/>
    <w:rsid w:val="00197D40"/>
    <w:rsid w:val="001A7916"/>
    <w:rsid w:val="001B4692"/>
    <w:rsid w:val="001B4A5E"/>
    <w:rsid w:val="001C2DB0"/>
    <w:rsid w:val="001C6082"/>
    <w:rsid w:val="001D0B01"/>
    <w:rsid w:val="001E4D34"/>
    <w:rsid w:val="001E6002"/>
    <w:rsid w:val="001F111C"/>
    <w:rsid w:val="001F2A79"/>
    <w:rsid w:val="001F40C7"/>
    <w:rsid w:val="001F6798"/>
    <w:rsid w:val="00202C21"/>
    <w:rsid w:val="002056EC"/>
    <w:rsid w:val="00205DC3"/>
    <w:rsid w:val="00207DFA"/>
    <w:rsid w:val="00210803"/>
    <w:rsid w:val="00213964"/>
    <w:rsid w:val="00215AC2"/>
    <w:rsid w:val="00216E7E"/>
    <w:rsid w:val="002222F3"/>
    <w:rsid w:val="0022638E"/>
    <w:rsid w:val="00242223"/>
    <w:rsid w:val="00242BDA"/>
    <w:rsid w:val="002447B8"/>
    <w:rsid w:val="00253BC9"/>
    <w:rsid w:val="00274644"/>
    <w:rsid w:val="00277235"/>
    <w:rsid w:val="00281FE0"/>
    <w:rsid w:val="00292E9C"/>
    <w:rsid w:val="0029370A"/>
    <w:rsid w:val="00297D4D"/>
    <w:rsid w:val="002A41AD"/>
    <w:rsid w:val="002A461B"/>
    <w:rsid w:val="002A76C8"/>
    <w:rsid w:val="002B54B8"/>
    <w:rsid w:val="002B78B4"/>
    <w:rsid w:val="002C400D"/>
    <w:rsid w:val="002C70BD"/>
    <w:rsid w:val="002D141B"/>
    <w:rsid w:val="002E5C09"/>
    <w:rsid w:val="002E63B8"/>
    <w:rsid w:val="002F115A"/>
    <w:rsid w:val="002F2D56"/>
    <w:rsid w:val="002F43A4"/>
    <w:rsid w:val="002F52EC"/>
    <w:rsid w:val="00301DD5"/>
    <w:rsid w:val="00307440"/>
    <w:rsid w:val="003121C1"/>
    <w:rsid w:val="00313CCC"/>
    <w:rsid w:val="0031733A"/>
    <w:rsid w:val="003257A1"/>
    <w:rsid w:val="00333AF8"/>
    <w:rsid w:val="0034643F"/>
    <w:rsid w:val="00347CB6"/>
    <w:rsid w:val="00350E53"/>
    <w:rsid w:val="00363C22"/>
    <w:rsid w:val="0037112F"/>
    <w:rsid w:val="00376564"/>
    <w:rsid w:val="0037710D"/>
    <w:rsid w:val="003A2520"/>
    <w:rsid w:val="003A509A"/>
    <w:rsid w:val="003A6643"/>
    <w:rsid w:val="003A794C"/>
    <w:rsid w:val="003B32F5"/>
    <w:rsid w:val="003B7807"/>
    <w:rsid w:val="003C3CD9"/>
    <w:rsid w:val="003C7E0D"/>
    <w:rsid w:val="003D0D08"/>
    <w:rsid w:val="003D5609"/>
    <w:rsid w:val="003D63FE"/>
    <w:rsid w:val="003D7415"/>
    <w:rsid w:val="003E4867"/>
    <w:rsid w:val="003F4432"/>
    <w:rsid w:val="003F52E5"/>
    <w:rsid w:val="0040029B"/>
    <w:rsid w:val="00401F6B"/>
    <w:rsid w:val="004116EE"/>
    <w:rsid w:val="00413859"/>
    <w:rsid w:val="00416A95"/>
    <w:rsid w:val="004214BF"/>
    <w:rsid w:val="0042449A"/>
    <w:rsid w:val="00427690"/>
    <w:rsid w:val="00432D6A"/>
    <w:rsid w:val="00433332"/>
    <w:rsid w:val="00434321"/>
    <w:rsid w:val="00437591"/>
    <w:rsid w:val="0044098A"/>
    <w:rsid w:val="00442196"/>
    <w:rsid w:val="00442525"/>
    <w:rsid w:val="0044364E"/>
    <w:rsid w:val="00447202"/>
    <w:rsid w:val="004479C4"/>
    <w:rsid w:val="0045701F"/>
    <w:rsid w:val="00457393"/>
    <w:rsid w:val="00460E20"/>
    <w:rsid w:val="00461170"/>
    <w:rsid w:val="00463143"/>
    <w:rsid w:val="00472FE1"/>
    <w:rsid w:val="00475FC0"/>
    <w:rsid w:val="00477B52"/>
    <w:rsid w:val="00486521"/>
    <w:rsid w:val="00491C41"/>
    <w:rsid w:val="00495268"/>
    <w:rsid w:val="004A3989"/>
    <w:rsid w:val="004A72D0"/>
    <w:rsid w:val="004B46C2"/>
    <w:rsid w:val="004B52B8"/>
    <w:rsid w:val="004B67C0"/>
    <w:rsid w:val="004B7F17"/>
    <w:rsid w:val="004D01EA"/>
    <w:rsid w:val="004D04CA"/>
    <w:rsid w:val="004D05A4"/>
    <w:rsid w:val="004D05BF"/>
    <w:rsid w:val="004D139B"/>
    <w:rsid w:val="004D37E1"/>
    <w:rsid w:val="004D39EC"/>
    <w:rsid w:val="004D4CE8"/>
    <w:rsid w:val="004E0CC3"/>
    <w:rsid w:val="004E2C3E"/>
    <w:rsid w:val="004E738A"/>
    <w:rsid w:val="004F1970"/>
    <w:rsid w:val="005012C1"/>
    <w:rsid w:val="0050166A"/>
    <w:rsid w:val="005018B1"/>
    <w:rsid w:val="00501A00"/>
    <w:rsid w:val="00505FAA"/>
    <w:rsid w:val="005124ED"/>
    <w:rsid w:val="005143EF"/>
    <w:rsid w:val="005211A6"/>
    <w:rsid w:val="00521539"/>
    <w:rsid w:val="00523725"/>
    <w:rsid w:val="00524D1B"/>
    <w:rsid w:val="00525D9F"/>
    <w:rsid w:val="005317BB"/>
    <w:rsid w:val="005361CA"/>
    <w:rsid w:val="005364A0"/>
    <w:rsid w:val="005479F7"/>
    <w:rsid w:val="00547A7F"/>
    <w:rsid w:val="005537B6"/>
    <w:rsid w:val="00560931"/>
    <w:rsid w:val="00561BB7"/>
    <w:rsid w:val="0056241D"/>
    <w:rsid w:val="00562647"/>
    <w:rsid w:val="00563387"/>
    <w:rsid w:val="00566DBF"/>
    <w:rsid w:val="005704EF"/>
    <w:rsid w:val="00574F25"/>
    <w:rsid w:val="0057621F"/>
    <w:rsid w:val="0057709B"/>
    <w:rsid w:val="00584F40"/>
    <w:rsid w:val="00585B6E"/>
    <w:rsid w:val="00591506"/>
    <w:rsid w:val="00591650"/>
    <w:rsid w:val="005A0F51"/>
    <w:rsid w:val="005B1BB4"/>
    <w:rsid w:val="005B5CC9"/>
    <w:rsid w:val="005B7EF8"/>
    <w:rsid w:val="005D2B03"/>
    <w:rsid w:val="005D5475"/>
    <w:rsid w:val="005D7D7D"/>
    <w:rsid w:val="005E3F49"/>
    <w:rsid w:val="005F0BEB"/>
    <w:rsid w:val="005F194D"/>
    <w:rsid w:val="005F3191"/>
    <w:rsid w:val="005F5F2E"/>
    <w:rsid w:val="005F684E"/>
    <w:rsid w:val="005F77AC"/>
    <w:rsid w:val="00603BCB"/>
    <w:rsid w:val="00606D4C"/>
    <w:rsid w:val="00607105"/>
    <w:rsid w:val="00610934"/>
    <w:rsid w:val="00612293"/>
    <w:rsid w:val="00622D34"/>
    <w:rsid w:val="0063570D"/>
    <w:rsid w:val="006363F3"/>
    <w:rsid w:val="00642CE6"/>
    <w:rsid w:val="00643314"/>
    <w:rsid w:val="0065483E"/>
    <w:rsid w:val="006553BE"/>
    <w:rsid w:val="0066309B"/>
    <w:rsid w:val="0066674C"/>
    <w:rsid w:val="0067084C"/>
    <w:rsid w:val="006721F0"/>
    <w:rsid w:val="006735E6"/>
    <w:rsid w:val="00681307"/>
    <w:rsid w:val="006835DD"/>
    <w:rsid w:val="006841B6"/>
    <w:rsid w:val="006868DB"/>
    <w:rsid w:val="00695974"/>
    <w:rsid w:val="006A077A"/>
    <w:rsid w:val="006A0F96"/>
    <w:rsid w:val="006A4D2C"/>
    <w:rsid w:val="006B0900"/>
    <w:rsid w:val="006B32E0"/>
    <w:rsid w:val="006C1A51"/>
    <w:rsid w:val="006D0151"/>
    <w:rsid w:val="006D1AA1"/>
    <w:rsid w:val="006E2E4B"/>
    <w:rsid w:val="006E3385"/>
    <w:rsid w:val="006E6118"/>
    <w:rsid w:val="006F0B86"/>
    <w:rsid w:val="006F1735"/>
    <w:rsid w:val="006F563D"/>
    <w:rsid w:val="0070143B"/>
    <w:rsid w:val="007140F3"/>
    <w:rsid w:val="00723325"/>
    <w:rsid w:val="00726383"/>
    <w:rsid w:val="007270A2"/>
    <w:rsid w:val="0072752E"/>
    <w:rsid w:val="00727DCF"/>
    <w:rsid w:val="00734427"/>
    <w:rsid w:val="00735A4A"/>
    <w:rsid w:val="00737E45"/>
    <w:rsid w:val="00740F51"/>
    <w:rsid w:val="00742B46"/>
    <w:rsid w:val="007553EB"/>
    <w:rsid w:val="007562F3"/>
    <w:rsid w:val="007634B9"/>
    <w:rsid w:val="00767E21"/>
    <w:rsid w:val="00775F0E"/>
    <w:rsid w:val="00776923"/>
    <w:rsid w:val="00777B26"/>
    <w:rsid w:val="007803EF"/>
    <w:rsid w:val="0078071F"/>
    <w:rsid w:val="00780C86"/>
    <w:rsid w:val="007816BD"/>
    <w:rsid w:val="007839C9"/>
    <w:rsid w:val="00785608"/>
    <w:rsid w:val="007859AE"/>
    <w:rsid w:val="0078607B"/>
    <w:rsid w:val="0079042A"/>
    <w:rsid w:val="00790EA6"/>
    <w:rsid w:val="007919FC"/>
    <w:rsid w:val="00794467"/>
    <w:rsid w:val="007A046C"/>
    <w:rsid w:val="007A27B6"/>
    <w:rsid w:val="007A2A85"/>
    <w:rsid w:val="007A77C9"/>
    <w:rsid w:val="007B11C9"/>
    <w:rsid w:val="007B2EEA"/>
    <w:rsid w:val="007B331C"/>
    <w:rsid w:val="007B6E85"/>
    <w:rsid w:val="007C0EE6"/>
    <w:rsid w:val="007C3F80"/>
    <w:rsid w:val="007C5737"/>
    <w:rsid w:val="007C7C58"/>
    <w:rsid w:val="007D084E"/>
    <w:rsid w:val="007D4314"/>
    <w:rsid w:val="007D7C3B"/>
    <w:rsid w:val="007D7C80"/>
    <w:rsid w:val="007E418B"/>
    <w:rsid w:val="007F1D75"/>
    <w:rsid w:val="007F789E"/>
    <w:rsid w:val="008029EF"/>
    <w:rsid w:val="00810E03"/>
    <w:rsid w:val="0081232B"/>
    <w:rsid w:val="00812B7F"/>
    <w:rsid w:val="0082075E"/>
    <w:rsid w:val="0083645F"/>
    <w:rsid w:val="00843C0A"/>
    <w:rsid w:val="008472BD"/>
    <w:rsid w:val="008502E4"/>
    <w:rsid w:val="00853E10"/>
    <w:rsid w:val="008549A9"/>
    <w:rsid w:val="00856928"/>
    <w:rsid w:val="00856EF9"/>
    <w:rsid w:val="00857F84"/>
    <w:rsid w:val="008609A6"/>
    <w:rsid w:val="00861E3F"/>
    <w:rsid w:val="0086496D"/>
    <w:rsid w:val="00864C95"/>
    <w:rsid w:val="00865A2B"/>
    <w:rsid w:val="00870A23"/>
    <w:rsid w:val="0087643A"/>
    <w:rsid w:val="0087757B"/>
    <w:rsid w:val="00877E54"/>
    <w:rsid w:val="008836B1"/>
    <w:rsid w:val="00883946"/>
    <w:rsid w:val="008873D3"/>
    <w:rsid w:val="008A0F3D"/>
    <w:rsid w:val="008A12BD"/>
    <w:rsid w:val="008A552E"/>
    <w:rsid w:val="008B112E"/>
    <w:rsid w:val="008B76A6"/>
    <w:rsid w:val="008C422A"/>
    <w:rsid w:val="008C5E3D"/>
    <w:rsid w:val="008D41B3"/>
    <w:rsid w:val="008E25EB"/>
    <w:rsid w:val="008E44E7"/>
    <w:rsid w:val="008E553A"/>
    <w:rsid w:val="008F081B"/>
    <w:rsid w:val="008F1329"/>
    <w:rsid w:val="008F6E39"/>
    <w:rsid w:val="00903CD6"/>
    <w:rsid w:val="00906C32"/>
    <w:rsid w:val="009111B9"/>
    <w:rsid w:val="00912BBC"/>
    <w:rsid w:val="00913A79"/>
    <w:rsid w:val="009159AD"/>
    <w:rsid w:val="00924611"/>
    <w:rsid w:val="009264BE"/>
    <w:rsid w:val="00930226"/>
    <w:rsid w:val="00930BA2"/>
    <w:rsid w:val="00935348"/>
    <w:rsid w:val="00940C31"/>
    <w:rsid w:val="00942ED1"/>
    <w:rsid w:val="00944272"/>
    <w:rsid w:val="00955DB7"/>
    <w:rsid w:val="0096250B"/>
    <w:rsid w:val="0096345A"/>
    <w:rsid w:val="009703F6"/>
    <w:rsid w:val="009768D3"/>
    <w:rsid w:val="00977073"/>
    <w:rsid w:val="009775EE"/>
    <w:rsid w:val="0098020F"/>
    <w:rsid w:val="00981ADA"/>
    <w:rsid w:val="009820F5"/>
    <w:rsid w:val="00990327"/>
    <w:rsid w:val="009A5A5B"/>
    <w:rsid w:val="009A789A"/>
    <w:rsid w:val="009B20AF"/>
    <w:rsid w:val="009B5280"/>
    <w:rsid w:val="009C5AEB"/>
    <w:rsid w:val="009C5B47"/>
    <w:rsid w:val="009D5F80"/>
    <w:rsid w:val="009E15E5"/>
    <w:rsid w:val="009E5535"/>
    <w:rsid w:val="009E583D"/>
    <w:rsid w:val="009E5DF0"/>
    <w:rsid w:val="009F3A72"/>
    <w:rsid w:val="009F7C8F"/>
    <w:rsid w:val="00A021CF"/>
    <w:rsid w:val="00A04703"/>
    <w:rsid w:val="00A11126"/>
    <w:rsid w:val="00A12791"/>
    <w:rsid w:val="00A1348C"/>
    <w:rsid w:val="00A17720"/>
    <w:rsid w:val="00A206AA"/>
    <w:rsid w:val="00A20CE0"/>
    <w:rsid w:val="00A2555F"/>
    <w:rsid w:val="00A27B77"/>
    <w:rsid w:val="00A31A70"/>
    <w:rsid w:val="00A3385E"/>
    <w:rsid w:val="00A34CBE"/>
    <w:rsid w:val="00A40E42"/>
    <w:rsid w:val="00A42D0C"/>
    <w:rsid w:val="00A5209D"/>
    <w:rsid w:val="00A52524"/>
    <w:rsid w:val="00A62E19"/>
    <w:rsid w:val="00A65F2E"/>
    <w:rsid w:val="00A77624"/>
    <w:rsid w:val="00A77CBA"/>
    <w:rsid w:val="00A82ECE"/>
    <w:rsid w:val="00A9175B"/>
    <w:rsid w:val="00AA4899"/>
    <w:rsid w:val="00AA6965"/>
    <w:rsid w:val="00AB22F1"/>
    <w:rsid w:val="00AB4AA7"/>
    <w:rsid w:val="00AB6533"/>
    <w:rsid w:val="00AB763C"/>
    <w:rsid w:val="00AC00AC"/>
    <w:rsid w:val="00AC278F"/>
    <w:rsid w:val="00AD4C79"/>
    <w:rsid w:val="00AD6177"/>
    <w:rsid w:val="00AD67A4"/>
    <w:rsid w:val="00AE279B"/>
    <w:rsid w:val="00AE44AE"/>
    <w:rsid w:val="00AF6938"/>
    <w:rsid w:val="00AF6B37"/>
    <w:rsid w:val="00AF6E00"/>
    <w:rsid w:val="00B01C12"/>
    <w:rsid w:val="00B0205D"/>
    <w:rsid w:val="00B04200"/>
    <w:rsid w:val="00B0435C"/>
    <w:rsid w:val="00B04F78"/>
    <w:rsid w:val="00B0660A"/>
    <w:rsid w:val="00B07690"/>
    <w:rsid w:val="00B1270E"/>
    <w:rsid w:val="00B30029"/>
    <w:rsid w:val="00B322E3"/>
    <w:rsid w:val="00B37D8E"/>
    <w:rsid w:val="00B452C2"/>
    <w:rsid w:val="00B45BDB"/>
    <w:rsid w:val="00B531BE"/>
    <w:rsid w:val="00B70E80"/>
    <w:rsid w:val="00B718A6"/>
    <w:rsid w:val="00B755AD"/>
    <w:rsid w:val="00B758D4"/>
    <w:rsid w:val="00B76E70"/>
    <w:rsid w:val="00B777E8"/>
    <w:rsid w:val="00B8113F"/>
    <w:rsid w:val="00B81BA0"/>
    <w:rsid w:val="00B93678"/>
    <w:rsid w:val="00B95408"/>
    <w:rsid w:val="00BA415E"/>
    <w:rsid w:val="00BA639C"/>
    <w:rsid w:val="00BA7B1E"/>
    <w:rsid w:val="00BB3A3C"/>
    <w:rsid w:val="00BB4FE5"/>
    <w:rsid w:val="00BB59FC"/>
    <w:rsid w:val="00BC2800"/>
    <w:rsid w:val="00BD0663"/>
    <w:rsid w:val="00BD0D7C"/>
    <w:rsid w:val="00BD214A"/>
    <w:rsid w:val="00BD2AA2"/>
    <w:rsid w:val="00BE2B4D"/>
    <w:rsid w:val="00BE3123"/>
    <w:rsid w:val="00BF11CA"/>
    <w:rsid w:val="00C0502A"/>
    <w:rsid w:val="00C051F6"/>
    <w:rsid w:val="00C3790C"/>
    <w:rsid w:val="00C47369"/>
    <w:rsid w:val="00C53CD5"/>
    <w:rsid w:val="00C568FA"/>
    <w:rsid w:val="00C5750E"/>
    <w:rsid w:val="00C648C6"/>
    <w:rsid w:val="00C6500F"/>
    <w:rsid w:val="00C658E7"/>
    <w:rsid w:val="00C700E3"/>
    <w:rsid w:val="00C70DC3"/>
    <w:rsid w:val="00C75F6D"/>
    <w:rsid w:val="00C87899"/>
    <w:rsid w:val="00C967E8"/>
    <w:rsid w:val="00CA5E09"/>
    <w:rsid w:val="00CA6A09"/>
    <w:rsid w:val="00CB1B36"/>
    <w:rsid w:val="00CB5754"/>
    <w:rsid w:val="00CB6C48"/>
    <w:rsid w:val="00CB7449"/>
    <w:rsid w:val="00CC05EC"/>
    <w:rsid w:val="00CC24DA"/>
    <w:rsid w:val="00CD24B4"/>
    <w:rsid w:val="00CD4462"/>
    <w:rsid w:val="00CD574B"/>
    <w:rsid w:val="00CE3B76"/>
    <w:rsid w:val="00CE4EAF"/>
    <w:rsid w:val="00CF14DD"/>
    <w:rsid w:val="00CF66CD"/>
    <w:rsid w:val="00D108CF"/>
    <w:rsid w:val="00D130BF"/>
    <w:rsid w:val="00D13AAD"/>
    <w:rsid w:val="00D17911"/>
    <w:rsid w:val="00D21FFD"/>
    <w:rsid w:val="00D31233"/>
    <w:rsid w:val="00D33870"/>
    <w:rsid w:val="00D36CF6"/>
    <w:rsid w:val="00D4255E"/>
    <w:rsid w:val="00D46F74"/>
    <w:rsid w:val="00D4774C"/>
    <w:rsid w:val="00D528E3"/>
    <w:rsid w:val="00D535C0"/>
    <w:rsid w:val="00D53FDF"/>
    <w:rsid w:val="00D54038"/>
    <w:rsid w:val="00D549EE"/>
    <w:rsid w:val="00D60682"/>
    <w:rsid w:val="00D720DA"/>
    <w:rsid w:val="00D73537"/>
    <w:rsid w:val="00D76AA0"/>
    <w:rsid w:val="00D8553E"/>
    <w:rsid w:val="00D85A83"/>
    <w:rsid w:val="00D876E2"/>
    <w:rsid w:val="00D90510"/>
    <w:rsid w:val="00D955C0"/>
    <w:rsid w:val="00D961E0"/>
    <w:rsid w:val="00D974D8"/>
    <w:rsid w:val="00DA01B6"/>
    <w:rsid w:val="00DA1255"/>
    <w:rsid w:val="00DB3D86"/>
    <w:rsid w:val="00DB5393"/>
    <w:rsid w:val="00DB785D"/>
    <w:rsid w:val="00DC1D6A"/>
    <w:rsid w:val="00DC3751"/>
    <w:rsid w:val="00DD0C8A"/>
    <w:rsid w:val="00DD2367"/>
    <w:rsid w:val="00DD30A3"/>
    <w:rsid w:val="00DD6D43"/>
    <w:rsid w:val="00DE5F2D"/>
    <w:rsid w:val="00DF40F5"/>
    <w:rsid w:val="00DF52A3"/>
    <w:rsid w:val="00DF558F"/>
    <w:rsid w:val="00E004B9"/>
    <w:rsid w:val="00E0756A"/>
    <w:rsid w:val="00E11CC2"/>
    <w:rsid w:val="00E202FC"/>
    <w:rsid w:val="00E23342"/>
    <w:rsid w:val="00E24E3F"/>
    <w:rsid w:val="00E41E33"/>
    <w:rsid w:val="00E461E7"/>
    <w:rsid w:val="00E463D8"/>
    <w:rsid w:val="00E5434B"/>
    <w:rsid w:val="00E66991"/>
    <w:rsid w:val="00E710AD"/>
    <w:rsid w:val="00E74284"/>
    <w:rsid w:val="00E74CE0"/>
    <w:rsid w:val="00E80A91"/>
    <w:rsid w:val="00E80E4E"/>
    <w:rsid w:val="00E81E2B"/>
    <w:rsid w:val="00E82158"/>
    <w:rsid w:val="00E851E6"/>
    <w:rsid w:val="00E869B5"/>
    <w:rsid w:val="00E90231"/>
    <w:rsid w:val="00E972E3"/>
    <w:rsid w:val="00EA4355"/>
    <w:rsid w:val="00EB4297"/>
    <w:rsid w:val="00EB42CA"/>
    <w:rsid w:val="00EC0177"/>
    <w:rsid w:val="00EC3C9B"/>
    <w:rsid w:val="00EC48BC"/>
    <w:rsid w:val="00ED0D27"/>
    <w:rsid w:val="00ED0EC0"/>
    <w:rsid w:val="00EE0B57"/>
    <w:rsid w:val="00EE20FC"/>
    <w:rsid w:val="00EE3BD0"/>
    <w:rsid w:val="00EE64F2"/>
    <w:rsid w:val="00EE75EE"/>
    <w:rsid w:val="00EF2C72"/>
    <w:rsid w:val="00EF34D4"/>
    <w:rsid w:val="00EF48B5"/>
    <w:rsid w:val="00EF706B"/>
    <w:rsid w:val="00F009EF"/>
    <w:rsid w:val="00F05808"/>
    <w:rsid w:val="00F06A6A"/>
    <w:rsid w:val="00F06C8E"/>
    <w:rsid w:val="00F07E11"/>
    <w:rsid w:val="00F11443"/>
    <w:rsid w:val="00F13BC5"/>
    <w:rsid w:val="00F13BC9"/>
    <w:rsid w:val="00F252EA"/>
    <w:rsid w:val="00F279C5"/>
    <w:rsid w:val="00F30649"/>
    <w:rsid w:val="00F310BE"/>
    <w:rsid w:val="00F45609"/>
    <w:rsid w:val="00F54A04"/>
    <w:rsid w:val="00F54D88"/>
    <w:rsid w:val="00F55A67"/>
    <w:rsid w:val="00F55E04"/>
    <w:rsid w:val="00F57D24"/>
    <w:rsid w:val="00F66E2A"/>
    <w:rsid w:val="00F772E3"/>
    <w:rsid w:val="00F82A64"/>
    <w:rsid w:val="00F84159"/>
    <w:rsid w:val="00F91F76"/>
    <w:rsid w:val="00F94346"/>
    <w:rsid w:val="00F96C66"/>
    <w:rsid w:val="00FA363F"/>
    <w:rsid w:val="00FB1612"/>
    <w:rsid w:val="00FB3255"/>
    <w:rsid w:val="00FB3DBB"/>
    <w:rsid w:val="00FC0048"/>
    <w:rsid w:val="00FC11E7"/>
    <w:rsid w:val="00FC4218"/>
    <w:rsid w:val="00FD738A"/>
    <w:rsid w:val="00FE0134"/>
    <w:rsid w:val="00FE7D73"/>
    <w:rsid w:val="00FF6200"/>
    <w:rsid w:val="024232A4"/>
    <w:rsid w:val="02776055"/>
    <w:rsid w:val="035D65C1"/>
    <w:rsid w:val="036E2A1F"/>
    <w:rsid w:val="03B71C58"/>
    <w:rsid w:val="04346A72"/>
    <w:rsid w:val="044A0C1B"/>
    <w:rsid w:val="04886109"/>
    <w:rsid w:val="049847A1"/>
    <w:rsid w:val="04BD4A9D"/>
    <w:rsid w:val="05C32CC9"/>
    <w:rsid w:val="05D26698"/>
    <w:rsid w:val="062C0CFF"/>
    <w:rsid w:val="06572AF0"/>
    <w:rsid w:val="072A5838"/>
    <w:rsid w:val="076C23B4"/>
    <w:rsid w:val="07B079A4"/>
    <w:rsid w:val="08412974"/>
    <w:rsid w:val="084A2600"/>
    <w:rsid w:val="08604239"/>
    <w:rsid w:val="087B5B07"/>
    <w:rsid w:val="08FA61C3"/>
    <w:rsid w:val="097E05F5"/>
    <w:rsid w:val="0990607D"/>
    <w:rsid w:val="09F707CE"/>
    <w:rsid w:val="0AC8577F"/>
    <w:rsid w:val="0BF22DCF"/>
    <w:rsid w:val="0C082429"/>
    <w:rsid w:val="0C493DF8"/>
    <w:rsid w:val="0C752CF5"/>
    <w:rsid w:val="0EC57EF8"/>
    <w:rsid w:val="0EDD410B"/>
    <w:rsid w:val="0F3F0608"/>
    <w:rsid w:val="0F4F4A37"/>
    <w:rsid w:val="0FB524D8"/>
    <w:rsid w:val="107C7A5F"/>
    <w:rsid w:val="10CF3D63"/>
    <w:rsid w:val="10F55DCB"/>
    <w:rsid w:val="113F6C8F"/>
    <w:rsid w:val="11BE7B5C"/>
    <w:rsid w:val="11DA0840"/>
    <w:rsid w:val="12412ACA"/>
    <w:rsid w:val="12CA55C4"/>
    <w:rsid w:val="12D87CE6"/>
    <w:rsid w:val="12EE19BE"/>
    <w:rsid w:val="12F97F98"/>
    <w:rsid w:val="14193904"/>
    <w:rsid w:val="14244852"/>
    <w:rsid w:val="14B0328A"/>
    <w:rsid w:val="14B51326"/>
    <w:rsid w:val="14CF2CB6"/>
    <w:rsid w:val="15C46F63"/>
    <w:rsid w:val="166A71F4"/>
    <w:rsid w:val="16971C8E"/>
    <w:rsid w:val="16DD5AF2"/>
    <w:rsid w:val="17005DDA"/>
    <w:rsid w:val="170D6802"/>
    <w:rsid w:val="175235D3"/>
    <w:rsid w:val="179B4D9D"/>
    <w:rsid w:val="18EE3D69"/>
    <w:rsid w:val="18FB0DD9"/>
    <w:rsid w:val="192F3C2A"/>
    <w:rsid w:val="19900D35"/>
    <w:rsid w:val="19924586"/>
    <w:rsid w:val="1A3A7A37"/>
    <w:rsid w:val="1A662CCE"/>
    <w:rsid w:val="1A81787B"/>
    <w:rsid w:val="1B026E16"/>
    <w:rsid w:val="1B6313F3"/>
    <w:rsid w:val="1B7846C6"/>
    <w:rsid w:val="1C104AD4"/>
    <w:rsid w:val="1CF965EF"/>
    <w:rsid w:val="1D30098B"/>
    <w:rsid w:val="1D40714D"/>
    <w:rsid w:val="1DD76909"/>
    <w:rsid w:val="1DE7215F"/>
    <w:rsid w:val="1E050ED5"/>
    <w:rsid w:val="1E6A7BB2"/>
    <w:rsid w:val="1E782BDB"/>
    <w:rsid w:val="1EB25197"/>
    <w:rsid w:val="1F5775A2"/>
    <w:rsid w:val="1FEB3548"/>
    <w:rsid w:val="2007660D"/>
    <w:rsid w:val="206F381A"/>
    <w:rsid w:val="20A63291"/>
    <w:rsid w:val="20DD1F8C"/>
    <w:rsid w:val="21113084"/>
    <w:rsid w:val="21802732"/>
    <w:rsid w:val="21E8671C"/>
    <w:rsid w:val="22291414"/>
    <w:rsid w:val="22456C64"/>
    <w:rsid w:val="22AA3757"/>
    <w:rsid w:val="22E349F2"/>
    <w:rsid w:val="231D23C6"/>
    <w:rsid w:val="232269D1"/>
    <w:rsid w:val="232621DD"/>
    <w:rsid w:val="233738D3"/>
    <w:rsid w:val="23495265"/>
    <w:rsid w:val="236F776C"/>
    <w:rsid w:val="240759D6"/>
    <w:rsid w:val="245E2574"/>
    <w:rsid w:val="246B4F37"/>
    <w:rsid w:val="24D4291D"/>
    <w:rsid w:val="259E2CD6"/>
    <w:rsid w:val="25D0124F"/>
    <w:rsid w:val="261C51F0"/>
    <w:rsid w:val="262140CD"/>
    <w:rsid w:val="264A117F"/>
    <w:rsid w:val="264C676E"/>
    <w:rsid w:val="26986994"/>
    <w:rsid w:val="26CB6A94"/>
    <w:rsid w:val="27083E1E"/>
    <w:rsid w:val="272F1C49"/>
    <w:rsid w:val="27435B2D"/>
    <w:rsid w:val="278528D4"/>
    <w:rsid w:val="27944AF9"/>
    <w:rsid w:val="27DA55A6"/>
    <w:rsid w:val="28466408"/>
    <w:rsid w:val="28CA467C"/>
    <w:rsid w:val="295E28A2"/>
    <w:rsid w:val="299D5CE7"/>
    <w:rsid w:val="2A4354D4"/>
    <w:rsid w:val="2A874D1D"/>
    <w:rsid w:val="2AAA7A11"/>
    <w:rsid w:val="2B1C0A93"/>
    <w:rsid w:val="2B3F79DB"/>
    <w:rsid w:val="2B545F28"/>
    <w:rsid w:val="2B585398"/>
    <w:rsid w:val="2BDA4E40"/>
    <w:rsid w:val="2C64728A"/>
    <w:rsid w:val="2C9A1AF4"/>
    <w:rsid w:val="2CD83B77"/>
    <w:rsid w:val="2DFE5C6B"/>
    <w:rsid w:val="2E1E559E"/>
    <w:rsid w:val="2E39579B"/>
    <w:rsid w:val="2E5A6865"/>
    <w:rsid w:val="2E6C2F7A"/>
    <w:rsid w:val="2E8144DD"/>
    <w:rsid w:val="2EA20008"/>
    <w:rsid w:val="2EC46471"/>
    <w:rsid w:val="2F4D64D5"/>
    <w:rsid w:val="2F9624C7"/>
    <w:rsid w:val="2FFC5966"/>
    <w:rsid w:val="305C03AC"/>
    <w:rsid w:val="30637880"/>
    <w:rsid w:val="307211E8"/>
    <w:rsid w:val="30AB234B"/>
    <w:rsid w:val="311808BB"/>
    <w:rsid w:val="318A2687"/>
    <w:rsid w:val="319C0E7A"/>
    <w:rsid w:val="32051CD4"/>
    <w:rsid w:val="330417AD"/>
    <w:rsid w:val="33426245"/>
    <w:rsid w:val="33B24FA9"/>
    <w:rsid w:val="344334A2"/>
    <w:rsid w:val="351A2E78"/>
    <w:rsid w:val="353D51C5"/>
    <w:rsid w:val="35A63E94"/>
    <w:rsid w:val="36047229"/>
    <w:rsid w:val="36221461"/>
    <w:rsid w:val="364F1FD2"/>
    <w:rsid w:val="364F3BF3"/>
    <w:rsid w:val="36894C12"/>
    <w:rsid w:val="369F177E"/>
    <w:rsid w:val="36BE63C3"/>
    <w:rsid w:val="36F35EFF"/>
    <w:rsid w:val="3792453A"/>
    <w:rsid w:val="379B020E"/>
    <w:rsid w:val="37F74A1B"/>
    <w:rsid w:val="381C7917"/>
    <w:rsid w:val="38C04BD1"/>
    <w:rsid w:val="38D17E4C"/>
    <w:rsid w:val="393F4B8E"/>
    <w:rsid w:val="39AB6039"/>
    <w:rsid w:val="3A2D0A1D"/>
    <w:rsid w:val="3A933FF4"/>
    <w:rsid w:val="3B223EA3"/>
    <w:rsid w:val="3B47028A"/>
    <w:rsid w:val="3B5C7CD9"/>
    <w:rsid w:val="3C3E2B59"/>
    <w:rsid w:val="3C872392"/>
    <w:rsid w:val="3CA029A6"/>
    <w:rsid w:val="3CC66EE8"/>
    <w:rsid w:val="3D5A2693"/>
    <w:rsid w:val="3DE701D1"/>
    <w:rsid w:val="3E0E5316"/>
    <w:rsid w:val="3E6738DC"/>
    <w:rsid w:val="3F2A4B61"/>
    <w:rsid w:val="401364B0"/>
    <w:rsid w:val="40561CA7"/>
    <w:rsid w:val="40F025E8"/>
    <w:rsid w:val="422679BF"/>
    <w:rsid w:val="42B375DC"/>
    <w:rsid w:val="42C121F4"/>
    <w:rsid w:val="42D746AD"/>
    <w:rsid w:val="43941FDA"/>
    <w:rsid w:val="43E17040"/>
    <w:rsid w:val="445C18DD"/>
    <w:rsid w:val="447A6AFE"/>
    <w:rsid w:val="45590F5C"/>
    <w:rsid w:val="460E70A4"/>
    <w:rsid w:val="46222CDE"/>
    <w:rsid w:val="46252B64"/>
    <w:rsid w:val="46461FCB"/>
    <w:rsid w:val="46B86202"/>
    <w:rsid w:val="46C82706"/>
    <w:rsid w:val="472121B1"/>
    <w:rsid w:val="47273F86"/>
    <w:rsid w:val="4868343D"/>
    <w:rsid w:val="486A0493"/>
    <w:rsid w:val="49501A22"/>
    <w:rsid w:val="49945C16"/>
    <w:rsid w:val="49BF5CB7"/>
    <w:rsid w:val="49D61A36"/>
    <w:rsid w:val="4A4F019E"/>
    <w:rsid w:val="4A866E5E"/>
    <w:rsid w:val="4AB942D8"/>
    <w:rsid w:val="4B02325D"/>
    <w:rsid w:val="4B1D0572"/>
    <w:rsid w:val="4B2C565D"/>
    <w:rsid w:val="4B4F2176"/>
    <w:rsid w:val="4BE97ED5"/>
    <w:rsid w:val="4BEA1320"/>
    <w:rsid w:val="4D223B32"/>
    <w:rsid w:val="4D5A2B1B"/>
    <w:rsid w:val="4DAC5D2A"/>
    <w:rsid w:val="4ECA7A01"/>
    <w:rsid w:val="4EE505F0"/>
    <w:rsid w:val="4F100A39"/>
    <w:rsid w:val="4F272DC3"/>
    <w:rsid w:val="4F2844FE"/>
    <w:rsid w:val="4F5B73D1"/>
    <w:rsid w:val="4F89408D"/>
    <w:rsid w:val="4F8D54F3"/>
    <w:rsid w:val="4F976C0B"/>
    <w:rsid w:val="50481668"/>
    <w:rsid w:val="506F791C"/>
    <w:rsid w:val="51D1552C"/>
    <w:rsid w:val="51EC6B3C"/>
    <w:rsid w:val="52337E49"/>
    <w:rsid w:val="52463E72"/>
    <w:rsid w:val="52713B5E"/>
    <w:rsid w:val="528303DD"/>
    <w:rsid w:val="52BF450F"/>
    <w:rsid w:val="533B7DA0"/>
    <w:rsid w:val="53D71D82"/>
    <w:rsid w:val="543162F7"/>
    <w:rsid w:val="544D5022"/>
    <w:rsid w:val="54F11786"/>
    <w:rsid w:val="54F26714"/>
    <w:rsid w:val="55817093"/>
    <w:rsid w:val="55B3108E"/>
    <w:rsid w:val="56160E0B"/>
    <w:rsid w:val="562D65D5"/>
    <w:rsid w:val="5659010B"/>
    <w:rsid w:val="56666088"/>
    <w:rsid w:val="56A764C6"/>
    <w:rsid w:val="56F61C90"/>
    <w:rsid w:val="57361052"/>
    <w:rsid w:val="57970DA2"/>
    <w:rsid w:val="57A06EA8"/>
    <w:rsid w:val="582C5A2B"/>
    <w:rsid w:val="584E3261"/>
    <w:rsid w:val="592477D5"/>
    <w:rsid w:val="59F80580"/>
    <w:rsid w:val="5A4448F5"/>
    <w:rsid w:val="5AD46483"/>
    <w:rsid w:val="5AD652AD"/>
    <w:rsid w:val="5B1D245A"/>
    <w:rsid w:val="5B373C9C"/>
    <w:rsid w:val="5B425D2C"/>
    <w:rsid w:val="5B54003F"/>
    <w:rsid w:val="5C755DA0"/>
    <w:rsid w:val="5C7F7528"/>
    <w:rsid w:val="5D191A98"/>
    <w:rsid w:val="5D2428B8"/>
    <w:rsid w:val="5D520FB6"/>
    <w:rsid w:val="5D755BA3"/>
    <w:rsid w:val="5D9B1088"/>
    <w:rsid w:val="5DAA4A8B"/>
    <w:rsid w:val="5DB82662"/>
    <w:rsid w:val="5DE975E6"/>
    <w:rsid w:val="5E8F32C0"/>
    <w:rsid w:val="5F401133"/>
    <w:rsid w:val="5F4104EC"/>
    <w:rsid w:val="5F5312DA"/>
    <w:rsid w:val="5F597724"/>
    <w:rsid w:val="5FD66479"/>
    <w:rsid w:val="603C3626"/>
    <w:rsid w:val="60996CF0"/>
    <w:rsid w:val="60E04FB4"/>
    <w:rsid w:val="610E5498"/>
    <w:rsid w:val="61501E97"/>
    <w:rsid w:val="61726A3A"/>
    <w:rsid w:val="61847A55"/>
    <w:rsid w:val="620D4506"/>
    <w:rsid w:val="62926680"/>
    <w:rsid w:val="62A7625B"/>
    <w:rsid w:val="63983C1A"/>
    <w:rsid w:val="63A17B15"/>
    <w:rsid w:val="63A271B9"/>
    <w:rsid w:val="63CD2F4A"/>
    <w:rsid w:val="641448F3"/>
    <w:rsid w:val="642E7C43"/>
    <w:rsid w:val="649C1C29"/>
    <w:rsid w:val="64A52EE9"/>
    <w:rsid w:val="64B3759B"/>
    <w:rsid w:val="64B66C14"/>
    <w:rsid w:val="64E41ED7"/>
    <w:rsid w:val="654B3E73"/>
    <w:rsid w:val="654C12EB"/>
    <w:rsid w:val="66133574"/>
    <w:rsid w:val="66BD40A9"/>
    <w:rsid w:val="67540D79"/>
    <w:rsid w:val="67BF549B"/>
    <w:rsid w:val="680C6882"/>
    <w:rsid w:val="686C1254"/>
    <w:rsid w:val="68CA77A4"/>
    <w:rsid w:val="68D73E1F"/>
    <w:rsid w:val="69497E1D"/>
    <w:rsid w:val="695F6485"/>
    <w:rsid w:val="69F055C0"/>
    <w:rsid w:val="6AED4CFD"/>
    <w:rsid w:val="6C3872EE"/>
    <w:rsid w:val="6D6B39EB"/>
    <w:rsid w:val="6DE123D1"/>
    <w:rsid w:val="6DF204F3"/>
    <w:rsid w:val="6DF75FCA"/>
    <w:rsid w:val="6E965E3F"/>
    <w:rsid w:val="6EB439B0"/>
    <w:rsid w:val="6EF41217"/>
    <w:rsid w:val="6F100F13"/>
    <w:rsid w:val="6F104989"/>
    <w:rsid w:val="6FB61627"/>
    <w:rsid w:val="6FB83BE3"/>
    <w:rsid w:val="6FDF37F7"/>
    <w:rsid w:val="70456C1C"/>
    <w:rsid w:val="7148282A"/>
    <w:rsid w:val="718F3D0A"/>
    <w:rsid w:val="72551845"/>
    <w:rsid w:val="72586AB5"/>
    <w:rsid w:val="725C6CA3"/>
    <w:rsid w:val="72B419CF"/>
    <w:rsid w:val="755F2701"/>
    <w:rsid w:val="75EA0EE8"/>
    <w:rsid w:val="76921C0F"/>
    <w:rsid w:val="772201F2"/>
    <w:rsid w:val="775C6379"/>
    <w:rsid w:val="77E61C76"/>
    <w:rsid w:val="78171136"/>
    <w:rsid w:val="79C15CF6"/>
    <w:rsid w:val="79CF3B1B"/>
    <w:rsid w:val="7A235085"/>
    <w:rsid w:val="7A87515B"/>
    <w:rsid w:val="7ACC60F0"/>
    <w:rsid w:val="7B895536"/>
    <w:rsid w:val="7BA03B4E"/>
    <w:rsid w:val="7BA27BE3"/>
    <w:rsid w:val="7C7225D5"/>
    <w:rsid w:val="7CBA536A"/>
    <w:rsid w:val="7D1F55E6"/>
    <w:rsid w:val="7D305201"/>
    <w:rsid w:val="7D641DDF"/>
    <w:rsid w:val="7D693BAD"/>
    <w:rsid w:val="7D8B0CDD"/>
    <w:rsid w:val="7D8E5042"/>
    <w:rsid w:val="7DC03A6F"/>
    <w:rsid w:val="7EE06950"/>
    <w:rsid w:val="7F6512A0"/>
    <w:rsid w:val="7FAE3C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560" w:firstLineChars="200"/>
      <w:jc w:val="both"/>
    </w:pPr>
    <w:rPr>
      <w:rFonts w:ascii="Times New Roman" w:hAnsi="Times New Roman" w:eastAsia="仿宋" w:cs="宋体"/>
      <w:color w:val="000000"/>
      <w:kern w:val="2"/>
      <w:sz w:val="32"/>
      <w:szCs w:val="28"/>
      <w:lang w:val="en-US" w:eastAsia="zh-CN" w:bidi="ar-SA"/>
    </w:rPr>
  </w:style>
  <w:style w:type="paragraph" w:styleId="3">
    <w:name w:val="heading 1"/>
    <w:basedOn w:val="1"/>
    <w:next w:val="1"/>
    <w:link w:val="40"/>
    <w:qFormat/>
    <w:uiPriority w:val="0"/>
    <w:pPr>
      <w:keepNext/>
      <w:keepLines/>
      <w:outlineLvl w:val="0"/>
    </w:pPr>
    <w:rPr>
      <w:rFonts w:eastAsia="黑体" w:asciiTheme="minorHAnsi" w:hAnsiTheme="minorHAnsi" w:cstheme="minorBidi"/>
      <w:b/>
      <w:bCs/>
      <w:color w:val="auto"/>
      <w:kern w:val="44"/>
      <w:szCs w:val="44"/>
    </w:rPr>
  </w:style>
  <w:style w:type="paragraph" w:styleId="4">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color w:val="auto"/>
      <w:szCs w:val="32"/>
    </w:rPr>
  </w:style>
  <w:style w:type="paragraph" w:styleId="5">
    <w:name w:val="heading 3"/>
    <w:basedOn w:val="1"/>
    <w:next w:val="1"/>
    <w:link w:val="41"/>
    <w:unhideWhenUsed/>
    <w:qFormat/>
    <w:uiPriority w:val="0"/>
    <w:pPr>
      <w:keepNext/>
      <w:keepLines/>
      <w:outlineLvl w:val="2"/>
    </w:pPr>
    <w:rPr>
      <w:b/>
      <w:bCs/>
      <w:szCs w:val="32"/>
    </w:rPr>
  </w:style>
  <w:style w:type="paragraph" w:styleId="6">
    <w:name w:val="heading 5"/>
    <w:basedOn w:val="1"/>
    <w:next w:val="1"/>
    <w:qFormat/>
    <w:uiPriority w:val="0"/>
    <w:pPr>
      <w:keepNext/>
      <w:outlineLvl w:val="4"/>
    </w:pPr>
    <w:rPr>
      <w:rFonts w:ascii="宋体" w:hAnsi="宋体"/>
      <w:b/>
      <w:bCs/>
      <w:sz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toc 7"/>
    <w:basedOn w:val="1"/>
    <w:next w:val="1"/>
    <w:qFormat/>
    <w:uiPriority w:val="0"/>
    <w:pPr>
      <w:spacing w:line="360" w:lineRule="auto"/>
      <w:ind w:left="1800" w:firstLine="200"/>
      <w:jc w:val="left"/>
    </w:pPr>
    <w:rPr>
      <w:rFonts w:ascii="等线" w:hAnsi="等线" w:eastAsia="仿宋_GB2312" w:cs="Times New Roman"/>
      <w:color w:val="auto"/>
      <w:sz w:val="18"/>
      <w:szCs w:val="18"/>
    </w:rPr>
  </w:style>
  <w:style w:type="paragraph" w:styleId="8">
    <w:name w:val="Document Map"/>
    <w:basedOn w:val="1"/>
    <w:link w:val="43"/>
    <w:unhideWhenUsed/>
    <w:qFormat/>
    <w:uiPriority w:val="99"/>
    <w:rPr>
      <w:rFonts w:ascii="宋体"/>
      <w:sz w:val="18"/>
      <w:szCs w:val="18"/>
    </w:rPr>
  </w:style>
  <w:style w:type="paragraph" w:styleId="9">
    <w:name w:val="annotation text"/>
    <w:basedOn w:val="1"/>
    <w:link w:val="56"/>
    <w:qFormat/>
    <w:uiPriority w:val="0"/>
    <w:pPr>
      <w:spacing w:line="360" w:lineRule="auto"/>
      <w:ind w:firstLine="200"/>
      <w:jc w:val="left"/>
    </w:pPr>
    <w:rPr>
      <w:rFonts w:ascii="等线" w:hAnsi="等线" w:eastAsia="仿宋_GB2312" w:cs="Times New Roman"/>
      <w:color w:val="auto"/>
      <w:sz w:val="24"/>
      <w:szCs w:val="24"/>
    </w:rPr>
  </w:style>
  <w:style w:type="paragraph" w:styleId="10">
    <w:name w:val="Body Text Indent"/>
    <w:basedOn w:val="1"/>
    <w:link w:val="58"/>
    <w:qFormat/>
    <w:uiPriority w:val="99"/>
    <w:pPr>
      <w:ind w:firstLine="1200" w:firstLineChars="375"/>
    </w:pPr>
    <w:rPr>
      <w:rFonts w:ascii="等线" w:hAnsi="等线" w:eastAsia="仿宋_GB2312" w:cs="Times New Roman"/>
      <w:color w:val="auto"/>
      <w:szCs w:val="24"/>
    </w:rPr>
  </w:style>
  <w:style w:type="paragraph" w:styleId="11">
    <w:name w:val="toc 5"/>
    <w:basedOn w:val="1"/>
    <w:next w:val="1"/>
    <w:qFormat/>
    <w:uiPriority w:val="0"/>
    <w:pPr>
      <w:spacing w:line="360" w:lineRule="auto"/>
      <w:ind w:left="1200" w:firstLine="200"/>
      <w:jc w:val="left"/>
    </w:pPr>
    <w:rPr>
      <w:rFonts w:ascii="等线" w:hAnsi="等线" w:eastAsia="仿宋_GB2312" w:cs="Times New Roman"/>
      <w:color w:val="auto"/>
      <w:sz w:val="18"/>
      <w:szCs w:val="18"/>
    </w:rPr>
  </w:style>
  <w:style w:type="paragraph" w:styleId="12">
    <w:name w:val="toc 3"/>
    <w:basedOn w:val="1"/>
    <w:next w:val="1"/>
    <w:unhideWhenUsed/>
    <w:qFormat/>
    <w:uiPriority w:val="39"/>
    <w:pPr>
      <w:ind w:left="840" w:leftChars="400"/>
    </w:pPr>
  </w:style>
  <w:style w:type="paragraph" w:styleId="13">
    <w:name w:val="toc 8"/>
    <w:basedOn w:val="1"/>
    <w:next w:val="1"/>
    <w:qFormat/>
    <w:uiPriority w:val="0"/>
    <w:pPr>
      <w:spacing w:line="360" w:lineRule="auto"/>
      <w:ind w:left="2100" w:firstLine="200"/>
      <w:jc w:val="left"/>
    </w:pPr>
    <w:rPr>
      <w:rFonts w:ascii="等线" w:hAnsi="等线" w:eastAsia="仿宋_GB2312" w:cs="Times New Roman"/>
      <w:color w:val="auto"/>
      <w:sz w:val="18"/>
      <w:szCs w:val="18"/>
    </w:rPr>
  </w:style>
  <w:style w:type="paragraph" w:styleId="14">
    <w:name w:val="Date"/>
    <w:basedOn w:val="1"/>
    <w:next w:val="1"/>
    <w:link w:val="59"/>
    <w:unhideWhenUsed/>
    <w:qFormat/>
    <w:uiPriority w:val="99"/>
    <w:pPr>
      <w:spacing w:line="360" w:lineRule="auto"/>
      <w:ind w:left="100" w:leftChars="2500" w:firstLine="200"/>
    </w:pPr>
    <w:rPr>
      <w:rFonts w:ascii="等线" w:hAnsi="等线" w:eastAsia="仿宋_GB2312" w:cs="Times New Roman"/>
      <w:color w:val="auto"/>
      <w:sz w:val="24"/>
      <w:szCs w:val="24"/>
    </w:rPr>
  </w:style>
  <w:style w:type="paragraph" w:styleId="15">
    <w:name w:val="Balloon Text"/>
    <w:basedOn w:val="1"/>
    <w:link w:val="44"/>
    <w:unhideWhenUsed/>
    <w:qFormat/>
    <w:uiPriority w:val="0"/>
    <w:rPr>
      <w:sz w:val="18"/>
      <w:szCs w:val="18"/>
    </w:rPr>
  </w:style>
  <w:style w:type="paragraph" w:styleId="16">
    <w:name w:val="footer"/>
    <w:basedOn w:val="1"/>
    <w:link w:val="45"/>
    <w:unhideWhenUsed/>
    <w:qFormat/>
    <w:uiPriority w:val="99"/>
    <w:pPr>
      <w:tabs>
        <w:tab w:val="center" w:pos="4153"/>
        <w:tab w:val="right" w:pos="8306"/>
      </w:tabs>
      <w:snapToGrid w:val="0"/>
      <w:jc w:val="left"/>
    </w:pPr>
    <w:rPr>
      <w:sz w:val="18"/>
      <w:szCs w:val="18"/>
    </w:rPr>
  </w:style>
  <w:style w:type="paragraph" w:styleId="17">
    <w:name w:val="header"/>
    <w:basedOn w:val="1"/>
    <w:link w:val="46"/>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8296"/>
      </w:tabs>
      <w:spacing w:line="360" w:lineRule="exact"/>
    </w:pPr>
    <w:rPr>
      <w:rFonts w:ascii="仿宋_GB2312" w:hAnsi="仿宋"/>
      <w:b/>
    </w:rPr>
  </w:style>
  <w:style w:type="paragraph" w:styleId="19">
    <w:name w:val="toc 4"/>
    <w:basedOn w:val="1"/>
    <w:next w:val="1"/>
    <w:qFormat/>
    <w:uiPriority w:val="0"/>
    <w:pPr>
      <w:tabs>
        <w:tab w:val="right" w:leader="dot" w:pos="8693"/>
      </w:tabs>
      <w:spacing w:line="300" w:lineRule="exact"/>
      <w:ind w:left="902" w:firstLine="200"/>
      <w:jc w:val="left"/>
    </w:pPr>
    <w:rPr>
      <w:rFonts w:ascii="等线" w:hAnsi="等线" w:eastAsia="仿宋_GB2312" w:cs="Times New Roman"/>
      <w:color w:val="auto"/>
      <w:szCs w:val="18"/>
    </w:rPr>
  </w:style>
  <w:style w:type="paragraph" w:styleId="20">
    <w:name w:val="Subtitle"/>
    <w:basedOn w:val="1"/>
    <w:next w:val="1"/>
    <w:link w:val="60"/>
    <w:qFormat/>
    <w:uiPriority w:val="11"/>
    <w:pPr>
      <w:spacing w:before="240" w:after="60" w:line="312" w:lineRule="auto"/>
      <w:jc w:val="center"/>
      <w:outlineLvl w:val="1"/>
    </w:pPr>
    <w:rPr>
      <w:rFonts w:ascii="Cambria" w:hAnsi="Cambria" w:eastAsia="等线" w:cs="Times New Roman"/>
      <w:b/>
      <w:bCs/>
      <w:color w:val="auto"/>
      <w:kern w:val="28"/>
      <w:sz w:val="20"/>
      <w:szCs w:val="32"/>
    </w:rPr>
  </w:style>
  <w:style w:type="paragraph" w:styleId="21">
    <w:name w:val="toc 6"/>
    <w:basedOn w:val="1"/>
    <w:next w:val="1"/>
    <w:qFormat/>
    <w:uiPriority w:val="0"/>
    <w:pPr>
      <w:spacing w:line="360" w:lineRule="auto"/>
      <w:ind w:left="1500" w:firstLine="200"/>
      <w:jc w:val="left"/>
    </w:pPr>
    <w:rPr>
      <w:rFonts w:ascii="等线" w:hAnsi="等线" w:eastAsia="仿宋_GB2312" w:cs="Times New Roman"/>
      <w:color w:val="auto"/>
      <w:sz w:val="18"/>
      <w:szCs w:val="18"/>
    </w:rPr>
  </w:style>
  <w:style w:type="paragraph" w:styleId="22">
    <w:name w:val="toc 2"/>
    <w:basedOn w:val="1"/>
    <w:next w:val="1"/>
    <w:unhideWhenUsed/>
    <w:qFormat/>
    <w:uiPriority w:val="39"/>
    <w:pPr>
      <w:ind w:left="420" w:leftChars="200"/>
    </w:pPr>
  </w:style>
  <w:style w:type="paragraph" w:styleId="23">
    <w:name w:val="toc 9"/>
    <w:basedOn w:val="1"/>
    <w:next w:val="1"/>
    <w:qFormat/>
    <w:uiPriority w:val="0"/>
    <w:pPr>
      <w:spacing w:line="360" w:lineRule="auto"/>
      <w:ind w:left="2400" w:firstLine="200"/>
      <w:jc w:val="left"/>
    </w:pPr>
    <w:rPr>
      <w:rFonts w:ascii="等线" w:hAnsi="等线" w:eastAsia="仿宋_GB2312" w:cs="Times New Roman"/>
      <w:color w:val="auto"/>
      <w:sz w:val="18"/>
      <w:szCs w:val="18"/>
    </w:rPr>
  </w:style>
  <w:style w:type="paragraph" w:styleId="24">
    <w:name w:val="HTML Preformatted"/>
    <w:basedOn w:val="1"/>
    <w:link w:val="4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auto"/>
      <w:kern w:val="0"/>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olor w:val="auto"/>
      <w:kern w:val="0"/>
      <w:sz w:val="24"/>
      <w:szCs w:val="24"/>
    </w:rPr>
  </w:style>
  <w:style w:type="paragraph" w:styleId="26">
    <w:name w:val="Title"/>
    <w:basedOn w:val="1"/>
    <w:next w:val="1"/>
    <w:link w:val="48"/>
    <w:qFormat/>
    <w:uiPriority w:val="10"/>
    <w:pPr>
      <w:spacing w:line="360" w:lineRule="auto"/>
      <w:ind w:firstLine="200"/>
      <w:jc w:val="left"/>
      <w:outlineLvl w:val="3"/>
    </w:pPr>
    <w:rPr>
      <w:rFonts w:ascii="Cambria" w:hAnsi="Cambria" w:eastAsia="仿宋_GB2312" w:cs="Times New Roman"/>
      <w:bCs/>
      <w:color w:val="auto"/>
      <w:sz w:val="24"/>
      <w:szCs w:val="32"/>
    </w:rPr>
  </w:style>
  <w:style w:type="paragraph" w:styleId="27">
    <w:name w:val="annotation subject"/>
    <w:basedOn w:val="9"/>
    <w:next w:val="9"/>
    <w:link w:val="61"/>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rPr>
  </w:style>
  <w:style w:type="character" w:styleId="32">
    <w:name w:val="page number"/>
    <w:basedOn w:val="30"/>
    <w:qFormat/>
    <w:uiPriority w:val="99"/>
    <w:rPr>
      <w:rFonts w:cs="Times New Roman"/>
    </w:rPr>
  </w:style>
  <w:style w:type="character" w:styleId="33">
    <w:name w:val="FollowedHyperlink"/>
    <w:basedOn w:val="30"/>
    <w:semiHidden/>
    <w:unhideWhenUsed/>
    <w:qFormat/>
    <w:uiPriority w:val="99"/>
    <w:rPr>
      <w:color w:val="800080"/>
      <w:u w:val="single"/>
    </w:rPr>
  </w:style>
  <w:style w:type="character" w:styleId="34">
    <w:name w:val="HTML Definition"/>
    <w:basedOn w:val="30"/>
    <w:semiHidden/>
    <w:unhideWhenUsed/>
    <w:uiPriority w:val="99"/>
  </w:style>
  <w:style w:type="character" w:styleId="35">
    <w:name w:val="HTML Variable"/>
    <w:basedOn w:val="30"/>
    <w:semiHidden/>
    <w:unhideWhenUsed/>
    <w:uiPriority w:val="99"/>
  </w:style>
  <w:style w:type="character" w:styleId="36">
    <w:name w:val="Hyperlink"/>
    <w:basedOn w:val="30"/>
    <w:unhideWhenUsed/>
    <w:qFormat/>
    <w:uiPriority w:val="99"/>
    <w:rPr>
      <w:color w:val="0563C1" w:themeColor="hyperlink"/>
      <w:u w:val="single"/>
      <w14:textFill>
        <w14:solidFill>
          <w14:schemeClr w14:val="hlink"/>
        </w14:solidFill>
      </w14:textFill>
    </w:rPr>
  </w:style>
  <w:style w:type="character" w:styleId="37">
    <w:name w:val="HTML Code"/>
    <w:basedOn w:val="30"/>
    <w:semiHidden/>
    <w:unhideWhenUsed/>
    <w:uiPriority w:val="99"/>
    <w:rPr>
      <w:rFonts w:ascii="Courier New" w:hAnsi="Courier New"/>
      <w:sz w:val="20"/>
    </w:rPr>
  </w:style>
  <w:style w:type="character" w:styleId="38">
    <w:name w:val="annotation reference"/>
    <w:basedOn w:val="30"/>
    <w:semiHidden/>
    <w:unhideWhenUsed/>
    <w:qFormat/>
    <w:uiPriority w:val="99"/>
    <w:rPr>
      <w:sz w:val="21"/>
      <w:szCs w:val="21"/>
    </w:rPr>
  </w:style>
  <w:style w:type="character" w:styleId="39">
    <w:name w:val="HTML Cite"/>
    <w:basedOn w:val="30"/>
    <w:semiHidden/>
    <w:unhideWhenUsed/>
    <w:uiPriority w:val="99"/>
  </w:style>
  <w:style w:type="character" w:customStyle="1" w:styleId="40">
    <w:name w:val="标题 1 字符"/>
    <w:basedOn w:val="30"/>
    <w:link w:val="3"/>
    <w:qFormat/>
    <w:uiPriority w:val="0"/>
    <w:rPr>
      <w:rFonts w:eastAsia="黑体" w:asciiTheme="minorHAnsi" w:hAnsiTheme="minorHAnsi" w:cstheme="minorBidi"/>
      <w:b/>
      <w:bCs/>
      <w:color w:val="auto"/>
      <w:kern w:val="44"/>
      <w:sz w:val="32"/>
      <w:szCs w:val="44"/>
    </w:rPr>
  </w:style>
  <w:style w:type="character" w:customStyle="1" w:styleId="41">
    <w:name w:val="标题 3 字符"/>
    <w:basedOn w:val="30"/>
    <w:link w:val="5"/>
    <w:semiHidden/>
    <w:qFormat/>
    <w:uiPriority w:val="9"/>
    <w:rPr>
      <w:rFonts w:eastAsia="仿宋"/>
      <w:b/>
      <w:bCs/>
      <w:sz w:val="32"/>
      <w:szCs w:val="32"/>
    </w:rPr>
  </w:style>
  <w:style w:type="character" w:customStyle="1" w:styleId="42">
    <w:name w:val="标题 2 字符"/>
    <w:basedOn w:val="30"/>
    <w:link w:val="4"/>
    <w:qFormat/>
    <w:uiPriority w:val="9"/>
    <w:rPr>
      <w:rFonts w:asciiTheme="majorHAnsi" w:hAnsiTheme="majorHAnsi" w:eastAsiaTheme="majorEastAsia" w:cstheme="majorBidi"/>
      <w:b/>
      <w:bCs/>
      <w:color w:val="auto"/>
      <w:sz w:val="32"/>
      <w:szCs w:val="32"/>
    </w:rPr>
  </w:style>
  <w:style w:type="character" w:customStyle="1" w:styleId="43">
    <w:name w:val="文档结构图 字符"/>
    <w:basedOn w:val="30"/>
    <w:link w:val="8"/>
    <w:qFormat/>
    <w:uiPriority w:val="0"/>
    <w:rPr>
      <w:rFonts w:ascii="宋体"/>
      <w:sz w:val="18"/>
      <w:szCs w:val="18"/>
    </w:rPr>
  </w:style>
  <w:style w:type="character" w:customStyle="1" w:styleId="44">
    <w:name w:val="批注框文本 字符"/>
    <w:basedOn w:val="30"/>
    <w:link w:val="15"/>
    <w:qFormat/>
    <w:uiPriority w:val="0"/>
    <w:rPr>
      <w:sz w:val="18"/>
      <w:szCs w:val="18"/>
    </w:rPr>
  </w:style>
  <w:style w:type="character" w:customStyle="1" w:styleId="45">
    <w:name w:val="页脚 字符"/>
    <w:basedOn w:val="30"/>
    <w:link w:val="16"/>
    <w:qFormat/>
    <w:uiPriority w:val="99"/>
    <w:rPr>
      <w:sz w:val="18"/>
      <w:szCs w:val="18"/>
    </w:rPr>
  </w:style>
  <w:style w:type="character" w:customStyle="1" w:styleId="46">
    <w:name w:val="页眉 字符"/>
    <w:basedOn w:val="30"/>
    <w:link w:val="17"/>
    <w:qFormat/>
    <w:uiPriority w:val="99"/>
    <w:rPr>
      <w:sz w:val="18"/>
      <w:szCs w:val="18"/>
    </w:rPr>
  </w:style>
  <w:style w:type="character" w:customStyle="1" w:styleId="47">
    <w:name w:val="HTML 预设格式 字符"/>
    <w:basedOn w:val="30"/>
    <w:link w:val="24"/>
    <w:qFormat/>
    <w:uiPriority w:val="99"/>
    <w:rPr>
      <w:rFonts w:ascii="宋体" w:hAnsi="宋体"/>
      <w:color w:val="auto"/>
      <w:kern w:val="0"/>
      <w:sz w:val="24"/>
      <w:szCs w:val="24"/>
    </w:rPr>
  </w:style>
  <w:style w:type="character" w:customStyle="1" w:styleId="48">
    <w:name w:val="标题 字符"/>
    <w:basedOn w:val="30"/>
    <w:link w:val="26"/>
    <w:qFormat/>
    <w:uiPriority w:val="10"/>
    <w:rPr>
      <w:rFonts w:ascii="Cambria" w:hAnsi="Cambria" w:eastAsia="仿宋_GB2312" w:cs="Times New Roman"/>
      <w:bCs/>
      <w:color w:val="auto"/>
      <w:sz w:val="24"/>
      <w:szCs w:val="32"/>
    </w:rPr>
  </w:style>
  <w:style w:type="paragraph" w:styleId="49">
    <w:name w:val="List Paragraph"/>
    <w:basedOn w:val="1"/>
    <w:qFormat/>
    <w:uiPriority w:val="34"/>
    <w:pPr>
      <w:ind w:firstLine="420"/>
    </w:pPr>
    <w:rPr>
      <w:rFonts w:cstheme="minorBidi"/>
      <w:color w:val="auto"/>
      <w:szCs w:val="22"/>
    </w:rPr>
  </w:style>
  <w:style w:type="paragraph" w:customStyle="1" w:styleId="50">
    <w:name w:val="列出段落5"/>
    <w:basedOn w:val="1"/>
    <w:qFormat/>
    <w:uiPriority w:val="0"/>
    <w:pPr>
      <w:ind w:firstLine="420"/>
    </w:pPr>
    <w:rPr>
      <w:rFonts w:ascii="Calibri" w:hAnsi="Calibri"/>
      <w:color w:val="auto"/>
      <w:sz w:val="21"/>
      <w:szCs w:val="21"/>
    </w:rPr>
  </w:style>
  <w:style w:type="paragraph" w:customStyle="1" w:styleId="51">
    <w:name w:val="列出段落2"/>
    <w:basedOn w:val="1"/>
    <w:qFormat/>
    <w:uiPriority w:val="99"/>
    <w:pPr>
      <w:ind w:firstLine="420"/>
    </w:pPr>
    <w:rPr>
      <w:rFonts w:ascii="Calibri" w:hAnsi="Calibri"/>
      <w:color w:val="auto"/>
      <w:sz w:val="21"/>
      <w:szCs w:val="21"/>
    </w:rPr>
  </w:style>
  <w:style w:type="paragraph" w:customStyle="1" w:styleId="52">
    <w:name w:val="列出段落3"/>
    <w:basedOn w:val="1"/>
    <w:qFormat/>
    <w:uiPriority w:val="0"/>
    <w:pPr>
      <w:spacing w:line="360" w:lineRule="auto"/>
      <w:ind w:firstLine="420"/>
    </w:pPr>
    <w:rPr>
      <w:rFonts w:eastAsia="仿宋_GB2312" w:cs="Times New Roman"/>
      <w:color w:val="auto"/>
      <w:sz w:val="24"/>
      <w:szCs w:val="24"/>
    </w:rPr>
  </w:style>
  <w:style w:type="paragraph" w:customStyle="1" w:styleId="53">
    <w:name w:val="WPSOffice手动目录 1"/>
    <w:qFormat/>
    <w:uiPriority w:val="0"/>
    <w:rPr>
      <w:rFonts w:ascii="Calibri" w:hAnsi="Calibri" w:eastAsia="宋体" w:cs="Times New Roman"/>
      <w:lang w:val="en-US" w:eastAsia="zh-CN" w:bidi="ar-SA"/>
    </w:rPr>
  </w:style>
  <w:style w:type="paragraph" w:customStyle="1" w:styleId="54">
    <w:name w:val="WPSOffice手动目录 2"/>
    <w:qFormat/>
    <w:uiPriority w:val="0"/>
    <w:pPr>
      <w:ind w:left="200" w:leftChars="200"/>
    </w:pPr>
    <w:rPr>
      <w:rFonts w:ascii="Calibri" w:hAnsi="Calibri" w:eastAsia="宋体" w:cs="Times New Roman"/>
      <w:lang w:val="en-US" w:eastAsia="zh-CN" w:bidi="ar-SA"/>
    </w:rPr>
  </w:style>
  <w:style w:type="paragraph" w:customStyle="1" w:styleId="55">
    <w:name w:val="WPSOffice手动目录 3"/>
    <w:qFormat/>
    <w:uiPriority w:val="0"/>
    <w:pPr>
      <w:ind w:left="400" w:leftChars="400"/>
    </w:pPr>
    <w:rPr>
      <w:rFonts w:ascii="Calibri" w:hAnsi="Calibri" w:eastAsia="宋体" w:cs="Times New Roman"/>
      <w:lang w:val="en-US" w:eastAsia="zh-CN" w:bidi="ar-SA"/>
    </w:rPr>
  </w:style>
  <w:style w:type="character" w:customStyle="1" w:styleId="56">
    <w:name w:val="批注文字 字符"/>
    <w:link w:val="9"/>
    <w:qFormat/>
    <w:uiPriority w:val="0"/>
    <w:rPr>
      <w:rFonts w:ascii="等线" w:hAnsi="等线" w:eastAsia="仿宋_GB2312"/>
      <w:kern w:val="2"/>
      <w:sz w:val="24"/>
      <w:szCs w:val="24"/>
    </w:rPr>
  </w:style>
  <w:style w:type="character" w:customStyle="1" w:styleId="57">
    <w:name w:val="批注文字 Char"/>
    <w:basedOn w:val="30"/>
    <w:qFormat/>
    <w:uiPriority w:val="99"/>
    <w:rPr>
      <w:rFonts w:cs="宋体"/>
      <w:color w:val="000000"/>
      <w:kern w:val="2"/>
      <w:sz w:val="28"/>
      <w:szCs w:val="28"/>
    </w:rPr>
  </w:style>
  <w:style w:type="character" w:customStyle="1" w:styleId="58">
    <w:name w:val="正文文本缩进 字符"/>
    <w:basedOn w:val="30"/>
    <w:link w:val="10"/>
    <w:qFormat/>
    <w:uiPriority w:val="99"/>
    <w:rPr>
      <w:rFonts w:ascii="等线" w:hAnsi="等线" w:eastAsia="仿宋_GB2312"/>
      <w:kern w:val="2"/>
      <w:sz w:val="32"/>
      <w:szCs w:val="24"/>
    </w:rPr>
  </w:style>
  <w:style w:type="character" w:customStyle="1" w:styleId="59">
    <w:name w:val="日期 字符"/>
    <w:basedOn w:val="30"/>
    <w:link w:val="14"/>
    <w:qFormat/>
    <w:uiPriority w:val="99"/>
    <w:rPr>
      <w:rFonts w:ascii="等线" w:hAnsi="等线" w:eastAsia="仿宋_GB2312"/>
      <w:kern w:val="2"/>
      <w:sz w:val="24"/>
      <w:szCs w:val="24"/>
    </w:rPr>
  </w:style>
  <w:style w:type="character" w:customStyle="1" w:styleId="60">
    <w:name w:val="副标题 字符"/>
    <w:basedOn w:val="30"/>
    <w:link w:val="20"/>
    <w:qFormat/>
    <w:uiPriority w:val="11"/>
    <w:rPr>
      <w:rFonts w:ascii="Cambria" w:hAnsi="Cambria" w:eastAsia="等线"/>
      <w:b/>
      <w:bCs/>
      <w:kern w:val="28"/>
      <w:szCs w:val="32"/>
    </w:rPr>
  </w:style>
  <w:style w:type="character" w:customStyle="1" w:styleId="61">
    <w:name w:val="批注主题 字符"/>
    <w:basedOn w:val="56"/>
    <w:link w:val="27"/>
    <w:semiHidden/>
    <w:qFormat/>
    <w:uiPriority w:val="99"/>
    <w:rPr>
      <w:rFonts w:ascii="等线" w:hAnsi="等线" w:eastAsia="仿宋_GB2312"/>
      <w:b/>
      <w:bCs/>
      <w:kern w:val="2"/>
      <w:sz w:val="24"/>
      <w:szCs w:val="24"/>
    </w:rPr>
  </w:style>
  <w:style w:type="character" w:customStyle="1" w:styleId="62">
    <w:name w:val="批注主题 Char"/>
    <w:basedOn w:val="57"/>
    <w:link w:val="63"/>
    <w:qFormat/>
    <w:uiPriority w:val="0"/>
    <w:rPr>
      <w:rFonts w:cs="宋体"/>
      <w:b/>
      <w:bCs/>
      <w:color w:val="000000"/>
      <w:kern w:val="2"/>
      <w:sz w:val="28"/>
      <w:szCs w:val="28"/>
    </w:rPr>
  </w:style>
  <w:style w:type="paragraph" w:customStyle="1" w:styleId="63">
    <w:name w:val="批注主题1"/>
    <w:basedOn w:val="9"/>
    <w:next w:val="9"/>
    <w:link w:val="62"/>
    <w:qFormat/>
    <w:uiPriority w:val="0"/>
    <w:rPr>
      <w:rFonts w:ascii="Times New Roman" w:hAnsi="Times New Roman" w:eastAsia="宋体" w:cs="宋体"/>
      <w:b/>
      <w:bCs/>
      <w:color w:val="000000"/>
      <w:sz w:val="28"/>
      <w:szCs w:val="28"/>
    </w:rPr>
  </w:style>
  <w:style w:type="character" w:customStyle="1" w:styleId="64">
    <w:name w:val="apple-converted-space"/>
    <w:basedOn w:val="30"/>
    <w:qFormat/>
    <w:uiPriority w:val="0"/>
  </w:style>
  <w:style w:type="character" w:customStyle="1" w:styleId="65">
    <w:name w:val="页码1"/>
    <w:basedOn w:val="30"/>
    <w:qFormat/>
    <w:uiPriority w:val="0"/>
  </w:style>
  <w:style w:type="character" w:customStyle="1" w:styleId="66">
    <w:name w:val="批注引用1"/>
    <w:qFormat/>
    <w:uiPriority w:val="0"/>
    <w:rPr>
      <w:sz w:val="21"/>
      <w:szCs w:val="21"/>
    </w:rPr>
  </w:style>
  <w:style w:type="paragraph" w:customStyle="1" w:styleId="67">
    <w:name w:val="文档结构图1"/>
    <w:basedOn w:val="1"/>
    <w:qFormat/>
    <w:uiPriority w:val="0"/>
    <w:pPr>
      <w:spacing w:line="360" w:lineRule="auto"/>
      <w:ind w:firstLine="200"/>
    </w:pPr>
    <w:rPr>
      <w:rFonts w:ascii="宋体" w:hAnsi="等线" w:eastAsia="等线" w:cs="Times New Roman"/>
      <w:color w:val="auto"/>
      <w:sz w:val="18"/>
      <w:szCs w:val="18"/>
    </w:rPr>
  </w:style>
  <w:style w:type="paragraph" w:customStyle="1" w:styleId="68">
    <w:name w:val="_Style 1"/>
    <w:basedOn w:val="1"/>
    <w:qFormat/>
    <w:uiPriority w:val="0"/>
    <w:pPr>
      <w:spacing w:line="360" w:lineRule="auto"/>
      <w:ind w:firstLine="200"/>
    </w:pPr>
    <w:rPr>
      <w:rFonts w:ascii="等线" w:hAnsi="等线" w:cs="Times New Roman"/>
      <w:color w:val="auto"/>
      <w:sz w:val="21"/>
      <w:szCs w:val="24"/>
    </w:rPr>
  </w:style>
  <w:style w:type="paragraph" w:customStyle="1" w:styleId="69">
    <w:name w:val="p16"/>
    <w:basedOn w:val="1"/>
    <w:qFormat/>
    <w:uiPriority w:val="0"/>
    <w:pPr>
      <w:widowControl/>
      <w:ind w:firstLine="420"/>
    </w:pPr>
    <w:rPr>
      <w:rFonts w:ascii="Calibri" w:hAnsi="Calibri"/>
      <w:color w:val="auto"/>
      <w:kern w:val="0"/>
      <w:sz w:val="21"/>
      <w:szCs w:val="21"/>
    </w:rPr>
  </w:style>
  <w:style w:type="paragraph" w:customStyle="1" w:styleId="70">
    <w:name w:val="日期1"/>
    <w:basedOn w:val="1"/>
    <w:next w:val="1"/>
    <w:qFormat/>
    <w:uiPriority w:val="0"/>
    <w:pPr>
      <w:spacing w:line="360" w:lineRule="auto"/>
      <w:ind w:left="100" w:leftChars="2500" w:firstLine="200"/>
    </w:pPr>
    <w:rPr>
      <w:rFonts w:ascii="等线" w:hAnsi="等线" w:cs="Times New Roman"/>
      <w:color w:val="auto"/>
      <w:sz w:val="21"/>
      <w:szCs w:val="24"/>
    </w:rPr>
  </w:style>
  <w:style w:type="paragraph" w:customStyle="1" w:styleId="71">
    <w:name w:val="列出段落4"/>
    <w:basedOn w:val="1"/>
    <w:qFormat/>
    <w:uiPriority w:val="0"/>
    <w:pPr>
      <w:ind w:firstLine="420"/>
    </w:pPr>
    <w:rPr>
      <w:rFonts w:ascii="Calibri" w:hAnsi="Calibri"/>
      <w:color w:val="auto"/>
      <w:sz w:val="21"/>
      <w:szCs w:val="21"/>
    </w:rPr>
  </w:style>
  <w:style w:type="paragraph" w:customStyle="1" w:styleId="72">
    <w:name w:val="无间隔1"/>
    <w:qFormat/>
    <w:uiPriority w:val="0"/>
    <w:pPr>
      <w:widowControl w:val="0"/>
      <w:spacing w:line="360" w:lineRule="auto"/>
      <w:ind w:firstLine="200" w:firstLineChars="200"/>
      <w:outlineLvl w:val="2"/>
    </w:pPr>
    <w:rPr>
      <w:rFonts w:ascii="等线" w:hAnsi="等线" w:eastAsia="仿宋_GB2312" w:cs="Times New Roman"/>
      <w:kern w:val="2"/>
      <w:sz w:val="24"/>
      <w:szCs w:val="24"/>
      <w:lang w:val="en-US" w:eastAsia="zh-CN" w:bidi="ar-SA"/>
    </w:rPr>
  </w:style>
  <w:style w:type="paragraph" w:customStyle="1" w:styleId="73">
    <w:name w:val="修订11"/>
    <w:qFormat/>
    <w:uiPriority w:val="0"/>
    <w:rPr>
      <w:rFonts w:ascii="等线" w:hAnsi="等线" w:eastAsia="仿宋_GB2312" w:cs="Times New Roman"/>
      <w:kern w:val="2"/>
      <w:sz w:val="24"/>
      <w:szCs w:val="24"/>
      <w:lang w:val="en-US" w:eastAsia="zh-CN" w:bidi="ar-SA"/>
    </w:rPr>
  </w:style>
  <w:style w:type="paragraph" w:customStyle="1" w:styleId="74">
    <w:name w:val="reader-word-layer"/>
    <w:basedOn w:val="1"/>
    <w:qFormat/>
    <w:uiPriority w:val="0"/>
    <w:pPr>
      <w:widowControl/>
      <w:spacing w:before="100" w:beforeAutospacing="1" w:after="100" w:afterAutospacing="1"/>
      <w:jc w:val="left"/>
    </w:pPr>
    <w:rPr>
      <w:rFonts w:ascii="宋体" w:hAnsi="宋体"/>
      <w:color w:val="auto"/>
      <w:kern w:val="0"/>
      <w:sz w:val="24"/>
      <w:szCs w:val="24"/>
    </w:rPr>
  </w:style>
  <w:style w:type="paragraph" w:customStyle="1" w:styleId="75">
    <w:name w:val="TOC 标题1"/>
    <w:basedOn w:val="3"/>
    <w:next w:val="1"/>
    <w:qFormat/>
    <w:uiPriority w:val="0"/>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paragraph" w:customStyle="1" w:styleId="76">
    <w:name w:val="列出段落1"/>
    <w:basedOn w:val="1"/>
    <w:qFormat/>
    <w:uiPriority w:val="0"/>
    <w:pPr>
      <w:spacing w:line="360" w:lineRule="auto"/>
      <w:ind w:firstLine="420"/>
    </w:pPr>
    <w:rPr>
      <w:rFonts w:ascii="等线" w:hAnsi="等线" w:eastAsia="仿宋_GB2312" w:cs="Times New Roman"/>
      <w:color w:val="auto"/>
      <w:sz w:val="24"/>
      <w:szCs w:val="24"/>
    </w:rPr>
  </w:style>
  <w:style w:type="paragraph" w:customStyle="1" w:styleId="77">
    <w:name w:val="TOC 标题2"/>
    <w:basedOn w:val="3"/>
    <w:next w:val="1"/>
    <w:unhideWhenUsed/>
    <w:qFormat/>
    <w:uiPriority w:val="39"/>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character" w:customStyle="1" w:styleId="78">
    <w:name w:val="Body text|1_"/>
    <w:basedOn w:val="30"/>
    <w:link w:val="79"/>
    <w:qFormat/>
    <w:uiPriority w:val="0"/>
    <w:rPr>
      <w:rFonts w:ascii="宋体" w:hAnsi="宋体" w:cs="宋体"/>
      <w:sz w:val="28"/>
      <w:szCs w:val="28"/>
      <w:lang w:val="zh-TW" w:eastAsia="zh-TW" w:bidi="zh-TW"/>
    </w:rPr>
  </w:style>
  <w:style w:type="paragraph" w:customStyle="1" w:styleId="79">
    <w:name w:val="Body text|1"/>
    <w:basedOn w:val="1"/>
    <w:link w:val="78"/>
    <w:qFormat/>
    <w:uiPriority w:val="0"/>
    <w:pPr>
      <w:spacing w:line="406" w:lineRule="auto"/>
      <w:ind w:firstLine="400"/>
      <w:jc w:val="left"/>
    </w:pPr>
    <w:rPr>
      <w:rFonts w:ascii="宋体" w:hAnsi="宋体"/>
      <w:color w:val="auto"/>
      <w:kern w:val="0"/>
      <w:lang w:val="zh-TW" w:eastAsia="zh-TW" w:bidi="zh-TW"/>
    </w:rPr>
  </w:style>
  <w:style w:type="paragraph" w:customStyle="1" w:styleId="80">
    <w:name w:val="font5"/>
    <w:basedOn w:val="1"/>
    <w:qFormat/>
    <w:uiPriority w:val="0"/>
    <w:pPr>
      <w:widowControl/>
      <w:spacing w:before="100" w:beforeAutospacing="1" w:after="100" w:afterAutospacing="1"/>
      <w:jc w:val="left"/>
    </w:pPr>
    <w:rPr>
      <w:rFonts w:ascii="宋体" w:hAnsi="宋体"/>
      <w:color w:val="auto"/>
      <w:kern w:val="0"/>
      <w:sz w:val="18"/>
      <w:szCs w:val="18"/>
    </w:rPr>
  </w:style>
  <w:style w:type="paragraph" w:customStyle="1" w:styleId="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8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8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auto"/>
      <w:kern w:val="0"/>
      <w:sz w:val="24"/>
      <w:szCs w:val="24"/>
    </w:rPr>
  </w:style>
  <w:style w:type="paragraph" w:customStyle="1" w:styleId="84">
    <w:name w:val="xl80"/>
    <w:basedOn w:val="1"/>
    <w:qFormat/>
    <w:uiPriority w:val="0"/>
    <w:pPr>
      <w:widowControl/>
      <w:spacing w:before="100" w:beforeAutospacing="1" w:after="100" w:afterAutospacing="1"/>
      <w:jc w:val="center"/>
      <w:textAlignment w:val="center"/>
    </w:pPr>
    <w:rPr>
      <w:rFonts w:ascii="宋体" w:hAnsi="宋体"/>
      <w:color w:val="auto"/>
      <w:kern w:val="0"/>
      <w:sz w:val="24"/>
      <w:szCs w:val="24"/>
    </w:rPr>
  </w:style>
  <w:style w:type="paragraph" w:customStyle="1" w:styleId="85">
    <w:name w:val="font6"/>
    <w:basedOn w:val="1"/>
    <w:qFormat/>
    <w:uiPriority w:val="0"/>
    <w:pPr>
      <w:widowControl/>
      <w:spacing w:before="100" w:beforeAutospacing="1" w:after="100" w:afterAutospacing="1"/>
      <w:jc w:val="left"/>
    </w:pPr>
    <w:rPr>
      <w:rFonts w:ascii="宋体" w:hAnsi="宋体"/>
      <w:b/>
      <w:bCs/>
      <w:color w:val="auto"/>
      <w:kern w:val="0"/>
      <w:sz w:val="54"/>
      <w:szCs w:val="54"/>
    </w:rPr>
  </w:style>
  <w:style w:type="paragraph" w:customStyle="1" w:styleId="8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auto"/>
      <w:kern w:val="0"/>
      <w:sz w:val="24"/>
      <w:szCs w:val="24"/>
    </w:rPr>
  </w:style>
  <w:style w:type="paragraph" w:customStyle="1" w:styleId="8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auto"/>
      <w:kern w:val="0"/>
      <w:sz w:val="22"/>
      <w:szCs w:val="22"/>
    </w:rPr>
  </w:style>
  <w:style w:type="paragraph" w:customStyle="1" w:styleId="8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auto"/>
      <w:kern w:val="0"/>
      <w:sz w:val="22"/>
      <w:szCs w:val="22"/>
    </w:rPr>
  </w:style>
  <w:style w:type="character" w:customStyle="1" w:styleId="89">
    <w:name w:val="文档结构图 Char1"/>
    <w:semiHidden/>
    <w:qFormat/>
    <w:uiPriority w:val="99"/>
    <w:rPr>
      <w:rFonts w:ascii="宋体"/>
      <w:kern w:val="2"/>
      <w:sz w:val="18"/>
      <w:szCs w:val="18"/>
    </w:rPr>
  </w:style>
  <w:style w:type="paragraph" w:customStyle="1" w:styleId="90">
    <w:name w:val="修订1"/>
    <w:semiHidden/>
    <w:qFormat/>
    <w:uiPriority w:val="99"/>
    <w:rPr>
      <w:rFonts w:ascii="等线" w:hAnsi="等线" w:eastAsia="仿宋_GB2312" w:cs="Times New Roman"/>
      <w:kern w:val="2"/>
      <w:sz w:val="24"/>
      <w:szCs w:val="24"/>
      <w:lang w:val="en-US" w:eastAsia="zh-CN" w:bidi="ar-SA"/>
    </w:rPr>
  </w:style>
  <w:style w:type="character" w:customStyle="1" w:styleId="91">
    <w:name w:val="font41"/>
    <w:basedOn w:val="30"/>
    <w:qFormat/>
    <w:uiPriority w:val="0"/>
    <w:rPr>
      <w:rFonts w:hint="eastAsia" w:ascii="宋体" w:hAnsi="宋体" w:eastAsia="宋体" w:cs="宋体"/>
      <w:color w:val="000000"/>
      <w:sz w:val="20"/>
      <w:szCs w:val="20"/>
      <w:u w:val="none"/>
    </w:rPr>
  </w:style>
  <w:style w:type="character" w:customStyle="1" w:styleId="92">
    <w:name w:val="font11"/>
    <w:basedOn w:val="30"/>
    <w:qFormat/>
    <w:uiPriority w:val="0"/>
    <w:rPr>
      <w:rFonts w:hint="eastAsia" w:ascii="宋体" w:hAnsi="宋体" w:eastAsia="宋体" w:cs="宋体"/>
      <w:color w:val="FF0000"/>
      <w:sz w:val="20"/>
      <w:szCs w:val="20"/>
      <w:u w:val="none"/>
    </w:rPr>
  </w:style>
  <w:style w:type="character" w:customStyle="1" w:styleId="93">
    <w:name w:val="font71"/>
    <w:basedOn w:val="30"/>
    <w:qFormat/>
    <w:uiPriority w:val="0"/>
    <w:rPr>
      <w:rFonts w:hint="eastAsia" w:ascii="仿宋" w:hAnsi="仿宋" w:eastAsia="仿宋" w:cs="仿宋"/>
      <w:color w:val="FF0000"/>
      <w:sz w:val="20"/>
      <w:szCs w:val="20"/>
      <w:u w:val="none"/>
    </w:rPr>
  </w:style>
  <w:style w:type="character" w:customStyle="1" w:styleId="94">
    <w:name w:val="font21"/>
    <w:basedOn w:val="30"/>
    <w:qFormat/>
    <w:uiPriority w:val="0"/>
    <w:rPr>
      <w:rFonts w:hint="eastAsia" w:ascii="仿宋" w:hAnsi="仿宋" w:eastAsia="仿宋" w:cs="仿宋"/>
      <w:color w:val="ED7D31"/>
      <w:sz w:val="20"/>
      <w:szCs w:val="20"/>
      <w:u w:val="none"/>
    </w:rPr>
  </w:style>
  <w:style w:type="character" w:customStyle="1" w:styleId="95">
    <w:name w:val="font51"/>
    <w:basedOn w:val="30"/>
    <w:qFormat/>
    <w:uiPriority w:val="0"/>
    <w:rPr>
      <w:rFonts w:hint="eastAsia" w:ascii="仿宋" w:hAnsi="仿宋" w:eastAsia="仿宋" w:cs="仿宋"/>
      <w:color w:val="000000"/>
      <w:sz w:val="20"/>
      <w:szCs w:val="20"/>
      <w:u w:val="none"/>
    </w:rPr>
  </w:style>
  <w:style w:type="character" w:customStyle="1" w:styleId="96">
    <w:name w:val="font31"/>
    <w:basedOn w:val="30"/>
    <w:qFormat/>
    <w:uiPriority w:val="0"/>
    <w:rPr>
      <w:rFonts w:hint="eastAsia" w:ascii="仿宋" w:hAnsi="仿宋" w:eastAsia="仿宋" w:cs="仿宋"/>
      <w:color w:val="0070C0"/>
      <w:sz w:val="20"/>
      <w:szCs w:val="20"/>
      <w:u w:val="none"/>
    </w:rPr>
  </w:style>
  <w:style w:type="character" w:customStyle="1" w:styleId="97">
    <w:name w:val="font91"/>
    <w:basedOn w:val="30"/>
    <w:qFormat/>
    <w:uiPriority w:val="0"/>
    <w:rPr>
      <w:rFonts w:ascii="Wingdings" w:hAnsi="Wingdings" w:cs="Wingdings"/>
      <w:color w:val="000000"/>
      <w:sz w:val="20"/>
      <w:szCs w:val="20"/>
      <w:u w:val="none"/>
    </w:rPr>
  </w:style>
  <w:style w:type="character" w:customStyle="1" w:styleId="98">
    <w:name w:val="font61"/>
    <w:basedOn w:val="30"/>
    <w:qFormat/>
    <w:uiPriority w:val="0"/>
    <w:rPr>
      <w:rFonts w:hint="eastAsia" w:ascii="仿宋" w:hAnsi="仿宋" w:eastAsia="仿宋" w:cs="仿宋"/>
      <w:color w:val="000000"/>
      <w:sz w:val="20"/>
      <w:szCs w:val="20"/>
      <w:u w:val="none"/>
    </w:rPr>
  </w:style>
  <w:style w:type="character" w:customStyle="1" w:styleId="99">
    <w:name w:val="font81"/>
    <w:basedOn w:val="30"/>
    <w:qFormat/>
    <w:uiPriority w:val="0"/>
    <w:rPr>
      <w:rFonts w:hint="default" w:ascii="Times New Roman" w:hAnsi="Times New Roman" w:cs="Times New Roman"/>
      <w:color w:val="000000"/>
      <w:sz w:val="20"/>
      <w:szCs w:val="20"/>
      <w:u w:val="none"/>
    </w:rPr>
  </w:style>
  <w:style w:type="character" w:customStyle="1" w:styleId="100">
    <w:name w:val="font01"/>
    <w:basedOn w:val="30"/>
    <w:qFormat/>
    <w:uiPriority w:val="0"/>
    <w:rPr>
      <w:rFonts w:hint="eastAsia" w:ascii="宋体" w:hAnsi="宋体" w:eastAsia="宋体" w:cs="宋体"/>
      <w:color w:val="000000"/>
      <w:sz w:val="24"/>
      <w:szCs w:val="24"/>
      <w:u w:val="none"/>
    </w:rPr>
  </w:style>
  <w:style w:type="character" w:customStyle="1" w:styleId="101">
    <w:name w:val="place"/>
    <w:basedOn w:val="30"/>
    <w:qFormat/>
    <w:uiPriority w:val="0"/>
  </w:style>
  <w:style w:type="character" w:customStyle="1" w:styleId="102">
    <w:name w:val="place1"/>
    <w:basedOn w:val="30"/>
    <w:uiPriority w:val="0"/>
    <w:rPr>
      <w:rFonts w:ascii="微软雅黑" w:hAnsi="微软雅黑" w:eastAsia="微软雅黑" w:cs="微软雅黑"/>
      <w:color w:val="888888"/>
      <w:sz w:val="25"/>
      <w:szCs w:val="25"/>
    </w:rPr>
  </w:style>
  <w:style w:type="character" w:customStyle="1" w:styleId="103">
    <w:name w:val="place2"/>
    <w:basedOn w:val="30"/>
    <w:qFormat/>
    <w:uiPriority w:val="0"/>
  </w:style>
  <w:style w:type="character" w:customStyle="1" w:styleId="104">
    <w:name w:val="place3"/>
    <w:basedOn w:val="30"/>
    <w:qFormat/>
    <w:uiPriority w:val="0"/>
  </w:style>
  <w:style w:type="character" w:customStyle="1" w:styleId="105">
    <w:name w:val="laypage_curr"/>
    <w:basedOn w:val="30"/>
    <w:qFormat/>
    <w:uiPriority w:val="0"/>
    <w:rPr>
      <w:color w:val="FFFDF4"/>
      <w:shd w:val="clear" w:fill="0B67A6"/>
    </w:rPr>
  </w:style>
  <w:style w:type="character" w:customStyle="1" w:styleId="106">
    <w:name w:val="font"/>
    <w:basedOn w:val="30"/>
    <w:qFormat/>
    <w:uiPriority w:val="0"/>
  </w:style>
  <w:style w:type="character" w:customStyle="1" w:styleId="107">
    <w:name w:val="font1"/>
    <w:basedOn w:val="30"/>
    <w:uiPriority w:val="0"/>
  </w:style>
  <w:style w:type="character" w:customStyle="1" w:styleId="108">
    <w:name w:val="noline"/>
    <w:basedOn w:val="30"/>
    <w:qFormat/>
    <w:uiPriority w:val="0"/>
  </w:style>
  <w:style w:type="character" w:customStyle="1" w:styleId="109">
    <w:name w:val="hover16"/>
    <w:basedOn w:val="30"/>
    <w:qFormat/>
    <w:uiPriority w:val="0"/>
    <w:rPr>
      <w:color w:val="025291"/>
    </w:rPr>
  </w:style>
  <w:style w:type="character" w:customStyle="1" w:styleId="110">
    <w:name w:val="hover13"/>
    <w:basedOn w:val="30"/>
    <w:qFormat/>
    <w:uiPriority w:val="0"/>
    <w:rPr>
      <w:color w:val="02529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D982-CC96-4AA7-8216-1019302448E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4147</Words>
  <Characters>4500</Characters>
  <Lines>22</Lines>
  <Paragraphs>6</Paragraphs>
  <TotalTime>5</TotalTime>
  <ScaleCrop>false</ScaleCrop>
  <LinksUpToDate>false</LinksUpToDate>
  <CharactersWithSpaces>4597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pc</dc:creator>
  <cp:lastModifiedBy>徐茫茫</cp:lastModifiedBy>
  <cp:lastPrinted>2023-04-25T11:12:00Z</cp:lastPrinted>
  <dcterms:modified xsi:type="dcterms:W3CDTF">2025-02-14T02:36:23Z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5F2BE19DB3CD40A59E3F3BDFBAFD4983</vt:lpwstr>
  </property>
</Properties>
</file>