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themeFill="background1"/>
        <w:spacing w:line="560" w:lineRule="exact"/>
        <w:jc w:val="center"/>
        <w:rPr>
          <w:rFonts w:eastAsia="宋体"/>
          <w:b/>
          <w:sz w:val="36"/>
          <w:szCs w:val="36"/>
        </w:rPr>
      </w:pPr>
      <w:r>
        <w:rPr>
          <w:rFonts w:hint="eastAsia" w:eastAsia="宋体"/>
          <w:b/>
          <w:sz w:val="36"/>
          <w:szCs w:val="36"/>
        </w:rPr>
        <w:t>202</w:t>
      </w:r>
      <w:r>
        <w:rPr>
          <w:rFonts w:eastAsia="宋体"/>
          <w:b/>
          <w:sz w:val="36"/>
          <w:szCs w:val="36"/>
        </w:rPr>
        <w:t>1</w:t>
      </w:r>
      <w:r>
        <w:rPr>
          <w:rFonts w:hint="eastAsia" w:eastAsia="宋体"/>
          <w:b/>
          <w:sz w:val="36"/>
          <w:szCs w:val="36"/>
        </w:rPr>
        <w:t>年度城建（交通）政务服务专项经费项目</w:t>
      </w:r>
    </w:p>
    <w:p>
      <w:pPr>
        <w:shd w:val="clear" w:color="auto" w:fill="FFFFFF" w:themeFill="background1"/>
        <w:spacing w:line="560" w:lineRule="exact"/>
        <w:jc w:val="center"/>
        <w:rPr>
          <w:rFonts w:eastAsia="宋体"/>
          <w:b/>
          <w:sz w:val="36"/>
          <w:szCs w:val="36"/>
        </w:rPr>
      </w:pPr>
      <w:r>
        <w:rPr>
          <w:rFonts w:hint="eastAsia" w:eastAsia="宋体"/>
          <w:b/>
          <w:sz w:val="36"/>
          <w:szCs w:val="36"/>
        </w:rPr>
        <w:t>自评结果</w:t>
      </w:r>
    </w:p>
    <w:p>
      <w:pPr>
        <w:pStyle w:val="8"/>
        <w:shd w:val="clear" w:color="auto" w:fill="FFFFFF" w:themeFill="background1"/>
        <w:spacing w:line="560" w:lineRule="exact"/>
        <w:ind w:firstLine="0" w:firstLineChars="0"/>
        <w:jc w:val="center"/>
        <w:outlineLvl w:val="9"/>
        <w:rPr>
          <w:rFonts w:ascii="楷体" w:hAnsi="楷体" w:eastAsia="楷体" w:cs="楷体"/>
          <w:b/>
          <w:sz w:val="32"/>
        </w:rPr>
      </w:pPr>
      <w:r>
        <w:rPr>
          <w:rFonts w:hint="eastAsia" w:ascii="楷体" w:hAnsi="楷体" w:eastAsia="楷体" w:cs="楷体"/>
          <w:b/>
          <w:sz w:val="32"/>
        </w:rPr>
        <w:t>（缩略版）</w:t>
      </w:r>
    </w:p>
    <w:p>
      <w:pPr>
        <w:pStyle w:val="8"/>
        <w:shd w:val="clear" w:color="auto" w:fill="FFFFFF" w:themeFill="background1"/>
        <w:spacing w:line="560" w:lineRule="exact"/>
        <w:ind w:firstLine="643"/>
        <w:jc w:val="both"/>
        <w:outlineLvl w:val="0"/>
        <w:rPr>
          <w:rFonts w:ascii="Times New Roman" w:hAnsi="Times New Roman" w:eastAsia="黑体"/>
          <w:b/>
          <w:sz w:val="32"/>
        </w:rPr>
      </w:pPr>
      <w:r>
        <w:rPr>
          <w:rFonts w:hint="eastAsia" w:ascii="Times New Roman" w:hAnsi="Times New Roman" w:eastAsia="黑体"/>
          <w:b/>
          <w:sz w:val="32"/>
        </w:rPr>
        <w:t>一、自评结论</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（一）自评得分</w:t>
      </w:r>
    </w:p>
    <w:p>
      <w:pPr>
        <w:widowControl/>
        <w:spacing w:line="560" w:lineRule="exact"/>
        <w:ind w:firstLine="640" w:firstLineChars="200"/>
        <w:rPr>
          <w:rFonts w:eastAsia="仿宋"/>
          <w:sz w:val="32"/>
          <w:szCs w:val="32"/>
        </w:rPr>
      </w:pPr>
      <w:r>
        <w:rPr>
          <w:rFonts w:eastAsia="仿宋"/>
          <w:sz w:val="32"/>
          <w:szCs w:val="32"/>
        </w:rPr>
        <w:t>2021年度</w:t>
      </w:r>
      <w:r>
        <w:rPr>
          <w:rFonts w:hint="eastAsia" w:eastAsia="仿宋"/>
          <w:sz w:val="32"/>
          <w:szCs w:val="32"/>
        </w:rPr>
        <w:t>城建（交通）政务服务专项经费项目</w:t>
      </w:r>
      <w:r>
        <w:rPr>
          <w:rFonts w:eastAsia="仿宋"/>
          <w:sz w:val="32"/>
          <w:szCs w:val="32"/>
        </w:rPr>
        <w:t>绩效评价综合得分为</w:t>
      </w:r>
      <w:r>
        <w:rPr>
          <w:rFonts w:hint="eastAsia" w:eastAsia="仿宋"/>
          <w:sz w:val="32"/>
          <w:szCs w:val="32"/>
        </w:rPr>
        <w:t>9</w:t>
      </w:r>
      <w:r>
        <w:rPr>
          <w:rFonts w:eastAsia="仿宋"/>
          <w:sz w:val="32"/>
          <w:szCs w:val="32"/>
        </w:rPr>
        <w:t>3.85分。</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（二）绩效目标完成情况</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 xml:space="preserve"> </w:t>
      </w:r>
      <w:r>
        <w:rPr>
          <w:rFonts w:eastAsia="仿宋"/>
          <w:sz w:val="32"/>
          <w:szCs w:val="32"/>
        </w:rPr>
        <w:t>执行率情况。2021年度</w:t>
      </w:r>
      <w:r>
        <w:rPr>
          <w:rFonts w:hint="eastAsia" w:eastAsia="仿宋"/>
          <w:sz w:val="32"/>
          <w:szCs w:val="32"/>
        </w:rPr>
        <w:t>本项目</w:t>
      </w:r>
      <w:r>
        <w:rPr>
          <w:rFonts w:eastAsia="仿宋"/>
          <w:sz w:val="32"/>
          <w:szCs w:val="32"/>
        </w:rPr>
        <w:t>预算</w:t>
      </w:r>
      <w:r>
        <w:rPr>
          <w:rFonts w:hint="eastAsia" w:eastAsia="仿宋"/>
          <w:sz w:val="32"/>
          <w:szCs w:val="32"/>
        </w:rPr>
        <w:t>批复</w:t>
      </w:r>
      <w:r>
        <w:rPr>
          <w:rFonts w:eastAsia="仿宋"/>
          <w:sz w:val="32"/>
          <w:szCs w:val="32"/>
        </w:rPr>
        <w:t>1134</w:t>
      </w:r>
      <w:r>
        <w:rPr>
          <w:rFonts w:hint="eastAsia" w:eastAsia="仿宋"/>
          <w:sz w:val="32"/>
          <w:szCs w:val="32"/>
        </w:rPr>
        <w:t>.00</w:t>
      </w:r>
      <w:r>
        <w:rPr>
          <w:rFonts w:eastAsia="仿宋"/>
          <w:sz w:val="32"/>
          <w:szCs w:val="32"/>
        </w:rPr>
        <w:t>万元</w:t>
      </w:r>
      <w:r>
        <w:rPr>
          <w:rFonts w:hint="eastAsia" w:eastAsia="仿宋"/>
          <w:sz w:val="32"/>
          <w:szCs w:val="32"/>
        </w:rPr>
        <w:t>，</w:t>
      </w:r>
      <w:r>
        <w:rPr>
          <w:rFonts w:eastAsia="仿宋"/>
          <w:sz w:val="32"/>
          <w:szCs w:val="32"/>
        </w:rPr>
        <w:t>执行数965.54万元，预算执行率85.15</w:t>
      </w:r>
      <w:r>
        <w:rPr>
          <w:rFonts w:hint="eastAsia" w:eastAsia="仿宋"/>
          <w:sz w:val="32"/>
          <w:szCs w:val="32"/>
        </w:rPr>
        <w:t>%</w:t>
      </w:r>
      <w:r>
        <w:rPr>
          <w:rFonts w:eastAsia="仿宋"/>
          <w:sz w:val="32"/>
          <w:szCs w:val="32"/>
        </w:rPr>
        <w:t>。</w:t>
      </w:r>
    </w:p>
    <w:p>
      <w:pPr>
        <w:widowControl/>
        <w:spacing w:line="560" w:lineRule="exact"/>
        <w:ind w:firstLine="640" w:firstLineChars="200"/>
        <w:rPr>
          <w:rFonts w:eastAsia="仿宋"/>
          <w:sz w:val="32"/>
          <w:szCs w:val="32"/>
        </w:rPr>
      </w:pPr>
      <w:r>
        <w:rPr>
          <w:rFonts w:eastAsia="仿宋"/>
          <w:sz w:val="32"/>
          <w:szCs w:val="32"/>
        </w:rPr>
        <w:t>2.</w:t>
      </w:r>
      <w:r>
        <w:rPr>
          <w:rFonts w:hint="eastAsia" w:eastAsia="仿宋"/>
          <w:sz w:val="32"/>
          <w:szCs w:val="32"/>
        </w:rPr>
        <w:t xml:space="preserve"> </w:t>
      </w:r>
      <w:r>
        <w:rPr>
          <w:rFonts w:eastAsia="仿宋"/>
          <w:sz w:val="32"/>
          <w:szCs w:val="32"/>
        </w:rPr>
        <w:t>完成的绩效目标。项目共设置8个绩效指标，完成了6个。资金使用规范，项目产出较好，并取得了较好的社会效益</w:t>
      </w:r>
      <w:r>
        <w:rPr>
          <w:rFonts w:hint="eastAsia" w:eastAsia="仿宋"/>
          <w:sz w:val="32"/>
          <w:szCs w:val="32"/>
        </w:rPr>
        <w:t>。</w:t>
      </w:r>
    </w:p>
    <w:p>
      <w:pPr>
        <w:widowControl/>
        <w:spacing w:line="560" w:lineRule="exact"/>
        <w:ind w:firstLine="640" w:firstLineChars="200"/>
        <w:rPr>
          <w:rFonts w:eastAsia="仿宋"/>
          <w:sz w:val="32"/>
          <w:szCs w:val="32"/>
        </w:rPr>
      </w:pPr>
      <w:r>
        <w:rPr>
          <w:rFonts w:eastAsia="仿宋"/>
          <w:sz w:val="32"/>
          <w:szCs w:val="32"/>
        </w:rPr>
        <w:t>3.</w:t>
      </w:r>
      <w:r>
        <w:rPr>
          <w:rFonts w:hint="eastAsia" w:eastAsia="仿宋"/>
          <w:sz w:val="32"/>
          <w:szCs w:val="32"/>
        </w:rPr>
        <w:t xml:space="preserve"> </w:t>
      </w:r>
      <w:r>
        <w:rPr>
          <w:rFonts w:eastAsia="仿宋"/>
          <w:sz w:val="32"/>
          <w:szCs w:val="32"/>
        </w:rPr>
        <w:t>未完成的绩效目标。</w:t>
      </w:r>
      <w:r>
        <w:rPr>
          <w:rFonts w:hint="eastAsia" w:eastAsia="仿宋"/>
          <w:sz w:val="32"/>
          <w:szCs w:val="32"/>
        </w:rPr>
        <w:t>“借用、聘用人员出勤到位数”年度目标值为“</w:t>
      </w:r>
      <w:r>
        <w:rPr>
          <w:rFonts w:eastAsia="仿宋"/>
          <w:sz w:val="32"/>
          <w:szCs w:val="32"/>
        </w:rPr>
        <w:t>95</w:t>
      </w:r>
      <w:r>
        <w:rPr>
          <w:rFonts w:hint="eastAsia" w:eastAsia="仿宋"/>
          <w:sz w:val="32"/>
          <w:szCs w:val="32"/>
        </w:rPr>
        <w:t>人”，实际完成值为“</w:t>
      </w:r>
      <w:r>
        <w:rPr>
          <w:rFonts w:eastAsia="仿宋"/>
          <w:sz w:val="32"/>
          <w:szCs w:val="32"/>
        </w:rPr>
        <w:t>81</w:t>
      </w:r>
      <w:r>
        <w:rPr>
          <w:rFonts w:hint="eastAsia" w:eastAsia="仿宋"/>
          <w:sz w:val="32"/>
          <w:szCs w:val="32"/>
        </w:rPr>
        <w:t>人”；“绩效考核频率”年度目标值为“1次/月”， 2021年政务服务外包项目用工单位对服务人员每月考核一次，年终考核一次；车都置业、车都建发借用人员每半年考核一次，年终考核一次，部分完成目标。</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（三）存在的问题和原因</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上年度绩效评价结果应用情况</w:t>
      </w:r>
    </w:p>
    <w:p>
      <w:pPr>
        <w:widowControl/>
        <w:spacing w:line="560" w:lineRule="exact"/>
        <w:ind w:firstLine="640" w:firstLineChars="200"/>
        <w:rPr>
          <w:rFonts w:eastAsia="仿宋"/>
          <w:sz w:val="32"/>
          <w:szCs w:val="32"/>
        </w:rPr>
      </w:pPr>
      <w:r>
        <w:rPr>
          <w:rFonts w:hint="eastAsia" w:eastAsia="仿宋"/>
          <w:sz w:val="32"/>
          <w:szCs w:val="32"/>
        </w:rPr>
        <w:t>本项目上年度实施了绩效自评并形成了项目自评表及项目自评报告。通过上年度的绩效自评工作，规范了绩效指标的“指标内容”和“指标值”填写，例如，数量指标的指标内容表述为“绩效考核频率”，明确、量化指标内容。上年度所有指标的指标值笼统地设置为95%，本年度指标的指标值与各项指标内容相结合，体现各项指标的实际工作目标。</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 xml:space="preserve">2. 本年度绩效存在的问题和原因                                                                                                                               </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项目人员流动频繁。政务外包服务项目预算73个岗位，平均每月到岗人员68人；车都借用人员置业公司借用8人，实到岗6人，2人流失（考公务员）；建发公司借用14人，由于职能划转借用人员转重点办、发改局，部分人员辞职流失7人，实到岗7人。</w:t>
      </w:r>
    </w:p>
    <w:p>
      <w:pPr>
        <w:widowControl/>
        <w:spacing w:line="560" w:lineRule="exact"/>
        <w:ind w:firstLine="640" w:firstLineChars="200"/>
        <w:rPr>
          <w:rFonts w:eastAsia="仿宋"/>
          <w:sz w:val="32"/>
          <w:szCs w:val="32"/>
        </w:rPr>
      </w:pPr>
      <w:r>
        <w:rPr>
          <w:rFonts w:eastAsia="仿宋"/>
          <w:sz w:val="32"/>
          <w:szCs w:val="32"/>
        </w:rPr>
        <w:t>（2）</w:t>
      </w:r>
      <w:r>
        <w:rPr>
          <w:rFonts w:hint="eastAsia" w:eastAsia="仿宋"/>
          <w:sz w:val="32"/>
          <w:szCs w:val="32"/>
        </w:rPr>
        <w:t>绩效考核频率未达到目标值。车都置业、车都建发借用人员每半年考核一次，未达到目标要求1次/月。</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（四）下一步拟改进措施</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下一步拟改进措施</w:t>
      </w:r>
    </w:p>
    <w:p>
      <w:pPr>
        <w:widowControl/>
        <w:spacing w:line="560" w:lineRule="exact"/>
        <w:ind w:firstLine="640" w:firstLineChars="200"/>
        <w:rPr>
          <w:rFonts w:eastAsia="仿宋"/>
          <w:sz w:val="32"/>
          <w:szCs w:val="32"/>
        </w:rPr>
      </w:pPr>
      <w:r>
        <w:rPr>
          <w:rFonts w:eastAsia="仿宋"/>
          <w:sz w:val="32"/>
          <w:szCs w:val="32"/>
        </w:rPr>
        <w:t>（</w:t>
      </w:r>
      <w:r>
        <w:rPr>
          <w:rFonts w:hint="eastAsia" w:eastAsia="仿宋"/>
          <w:sz w:val="32"/>
          <w:szCs w:val="32"/>
        </w:rPr>
        <w:t>1</w:t>
      </w:r>
      <w:r>
        <w:rPr>
          <w:rFonts w:eastAsia="仿宋"/>
          <w:sz w:val="32"/>
          <w:szCs w:val="32"/>
        </w:rPr>
        <w:t>）</w:t>
      </w:r>
      <w:r>
        <w:rPr>
          <w:rFonts w:hint="eastAsia" w:eastAsia="仿宋"/>
          <w:sz w:val="32"/>
          <w:szCs w:val="32"/>
        </w:rPr>
        <w:t>梳理岗位需求，保障人员配置，做好来年预算。根据单位工作任务及安排，梳理政务服务等各岗位人员的实际需求，及时调整或增补人员，同时加强人员的培训和考核，为城建交通政务服务工作正常运转提供保障。在年底申报预算时，根据历年经验、人员实际配置和预计薪酬等，准确测算项目预算数。</w:t>
      </w:r>
    </w:p>
    <w:p>
      <w:pPr>
        <w:widowControl/>
        <w:spacing w:line="560" w:lineRule="exact"/>
        <w:ind w:firstLine="640" w:firstLineChars="200"/>
        <w:rPr>
          <w:rFonts w:eastAsia="仿宋"/>
          <w:sz w:val="32"/>
          <w:szCs w:val="32"/>
        </w:rPr>
      </w:pPr>
      <w:r>
        <w:rPr>
          <w:rFonts w:eastAsia="仿宋"/>
          <w:sz w:val="32"/>
          <w:szCs w:val="32"/>
        </w:rPr>
        <w:t>（</w:t>
      </w:r>
      <w:r>
        <w:rPr>
          <w:rFonts w:hint="eastAsia" w:eastAsia="仿宋"/>
          <w:sz w:val="32"/>
          <w:szCs w:val="32"/>
        </w:rPr>
        <w:t>2</w:t>
      </w:r>
      <w:r>
        <w:rPr>
          <w:rFonts w:eastAsia="仿宋"/>
          <w:sz w:val="32"/>
          <w:szCs w:val="32"/>
        </w:rPr>
        <w:t>）</w:t>
      </w:r>
      <w:r>
        <w:rPr>
          <w:rFonts w:hint="eastAsia" w:eastAsia="仿宋"/>
          <w:sz w:val="32"/>
          <w:szCs w:val="32"/>
        </w:rPr>
        <w:t>提高绩效考核频率，加强月考核制度，确定科学分配制度的执行力，完善绩效奖励机制，激励员工的工作积极性，强调员工的主人翁意识，鼓励员工自我发展。</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拟与预算安排相结合情况。</w:t>
      </w:r>
    </w:p>
    <w:p>
      <w:pPr>
        <w:widowControl/>
        <w:spacing w:line="560" w:lineRule="exact"/>
        <w:ind w:firstLine="640" w:firstLineChars="200"/>
        <w:rPr>
          <w:rFonts w:eastAsia="仿宋"/>
          <w:sz w:val="32"/>
          <w:szCs w:val="32"/>
        </w:rPr>
      </w:pPr>
      <w:r>
        <w:rPr>
          <w:rFonts w:hint="eastAsia" w:eastAsia="仿宋"/>
          <w:sz w:val="32"/>
          <w:szCs w:val="32"/>
        </w:rPr>
        <w:t>本项目资金出现一定结余，今后在进行预算申报或预算调整时，将根据人员实际配置、薪酬，结合工作计划安排，更加准确地测算项目资金额。</w:t>
      </w:r>
    </w:p>
    <w:p>
      <w:pPr>
        <w:pStyle w:val="4"/>
      </w:pPr>
    </w:p>
    <w:p>
      <w:pPr>
        <w:keepNext/>
        <w:keepLines/>
        <w:shd w:val="clear" w:color="auto" w:fill="FFFFFF" w:themeFill="background1"/>
        <w:spacing w:line="560" w:lineRule="exact"/>
        <w:ind w:firstLine="640" w:firstLineChars="200"/>
        <w:contextualSpacing/>
        <w:jc w:val="left"/>
        <w:rPr>
          <w:rFonts w:eastAsia="楷体"/>
          <w:sz w:val="32"/>
          <w:szCs w:val="32"/>
        </w:rPr>
      </w:pPr>
      <w:r>
        <w:rPr>
          <w:rFonts w:hint="eastAsia" w:eastAsia="楷体"/>
          <w:sz w:val="32"/>
          <w:szCs w:val="32"/>
        </w:rPr>
        <w:t>附件：2021年度城建（交通）政务服务专项经费项目自评表</w:t>
      </w:r>
    </w:p>
    <w:p>
      <w:pPr>
        <w:rPr>
          <w:rFonts w:eastAsia="楷体"/>
          <w:sz w:val="32"/>
          <w:szCs w:val="32"/>
        </w:rPr>
      </w:pPr>
      <w:r>
        <w:rPr>
          <w:rFonts w:hint="eastAsia" w:eastAsia="楷体"/>
          <w:sz w:val="32"/>
          <w:szCs w:val="32"/>
        </w:rPr>
        <w:br w:type="page"/>
      </w:r>
    </w:p>
    <w:p>
      <w:pPr>
        <w:pStyle w:val="3"/>
        <w:shd w:val="clear" w:color="auto" w:fill="FFFFFF" w:themeFill="background1"/>
        <w:spacing w:before="0" w:after="0" w:line="560" w:lineRule="exact"/>
        <w:ind w:firstLine="643" w:firstLineChars="200"/>
        <w:contextualSpacing/>
        <w:jc w:val="left"/>
      </w:pPr>
      <w:bookmarkStart w:id="0" w:name="_Toc28163"/>
      <w:r>
        <w:rPr>
          <w:rFonts w:hint="eastAsia" w:ascii="Times New Roman" w:hAnsi="Times New Roman" w:eastAsia="楷体" w:cs="Times New Roman"/>
        </w:rPr>
        <w:t xml:space="preserve">附件： </w:t>
      </w:r>
      <w:bookmarkEnd w:id="0"/>
    </w:p>
    <w:tbl>
      <w:tblPr>
        <w:tblStyle w:val="9"/>
        <w:tblW w:w="5000" w:type="pct"/>
        <w:tblInd w:w="0" w:type="dxa"/>
        <w:tblLayout w:type="autofit"/>
        <w:tblCellMar>
          <w:top w:w="0" w:type="dxa"/>
          <w:left w:w="0" w:type="dxa"/>
          <w:bottom w:w="0" w:type="dxa"/>
          <w:right w:w="0" w:type="dxa"/>
        </w:tblCellMar>
      </w:tblPr>
      <w:tblGrid>
        <w:gridCol w:w="477"/>
        <w:gridCol w:w="465"/>
        <w:gridCol w:w="1372"/>
        <w:gridCol w:w="1706"/>
        <w:gridCol w:w="1239"/>
        <w:gridCol w:w="1278"/>
        <w:gridCol w:w="1777"/>
        <w:gridCol w:w="561"/>
      </w:tblGrid>
      <w:tr>
        <w:tblPrEx>
          <w:tblCellMar>
            <w:top w:w="0" w:type="dxa"/>
            <w:left w:w="0" w:type="dxa"/>
            <w:bottom w:w="0" w:type="dxa"/>
            <w:right w:w="0" w:type="dxa"/>
          </w:tblCellMar>
        </w:tblPrEx>
        <w:trPr>
          <w:trHeight w:val="600" w:hRule="atLeast"/>
        </w:trPr>
        <w:tc>
          <w:tcPr>
            <w:tcW w:w="5000" w:type="pct"/>
            <w:gridSpan w:val="8"/>
            <w:tcBorders>
              <w:top w:val="nil"/>
              <w:left w:val="nil"/>
              <w:bottom w:val="nil"/>
              <w:right w:val="nil"/>
            </w:tcBorders>
            <w:shd w:val="clear" w:color="auto" w:fill="auto"/>
            <w:tcMar>
              <w:top w:w="15" w:type="dxa"/>
              <w:left w:w="15" w:type="dxa"/>
              <w:bottom w:w="0" w:type="dxa"/>
              <w:right w:w="15" w:type="dxa"/>
            </w:tcMar>
            <w:vAlign w:val="center"/>
          </w:tcPr>
          <w:p>
            <w:pPr>
              <w:widowControl/>
              <w:jc w:val="center"/>
              <w:rPr>
                <w:rFonts w:eastAsia="仿宋"/>
                <w:color w:val="000000"/>
                <w:kern w:val="0"/>
                <w:sz w:val="36"/>
                <w:szCs w:val="36"/>
              </w:rPr>
            </w:pPr>
            <w:r>
              <w:rPr>
                <w:rFonts w:hint="eastAsia" w:ascii="宋体" w:hAnsi="宋体" w:eastAsia="宋体" w:cs="宋体"/>
                <w:b/>
                <w:bCs/>
                <w:kern w:val="0"/>
                <w:sz w:val="36"/>
                <w:szCs w:val="36"/>
              </w:rPr>
              <w:t xml:space="preserve">2021年度城建（交通）政务服务专项经费项目自评表 </w:t>
            </w:r>
          </w:p>
        </w:tc>
      </w:tr>
      <w:tr>
        <w:tblPrEx>
          <w:tblCellMar>
            <w:top w:w="0" w:type="dxa"/>
            <w:left w:w="0" w:type="dxa"/>
            <w:bottom w:w="0" w:type="dxa"/>
            <w:right w:w="0" w:type="dxa"/>
          </w:tblCellMar>
        </w:tblPrEx>
        <w:trPr>
          <w:trHeight w:val="765" w:hRule="atLeast"/>
        </w:trPr>
        <w:tc>
          <w:tcPr>
            <w:tcW w:w="5000" w:type="pct"/>
            <w:gridSpan w:val="8"/>
            <w:tcBorders>
              <w:top w:val="nil"/>
              <w:left w:val="nil"/>
              <w:bottom w:val="single" w:color="auto" w:sz="4" w:space="0"/>
              <w:right w:val="nil"/>
            </w:tcBorders>
            <w:shd w:val="clear" w:color="auto" w:fill="auto"/>
            <w:tcMar>
              <w:top w:w="15" w:type="dxa"/>
              <w:left w:w="15" w:type="dxa"/>
              <w:bottom w:w="0" w:type="dxa"/>
              <w:right w:w="15" w:type="dxa"/>
            </w:tcMar>
            <w:vAlign w:val="center"/>
          </w:tcPr>
          <w:p>
            <w:pPr>
              <w:widowControl/>
              <w:jc w:val="left"/>
              <w:rPr>
                <w:rFonts w:hint="eastAsia" w:ascii="楷体" w:hAnsi="楷体" w:eastAsia="楷体" w:cs="宋体"/>
                <w:b/>
                <w:bCs/>
                <w:kern w:val="0"/>
                <w:sz w:val="24"/>
                <w:lang w:eastAsia="zh-CN"/>
              </w:rPr>
            </w:pPr>
            <w:r>
              <w:rPr>
                <w:rFonts w:hint="eastAsia" w:ascii="楷体" w:hAnsi="楷体" w:eastAsia="楷体" w:cs="宋体"/>
                <w:b/>
                <w:bCs/>
                <w:kern w:val="0"/>
                <w:sz w:val="24"/>
              </w:rPr>
              <w:t>单位名称：武汉经济技术开发区（汉南区）住房和城乡建设局</w:t>
            </w:r>
            <w:r>
              <w:rPr>
                <w:rFonts w:ascii="楷体" w:hAnsi="楷体" w:eastAsia="楷体" w:cs="宋体"/>
                <w:b/>
                <w:bCs/>
                <w:kern w:val="0"/>
                <w:sz w:val="24"/>
              </w:rPr>
              <w:t xml:space="preserve">         </w:t>
            </w:r>
          </w:p>
          <w:p>
            <w:pPr>
              <w:widowControl/>
              <w:jc w:val="left"/>
              <w:rPr>
                <w:rFonts w:eastAsia="仿宋"/>
                <w:color w:val="000000"/>
                <w:kern w:val="0"/>
                <w:sz w:val="32"/>
                <w:szCs w:val="32"/>
              </w:rPr>
            </w:pPr>
            <w:r>
              <w:rPr>
                <w:rFonts w:hint="eastAsia" w:ascii="楷体" w:hAnsi="楷体" w:eastAsia="楷体" w:cs="宋体"/>
                <w:b/>
                <w:bCs/>
                <w:kern w:val="0"/>
                <w:sz w:val="24"/>
              </w:rPr>
              <w:t>填报日期：</w:t>
            </w:r>
            <w:r>
              <w:rPr>
                <w:rFonts w:ascii="楷体" w:hAnsi="楷体" w:eastAsia="楷体" w:cs="宋体"/>
                <w:b/>
                <w:bCs/>
                <w:kern w:val="0"/>
                <w:sz w:val="24"/>
              </w:rPr>
              <w:t>2022</w:t>
            </w:r>
            <w:r>
              <w:rPr>
                <w:rFonts w:hint="eastAsia" w:ascii="楷体" w:hAnsi="楷体" w:eastAsia="楷体" w:cs="宋体"/>
                <w:b/>
                <w:bCs/>
                <w:kern w:val="0"/>
                <w:sz w:val="24"/>
              </w:rPr>
              <w:t>年</w:t>
            </w:r>
            <w:r>
              <w:rPr>
                <w:rFonts w:ascii="楷体" w:hAnsi="楷体" w:eastAsia="楷体" w:cs="宋体"/>
                <w:b/>
                <w:bCs/>
                <w:kern w:val="0"/>
                <w:sz w:val="24"/>
              </w:rPr>
              <w:t>5</w:t>
            </w:r>
            <w:r>
              <w:rPr>
                <w:rFonts w:hint="eastAsia" w:ascii="楷体" w:hAnsi="楷体" w:eastAsia="楷体" w:cs="宋体"/>
                <w:b/>
                <w:bCs/>
                <w:kern w:val="0"/>
                <w:sz w:val="24"/>
              </w:rPr>
              <w:t>月</w:t>
            </w:r>
            <w:r>
              <w:rPr>
                <w:rFonts w:ascii="楷体" w:hAnsi="楷体" w:eastAsia="楷体" w:cs="宋体"/>
                <w:b/>
                <w:bCs/>
                <w:kern w:val="0"/>
                <w:sz w:val="24"/>
              </w:rPr>
              <w:t>25</w:t>
            </w:r>
            <w:r>
              <w:rPr>
                <w:rFonts w:hint="eastAsia" w:ascii="楷体" w:hAnsi="楷体" w:eastAsia="楷体" w:cs="宋体"/>
                <w:b/>
                <w:bCs/>
                <w:kern w:val="0"/>
                <w:sz w:val="24"/>
              </w:rPr>
              <w:t>日</w:t>
            </w:r>
          </w:p>
        </w:tc>
      </w:tr>
      <w:tr>
        <w:tblPrEx>
          <w:tblCellMar>
            <w:top w:w="0" w:type="dxa"/>
            <w:left w:w="0" w:type="dxa"/>
            <w:bottom w:w="0" w:type="dxa"/>
            <w:right w:w="0" w:type="dxa"/>
          </w:tblCellMar>
        </w:tblPrEx>
        <w:trPr>
          <w:trHeight w:val="499" w:hRule="atLeast"/>
        </w:trPr>
        <w:tc>
          <w:tcPr>
            <w:tcW w:w="531" w:type="pct"/>
            <w:gridSpan w:val="2"/>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项目名称</w:t>
            </w:r>
          </w:p>
        </w:tc>
        <w:tc>
          <w:tcPr>
            <w:tcW w:w="4469" w:type="pct"/>
            <w:gridSpan w:val="6"/>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城建（交通）政务服务专项经费</w:t>
            </w:r>
          </w:p>
        </w:tc>
      </w:tr>
      <w:tr>
        <w:tblPrEx>
          <w:tblCellMar>
            <w:top w:w="0" w:type="dxa"/>
            <w:left w:w="0" w:type="dxa"/>
            <w:bottom w:w="0" w:type="dxa"/>
            <w:right w:w="0" w:type="dxa"/>
          </w:tblCellMar>
        </w:tblPrEx>
        <w:trPr>
          <w:trHeight w:val="499" w:hRule="atLeast"/>
        </w:trPr>
        <w:tc>
          <w:tcPr>
            <w:tcW w:w="5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主管部门</w:t>
            </w:r>
          </w:p>
        </w:tc>
        <w:tc>
          <w:tcPr>
            <w:tcW w:w="1734" w:type="pct"/>
            <w:gridSpan w:val="2"/>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武汉经济技术开发区（汉南区）住房和城乡建设局</w:t>
            </w:r>
          </w:p>
        </w:tc>
        <w:tc>
          <w:tcPr>
            <w:tcW w:w="698"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项目实施单位</w:t>
            </w:r>
          </w:p>
        </w:tc>
        <w:tc>
          <w:tcPr>
            <w:tcW w:w="2037" w:type="pct"/>
            <w:gridSpan w:val="3"/>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武汉经济技术开发区（汉南区）住房和城乡建设局</w:t>
            </w:r>
          </w:p>
        </w:tc>
      </w:tr>
      <w:tr>
        <w:tblPrEx>
          <w:tblCellMar>
            <w:top w:w="0" w:type="dxa"/>
            <w:left w:w="0" w:type="dxa"/>
            <w:bottom w:w="0" w:type="dxa"/>
            <w:right w:w="0" w:type="dxa"/>
          </w:tblCellMar>
        </w:tblPrEx>
        <w:trPr>
          <w:trHeight w:val="499" w:hRule="atLeast"/>
        </w:trPr>
        <w:tc>
          <w:tcPr>
            <w:tcW w:w="5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项目类别</w:t>
            </w:r>
          </w:p>
        </w:tc>
        <w:tc>
          <w:tcPr>
            <w:tcW w:w="4469" w:type="pct"/>
            <w:gridSpan w:val="6"/>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left"/>
              <w:rPr>
                <w:rFonts w:ascii="仿宋" w:hAnsi="仿宋" w:eastAsia="仿宋"/>
                <w:sz w:val="20"/>
                <w:szCs w:val="20"/>
              </w:rPr>
            </w:pPr>
            <w:r>
              <w:rPr>
                <w:rFonts w:hint="eastAsia" w:ascii="仿宋" w:hAnsi="仿宋" w:eastAsia="仿宋"/>
                <w:sz w:val="20"/>
                <w:szCs w:val="20"/>
              </w:rPr>
              <w:t>1.部门预算项目</w:t>
            </w:r>
            <w:r>
              <w:rPr>
                <w:rFonts w:ascii="Wingdings" w:hAnsi="Wingdings" w:eastAsia="仿宋"/>
                <w:sz w:val="20"/>
                <w:szCs w:val="20"/>
              </w:rPr>
              <w:t>þ</w:t>
            </w:r>
            <w:r>
              <w:rPr>
                <w:rFonts w:hint="eastAsia" w:ascii="仿宋" w:hAnsi="仿宋" w:eastAsia="仿宋"/>
                <w:sz w:val="20"/>
                <w:szCs w:val="20"/>
              </w:rPr>
              <w:t xml:space="preserve">              2.财政专项资金</w:t>
            </w:r>
            <w:r>
              <w:rPr>
                <w:rFonts w:ascii="Wingdings" w:hAnsi="Wingdings" w:eastAsia="仿宋"/>
                <w:sz w:val="20"/>
                <w:szCs w:val="20"/>
              </w:rPr>
              <w:t>¨</w:t>
            </w:r>
          </w:p>
        </w:tc>
      </w:tr>
      <w:tr>
        <w:tblPrEx>
          <w:tblCellMar>
            <w:top w:w="0" w:type="dxa"/>
            <w:left w:w="0" w:type="dxa"/>
            <w:bottom w:w="0" w:type="dxa"/>
            <w:right w:w="0" w:type="dxa"/>
          </w:tblCellMar>
        </w:tblPrEx>
        <w:trPr>
          <w:trHeight w:val="499" w:hRule="atLeast"/>
        </w:trPr>
        <w:tc>
          <w:tcPr>
            <w:tcW w:w="5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项目属性</w:t>
            </w:r>
          </w:p>
        </w:tc>
        <w:tc>
          <w:tcPr>
            <w:tcW w:w="4469" w:type="pct"/>
            <w:gridSpan w:val="6"/>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left"/>
              <w:rPr>
                <w:rFonts w:ascii="仿宋" w:hAnsi="仿宋" w:eastAsia="仿宋"/>
                <w:sz w:val="20"/>
                <w:szCs w:val="20"/>
              </w:rPr>
            </w:pPr>
            <w:r>
              <w:rPr>
                <w:rFonts w:hint="eastAsia" w:ascii="仿宋" w:hAnsi="仿宋" w:eastAsia="仿宋"/>
                <w:sz w:val="20"/>
                <w:szCs w:val="20"/>
              </w:rPr>
              <w:t>1.持续性项目</w:t>
            </w:r>
            <w:r>
              <w:rPr>
                <w:rFonts w:ascii="Wingdings" w:hAnsi="Wingdings" w:eastAsia="仿宋"/>
                <w:sz w:val="20"/>
                <w:szCs w:val="20"/>
              </w:rPr>
              <w:t>þ</w:t>
            </w:r>
            <w:r>
              <w:rPr>
                <w:rFonts w:hint="eastAsia" w:ascii="仿宋" w:hAnsi="仿宋" w:eastAsia="仿宋"/>
                <w:sz w:val="20"/>
                <w:szCs w:val="20"/>
              </w:rPr>
              <w:t xml:space="preserve">                2.新增性项目</w:t>
            </w:r>
            <w:r>
              <w:rPr>
                <w:rFonts w:ascii="Wingdings" w:hAnsi="Wingdings" w:eastAsia="仿宋"/>
                <w:sz w:val="20"/>
                <w:szCs w:val="20"/>
              </w:rPr>
              <w:t>¨</w:t>
            </w:r>
          </w:p>
        </w:tc>
      </w:tr>
      <w:tr>
        <w:tblPrEx>
          <w:tblCellMar>
            <w:top w:w="0" w:type="dxa"/>
            <w:left w:w="0" w:type="dxa"/>
            <w:bottom w:w="0" w:type="dxa"/>
            <w:right w:w="0" w:type="dxa"/>
          </w:tblCellMar>
        </w:tblPrEx>
        <w:trPr>
          <w:trHeight w:val="499" w:hRule="atLeast"/>
        </w:trPr>
        <w:tc>
          <w:tcPr>
            <w:tcW w:w="53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项目类型</w:t>
            </w:r>
          </w:p>
        </w:tc>
        <w:tc>
          <w:tcPr>
            <w:tcW w:w="4469" w:type="pct"/>
            <w:gridSpan w:val="6"/>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left"/>
              <w:rPr>
                <w:rFonts w:ascii="仿宋" w:hAnsi="仿宋" w:eastAsia="仿宋"/>
                <w:sz w:val="20"/>
                <w:szCs w:val="20"/>
              </w:rPr>
            </w:pPr>
            <w:r>
              <w:rPr>
                <w:rFonts w:hint="eastAsia" w:ascii="仿宋" w:hAnsi="仿宋" w:eastAsia="仿宋"/>
                <w:sz w:val="20"/>
                <w:szCs w:val="20"/>
              </w:rPr>
              <w:t>1.常年性项目</w:t>
            </w:r>
            <w:r>
              <w:rPr>
                <w:rFonts w:ascii="Wingdings" w:hAnsi="Wingdings" w:eastAsia="仿宋"/>
                <w:sz w:val="20"/>
                <w:szCs w:val="20"/>
              </w:rPr>
              <w:t>þ</w:t>
            </w:r>
            <w:r>
              <w:rPr>
                <w:rFonts w:hint="eastAsia" w:ascii="仿宋" w:hAnsi="仿宋" w:eastAsia="仿宋"/>
                <w:sz w:val="20"/>
                <w:szCs w:val="20"/>
              </w:rPr>
              <w:t xml:space="preserve">                2.延续性项目</w:t>
            </w:r>
            <w:r>
              <w:rPr>
                <w:rFonts w:ascii="Wingdings" w:hAnsi="Wingdings" w:eastAsia="仿宋"/>
                <w:sz w:val="20"/>
                <w:szCs w:val="20"/>
              </w:rPr>
              <w:t>¨</w:t>
            </w:r>
            <w:r>
              <w:rPr>
                <w:rFonts w:hint="eastAsia" w:ascii="仿宋" w:hAnsi="仿宋" w:eastAsia="仿宋"/>
                <w:sz w:val="20"/>
                <w:szCs w:val="20"/>
              </w:rPr>
              <w:t xml:space="preserve">              3.一次性项目</w:t>
            </w:r>
            <w:r>
              <w:rPr>
                <w:rFonts w:ascii="Wingdings" w:hAnsi="Wingdings" w:eastAsia="仿宋"/>
                <w:sz w:val="20"/>
                <w:szCs w:val="20"/>
              </w:rPr>
              <w:t>¨</w:t>
            </w:r>
          </w:p>
        </w:tc>
      </w:tr>
      <w:tr>
        <w:tblPrEx>
          <w:tblCellMar>
            <w:top w:w="0" w:type="dxa"/>
            <w:left w:w="0" w:type="dxa"/>
            <w:bottom w:w="0" w:type="dxa"/>
            <w:right w:w="0" w:type="dxa"/>
          </w:tblCellMar>
        </w:tblPrEx>
        <w:trPr>
          <w:trHeight w:val="499" w:hRule="atLeast"/>
        </w:trPr>
        <w:tc>
          <w:tcPr>
            <w:tcW w:w="531"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预算执行情况（万元）（20分）</w:t>
            </w:r>
          </w:p>
        </w:tc>
        <w:tc>
          <w:tcPr>
            <w:tcW w:w="773"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　</w:t>
            </w:r>
          </w:p>
        </w:tc>
        <w:tc>
          <w:tcPr>
            <w:tcW w:w="961"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预算数（A）</w:t>
            </w:r>
          </w:p>
        </w:tc>
        <w:tc>
          <w:tcPr>
            <w:tcW w:w="698"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执行数（B）</w:t>
            </w:r>
          </w:p>
        </w:tc>
        <w:tc>
          <w:tcPr>
            <w:tcW w:w="720"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执行率（B/A）</w:t>
            </w:r>
          </w:p>
        </w:tc>
        <w:tc>
          <w:tcPr>
            <w:tcW w:w="1318" w:type="pct"/>
            <w:gridSpan w:val="2"/>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eastAsia" w:ascii="仿宋" w:hAnsi="仿宋" w:eastAsia="仿宋"/>
                <w:sz w:val="20"/>
                <w:szCs w:val="20"/>
                <w:lang w:eastAsia="zh-CN"/>
              </w:rPr>
            </w:pPr>
            <w:r>
              <w:rPr>
                <w:rFonts w:hint="eastAsia" w:ascii="仿宋" w:hAnsi="仿宋" w:eastAsia="仿宋"/>
                <w:sz w:val="20"/>
                <w:szCs w:val="20"/>
              </w:rPr>
              <w:t>得分</w:t>
            </w:r>
          </w:p>
          <w:p>
            <w:pPr>
              <w:jc w:val="center"/>
              <w:rPr>
                <w:rFonts w:ascii="仿宋" w:hAnsi="仿宋" w:eastAsia="仿宋"/>
                <w:sz w:val="20"/>
                <w:szCs w:val="20"/>
              </w:rPr>
            </w:pPr>
            <w:r>
              <w:rPr>
                <w:rFonts w:hint="eastAsia" w:ascii="仿宋" w:hAnsi="仿宋" w:eastAsia="仿宋"/>
                <w:sz w:val="20"/>
                <w:szCs w:val="20"/>
              </w:rPr>
              <w:t>（20分*执行率）</w:t>
            </w:r>
          </w:p>
        </w:tc>
      </w:tr>
      <w:tr>
        <w:tblPrEx>
          <w:tblCellMar>
            <w:top w:w="0" w:type="dxa"/>
            <w:left w:w="0" w:type="dxa"/>
            <w:bottom w:w="0" w:type="dxa"/>
            <w:right w:w="0" w:type="dxa"/>
          </w:tblCellMar>
        </w:tblPrEx>
        <w:trPr>
          <w:trHeight w:val="499" w:hRule="atLeast"/>
        </w:trPr>
        <w:tc>
          <w:tcPr>
            <w:tcW w:w="531" w:type="pct"/>
            <w:gridSpan w:val="2"/>
            <w:vMerge w:val="continue"/>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宋体"/>
                <w:sz w:val="20"/>
                <w:szCs w:val="20"/>
              </w:rPr>
            </w:pPr>
          </w:p>
        </w:tc>
        <w:tc>
          <w:tcPr>
            <w:tcW w:w="773"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年度财政资金总额</w:t>
            </w:r>
          </w:p>
        </w:tc>
        <w:tc>
          <w:tcPr>
            <w:tcW w:w="961"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 xml:space="preserve">1,134.00 </w:t>
            </w:r>
          </w:p>
        </w:tc>
        <w:tc>
          <w:tcPr>
            <w:tcW w:w="698"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 xml:space="preserve">965.54 </w:t>
            </w:r>
          </w:p>
        </w:tc>
        <w:tc>
          <w:tcPr>
            <w:tcW w:w="720"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85.15%</w:t>
            </w:r>
          </w:p>
        </w:tc>
        <w:tc>
          <w:tcPr>
            <w:tcW w:w="1318" w:type="pct"/>
            <w:gridSpan w:val="2"/>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 xml:space="preserve">17.03 </w:t>
            </w:r>
          </w:p>
        </w:tc>
      </w:tr>
      <w:tr>
        <w:tblPrEx>
          <w:tblCellMar>
            <w:top w:w="0" w:type="dxa"/>
            <w:left w:w="0" w:type="dxa"/>
            <w:bottom w:w="0" w:type="dxa"/>
            <w:right w:w="0" w:type="dxa"/>
          </w:tblCellMar>
        </w:tblPrEx>
        <w:trPr>
          <w:trHeight w:val="499" w:hRule="atLeast"/>
        </w:trPr>
        <w:tc>
          <w:tcPr>
            <w:tcW w:w="269" w:type="pct"/>
            <w:vMerge w:val="restart"/>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 xml:space="preserve">年度绩效目标（80分） </w:t>
            </w:r>
          </w:p>
        </w:tc>
        <w:tc>
          <w:tcPr>
            <w:tcW w:w="262"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一级      指标</w:t>
            </w:r>
          </w:p>
        </w:tc>
        <w:tc>
          <w:tcPr>
            <w:tcW w:w="773"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二级指标</w:t>
            </w:r>
          </w:p>
        </w:tc>
        <w:tc>
          <w:tcPr>
            <w:tcW w:w="1659" w:type="pct"/>
            <w:gridSpan w:val="2"/>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三级指标</w:t>
            </w:r>
          </w:p>
        </w:tc>
        <w:tc>
          <w:tcPr>
            <w:tcW w:w="720"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eastAsia" w:ascii="仿宋" w:hAnsi="仿宋" w:eastAsia="仿宋"/>
                <w:color w:val="000000"/>
                <w:sz w:val="20"/>
                <w:szCs w:val="20"/>
                <w:lang w:eastAsia="zh-CN"/>
              </w:rPr>
            </w:pPr>
            <w:r>
              <w:rPr>
                <w:rFonts w:hint="eastAsia" w:ascii="仿宋" w:hAnsi="仿宋" w:eastAsia="仿宋"/>
                <w:color w:val="000000"/>
                <w:sz w:val="20"/>
                <w:szCs w:val="20"/>
              </w:rPr>
              <w:t>年初目标值</w:t>
            </w:r>
          </w:p>
          <w:p>
            <w:pPr>
              <w:jc w:val="center"/>
              <w:rPr>
                <w:rFonts w:ascii="仿宋" w:hAnsi="仿宋" w:eastAsia="仿宋"/>
                <w:color w:val="000000"/>
                <w:sz w:val="20"/>
                <w:szCs w:val="20"/>
              </w:rPr>
            </w:pPr>
            <w:r>
              <w:rPr>
                <w:rFonts w:hint="eastAsia" w:ascii="仿宋" w:hAnsi="仿宋" w:eastAsia="仿宋"/>
                <w:color w:val="000000"/>
                <w:sz w:val="20"/>
                <w:szCs w:val="20"/>
              </w:rPr>
              <w:t>（A）</w:t>
            </w:r>
          </w:p>
        </w:tc>
        <w:tc>
          <w:tcPr>
            <w:tcW w:w="1001"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eastAsia" w:ascii="仿宋" w:hAnsi="仿宋" w:eastAsia="仿宋"/>
                <w:color w:val="000000"/>
                <w:sz w:val="20"/>
                <w:szCs w:val="20"/>
                <w:lang w:eastAsia="zh-CN"/>
              </w:rPr>
            </w:pPr>
            <w:r>
              <w:rPr>
                <w:rFonts w:hint="eastAsia" w:ascii="仿宋" w:hAnsi="仿宋" w:eastAsia="仿宋"/>
                <w:color w:val="000000"/>
                <w:sz w:val="20"/>
                <w:szCs w:val="20"/>
              </w:rPr>
              <w:t>实际完成值</w:t>
            </w:r>
          </w:p>
          <w:p>
            <w:pPr>
              <w:jc w:val="center"/>
              <w:rPr>
                <w:rFonts w:ascii="仿宋" w:hAnsi="仿宋" w:eastAsia="仿宋"/>
                <w:color w:val="000000"/>
                <w:sz w:val="20"/>
                <w:szCs w:val="20"/>
              </w:rPr>
            </w:pPr>
            <w:r>
              <w:rPr>
                <w:rFonts w:hint="eastAsia" w:ascii="仿宋" w:hAnsi="仿宋" w:eastAsia="仿宋"/>
                <w:color w:val="000000"/>
                <w:sz w:val="20"/>
                <w:szCs w:val="20"/>
              </w:rPr>
              <w:t>（B）</w:t>
            </w:r>
          </w:p>
        </w:tc>
        <w:tc>
          <w:tcPr>
            <w:tcW w:w="317"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得分</w:t>
            </w:r>
          </w:p>
        </w:tc>
      </w:tr>
      <w:tr>
        <w:tblPrEx>
          <w:tblCellMar>
            <w:top w:w="0" w:type="dxa"/>
            <w:left w:w="0" w:type="dxa"/>
            <w:bottom w:w="0" w:type="dxa"/>
            <w:right w:w="0" w:type="dxa"/>
          </w:tblCellMar>
        </w:tblPrEx>
        <w:trPr>
          <w:trHeight w:val="499" w:hRule="atLeast"/>
        </w:trPr>
        <w:tc>
          <w:tcPr>
            <w:tcW w:w="269" w:type="pct"/>
            <w:vMerge w:val="continue"/>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20"/>
                <w:szCs w:val="20"/>
              </w:rPr>
            </w:pPr>
          </w:p>
        </w:tc>
        <w:tc>
          <w:tcPr>
            <w:tcW w:w="262" w:type="pct"/>
            <w:vMerge w:val="restart"/>
            <w:tcBorders>
              <w:top w:val="nil"/>
              <w:left w:val="single" w:color="auto" w:sz="4" w:space="0"/>
              <w:bottom w:val="single" w:color="auto" w:sz="4" w:space="0"/>
              <w:right w:val="single" w:color="000000" w:sz="4" w:space="0"/>
            </w:tcBorders>
            <w:shd w:val="clear" w:color="auto" w:fill="auto"/>
            <w:tcMar>
              <w:top w:w="15" w:type="dxa"/>
              <w:left w:w="15" w:type="dxa"/>
              <w:bottom w:w="0" w:type="dxa"/>
              <w:right w:w="15" w:type="dxa"/>
            </w:tcMar>
            <w:vAlign w:val="center"/>
          </w:tcPr>
          <w:p>
            <w:pPr>
              <w:jc w:val="center"/>
              <w:rPr>
                <w:rFonts w:hint="eastAsia" w:ascii="仿宋" w:hAnsi="仿宋" w:eastAsia="仿宋"/>
                <w:color w:val="000000"/>
                <w:sz w:val="20"/>
                <w:szCs w:val="20"/>
                <w:lang w:eastAsia="zh-CN"/>
              </w:rPr>
            </w:pPr>
            <w:r>
              <w:rPr>
                <w:rFonts w:hint="eastAsia" w:ascii="仿宋" w:hAnsi="仿宋" w:eastAsia="仿宋"/>
                <w:color w:val="000000"/>
                <w:sz w:val="20"/>
                <w:szCs w:val="20"/>
              </w:rPr>
              <w:t>产出</w:t>
            </w:r>
          </w:p>
          <w:p>
            <w:pPr>
              <w:jc w:val="center"/>
              <w:rPr>
                <w:rFonts w:hint="eastAsia" w:ascii="仿宋" w:hAnsi="仿宋" w:eastAsia="仿宋"/>
                <w:color w:val="000000"/>
                <w:sz w:val="20"/>
                <w:szCs w:val="20"/>
                <w:lang w:eastAsia="zh-CN"/>
              </w:rPr>
            </w:pPr>
            <w:r>
              <w:rPr>
                <w:rFonts w:hint="eastAsia" w:ascii="仿宋" w:hAnsi="仿宋" w:eastAsia="仿宋"/>
                <w:color w:val="000000"/>
                <w:sz w:val="20"/>
                <w:szCs w:val="20"/>
              </w:rPr>
              <w:t>指标</w:t>
            </w:r>
          </w:p>
          <w:p>
            <w:pPr>
              <w:jc w:val="center"/>
              <w:rPr>
                <w:rFonts w:ascii="仿宋" w:hAnsi="仿宋" w:eastAsia="仿宋"/>
                <w:color w:val="000000"/>
                <w:sz w:val="20"/>
                <w:szCs w:val="20"/>
              </w:rPr>
            </w:pPr>
            <w:r>
              <w:rPr>
                <w:rFonts w:hint="eastAsia" w:ascii="仿宋" w:hAnsi="仿宋" w:eastAsia="仿宋"/>
                <w:color w:val="000000"/>
                <w:sz w:val="20"/>
                <w:szCs w:val="20"/>
              </w:rPr>
              <w:t xml:space="preserve">（40分） </w:t>
            </w:r>
          </w:p>
        </w:tc>
        <w:tc>
          <w:tcPr>
            <w:tcW w:w="773" w:type="pct"/>
            <w:vMerge w:val="restart"/>
            <w:tcBorders>
              <w:top w:val="nil"/>
              <w:left w:val="single" w:color="auto" w:sz="4" w:space="0"/>
              <w:bottom w:val="nil"/>
              <w:right w:val="single" w:color="auto" w:sz="4" w:space="0"/>
            </w:tcBorders>
            <w:shd w:val="clear" w:color="auto" w:fill="auto"/>
            <w:tcMar>
              <w:top w:w="15" w:type="dxa"/>
              <w:left w:w="15" w:type="dxa"/>
              <w:bottom w:w="0" w:type="dxa"/>
              <w:right w:w="15" w:type="dxa"/>
            </w:tcMar>
            <w:vAlign w:val="center"/>
          </w:tcPr>
          <w:p>
            <w:pPr>
              <w:jc w:val="center"/>
              <w:rPr>
                <w:rFonts w:hint="eastAsia" w:ascii="仿宋" w:hAnsi="仿宋" w:eastAsia="仿宋"/>
                <w:sz w:val="20"/>
                <w:szCs w:val="20"/>
                <w:lang w:eastAsia="zh-CN"/>
              </w:rPr>
            </w:pPr>
            <w:r>
              <w:rPr>
                <w:rFonts w:hint="eastAsia" w:ascii="仿宋" w:hAnsi="仿宋" w:eastAsia="仿宋"/>
                <w:sz w:val="20"/>
                <w:szCs w:val="20"/>
              </w:rPr>
              <w:t>数量指标</w:t>
            </w:r>
          </w:p>
          <w:p>
            <w:pPr>
              <w:jc w:val="center"/>
              <w:rPr>
                <w:rFonts w:ascii="仿宋" w:hAnsi="仿宋" w:eastAsia="仿宋"/>
                <w:sz w:val="20"/>
                <w:szCs w:val="20"/>
              </w:rPr>
            </w:pPr>
            <w:r>
              <w:rPr>
                <w:rFonts w:hint="eastAsia" w:ascii="仿宋" w:hAnsi="仿宋" w:eastAsia="仿宋"/>
                <w:sz w:val="20"/>
                <w:szCs w:val="20"/>
              </w:rPr>
              <w:t>（16分）</w:t>
            </w:r>
          </w:p>
        </w:tc>
        <w:tc>
          <w:tcPr>
            <w:tcW w:w="1659" w:type="pct"/>
            <w:gridSpan w:val="2"/>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借用、聘用人员出勤到位数（8分）</w:t>
            </w:r>
          </w:p>
        </w:tc>
        <w:tc>
          <w:tcPr>
            <w:tcW w:w="720"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95人</w:t>
            </w:r>
          </w:p>
        </w:tc>
        <w:tc>
          <w:tcPr>
            <w:tcW w:w="1001"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81人</w:t>
            </w:r>
          </w:p>
        </w:tc>
        <w:tc>
          <w:tcPr>
            <w:tcW w:w="317"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 xml:space="preserve">6.82 </w:t>
            </w:r>
          </w:p>
        </w:tc>
      </w:tr>
      <w:tr>
        <w:tblPrEx>
          <w:tblCellMar>
            <w:top w:w="0" w:type="dxa"/>
            <w:left w:w="0" w:type="dxa"/>
            <w:bottom w:w="0" w:type="dxa"/>
            <w:right w:w="0" w:type="dxa"/>
          </w:tblCellMar>
        </w:tblPrEx>
        <w:trPr>
          <w:trHeight w:val="780" w:hRule="atLeast"/>
        </w:trPr>
        <w:tc>
          <w:tcPr>
            <w:tcW w:w="269" w:type="pct"/>
            <w:vMerge w:val="continue"/>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20"/>
                <w:szCs w:val="20"/>
              </w:rPr>
            </w:pPr>
          </w:p>
        </w:tc>
        <w:tc>
          <w:tcPr>
            <w:tcW w:w="262" w:type="pct"/>
            <w:vMerge w:val="continue"/>
            <w:tcBorders>
              <w:top w:val="nil"/>
              <w:left w:val="single" w:color="auto" w:sz="4" w:space="0"/>
              <w:bottom w:val="single" w:color="auto" w:sz="4" w:space="0"/>
              <w:right w:val="single" w:color="000000" w:sz="4" w:space="0"/>
            </w:tcBorders>
            <w:vAlign w:val="center"/>
          </w:tcPr>
          <w:p>
            <w:pPr>
              <w:rPr>
                <w:rFonts w:ascii="仿宋" w:hAnsi="仿宋" w:eastAsia="仿宋" w:cs="宋体"/>
                <w:color w:val="000000"/>
                <w:sz w:val="20"/>
                <w:szCs w:val="20"/>
              </w:rPr>
            </w:pPr>
          </w:p>
        </w:tc>
        <w:tc>
          <w:tcPr>
            <w:tcW w:w="773" w:type="pct"/>
            <w:vMerge w:val="continue"/>
            <w:tcBorders>
              <w:top w:val="nil"/>
              <w:left w:val="single" w:color="auto" w:sz="4" w:space="0"/>
              <w:bottom w:val="nil"/>
              <w:right w:val="single" w:color="auto" w:sz="4" w:space="0"/>
            </w:tcBorders>
            <w:vAlign w:val="center"/>
          </w:tcPr>
          <w:p>
            <w:pPr>
              <w:rPr>
                <w:rFonts w:ascii="仿宋" w:hAnsi="仿宋" w:eastAsia="仿宋" w:cs="宋体"/>
                <w:sz w:val="20"/>
                <w:szCs w:val="20"/>
              </w:rPr>
            </w:pPr>
          </w:p>
        </w:tc>
        <w:tc>
          <w:tcPr>
            <w:tcW w:w="1659" w:type="pct"/>
            <w:gridSpan w:val="2"/>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绩效考核频率（8分）</w:t>
            </w:r>
          </w:p>
        </w:tc>
        <w:tc>
          <w:tcPr>
            <w:tcW w:w="720"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1次/月</w:t>
            </w:r>
          </w:p>
        </w:tc>
        <w:tc>
          <w:tcPr>
            <w:tcW w:w="1001"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政务外包1次/月，车都、建发1次/半年</w:t>
            </w:r>
          </w:p>
        </w:tc>
        <w:tc>
          <w:tcPr>
            <w:tcW w:w="317"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 xml:space="preserve">6.00 </w:t>
            </w:r>
          </w:p>
        </w:tc>
      </w:tr>
      <w:tr>
        <w:tblPrEx>
          <w:tblCellMar>
            <w:top w:w="0" w:type="dxa"/>
            <w:left w:w="0" w:type="dxa"/>
            <w:bottom w:w="0" w:type="dxa"/>
            <w:right w:w="0" w:type="dxa"/>
          </w:tblCellMar>
        </w:tblPrEx>
        <w:trPr>
          <w:trHeight w:val="499" w:hRule="atLeast"/>
        </w:trPr>
        <w:tc>
          <w:tcPr>
            <w:tcW w:w="269" w:type="pct"/>
            <w:vMerge w:val="continue"/>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20"/>
                <w:szCs w:val="20"/>
              </w:rPr>
            </w:pPr>
          </w:p>
        </w:tc>
        <w:tc>
          <w:tcPr>
            <w:tcW w:w="262" w:type="pct"/>
            <w:vMerge w:val="continue"/>
            <w:tcBorders>
              <w:top w:val="nil"/>
              <w:left w:val="single" w:color="auto" w:sz="4" w:space="0"/>
              <w:bottom w:val="single" w:color="auto" w:sz="4" w:space="0"/>
              <w:right w:val="single" w:color="000000" w:sz="4" w:space="0"/>
            </w:tcBorders>
            <w:vAlign w:val="center"/>
          </w:tcPr>
          <w:p>
            <w:pPr>
              <w:rPr>
                <w:rFonts w:ascii="仿宋" w:hAnsi="仿宋" w:eastAsia="仿宋" w:cs="宋体"/>
                <w:color w:val="000000"/>
                <w:sz w:val="20"/>
                <w:szCs w:val="20"/>
              </w:rPr>
            </w:pPr>
          </w:p>
        </w:tc>
        <w:tc>
          <w:tcPr>
            <w:tcW w:w="773" w:type="pct"/>
            <w:vMerge w:val="restart"/>
            <w:tcBorders>
              <w:top w:val="single" w:color="auto" w:sz="4" w:space="0"/>
              <w:left w:val="single" w:color="auto" w:sz="4" w:space="0"/>
              <w:bottom w:val="nil"/>
              <w:right w:val="single" w:color="auto" w:sz="4" w:space="0"/>
            </w:tcBorders>
            <w:shd w:val="clear" w:color="auto" w:fill="auto"/>
            <w:tcMar>
              <w:top w:w="15" w:type="dxa"/>
              <w:left w:w="15" w:type="dxa"/>
              <w:bottom w:w="0" w:type="dxa"/>
              <w:right w:w="15" w:type="dxa"/>
            </w:tcMar>
            <w:vAlign w:val="center"/>
          </w:tcPr>
          <w:p>
            <w:pPr>
              <w:jc w:val="center"/>
              <w:rPr>
                <w:rFonts w:hint="eastAsia" w:ascii="仿宋" w:hAnsi="仿宋" w:eastAsia="仿宋"/>
                <w:sz w:val="20"/>
                <w:szCs w:val="20"/>
                <w:lang w:eastAsia="zh-CN"/>
              </w:rPr>
            </w:pPr>
            <w:r>
              <w:rPr>
                <w:rFonts w:hint="eastAsia" w:ascii="仿宋" w:hAnsi="仿宋" w:eastAsia="仿宋"/>
                <w:sz w:val="20"/>
                <w:szCs w:val="20"/>
              </w:rPr>
              <w:t>质量指标</w:t>
            </w:r>
          </w:p>
          <w:p>
            <w:pPr>
              <w:jc w:val="center"/>
              <w:rPr>
                <w:rFonts w:ascii="仿宋" w:hAnsi="仿宋" w:eastAsia="仿宋"/>
                <w:sz w:val="20"/>
                <w:szCs w:val="20"/>
              </w:rPr>
            </w:pPr>
            <w:r>
              <w:rPr>
                <w:rFonts w:hint="eastAsia" w:ascii="仿宋" w:hAnsi="仿宋" w:eastAsia="仿宋"/>
                <w:sz w:val="20"/>
                <w:szCs w:val="20"/>
              </w:rPr>
              <w:t>（16分）</w:t>
            </w:r>
          </w:p>
        </w:tc>
        <w:tc>
          <w:tcPr>
            <w:tcW w:w="1659" w:type="pct"/>
            <w:gridSpan w:val="2"/>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绩效考核合格率（8分）</w:t>
            </w:r>
          </w:p>
        </w:tc>
        <w:tc>
          <w:tcPr>
            <w:tcW w:w="720"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≥95%</w:t>
            </w:r>
          </w:p>
        </w:tc>
        <w:tc>
          <w:tcPr>
            <w:tcW w:w="1001"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100%</w:t>
            </w:r>
          </w:p>
        </w:tc>
        <w:tc>
          <w:tcPr>
            <w:tcW w:w="317"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 xml:space="preserve">8.00 </w:t>
            </w:r>
          </w:p>
        </w:tc>
      </w:tr>
      <w:tr>
        <w:tblPrEx>
          <w:tblCellMar>
            <w:top w:w="0" w:type="dxa"/>
            <w:left w:w="0" w:type="dxa"/>
            <w:bottom w:w="0" w:type="dxa"/>
            <w:right w:w="0" w:type="dxa"/>
          </w:tblCellMar>
        </w:tblPrEx>
        <w:trPr>
          <w:trHeight w:val="499" w:hRule="atLeast"/>
        </w:trPr>
        <w:tc>
          <w:tcPr>
            <w:tcW w:w="269" w:type="pct"/>
            <w:vMerge w:val="continue"/>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20"/>
                <w:szCs w:val="20"/>
              </w:rPr>
            </w:pPr>
          </w:p>
        </w:tc>
        <w:tc>
          <w:tcPr>
            <w:tcW w:w="262" w:type="pct"/>
            <w:vMerge w:val="continue"/>
            <w:tcBorders>
              <w:top w:val="nil"/>
              <w:left w:val="single" w:color="auto" w:sz="4" w:space="0"/>
              <w:bottom w:val="single" w:color="auto" w:sz="4" w:space="0"/>
              <w:right w:val="single" w:color="000000" w:sz="4" w:space="0"/>
            </w:tcBorders>
            <w:vAlign w:val="center"/>
          </w:tcPr>
          <w:p>
            <w:pPr>
              <w:rPr>
                <w:rFonts w:ascii="仿宋" w:hAnsi="仿宋" w:eastAsia="仿宋" w:cs="宋体"/>
                <w:color w:val="000000"/>
                <w:sz w:val="20"/>
                <w:szCs w:val="20"/>
              </w:rPr>
            </w:pPr>
          </w:p>
        </w:tc>
        <w:tc>
          <w:tcPr>
            <w:tcW w:w="773" w:type="pct"/>
            <w:vMerge w:val="continue"/>
            <w:tcBorders>
              <w:top w:val="single" w:color="auto" w:sz="4" w:space="0"/>
              <w:left w:val="single" w:color="auto" w:sz="4" w:space="0"/>
              <w:bottom w:val="nil"/>
              <w:right w:val="single" w:color="auto" w:sz="4" w:space="0"/>
            </w:tcBorders>
            <w:vAlign w:val="center"/>
          </w:tcPr>
          <w:p>
            <w:pPr>
              <w:rPr>
                <w:rFonts w:ascii="仿宋" w:hAnsi="仿宋" w:eastAsia="仿宋" w:cs="宋体"/>
                <w:sz w:val="20"/>
                <w:szCs w:val="20"/>
              </w:rPr>
            </w:pPr>
          </w:p>
        </w:tc>
        <w:tc>
          <w:tcPr>
            <w:tcW w:w="1659" w:type="pct"/>
            <w:gridSpan w:val="2"/>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绩效考核优秀率（8分）</w:t>
            </w:r>
          </w:p>
        </w:tc>
        <w:tc>
          <w:tcPr>
            <w:tcW w:w="720"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≥20%</w:t>
            </w:r>
          </w:p>
        </w:tc>
        <w:tc>
          <w:tcPr>
            <w:tcW w:w="1001"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20%</w:t>
            </w:r>
          </w:p>
        </w:tc>
        <w:tc>
          <w:tcPr>
            <w:tcW w:w="317"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 xml:space="preserve">8.00 </w:t>
            </w:r>
          </w:p>
        </w:tc>
      </w:tr>
      <w:tr>
        <w:tblPrEx>
          <w:tblCellMar>
            <w:top w:w="0" w:type="dxa"/>
            <w:left w:w="0" w:type="dxa"/>
            <w:bottom w:w="0" w:type="dxa"/>
            <w:right w:w="0" w:type="dxa"/>
          </w:tblCellMar>
        </w:tblPrEx>
        <w:trPr>
          <w:trHeight w:val="499" w:hRule="atLeast"/>
        </w:trPr>
        <w:tc>
          <w:tcPr>
            <w:tcW w:w="269" w:type="pct"/>
            <w:vMerge w:val="continue"/>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20"/>
                <w:szCs w:val="20"/>
              </w:rPr>
            </w:pPr>
          </w:p>
        </w:tc>
        <w:tc>
          <w:tcPr>
            <w:tcW w:w="262" w:type="pct"/>
            <w:vMerge w:val="continue"/>
            <w:tcBorders>
              <w:top w:val="nil"/>
              <w:left w:val="single" w:color="auto" w:sz="4" w:space="0"/>
              <w:bottom w:val="single" w:color="auto" w:sz="4" w:space="0"/>
              <w:right w:val="single" w:color="000000" w:sz="4" w:space="0"/>
            </w:tcBorders>
            <w:vAlign w:val="center"/>
          </w:tcPr>
          <w:p>
            <w:pPr>
              <w:rPr>
                <w:rFonts w:ascii="仿宋" w:hAnsi="仿宋" w:eastAsia="仿宋" w:cs="宋体"/>
                <w:color w:val="000000"/>
                <w:sz w:val="20"/>
                <w:szCs w:val="20"/>
              </w:rPr>
            </w:pPr>
          </w:p>
        </w:tc>
        <w:tc>
          <w:tcPr>
            <w:tcW w:w="773"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eastAsia" w:ascii="仿宋" w:hAnsi="仿宋" w:eastAsia="仿宋"/>
                <w:sz w:val="20"/>
                <w:szCs w:val="20"/>
                <w:lang w:eastAsia="zh-CN"/>
              </w:rPr>
            </w:pPr>
            <w:r>
              <w:rPr>
                <w:rFonts w:hint="eastAsia" w:ascii="仿宋" w:hAnsi="仿宋" w:eastAsia="仿宋"/>
                <w:sz w:val="20"/>
                <w:szCs w:val="20"/>
              </w:rPr>
              <w:t>时效指标</w:t>
            </w:r>
          </w:p>
          <w:p>
            <w:pPr>
              <w:jc w:val="center"/>
              <w:rPr>
                <w:rFonts w:ascii="仿宋" w:hAnsi="仿宋" w:eastAsia="仿宋"/>
                <w:sz w:val="20"/>
                <w:szCs w:val="20"/>
              </w:rPr>
            </w:pPr>
            <w:r>
              <w:rPr>
                <w:rFonts w:hint="eastAsia" w:ascii="仿宋" w:hAnsi="仿宋" w:eastAsia="仿宋"/>
                <w:sz w:val="20"/>
                <w:szCs w:val="20"/>
              </w:rPr>
              <w:t>（8分）</w:t>
            </w:r>
          </w:p>
        </w:tc>
        <w:tc>
          <w:tcPr>
            <w:tcW w:w="1659" w:type="pct"/>
            <w:gridSpan w:val="2"/>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在规定时间内完成各项专项工作（8分）</w:t>
            </w:r>
          </w:p>
        </w:tc>
        <w:tc>
          <w:tcPr>
            <w:tcW w:w="720"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按时完成</w:t>
            </w:r>
          </w:p>
        </w:tc>
        <w:tc>
          <w:tcPr>
            <w:tcW w:w="1001"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按时完成</w:t>
            </w:r>
          </w:p>
        </w:tc>
        <w:tc>
          <w:tcPr>
            <w:tcW w:w="317"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 xml:space="preserve">8.00 </w:t>
            </w:r>
          </w:p>
        </w:tc>
      </w:tr>
      <w:tr>
        <w:tblPrEx>
          <w:tblCellMar>
            <w:top w:w="0" w:type="dxa"/>
            <w:left w:w="0" w:type="dxa"/>
            <w:bottom w:w="0" w:type="dxa"/>
            <w:right w:w="0" w:type="dxa"/>
          </w:tblCellMar>
        </w:tblPrEx>
        <w:trPr>
          <w:trHeight w:val="915" w:hRule="atLeast"/>
        </w:trPr>
        <w:tc>
          <w:tcPr>
            <w:tcW w:w="269" w:type="pct"/>
            <w:vMerge w:val="continue"/>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20"/>
                <w:szCs w:val="20"/>
              </w:rPr>
            </w:pPr>
          </w:p>
        </w:tc>
        <w:tc>
          <w:tcPr>
            <w:tcW w:w="262" w:type="pct"/>
            <w:vMerge w:val="restart"/>
            <w:tcBorders>
              <w:top w:val="nil"/>
              <w:left w:val="single" w:color="auto" w:sz="4" w:space="0"/>
              <w:bottom w:val="single" w:color="000000"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效益指标（40分）</w:t>
            </w:r>
          </w:p>
        </w:tc>
        <w:tc>
          <w:tcPr>
            <w:tcW w:w="773" w:type="pct"/>
            <w:vMerge w:val="restart"/>
            <w:tcBorders>
              <w:top w:val="nil"/>
              <w:left w:val="single" w:color="auto" w:sz="4" w:space="0"/>
              <w:bottom w:val="single" w:color="000000" w:sz="4" w:space="0"/>
              <w:right w:val="single" w:color="auto" w:sz="4" w:space="0"/>
            </w:tcBorders>
            <w:shd w:val="clear" w:color="auto" w:fill="auto"/>
            <w:tcMar>
              <w:top w:w="15" w:type="dxa"/>
              <w:left w:w="15" w:type="dxa"/>
              <w:bottom w:w="0" w:type="dxa"/>
              <w:right w:w="15" w:type="dxa"/>
            </w:tcMar>
            <w:vAlign w:val="center"/>
          </w:tcPr>
          <w:p>
            <w:pPr>
              <w:jc w:val="center"/>
              <w:rPr>
                <w:rFonts w:hint="eastAsia" w:ascii="仿宋" w:hAnsi="仿宋" w:eastAsia="仿宋"/>
                <w:sz w:val="20"/>
                <w:szCs w:val="20"/>
                <w:lang w:eastAsia="zh-CN"/>
              </w:rPr>
            </w:pPr>
            <w:r>
              <w:rPr>
                <w:rFonts w:hint="eastAsia" w:ascii="仿宋" w:hAnsi="仿宋" w:eastAsia="仿宋"/>
                <w:sz w:val="20"/>
                <w:szCs w:val="20"/>
              </w:rPr>
              <w:t>社会效益指标</w:t>
            </w:r>
          </w:p>
          <w:p>
            <w:pPr>
              <w:jc w:val="center"/>
              <w:rPr>
                <w:rFonts w:ascii="仿宋" w:hAnsi="仿宋" w:eastAsia="仿宋"/>
                <w:sz w:val="20"/>
                <w:szCs w:val="20"/>
              </w:rPr>
            </w:pPr>
            <w:r>
              <w:rPr>
                <w:rFonts w:hint="eastAsia" w:ascii="仿宋" w:hAnsi="仿宋" w:eastAsia="仿宋"/>
                <w:sz w:val="20"/>
                <w:szCs w:val="20"/>
              </w:rPr>
              <w:t>（30分）</w:t>
            </w:r>
          </w:p>
        </w:tc>
        <w:tc>
          <w:tcPr>
            <w:tcW w:w="1659" w:type="pct"/>
            <w:gridSpan w:val="2"/>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推进城建交通重点项目、重要工作全面完成（15分）</w:t>
            </w:r>
          </w:p>
        </w:tc>
        <w:tc>
          <w:tcPr>
            <w:tcW w:w="720"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有所推进</w:t>
            </w:r>
          </w:p>
        </w:tc>
        <w:tc>
          <w:tcPr>
            <w:tcW w:w="1001"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有所推进</w:t>
            </w:r>
          </w:p>
        </w:tc>
        <w:tc>
          <w:tcPr>
            <w:tcW w:w="317"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 xml:space="preserve">15.00 </w:t>
            </w:r>
          </w:p>
        </w:tc>
      </w:tr>
      <w:tr>
        <w:tblPrEx>
          <w:tblCellMar>
            <w:top w:w="0" w:type="dxa"/>
            <w:left w:w="0" w:type="dxa"/>
            <w:bottom w:w="0" w:type="dxa"/>
            <w:right w:w="0" w:type="dxa"/>
          </w:tblCellMar>
        </w:tblPrEx>
        <w:trPr>
          <w:trHeight w:val="499" w:hRule="atLeast"/>
        </w:trPr>
        <w:tc>
          <w:tcPr>
            <w:tcW w:w="269" w:type="pct"/>
            <w:vMerge w:val="continue"/>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20"/>
                <w:szCs w:val="20"/>
              </w:rPr>
            </w:pPr>
          </w:p>
        </w:tc>
        <w:tc>
          <w:tcPr>
            <w:tcW w:w="262" w:type="pct"/>
            <w:vMerge w:val="continue"/>
            <w:tcBorders>
              <w:top w:val="nil"/>
              <w:left w:val="single" w:color="auto" w:sz="4" w:space="0"/>
              <w:bottom w:val="single" w:color="000000" w:sz="4" w:space="0"/>
              <w:right w:val="single" w:color="auto" w:sz="4" w:space="0"/>
            </w:tcBorders>
            <w:vAlign w:val="center"/>
          </w:tcPr>
          <w:p>
            <w:pPr>
              <w:rPr>
                <w:rFonts w:ascii="仿宋" w:hAnsi="仿宋" w:eastAsia="仿宋" w:cs="宋体"/>
                <w:sz w:val="20"/>
                <w:szCs w:val="20"/>
              </w:rPr>
            </w:pPr>
          </w:p>
        </w:tc>
        <w:tc>
          <w:tcPr>
            <w:tcW w:w="773" w:type="pct"/>
            <w:vMerge w:val="continue"/>
            <w:tcBorders>
              <w:top w:val="nil"/>
              <w:left w:val="single" w:color="auto" w:sz="4" w:space="0"/>
              <w:bottom w:val="single" w:color="000000" w:sz="4" w:space="0"/>
              <w:right w:val="single" w:color="auto" w:sz="4" w:space="0"/>
            </w:tcBorders>
            <w:vAlign w:val="center"/>
          </w:tcPr>
          <w:p>
            <w:pPr>
              <w:rPr>
                <w:rFonts w:ascii="仿宋" w:hAnsi="仿宋" w:eastAsia="仿宋" w:cs="宋体"/>
                <w:sz w:val="20"/>
                <w:szCs w:val="20"/>
              </w:rPr>
            </w:pPr>
          </w:p>
        </w:tc>
        <w:tc>
          <w:tcPr>
            <w:tcW w:w="1659" w:type="pct"/>
            <w:gridSpan w:val="2"/>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提升服务标准，提高服务水平（15分）</w:t>
            </w:r>
          </w:p>
        </w:tc>
        <w:tc>
          <w:tcPr>
            <w:tcW w:w="720"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有所提升</w:t>
            </w:r>
          </w:p>
        </w:tc>
        <w:tc>
          <w:tcPr>
            <w:tcW w:w="1001"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有所提升</w:t>
            </w:r>
          </w:p>
        </w:tc>
        <w:tc>
          <w:tcPr>
            <w:tcW w:w="317"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 xml:space="preserve">15.00 </w:t>
            </w:r>
          </w:p>
        </w:tc>
      </w:tr>
      <w:tr>
        <w:tblPrEx>
          <w:tblCellMar>
            <w:top w:w="0" w:type="dxa"/>
            <w:left w:w="0" w:type="dxa"/>
            <w:bottom w:w="0" w:type="dxa"/>
            <w:right w:w="0" w:type="dxa"/>
          </w:tblCellMar>
        </w:tblPrEx>
        <w:trPr>
          <w:trHeight w:val="979" w:hRule="atLeast"/>
        </w:trPr>
        <w:tc>
          <w:tcPr>
            <w:tcW w:w="269" w:type="pct"/>
            <w:vMerge w:val="continue"/>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20"/>
                <w:szCs w:val="20"/>
              </w:rPr>
            </w:pPr>
          </w:p>
        </w:tc>
        <w:tc>
          <w:tcPr>
            <w:tcW w:w="262" w:type="pct"/>
            <w:vMerge w:val="continue"/>
            <w:tcBorders>
              <w:top w:val="nil"/>
              <w:left w:val="single" w:color="auto" w:sz="4" w:space="0"/>
              <w:bottom w:val="single" w:color="000000" w:sz="4" w:space="0"/>
              <w:right w:val="single" w:color="auto" w:sz="4" w:space="0"/>
            </w:tcBorders>
            <w:vAlign w:val="center"/>
          </w:tcPr>
          <w:p>
            <w:pPr>
              <w:rPr>
                <w:rFonts w:ascii="仿宋" w:hAnsi="仿宋" w:eastAsia="仿宋" w:cs="宋体"/>
                <w:sz w:val="20"/>
                <w:szCs w:val="20"/>
              </w:rPr>
            </w:pPr>
          </w:p>
        </w:tc>
        <w:tc>
          <w:tcPr>
            <w:tcW w:w="773"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hint="eastAsia" w:ascii="仿宋" w:hAnsi="仿宋" w:eastAsia="仿宋"/>
                <w:sz w:val="20"/>
                <w:szCs w:val="20"/>
                <w:lang w:eastAsia="zh-CN"/>
              </w:rPr>
            </w:pPr>
            <w:r>
              <w:rPr>
                <w:rFonts w:hint="eastAsia" w:ascii="仿宋" w:hAnsi="仿宋" w:eastAsia="仿宋"/>
                <w:sz w:val="20"/>
                <w:szCs w:val="20"/>
              </w:rPr>
              <w:t>满意度指标</w:t>
            </w:r>
          </w:p>
          <w:p>
            <w:pPr>
              <w:jc w:val="center"/>
              <w:rPr>
                <w:rFonts w:ascii="仿宋" w:hAnsi="仿宋" w:eastAsia="仿宋"/>
                <w:sz w:val="20"/>
                <w:szCs w:val="20"/>
              </w:rPr>
            </w:pPr>
            <w:r>
              <w:rPr>
                <w:rFonts w:hint="eastAsia" w:ascii="仿宋" w:hAnsi="仿宋" w:eastAsia="仿宋"/>
                <w:sz w:val="20"/>
                <w:szCs w:val="20"/>
              </w:rPr>
              <w:t>（10分）</w:t>
            </w:r>
          </w:p>
        </w:tc>
        <w:tc>
          <w:tcPr>
            <w:tcW w:w="1659" w:type="pct"/>
            <w:gridSpan w:val="2"/>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服务对象满意度（10分）</w:t>
            </w:r>
          </w:p>
        </w:tc>
        <w:tc>
          <w:tcPr>
            <w:tcW w:w="720"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≥95%</w:t>
            </w:r>
          </w:p>
        </w:tc>
        <w:tc>
          <w:tcPr>
            <w:tcW w:w="1001"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98%</w:t>
            </w:r>
          </w:p>
        </w:tc>
        <w:tc>
          <w:tcPr>
            <w:tcW w:w="317" w:type="pct"/>
            <w:tcBorders>
              <w:top w:val="nil"/>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 xml:space="preserve">10.00 </w:t>
            </w:r>
          </w:p>
        </w:tc>
      </w:tr>
      <w:tr>
        <w:tblPrEx>
          <w:tblCellMar>
            <w:top w:w="0" w:type="dxa"/>
            <w:left w:w="0" w:type="dxa"/>
            <w:bottom w:w="0" w:type="dxa"/>
            <w:right w:w="0" w:type="dxa"/>
          </w:tblCellMar>
        </w:tblPrEx>
        <w:trPr>
          <w:trHeight w:val="499" w:hRule="atLeast"/>
        </w:trPr>
        <w:tc>
          <w:tcPr>
            <w:tcW w:w="269" w:type="pct"/>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总分</w:t>
            </w:r>
          </w:p>
        </w:tc>
        <w:tc>
          <w:tcPr>
            <w:tcW w:w="4731" w:type="pct"/>
            <w:gridSpan w:val="7"/>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sz w:val="20"/>
                <w:szCs w:val="20"/>
              </w:rPr>
            </w:pPr>
            <w:r>
              <w:rPr>
                <w:rFonts w:hint="eastAsia" w:ascii="仿宋" w:hAnsi="仿宋" w:eastAsia="仿宋"/>
                <w:sz w:val="20"/>
                <w:szCs w:val="20"/>
              </w:rPr>
              <w:t>93.</w:t>
            </w:r>
            <w:r>
              <w:rPr>
                <w:rFonts w:ascii="仿宋" w:hAnsi="仿宋" w:eastAsia="仿宋"/>
                <w:sz w:val="20"/>
                <w:szCs w:val="20"/>
              </w:rPr>
              <w:t>85</w:t>
            </w:r>
            <w:r>
              <w:rPr>
                <w:rFonts w:hint="eastAsia" w:ascii="仿宋" w:hAnsi="仿宋" w:eastAsia="仿宋"/>
                <w:sz w:val="20"/>
                <w:szCs w:val="20"/>
              </w:rPr>
              <w:t>分</w:t>
            </w:r>
          </w:p>
        </w:tc>
      </w:tr>
      <w:tr>
        <w:tblPrEx>
          <w:tblCellMar>
            <w:top w:w="0" w:type="dxa"/>
            <w:left w:w="0" w:type="dxa"/>
            <w:bottom w:w="0" w:type="dxa"/>
            <w:right w:w="0" w:type="dxa"/>
          </w:tblCellMar>
        </w:tblPrEx>
        <w:trPr>
          <w:trHeight w:val="2445" w:hRule="atLeast"/>
        </w:trPr>
        <w:tc>
          <w:tcPr>
            <w:tcW w:w="1304"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偏差大或目标未完成原因分析</w:t>
            </w:r>
          </w:p>
        </w:tc>
        <w:tc>
          <w:tcPr>
            <w:tcW w:w="3696" w:type="pct"/>
            <w:gridSpan w:val="5"/>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left"/>
              <w:rPr>
                <w:rFonts w:hint="eastAsia" w:ascii="仿宋" w:hAnsi="仿宋" w:eastAsia="仿宋"/>
                <w:color w:val="000000"/>
                <w:sz w:val="20"/>
                <w:szCs w:val="20"/>
                <w:lang w:eastAsia="zh-CN"/>
              </w:rPr>
            </w:pPr>
            <w:r>
              <w:rPr>
                <w:rFonts w:hint="eastAsia" w:ascii="仿宋" w:hAnsi="仿宋" w:eastAsia="仿宋"/>
                <w:color w:val="000000"/>
                <w:sz w:val="20"/>
                <w:szCs w:val="20"/>
              </w:rPr>
              <w:t>1.“预算执行率”指标存在偏差的原因是：项目人员流动频繁，结算根据到岗人数据实结算，导致预算支出不足；</w:t>
            </w:r>
          </w:p>
          <w:p>
            <w:pPr>
              <w:jc w:val="left"/>
              <w:rPr>
                <w:rFonts w:hint="eastAsia" w:ascii="仿宋" w:hAnsi="仿宋" w:eastAsia="仿宋"/>
                <w:color w:val="000000"/>
                <w:sz w:val="20"/>
                <w:szCs w:val="20"/>
                <w:lang w:eastAsia="zh-CN"/>
              </w:rPr>
            </w:pPr>
            <w:r>
              <w:rPr>
                <w:rFonts w:hint="eastAsia" w:ascii="仿宋" w:hAnsi="仿宋" w:eastAsia="仿宋"/>
                <w:color w:val="000000"/>
                <w:sz w:val="20"/>
                <w:szCs w:val="20"/>
              </w:rPr>
              <w:t>2.“借用、聘用人员出勤到位数”指标存在偏差的原因是政务外包服务项目预算73个岗位，平均每月到岗人员68人；车都借用人员置业公司借用8人，实到岗6人，2人流失（考公务员）；建发公司借用14人，由于职能划转借用人员转重点办、发改局，部分人员辞职流失7人，实到岗7人，未完成目标；</w:t>
            </w:r>
          </w:p>
          <w:p>
            <w:pPr>
              <w:jc w:val="left"/>
              <w:rPr>
                <w:rFonts w:ascii="仿宋" w:hAnsi="仿宋" w:eastAsia="仿宋"/>
                <w:color w:val="000000"/>
                <w:sz w:val="20"/>
                <w:szCs w:val="20"/>
              </w:rPr>
            </w:pPr>
            <w:r>
              <w:rPr>
                <w:rFonts w:hint="eastAsia" w:ascii="仿宋" w:hAnsi="仿宋" w:eastAsia="仿宋"/>
                <w:color w:val="000000"/>
                <w:sz w:val="20"/>
                <w:szCs w:val="20"/>
              </w:rPr>
              <w:t>3.“绩效考核频率”指标存在偏差的原因是车都置业、车都建发借用人员每半年考核一次，未达到目标要求1次/月。</w:t>
            </w:r>
          </w:p>
        </w:tc>
      </w:tr>
      <w:tr>
        <w:tblPrEx>
          <w:tblCellMar>
            <w:top w:w="0" w:type="dxa"/>
            <w:left w:w="0" w:type="dxa"/>
            <w:bottom w:w="0" w:type="dxa"/>
            <w:right w:w="0" w:type="dxa"/>
          </w:tblCellMar>
        </w:tblPrEx>
        <w:trPr>
          <w:trHeight w:val="2070" w:hRule="atLeast"/>
        </w:trPr>
        <w:tc>
          <w:tcPr>
            <w:tcW w:w="1304"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仿宋" w:hAnsi="仿宋" w:eastAsia="仿宋"/>
                <w:color w:val="000000"/>
                <w:sz w:val="20"/>
                <w:szCs w:val="20"/>
              </w:rPr>
            </w:pPr>
            <w:r>
              <w:rPr>
                <w:rFonts w:hint="eastAsia" w:ascii="仿宋" w:hAnsi="仿宋" w:eastAsia="仿宋"/>
                <w:color w:val="000000"/>
                <w:sz w:val="20"/>
                <w:szCs w:val="20"/>
              </w:rPr>
              <w:t>改进措施及结果应用方案</w:t>
            </w:r>
          </w:p>
        </w:tc>
        <w:tc>
          <w:tcPr>
            <w:tcW w:w="3696" w:type="pct"/>
            <w:gridSpan w:val="5"/>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pPr>
              <w:jc w:val="left"/>
              <w:rPr>
                <w:rFonts w:hint="eastAsia" w:ascii="仿宋" w:hAnsi="仿宋" w:eastAsia="仿宋"/>
                <w:color w:val="000000"/>
                <w:sz w:val="20"/>
                <w:szCs w:val="20"/>
                <w:lang w:eastAsia="zh-CN"/>
              </w:rPr>
            </w:pPr>
            <w:r>
              <w:rPr>
                <w:rFonts w:hint="eastAsia" w:ascii="仿宋" w:hAnsi="仿宋" w:eastAsia="仿宋"/>
                <w:color w:val="000000"/>
                <w:sz w:val="20"/>
                <w:szCs w:val="20"/>
              </w:rPr>
              <w:t>1.针对“预算执行率”、“借用、聘用人员出勤到位数”指标的改进措施是梳理岗位需求，保障人员配置，做好来年预算。根据单位工作任务及安排，梳理政务服务等各岗位人员的实际需求，及时调整或增补人员，同时加强人员的培训和考核，为城建交通政务服务工作正常运转提供保障。在年底申报预算时，根据历年经验、人员实际配置和预计薪酬等，准确测算项目预算数；</w:t>
            </w:r>
          </w:p>
          <w:p>
            <w:pPr>
              <w:jc w:val="left"/>
              <w:rPr>
                <w:rFonts w:ascii="仿宋" w:hAnsi="仿宋" w:eastAsia="仿宋"/>
                <w:color w:val="000000"/>
                <w:sz w:val="20"/>
                <w:szCs w:val="20"/>
              </w:rPr>
            </w:pPr>
            <w:r>
              <w:rPr>
                <w:rFonts w:hint="eastAsia" w:ascii="仿宋" w:hAnsi="仿宋" w:eastAsia="仿宋"/>
                <w:color w:val="000000"/>
                <w:sz w:val="20"/>
                <w:szCs w:val="20"/>
              </w:rPr>
              <w:t>2.针对“绩效考核频率”指标的改进措施是用人单位提高绩效考核频率，加强月考核制度，确定科学分配制度的执行力，完善绩效奖励机制，激励员工的工作积极性，强调员工的主人翁意识，鼓励员工自我发展。</w:t>
            </w:r>
          </w:p>
        </w:tc>
      </w:tr>
      <w:tr>
        <w:tblPrEx>
          <w:tblCellMar>
            <w:top w:w="0" w:type="dxa"/>
            <w:left w:w="0" w:type="dxa"/>
            <w:bottom w:w="0" w:type="dxa"/>
            <w:right w:w="0" w:type="dxa"/>
          </w:tblCellMar>
        </w:tblPrEx>
        <w:trPr>
          <w:trHeight w:val="2682"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rPr>
                <w:rFonts w:hint="eastAsia" w:ascii="仿宋" w:hAnsi="仿宋" w:eastAsia="仿宋"/>
                <w:color w:val="000000"/>
                <w:sz w:val="20"/>
                <w:szCs w:val="20"/>
                <w:lang w:eastAsia="zh-CN"/>
              </w:rPr>
            </w:pPr>
            <w:r>
              <w:rPr>
                <w:rFonts w:hint="eastAsia" w:ascii="仿宋" w:hAnsi="仿宋" w:eastAsia="仿宋"/>
                <w:color w:val="000000"/>
                <w:sz w:val="20"/>
                <w:szCs w:val="20"/>
              </w:rPr>
              <w:t>注: 1.预算执行情况口径: 预算数为调整后财政资金总额（包括上年结余结转），执行数为资金使用单位财政资金实际支出数。</w:t>
            </w:r>
          </w:p>
          <w:p>
            <w:pPr>
              <w:rPr>
                <w:rFonts w:hint="eastAsia" w:ascii="仿宋" w:hAnsi="仿宋" w:eastAsia="仿宋"/>
                <w:color w:val="000000"/>
                <w:sz w:val="20"/>
                <w:szCs w:val="20"/>
                <w:lang w:eastAsia="zh-CN"/>
              </w:rPr>
            </w:pPr>
            <w:r>
              <w:rPr>
                <w:rFonts w:hint="eastAsia" w:ascii="仿宋" w:hAnsi="仿宋" w:eastAsia="仿宋"/>
                <w:color w:val="000000"/>
                <w:sz w:val="20"/>
                <w:szCs w:val="20"/>
              </w:rPr>
              <w:t xml:space="preserve">    2.定量指标完成数汇总原则：绝对值直接累加计算，相对值按照资金额度加权平均计算。定量指标计分原则：正向指标（即目标值≥X，得分=权重*B/A），反向指标（即目标值≤X，得分=权重*A/B），得分不得突破权重总额，定量指标先汇总完成数，再计算得分。</w:t>
            </w:r>
          </w:p>
          <w:p>
            <w:pPr>
              <w:rPr>
                <w:rFonts w:hint="eastAsia" w:ascii="仿宋" w:hAnsi="仿宋" w:eastAsia="仿宋"/>
                <w:sz w:val="20"/>
                <w:szCs w:val="20"/>
                <w:lang w:eastAsia="zh-CN"/>
              </w:rPr>
            </w:pPr>
            <w:r>
              <w:rPr>
                <w:rFonts w:hint="eastAsia" w:ascii="仿宋" w:hAnsi="仿宋" w:eastAsia="仿宋"/>
                <w:color w:val="000000"/>
                <w:sz w:val="20"/>
                <w:szCs w:val="20"/>
              </w:rPr>
              <w:t xml:space="preserve">    3.定性指标分档原则: 分成达成预期指标、部分达成预期指标并具有一定效果、未达成预期指标且效果较差三档，分别按照该指标对应分值区间100-80%（含80%）、80-50% （含50%）、50-0% 合理确定分值。汇总时，以资金</w:t>
            </w:r>
            <w:r>
              <w:rPr>
                <w:rFonts w:hint="eastAsia" w:ascii="仿宋" w:hAnsi="仿宋" w:eastAsia="仿宋"/>
                <w:sz w:val="20"/>
                <w:szCs w:val="20"/>
              </w:rPr>
              <w:t>额度为权重，对分值进行加权平均计算。</w:t>
            </w:r>
          </w:p>
          <w:p>
            <w:pPr>
              <w:rPr>
                <w:rFonts w:ascii="仿宋" w:hAnsi="仿宋" w:eastAsia="仿宋"/>
                <w:color w:val="000000"/>
                <w:sz w:val="20"/>
                <w:szCs w:val="20"/>
              </w:rPr>
            </w:pPr>
            <w:r>
              <w:rPr>
                <w:rFonts w:hint="eastAsia" w:ascii="仿宋" w:hAnsi="仿宋" w:eastAsia="仿宋"/>
                <w:sz w:val="20"/>
                <w:szCs w:val="20"/>
              </w:rPr>
              <w:t xml:space="preserve">    4.基于经济性和必要性等因素考虑，满意度指标暂可不作为必评指标。</w:t>
            </w:r>
          </w:p>
        </w:tc>
      </w:tr>
    </w:tbl>
    <w:p>
      <w:pPr>
        <w:rPr>
          <w:rFonts w:eastAsia="黑体"/>
          <w:b/>
          <w:sz w:val="32"/>
        </w:rPr>
      </w:pPr>
      <w:r>
        <w:rPr>
          <w:rFonts w:hint="eastAsia" w:eastAsia="黑体"/>
          <w:b/>
          <w:sz w:val="32"/>
        </w:rPr>
        <w:t xml:space="preserve"> </w:t>
      </w:r>
      <w:r>
        <w:rPr>
          <w:rFonts w:hint="eastAsia" w:eastAsia="黑体"/>
          <w:b/>
          <w:sz w:val="32"/>
        </w:rPr>
        <w:br w:type="page"/>
      </w:r>
    </w:p>
    <w:p>
      <w:pPr>
        <w:pStyle w:val="8"/>
        <w:numPr>
          <w:ilvl w:val="0"/>
          <w:numId w:val="1"/>
        </w:numPr>
        <w:shd w:val="clear" w:color="auto" w:fill="FFFFFF" w:themeFill="background1"/>
        <w:spacing w:line="560" w:lineRule="exact"/>
        <w:ind w:firstLine="643"/>
        <w:jc w:val="both"/>
        <w:outlineLvl w:val="0"/>
        <w:rPr>
          <w:rFonts w:ascii="Times New Roman" w:hAnsi="Times New Roman" w:eastAsia="黑体"/>
          <w:b/>
          <w:sz w:val="32"/>
        </w:rPr>
      </w:pPr>
      <w:r>
        <w:rPr>
          <w:rFonts w:hint="eastAsia" w:ascii="Times New Roman" w:hAnsi="Times New Roman" w:eastAsia="黑体"/>
          <w:b/>
          <w:sz w:val="32"/>
        </w:rPr>
        <w:t>佐证材料</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（一）基本情况</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项目立项目的</w:t>
      </w:r>
    </w:p>
    <w:p>
      <w:pPr>
        <w:widowControl/>
        <w:spacing w:line="560" w:lineRule="exact"/>
        <w:ind w:firstLine="640" w:firstLineChars="200"/>
        <w:rPr>
          <w:rFonts w:eastAsia="仿宋"/>
          <w:sz w:val="32"/>
          <w:szCs w:val="32"/>
        </w:rPr>
      </w:pPr>
      <w:r>
        <w:rPr>
          <w:rFonts w:hint="eastAsia" w:eastAsia="仿宋"/>
          <w:sz w:val="32"/>
          <w:szCs w:val="32"/>
        </w:rPr>
        <w:t xml:space="preserve">根据《党政办公室关于集中清理规范机关事业单位编外用工的通知》（武经开办〔2015〕126号）和《关于落实武经开办〔2015〕126号文件精神、切实做好编外用工清理规范工作有关问题的处理意见》等文件精神，区住建局为规范编外用工，通过政府购买服务方式将社会管理性服务、行业管理与协调性服务、技术性服务以及政府履职所需辅助性事项等工作交由专业劳务服务公司人员承担；通过向车都国有企业借用专业人员，充实管理、技术岗位人员，解决行政事业管理和专技人员编制不足的问题，以保障区住建局城建交通政务服务工作正常运转，顺利完成年度工作任务。 </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年度绩效目标</w:t>
      </w:r>
    </w:p>
    <w:p>
      <w:pPr>
        <w:widowControl/>
        <w:spacing w:line="560" w:lineRule="exact"/>
        <w:ind w:firstLine="640" w:firstLineChars="200"/>
        <w:rPr>
          <w:rFonts w:eastAsia="仿宋"/>
          <w:sz w:val="32"/>
          <w:szCs w:val="32"/>
        </w:rPr>
      </w:pPr>
      <w:r>
        <w:rPr>
          <w:rFonts w:hint="eastAsia" w:eastAsia="仿宋"/>
          <w:sz w:val="32"/>
          <w:szCs w:val="32"/>
        </w:rPr>
        <w:t>本项目2021年项目申报表中年度绩效指标设置不规范，不能全面反映项目的产出和效果，根据项目主要工作任务，调整设置绩效目标如下。</w:t>
      </w:r>
    </w:p>
    <w:p>
      <w:pPr>
        <w:widowControl/>
        <w:spacing w:line="560" w:lineRule="exact"/>
        <w:ind w:firstLine="640" w:firstLineChars="200"/>
        <w:rPr>
          <w:rFonts w:eastAsia="仿宋"/>
          <w:sz w:val="32"/>
          <w:szCs w:val="32"/>
        </w:rPr>
      </w:pPr>
      <w:r>
        <w:rPr>
          <w:rFonts w:hint="eastAsia" w:eastAsia="仿宋"/>
          <w:sz w:val="32"/>
          <w:szCs w:val="32"/>
        </w:rPr>
        <w:t>产出指标：</w:t>
      </w:r>
    </w:p>
    <w:p>
      <w:pPr>
        <w:widowControl/>
        <w:spacing w:line="560" w:lineRule="exact"/>
        <w:ind w:firstLine="640" w:firstLineChars="200"/>
        <w:rPr>
          <w:rFonts w:eastAsia="仿宋"/>
          <w:sz w:val="32"/>
          <w:szCs w:val="32"/>
        </w:rPr>
      </w:pPr>
      <w:r>
        <w:rPr>
          <w:rFonts w:hint="eastAsia" w:eastAsia="仿宋"/>
          <w:sz w:val="32"/>
          <w:szCs w:val="32"/>
        </w:rPr>
        <w:t>数量指标，借用、聘用人员出勤到位数，目标值为</w:t>
      </w:r>
      <w:r>
        <w:rPr>
          <w:rFonts w:eastAsia="仿宋"/>
          <w:sz w:val="32"/>
          <w:szCs w:val="32"/>
        </w:rPr>
        <w:t>95</w:t>
      </w:r>
      <w:r>
        <w:rPr>
          <w:rFonts w:hint="eastAsia" w:eastAsia="仿宋"/>
          <w:sz w:val="32"/>
          <w:szCs w:val="32"/>
        </w:rPr>
        <w:t>人；</w:t>
      </w:r>
    </w:p>
    <w:p>
      <w:pPr>
        <w:widowControl/>
        <w:spacing w:line="560" w:lineRule="exact"/>
        <w:ind w:firstLine="640" w:firstLineChars="200"/>
        <w:rPr>
          <w:rFonts w:eastAsia="仿宋"/>
          <w:sz w:val="32"/>
          <w:szCs w:val="32"/>
        </w:rPr>
      </w:pPr>
      <w:r>
        <w:rPr>
          <w:rFonts w:hint="eastAsia" w:eastAsia="仿宋"/>
          <w:sz w:val="32"/>
          <w:szCs w:val="32"/>
        </w:rPr>
        <w:t>数量指标，绩效考核频率，目标值为1次/月；</w:t>
      </w:r>
    </w:p>
    <w:p>
      <w:pPr>
        <w:widowControl/>
        <w:spacing w:line="560" w:lineRule="exact"/>
        <w:ind w:firstLine="640" w:firstLineChars="200"/>
        <w:rPr>
          <w:rFonts w:eastAsia="仿宋"/>
          <w:sz w:val="32"/>
          <w:szCs w:val="32"/>
        </w:rPr>
      </w:pPr>
      <w:r>
        <w:rPr>
          <w:rFonts w:hint="eastAsia" w:eastAsia="仿宋"/>
          <w:sz w:val="32"/>
          <w:szCs w:val="32"/>
        </w:rPr>
        <w:t>质量指标，绩效考核合格率，目标值为≥95%；</w:t>
      </w:r>
    </w:p>
    <w:p>
      <w:pPr>
        <w:widowControl/>
        <w:spacing w:line="560" w:lineRule="exact"/>
        <w:ind w:firstLine="640" w:firstLineChars="200"/>
        <w:rPr>
          <w:rFonts w:eastAsia="仿宋"/>
          <w:sz w:val="32"/>
          <w:szCs w:val="32"/>
        </w:rPr>
      </w:pPr>
      <w:r>
        <w:rPr>
          <w:rFonts w:hint="eastAsia" w:eastAsia="仿宋"/>
          <w:sz w:val="32"/>
          <w:szCs w:val="32"/>
        </w:rPr>
        <w:t>质量指标，绩效考核优秀率，目标值为≥20%；</w:t>
      </w:r>
    </w:p>
    <w:p>
      <w:pPr>
        <w:widowControl/>
        <w:spacing w:line="560" w:lineRule="exact"/>
        <w:ind w:firstLine="640" w:firstLineChars="200"/>
        <w:rPr>
          <w:rFonts w:eastAsia="仿宋"/>
          <w:sz w:val="32"/>
          <w:szCs w:val="32"/>
        </w:rPr>
      </w:pPr>
      <w:r>
        <w:rPr>
          <w:rFonts w:hint="eastAsia" w:eastAsia="仿宋"/>
          <w:sz w:val="32"/>
          <w:szCs w:val="32"/>
        </w:rPr>
        <w:t>时效指标，在规定时间内完成各项专项工作，目标值为按时完成；</w:t>
      </w:r>
    </w:p>
    <w:p>
      <w:pPr>
        <w:widowControl/>
        <w:spacing w:line="560" w:lineRule="exact"/>
        <w:ind w:firstLine="640" w:firstLineChars="200"/>
        <w:rPr>
          <w:rFonts w:eastAsia="仿宋"/>
          <w:sz w:val="32"/>
          <w:szCs w:val="32"/>
        </w:rPr>
      </w:pPr>
      <w:r>
        <w:rPr>
          <w:rFonts w:hint="eastAsia" w:eastAsia="仿宋"/>
          <w:sz w:val="32"/>
          <w:szCs w:val="32"/>
        </w:rPr>
        <w:t>效益指标：</w:t>
      </w:r>
    </w:p>
    <w:p>
      <w:pPr>
        <w:widowControl/>
        <w:spacing w:line="560" w:lineRule="exact"/>
        <w:ind w:firstLine="640" w:firstLineChars="200"/>
        <w:rPr>
          <w:rFonts w:eastAsia="仿宋"/>
          <w:sz w:val="32"/>
          <w:szCs w:val="32"/>
        </w:rPr>
      </w:pPr>
      <w:r>
        <w:rPr>
          <w:rFonts w:hint="eastAsia" w:eastAsia="仿宋"/>
          <w:sz w:val="32"/>
          <w:szCs w:val="32"/>
        </w:rPr>
        <w:t>社会效益指标，推进城建交通重点项目、重要工作全面完成，目标值为有所推进；</w:t>
      </w:r>
    </w:p>
    <w:p>
      <w:pPr>
        <w:widowControl/>
        <w:spacing w:line="560" w:lineRule="exact"/>
        <w:ind w:firstLine="640" w:firstLineChars="200"/>
        <w:rPr>
          <w:rFonts w:eastAsia="仿宋"/>
          <w:sz w:val="32"/>
          <w:szCs w:val="32"/>
        </w:rPr>
      </w:pPr>
      <w:r>
        <w:rPr>
          <w:rFonts w:hint="eastAsia" w:eastAsia="仿宋"/>
          <w:sz w:val="32"/>
          <w:szCs w:val="32"/>
        </w:rPr>
        <w:t>社会效益指标，提升服务标准，提高服务水平，目标值为有所提升；</w:t>
      </w:r>
    </w:p>
    <w:p>
      <w:pPr>
        <w:widowControl/>
        <w:spacing w:line="560" w:lineRule="exact"/>
        <w:ind w:firstLine="640" w:firstLineChars="200"/>
        <w:rPr>
          <w:rFonts w:eastAsia="仿宋"/>
          <w:sz w:val="32"/>
          <w:szCs w:val="32"/>
        </w:rPr>
      </w:pPr>
      <w:r>
        <w:rPr>
          <w:rFonts w:hint="eastAsia" w:eastAsia="仿宋"/>
          <w:sz w:val="32"/>
          <w:szCs w:val="32"/>
        </w:rPr>
        <w:t>可持续性指标，服务对象满意度，目标值为≥95%。</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3. 项目资金情况</w:t>
      </w:r>
    </w:p>
    <w:p>
      <w:pPr>
        <w:widowControl/>
        <w:spacing w:line="560" w:lineRule="exact"/>
        <w:ind w:firstLine="640" w:firstLineChars="200"/>
        <w:rPr>
          <w:rFonts w:eastAsia="仿宋"/>
          <w:sz w:val="32"/>
          <w:szCs w:val="32"/>
        </w:rPr>
      </w:pPr>
      <w:r>
        <w:rPr>
          <w:rFonts w:eastAsia="仿宋"/>
          <w:sz w:val="32"/>
          <w:szCs w:val="32"/>
        </w:rPr>
        <w:t>2021年度</w:t>
      </w:r>
      <w:r>
        <w:rPr>
          <w:rFonts w:hint="eastAsia" w:eastAsia="仿宋"/>
          <w:sz w:val="32"/>
          <w:szCs w:val="32"/>
        </w:rPr>
        <w:t>本项目</w:t>
      </w:r>
      <w:r>
        <w:rPr>
          <w:rFonts w:eastAsia="仿宋"/>
          <w:sz w:val="32"/>
          <w:szCs w:val="32"/>
        </w:rPr>
        <w:t>预算</w:t>
      </w:r>
      <w:r>
        <w:rPr>
          <w:rFonts w:hint="eastAsia" w:eastAsia="仿宋"/>
          <w:sz w:val="32"/>
          <w:szCs w:val="32"/>
        </w:rPr>
        <w:t>批复</w:t>
      </w:r>
      <w:r>
        <w:rPr>
          <w:rFonts w:eastAsia="仿宋"/>
          <w:sz w:val="32"/>
          <w:szCs w:val="32"/>
        </w:rPr>
        <w:t>1134</w:t>
      </w:r>
      <w:r>
        <w:rPr>
          <w:rFonts w:hint="eastAsia" w:eastAsia="仿宋"/>
          <w:sz w:val="32"/>
          <w:szCs w:val="32"/>
        </w:rPr>
        <w:t>.00</w:t>
      </w:r>
      <w:r>
        <w:rPr>
          <w:rFonts w:eastAsia="仿宋"/>
          <w:sz w:val="32"/>
          <w:szCs w:val="32"/>
        </w:rPr>
        <w:t>万元</w:t>
      </w:r>
      <w:r>
        <w:rPr>
          <w:rFonts w:hint="eastAsia" w:eastAsia="仿宋"/>
          <w:sz w:val="32"/>
          <w:szCs w:val="32"/>
        </w:rPr>
        <w:t>，</w:t>
      </w:r>
      <w:r>
        <w:rPr>
          <w:rFonts w:eastAsia="仿宋"/>
          <w:sz w:val="32"/>
          <w:szCs w:val="32"/>
        </w:rPr>
        <w:t>执行数965.54万元，预算执行率85.15</w:t>
      </w:r>
      <w:r>
        <w:rPr>
          <w:rFonts w:hint="eastAsia" w:eastAsia="仿宋"/>
          <w:sz w:val="32"/>
          <w:szCs w:val="32"/>
        </w:rPr>
        <w:t>%</w:t>
      </w:r>
      <w:r>
        <w:rPr>
          <w:rFonts w:eastAsia="仿宋"/>
          <w:sz w:val="32"/>
          <w:szCs w:val="32"/>
        </w:rPr>
        <w:t>。</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（二）部门自评工作开展情况</w:t>
      </w:r>
    </w:p>
    <w:p>
      <w:pPr>
        <w:widowControl/>
        <w:spacing w:line="560" w:lineRule="exact"/>
        <w:ind w:firstLine="42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本次自评时间从202</w:t>
      </w:r>
      <w:r>
        <w:rPr>
          <w:rFonts w:eastAsia="仿宋"/>
          <w:color w:val="000000" w:themeColor="text1"/>
          <w:sz w:val="32"/>
          <w:szCs w:val="32"/>
          <w14:textFill>
            <w14:solidFill>
              <w14:schemeClr w14:val="tx1"/>
            </w14:solidFill>
          </w14:textFill>
        </w:rPr>
        <w:t>2</w:t>
      </w:r>
      <w:r>
        <w:rPr>
          <w:rFonts w:hint="eastAsia" w:eastAsia="仿宋"/>
          <w:color w:val="000000" w:themeColor="text1"/>
          <w:sz w:val="32"/>
          <w:szCs w:val="32"/>
          <w14:textFill>
            <w14:solidFill>
              <w14:schemeClr w14:val="tx1"/>
            </w14:solidFill>
          </w14:textFill>
        </w:rPr>
        <w:t>年</w:t>
      </w:r>
      <w:r>
        <w:rPr>
          <w:rFonts w:eastAsia="仿宋"/>
          <w:color w:val="000000" w:themeColor="text1"/>
          <w:sz w:val="32"/>
          <w:szCs w:val="32"/>
          <w14:textFill>
            <w14:solidFill>
              <w14:schemeClr w14:val="tx1"/>
            </w14:solidFill>
          </w14:textFill>
        </w:rPr>
        <w:t>5</w:t>
      </w:r>
      <w:r>
        <w:rPr>
          <w:rFonts w:hint="eastAsia" w:eastAsia="仿宋"/>
          <w:color w:val="000000" w:themeColor="text1"/>
          <w:sz w:val="32"/>
          <w:szCs w:val="32"/>
          <w14:textFill>
            <w14:solidFill>
              <w14:schemeClr w14:val="tx1"/>
            </w14:solidFill>
          </w14:textFill>
        </w:rPr>
        <w:t>月</w:t>
      </w:r>
      <w:r>
        <w:rPr>
          <w:rFonts w:eastAsia="仿宋"/>
          <w:color w:val="000000" w:themeColor="text1"/>
          <w:sz w:val="32"/>
          <w:szCs w:val="32"/>
          <w14:textFill>
            <w14:solidFill>
              <w14:schemeClr w14:val="tx1"/>
            </w14:solidFill>
          </w14:textFill>
        </w:rPr>
        <w:t>15</w:t>
      </w:r>
      <w:r>
        <w:rPr>
          <w:rFonts w:hint="eastAsia" w:eastAsia="仿宋"/>
          <w:color w:val="000000" w:themeColor="text1"/>
          <w:sz w:val="32"/>
          <w:szCs w:val="32"/>
          <w14:textFill>
            <w14:solidFill>
              <w14:schemeClr w14:val="tx1"/>
            </w14:solidFill>
          </w14:textFill>
        </w:rPr>
        <w:t>日至202</w:t>
      </w:r>
      <w:r>
        <w:rPr>
          <w:rFonts w:eastAsia="仿宋"/>
          <w:color w:val="000000" w:themeColor="text1"/>
          <w:sz w:val="32"/>
          <w:szCs w:val="32"/>
          <w14:textFill>
            <w14:solidFill>
              <w14:schemeClr w14:val="tx1"/>
            </w14:solidFill>
          </w14:textFill>
        </w:rPr>
        <w:t>2</w:t>
      </w:r>
      <w:r>
        <w:rPr>
          <w:rFonts w:hint="eastAsia" w:eastAsia="仿宋"/>
          <w:color w:val="000000" w:themeColor="text1"/>
          <w:sz w:val="32"/>
          <w:szCs w:val="32"/>
          <w14:textFill>
            <w14:solidFill>
              <w14:schemeClr w14:val="tx1"/>
            </w14:solidFill>
          </w14:textFill>
        </w:rPr>
        <w:t>年</w:t>
      </w:r>
      <w:r>
        <w:rPr>
          <w:rFonts w:eastAsia="仿宋"/>
          <w:color w:val="000000" w:themeColor="text1"/>
          <w:sz w:val="32"/>
          <w:szCs w:val="32"/>
          <w14:textFill>
            <w14:solidFill>
              <w14:schemeClr w14:val="tx1"/>
            </w14:solidFill>
          </w14:textFill>
        </w:rPr>
        <w:t>5</w:t>
      </w:r>
      <w:r>
        <w:rPr>
          <w:rFonts w:hint="eastAsia" w:eastAsia="仿宋"/>
          <w:color w:val="000000" w:themeColor="text1"/>
          <w:sz w:val="32"/>
          <w:szCs w:val="32"/>
          <w14:textFill>
            <w14:solidFill>
              <w14:schemeClr w14:val="tx1"/>
            </w14:solidFill>
          </w14:textFill>
        </w:rPr>
        <w:t>月</w:t>
      </w:r>
      <w:r>
        <w:rPr>
          <w:rFonts w:eastAsia="仿宋"/>
          <w:color w:val="000000" w:themeColor="text1"/>
          <w:sz w:val="32"/>
          <w:szCs w:val="32"/>
          <w14:textFill>
            <w14:solidFill>
              <w14:schemeClr w14:val="tx1"/>
            </w14:solidFill>
          </w14:textFill>
        </w:rPr>
        <w:t>25</w:t>
      </w:r>
      <w:r>
        <w:rPr>
          <w:rFonts w:hint="eastAsia" w:eastAsia="仿宋"/>
          <w:color w:val="000000" w:themeColor="text1"/>
          <w:sz w:val="32"/>
          <w:szCs w:val="32"/>
          <w14:textFill>
            <w14:solidFill>
              <w14:schemeClr w14:val="tx1"/>
            </w14:solidFill>
          </w14:textFill>
        </w:rPr>
        <w:t>日，历时</w:t>
      </w:r>
      <w:r>
        <w:rPr>
          <w:rFonts w:eastAsia="仿宋"/>
          <w:color w:val="000000" w:themeColor="text1"/>
          <w:sz w:val="32"/>
          <w:szCs w:val="32"/>
          <w14:textFill>
            <w14:solidFill>
              <w14:schemeClr w14:val="tx1"/>
            </w14:solidFill>
          </w14:textFill>
        </w:rPr>
        <w:t>11</w:t>
      </w:r>
      <w:r>
        <w:rPr>
          <w:rFonts w:hint="eastAsia" w:eastAsia="仿宋"/>
          <w:color w:val="000000" w:themeColor="text1"/>
          <w:sz w:val="32"/>
          <w:szCs w:val="32"/>
          <w14:textFill>
            <w14:solidFill>
              <w14:schemeClr w14:val="tx1"/>
            </w14:solidFill>
          </w14:textFill>
        </w:rPr>
        <w:t>天。自评工作程序如下：</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制定工作方案</w:t>
      </w:r>
    </w:p>
    <w:p>
      <w:pPr>
        <w:widowControl/>
        <w:spacing w:line="560" w:lineRule="exact"/>
        <w:ind w:firstLine="42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部门自评工作方案由财务部门会同第三方机构共同研究制订。根据部门主要负责同志要求和武汉经济技术开发区（汉南区）财政局发布的</w:t>
      </w:r>
      <w:r>
        <w:rPr>
          <w:rFonts w:hint="eastAsia" w:eastAsia="仿宋"/>
          <w:sz w:val="32"/>
          <w:szCs w:val="32"/>
        </w:rPr>
        <w:t>《关于开展2022年预算绩效评价及项目支出绩效运行监控的通知》（武经开〔202</w:t>
      </w:r>
      <w:r>
        <w:rPr>
          <w:rFonts w:eastAsia="仿宋"/>
          <w:sz w:val="32"/>
          <w:szCs w:val="32"/>
        </w:rPr>
        <w:t>2</w:t>
      </w:r>
      <w:r>
        <w:rPr>
          <w:rFonts w:hint="eastAsia" w:eastAsia="仿宋"/>
          <w:sz w:val="32"/>
          <w:szCs w:val="32"/>
        </w:rPr>
        <w:t>〕</w:t>
      </w:r>
      <w:r>
        <w:rPr>
          <w:rFonts w:eastAsia="仿宋"/>
          <w:sz w:val="32"/>
          <w:szCs w:val="32"/>
        </w:rPr>
        <w:t>8</w:t>
      </w:r>
      <w:r>
        <w:rPr>
          <w:rFonts w:hint="eastAsia" w:eastAsia="仿宋"/>
          <w:sz w:val="32"/>
          <w:szCs w:val="32"/>
        </w:rPr>
        <w:t>号）</w:t>
      </w:r>
      <w:r>
        <w:rPr>
          <w:rFonts w:hint="eastAsia" w:eastAsia="仿宋"/>
          <w:color w:val="000000" w:themeColor="text1"/>
          <w:sz w:val="32"/>
          <w:szCs w:val="32"/>
          <w14:textFill>
            <w14:solidFill>
              <w14:schemeClr w14:val="tx1"/>
            </w14:solidFill>
          </w14:textFill>
        </w:rPr>
        <w:t>启动部门自评工作。</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组织实施自评</w:t>
      </w:r>
    </w:p>
    <w:p>
      <w:pPr>
        <w:widowControl/>
        <w:spacing w:line="560" w:lineRule="exact"/>
        <w:ind w:firstLine="640" w:firstLineChars="200"/>
        <w:rPr>
          <w:rFonts w:eastAsia="仿宋"/>
          <w:sz w:val="32"/>
          <w:szCs w:val="32"/>
        </w:rPr>
      </w:pPr>
      <w:r>
        <w:rPr>
          <w:rFonts w:eastAsia="仿宋"/>
          <w:sz w:val="32"/>
          <w:szCs w:val="32"/>
        </w:rPr>
        <w:t>财务部门会同第三方机构及时成立工作组，通过调研访谈、问卷调查等方式收集、核实数据和信息，并对这些数据和信息进行整理分析。</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3. 撰写部门自评结果</w:t>
      </w:r>
    </w:p>
    <w:p>
      <w:pPr>
        <w:widowControl/>
        <w:spacing w:line="560" w:lineRule="exact"/>
        <w:ind w:firstLine="640" w:firstLineChars="200"/>
        <w:rPr>
          <w:rFonts w:eastAsia="仿宋"/>
          <w:sz w:val="32"/>
          <w:szCs w:val="32"/>
        </w:rPr>
      </w:pPr>
      <w:r>
        <w:rPr>
          <w:rFonts w:eastAsia="仿宋"/>
          <w:sz w:val="32"/>
          <w:szCs w:val="32"/>
        </w:rPr>
        <w:t>在整理分析基础上，形成部门自评结果。</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4. 建立部门自评档案</w:t>
      </w:r>
    </w:p>
    <w:p>
      <w:pPr>
        <w:widowControl/>
        <w:spacing w:line="560" w:lineRule="exact"/>
        <w:ind w:firstLine="640" w:firstLineChars="200"/>
        <w:rPr>
          <w:rFonts w:eastAsia="仿宋"/>
          <w:sz w:val="32"/>
          <w:szCs w:val="32"/>
        </w:rPr>
      </w:pPr>
      <w:r>
        <w:rPr>
          <w:rFonts w:eastAsia="仿宋"/>
          <w:sz w:val="32"/>
          <w:szCs w:val="32"/>
        </w:rPr>
        <w:t>部门自评结果按时报送财政部门备案并及时归档备查。</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（三）绩效目标完成情况分析</w:t>
      </w:r>
    </w:p>
    <w:p>
      <w:pPr>
        <w:widowControl/>
        <w:spacing w:line="560" w:lineRule="exact"/>
        <w:ind w:firstLine="643" w:firstLineChars="200"/>
        <w:outlineLvl w:val="2"/>
        <w:rPr>
          <w:rFonts w:eastAsia="仿宋"/>
          <w:b/>
          <w:bCs/>
          <w:kern w:val="0"/>
          <w:sz w:val="32"/>
          <w:szCs w:val="32"/>
        </w:rPr>
      </w:pPr>
      <w:r>
        <w:rPr>
          <w:rFonts w:eastAsia="仿宋"/>
          <w:b/>
          <w:bCs/>
          <w:kern w:val="0"/>
          <w:sz w:val="32"/>
          <w:szCs w:val="32"/>
        </w:rPr>
        <w:t>1. 预算执行情况分析（满分20分，得分</w:t>
      </w:r>
      <w:r>
        <w:rPr>
          <w:rFonts w:hint="eastAsia" w:eastAsia="仿宋"/>
          <w:b/>
          <w:bCs/>
          <w:kern w:val="0"/>
          <w:sz w:val="32"/>
          <w:szCs w:val="32"/>
        </w:rPr>
        <w:t>1</w:t>
      </w:r>
      <w:r>
        <w:rPr>
          <w:rFonts w:eastAsia="仿宋"/>
          <w:b/>
          <w:bCs/>
          <w:kern w:val="0"/>
          <w:sz w:val="32"/>
          <w:szCs w:val="32"/>
        </w:rPr>
        <w:t>7.0分）</w:t>
      </w:r>
    </w:p>
    <w:p>
      <w:pPr>
        <w:widowControl/>
        <w:spacing w:line="560" w:lineRule="exact"/>
        <w:ind w:firstLine="640" w:firstLineChars="200"/>
        <w:rPr>
          <w:rFonts w:eastAsia="仿宋"/>
          <w:sz w:val="32"/>
          <w:szCs w:val="32"/>
        </w:rPr>
      </w:pPr>
      <w:r>
        <w:rPr>
          <w:rFonts w:eastAsia="仿宋"/>
          <w:sz w:val="32"/>
          <w:szCs w:val="32"/>
        </w:rPr>
        <w:t>2021年度</w:t>
      </w:r>
      <w:r>
        <w:rPr>
          <w:rFonts w:hint="eastAsia" w:eastAsia="仿宋"/>
          <w:sz w:val="32"/>
          <w:szCs w:val="32"/>
        </w:rPr>
        <w:t>本项目</w:t>
      </w:r>
      <w:r>
        <w:rPr>
          <w:rFonts w:eastAsia="仿宋"/>
          <w:sz w:val="32"/>
          <w:szCs w:val="32"/>
        </w:rPr>
        <w:t>预算</w:t>
      </w:r>
      <w:r>
        <w:rPr>
          <w:rFonts w:hint="eastAsia" w:eastAsia="仿宋"/>
          <w:sz w:val="32"/>
          <w:szCs w:val="32"/>
        </w:rPr>
        <w:t>批复</w:t>
      </w:r>
      <w:r>
        <w:rPr>
          <w:rFonts w:eastAsia="仿宋"/>
          <w:sz w:val="32"/>
          <w:szCs w:val="32"/>
        </w:rPr>
        <w:t>1134</w:t>
      </w:r>
      <w:r>
        <w:rPr>
          <w:rFonts w:hint="eastAsia" w:eastAsia="仿宋"/>
          <w:sz w:val="32"/>
          <w:szCs w:val="32"/>
        </w:rPr>
        <w:t>.00</w:t>
      </w:r>
      <w:r>
        <w:rPr>
          <w:rFonts w:eastAsia="仿宋"/>
          <w:sz w:val="32"/>
          <w:szCs w:val="32"/>
        </w:rPr>
        <w:t>万元</w:t>
      </w:r>
      <w:r>
        <w:rPr>
          <w:rFonts w:hint="eastAsia" w:eastAsia="仿宋"/>
          <w:sz w:val="32"/>
          <w:szCs w:val="32"/>
        </w:rPr>
        <w:t>，</w:t>
      </w:r>
      <w:r>
        <w:rPr>
          <w:rFonts w:eastAsia="仿宋"/>
          <w:sz w:val="32"/>
          <w:szCs w:val="32"/>
        </w:rPr>
        <w:t>执行数965.54万元，预算执行率85.15</w:t>
      </w:r>
      <w:r>
        <w:rPr>
          <w:rFonts w:hint="eastAsia" w:eastAsia="仿宋"/>
          <w:sz w:val="32"/>
          <w:szCs w:val="32"/>
        </w:rPr>
        <w:t>%</w:t>
      </w:r>
      <w:r>
        <w:rPr>
          <w:rFonts w:eastAsia="仿宋"/>
          <w:sz w:val="32"/>
          <w:szCs w:val="32"/>
        </w:rPr>
        <w:t>。</w:t>
      </w:r>
    </w:p>
    <w:p>
      <w:pPr>
        <w:widowControl/>
        <w:spacing w:line="560" w:lineRule="exact"/>
        <w:ind w:firstLine="643" w:firstLineChars="200"/>
        <w:outlineLvl w:val="2"/>
        <w:rPr>
          <w:rFonts w:eastAsia="仿宋"/>
          <w:b/>
          <w:bCs/>
          <w:kern w:val="0"/>
          <w:sz w:val="32"/>
          <w:szCs w:val="32"/>
        </w:rPr>
      </w:pPr>
      <w:r>
        <w:rPr>
          <w:rFonts w:hint="eastAsia" w:eastAsia="仿宋"/>
          <w:b/>
          <w:bCs/>
          <w:kern w:val="0"/>
          <w:sz w:val="32"/>
          <w:szCs w:val="32"/>
        </w:rPr>
        <w:t>2. 绩效目标完成情况分析（满分80分，得分7</w:t>
      </w:r>
      <w:r>
        <w:rPr>
          <w:rFonts w:eastAsia="仿宋"/>
          <w:b/>
          <w:bCs/>
          <w:kern w:val="0"/>
          <w:sz w:val="32"/>
          <w:szCs w:val="32"/>
        </w:rPr>
        <w:t>6.8</w:t>
      </w:r>
      <w:r>
        <w:rPr>
          <w:rFonts w:hint="eastAsia" w:eastAsia="仿宋"/>
          <w:b/>
          <w:bCs/>
          <w:kern w:val="0"/>
          <w:sz w:val="32"/>
          <w:szCs w:val="32"/>
        </w:rPr>
        <w:t>分）</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产出指标</w:t>
      </w:r>
      <w:r>
        <w:rPr>
          <w:rFonts w:eastAsia="仿宋"/>
          <w:sz w:val="32"/>
          <w:szCs w:val="32"/>
        </w:rPr>
        <w:t>完成情况分析</w:t>
      </w:r>
      <w:r>
        <w:rPr>
          <w:rFonts w:hint="eastAsia" w:eastAsia="仿宋"/>
          <w:sz w:val="32"/>
          <w:szCs w:val="32"/>
        </w:rPr>
        <w:t>（</w:t>
      </w:r>
      <w:r>
        <w:rPr>
          <w:rFonts w:eastAsia="仿宋"/>
          <w:sz w:val="32"/>
          <w:szCs w:val="32"/>
        </w:rPr>
        <w:t>满分</w:t>
      </w:r>
      <w:r>
        <w:rPr>
          <w:rFonts w:hint="eastAsia" w:eastAsia="仿宋"/>
          <w:sz w:val="32"/>
          <w:szCs w:val="32"/>
        </w:rPr>
        <w:t>40</w:t>
      </w:r>
      <w:r>
        <w:rPr>
          <w:rFonts w:eastAsia="仿宋"/>
          <w:sz w:val="32"/>
          <w:szCs w:val="32"/>
        </w:rPr>
        <w:t>分，得分</w:t>
      </w:r>
      <w:r>
        <w:rPr>
          <w:rFonts w:hint="eastAsia" w:eastAsia="仿宋"/>
          <w:sz w:val="32"/>
          <w:szCs w:val="32"/>
        </w:rPr>
        <w:t>3</w:t>
      </w:r>
      <w:r>
        <w:rPr>
          <w:rFonts w:eastAsia="仿宋"/>
          <w:sz w:val="32"/>
          <w:szCs w:val="32"/>
        </w:rPr>
        <w:t>6.8分</w:t>
      </w:r>
      <w:r>
        <w:rPr>
          <w:rFonts w:hint="eastAsia" w:eastAsia="仿宋"/>
          <w:sz w:val="32"/>
          <w:szCs w:val="32"/>
        </w:rPr>
        <w:t>）</w:t>
      </w:r>
    </w:p>
    <w:p>
      <w:pPr>
        <w:widowControl/>
        <w:spacing w:line="560" w:lineRule="exact"/>
        <w:ind w:firstLine="640" w:firstLineChars="200"/>
        <w:rPr>
          <w:rFonts w:eastAsia="仿宋"/>
          <w:sz w:val="32"/>
          <w:szCs w:val="32"/>
        </w:rPr>
      </w:pPr>
      <w:r>
        <w:rPr>
          <w:rFonts w:hint="eastAsia" w:eastAsia="仿宋"/>
          <w:sz w:val="32"/>
          <w:szCs w:val="32"/>
        </w:rPr>
        <w:t>①数量指标：满分</w:t>
      </w:r>
      <w:r>
        <w:rPr>
          <w:rFonts w:eastAsia="仿宋"/>
          <w:sz w:val="32"/>
          <w:szCs w:val="32"/>
        </w:rPr>
        <w:t>16</w:t>
      </w:r>
      <w:r>
        <w:rPr>
          <w:rFonts w:hint="eastAsia" w:eastAsia="仿宋"/>
          <w:sz w:val="32"/>
          <w:szCs w:val="32"/>
        </w:rPr>
        <w:t>分，得分</w:t>
      </w:r>
      <w:r>
        <w:rPr>
          <w:rFonts w:eastAsia="仿宋"/>
          <w:sz w:val="32"/>
          <w:szCs w:val="32"/>
        </w:rPr>
        <w:t>12.8</w:t>
      </w:r>
      <w:r>
        <w:rPr>
          <w:rFonts w:hint="eastAsia"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借用、聘用人员出勤到位率：满分</w:t>
      </w:r>
      <w:r>
        <w:rPr>
          <w:rFonts w:eastAsia="仿宋"/>
          <w:sz w:val="32"/>
          <w:szCs w:val="32"/>
        </w:rPr>
        <w:t>8</w:t>
      </w:r>
      <w:r>
        <w:rPr>
          <w:rFonts w:hint="eastAsia" w:eastAsia="仿宋"/>
          <w:sz w:val="32"/>
          <w:szCs w:val="32"/>
        </w:rPr>
        <w:t>分，得</w:t>
      </w:r>
      <w:r>
        <w:rPr>
          <w:rFonts w:eastAsia="仿宋"/>
          <w:sz w:val="32"/>
          <w:szCs w:val="32"/>
        </w:rPr>
        <w:t>分6.8分</w:t>
      </w:r>
    </w:p>
    <w:p>
      <w:pPr>
        <w:pStyle w:val="4"/>
        <w:spacing w:after="0" w:line="560" w:lineRule="exact"/>
        <w:ind w:firstLine="640" w:firstLineChars="200"/>
        <w:rPr>
          <w:rFonts w:eastAsia="仿宋"/>
          <w:sz w:val="32"/>
          <w:szCs w:val="32"/>
        </w:rPr>
      </w:pPr>
      <w:r>
        <w:rPr>
          <w:rFonts w:hint="eastAsia" w:eastAsia="仿宋"/>
          <w:sz w:val="32"/>
          <w:szCs w:val="32"/>
        </w:rPr>
        <w:t>目标为借用、聘用人员出勤到位率</w:t>
      </w:r>
      <w:r>
        <w:rPr>
          <w:rFonts w:eastAsia="仿宋"/>
          <w:sz w:val="32"/>
          <w:szCs w:val="32"/>
        </w:rPr>
        <w:t>95</w:t>
      </w:r>
      <w:r>
        <w:rPr>
          <w:rFonts w:hint="eastAsia" w:eastAsia="仿宋"/>
          <w:sz w:val="32"/>
          <w:szCs w:val="32"/>
        </w:rPr>
        <w:t>人。2021年政务外包服务项目预算73个岗位，平均每月到岗人员68人；车都借用人员置业公司借用8人，实到岗6人，2人流失（考公务员）；建发公司借用14人，由于职能划转借用人员转重点办、发改局，部分人员辞职流失7人，实到岗7人，合计在岗</w:t>
      </w:r>
      <w:r>
        <w:rPr>
          <w:rFonts w:eastAsia="仿宋"/>
          <w:sz w:val="32"/>
          <w:szCs w:val="32"/>
        </w:rPr>
        <w:t>81</w:t>
      </w:r>
      <w:r>
        <w:rPr>
          <w:rFonts w:hint="eastAsia" w:eastAsia="仿宋"/>
          <w:sz w:val="32"/>
          <w:szCs w:val="32"/>
        </w:rPr>
        <w:t>人，部分完成目标。</w:t>
      </w:r>
    </w:p>
    <w:p>
      <w:pPr>
        <w:widowControl/>
        <w:spacing w:line="560" w:lineRule="exact"/>
        <w:ind w:firstLine="640" w:firstLineChars="200"/>
        <w:rPr>
          <w:rFonts w:eastAsia="仿宋"/>
          <w:sz w:val="32"/>
          <w:szCs w:val="32"/>
        </w:rPr>
      </w:pPr>
      <w:r>
        <w:rPr>
          <w:rFonts w:hint="eastAsia" w:eastAsia="仿宋"/>
          <w:sz w:val="32"/>
          <w:szCs w:val="32"/>
        </w:rPr>
        <w:t>绩效考核频率：满分</w:t>
      </w:r>
      <w:r>
        <w:rPr>
          <w:rFonts w:eastAsia="仿宋"/>
          <w:sz w:val="32"/>
          <w:szCs w:val="32"/>
        </w:rPr>
        <w:t>8</w:t>
      </w:r>
      <w:r>
        <w:rPr>
          <w:rFonts w:hint="eastAsia" w:eastAsia="仿宋"/>
          <w:sz w:val="32"/>
          <w:szCs w:val="32"/>
        </w:rPr>
        <w:t>分，得</w:t>
      </w:r>
      <w:r>
        <w:rPr>
          <w:rFonts w:eastAsia="仿宋"/>
          <w:sz w:val="32"/>
          <w:szCs w:val="32"/>
        </w:rPr>
        <w:t>分6分</w:t>
      </w:r>
    </w:p>
    <w:p>
      <w:pPr>
        <w:pStyle w:val="4"/>
        <w:spacing w:after="0" w:line="560" w:lineRule="exact"/>
        <w:ind w:firstLine="640" w:firstLineChars="200"/>
        <w:rPr>
          <w:rFonts w:eastAsia="仿宋"/>
          <w:sz w:val="32"/>
          <w:szCs w:val="32"/>
        </w:rPr>
      </w:pPr>
      <w:r>
        <w:rPr>
          <w:rFonts w:hint="eastAsia" w:eastAsia="仿宋"/>
          <w:sz w:val="32"/>
          <w:szCs w:val="32"/>
        </w:rPr>
        <w:t>目标为绩效考核频率1次/月。2021年政务服务外包项目用工单位对服务人员每月考核一次，年终考核一次；车都置业、车都建发借用人员每半年考核一次，年终总考核，部分完成目标。</w:t>
      </w:r>
    </w:p>
    <w:p>
      <w:pPr>
        <w:widowControl/>
        <w:spacing w:line="560" w:lineRule="exact"/>
        <w:ind w:firstLine="640" w:firstLineChars="200"/>
        <w:rPr>
          <w:rFonts w:eastAsia="仿宋"/>
          <w:sz w:val="32"/>
          <w:szCs w:val="32"/>
        </w:rPr>
      </w:pPr>
      <w:r>
        <w:rPr>
          <w:rFonts w:hint="eastAsia" w:eastAsia="仿宋"/>
          <w:sz w:val="32"/>
          <w:szCs w:val="32"/>
        </w:rPr>
        <w:t>②质量指标：满分1</w:t>
      </w:r>
      <w:r>
        <w:rPr>
          <w:rFonts w:eastAsia="仿宋"/>
          <w:sz w:val="32"/>
          <w:szCs w:val="32"/>
        </w:rPr>
        <w:t>6</w:t>
      </w:r>
      <w:r>
        <w:rPr>
          <w:rFonts w:hint="eastAsia" w:eastAsia="仿宋"/>
          <w:sz w:val="32"/>
          <w:szCs w:val="32"/>
        </w:rPr>
        <w:t>分，得分1</w:t>
      </w:r>
      <w:r>
        <w:rPr>
          <w:rFonts w:eastAsia="仿宋"/>
          <w:sz w:val="32"/>
          <w:szCs w:val="32"/>
        </w:rPr>
        <w:t>6</w:t>
      </w:r>
      <w:r>
        <w:rPr>
          <w:rFonts w:hint="eastAsia"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绩效考核合格率：满分</w:t>
      </w:r>
      <w:r>
        <w:rPr>
          <w:rFonts w:eastAsia="仿宋"/>
          <w:sz w:val="32"/>
          <w:szCs w:val="32"/>
        </w:rPr>
        <w:t>8</w:t>
      </w:r>
      <w:r>
        <w:rPr>
          <w:rFonts w:hint="eastAsia" w:eastAsia="仿宋"/>
          <w:sz w:val="32"/>
          <w:szCs w:val="32"/>
        </w:rPr>
        <w:t>分，得</w:t>
      </w:r>
      <w:r>
        <w:rPr>
          <w:rFonts w:eastAsia="仿宋"/>
          <w:sz w:val="32"/>
          <w:szCs w:val="32"/>
        </w:rPr>
        <w:t>分8分</w:t>
      </w:r>
    </w:p>
    <w:p>
      <w:pPr>
        <w:pStyle w:val="4"/>
        <w:spacing w:after="0" w:line="560" w:lineRule="exact"/>
        <w:ind w:firstLine="640" w:firstLineChars="200"/>
        <w:rPr>
          <w:rFonts w:eastAsia="仿宋"/>
          <w:sz w:val="32"/>
          <w:szCs w:val="32"/>
        </w:rPr>
      </w:pPr>
      <w:r>
        <w:rPr>
          <w:rFonts w:hint="eastAsia" w:eastAsia="仿宋"/>
          <w:sz w:val="32"/>
          <w:szCs w:val="32"/>
        </w:rPr>
        <w:t>目标为绩效考核合格率≥95%。202</w:t>
      </w:r>
      <w:r>
        <w:rPr>
          <w:rFonts w:eastAsia="仿宋"/>
          <w:sz w:val="32"/>
          <w:szCs w:val="32"/>
        </w:rPr>
        <w:t>1</w:t>
      </w:r>
      <w:r>
        <w:rPr>
          <w:rFonts w:hint="eastAsia" w:eastAsia="仿宋"/>
          <w:sz w:val="32"/>
          <w:szCs w:val="32"/>
        </w:rPr>
        <w:t>年在岗人员考核全部合格，绩效考核合格率100%，完成目标。</w:t>
      </w:r>
    </w:p>
    <w:p>
      <w:pPr>
        <w:widowControl/>
        <w:spacing w:line="560" w:lineRule="exact"/>
        <w:ind w:firstLine="640" w:firstLineChars="200"/>
        <w:rPr>
          <w:rFonts w:eastAsia="仿宋"/>
          <w:sz w:val="32"/>
          <w:szCs w:val="32"/>
        </w:rPr>
      </w:pPr>
      <w:r>
        <w:rPr>
          <w:rFonts w:hint="eastAsia" w:eastAsia="仿宋"/>
          <w:sz w:val="32"/>
          <w:szCs w:val="32"/>
        </w:rPr>
        <w:t>绩效考核优秀率：满分</w:t>
      </w:r>
      <w:r>
        <w:rPr>
          <w:rFonts w:eastAsia="仿宋"/>
          <w:sz w:val="32"/>
          <w:szCs w:val="32"/>
        </w:rPr>
        <w:t>8</w:t>
      </w:r>
      <w:r>
        <w:rPr>
          <w:rFonts w:hint="eastAsia" w:eastAsia="仿宋"/>
          <w:sz w:val="32"/>
          <w:szCs w:val="32"/>
        </w:rPr>
        <w:t>分，得</w:t>
      </w:r>
      <w:r>
        <w:rPr>
          <w:rFonts w:eastAsia="仿宋"/>
          <w:sz w:val="32"/>
          <w:szCs w:val="32"/>
        </w:rPr>
        <w:t>分8分</w:t>
      </w:r>
    </w:p>
    <w:p>
      <w:pPr>
        <w:pStyle w:val="4"/>
        <w:spacing w:after="0" w:line="560" w:lineRule="exact"/>
        <w:ind w:firstLine="640" w:firstLineChars="200"/>
        <w:rPr>
          <w:rFonts w:eastAsia="仿宋"/>
          <w:sz w:val="32"/>
          <w:szCs w:val="32"/>
        </w:rPr>
      </w:pPr>
      <w:r>
        <w:rPr>
          <w:rFonts w:hint="eastAsia" w:eastAsia="仿宋"/>
          <w:sz w:val="32"/>
          <w:szCs w:val="32"/>
        </w:rPr>
        <w:t>目标为绩效考核优秀率≥20%。区住建局按照绩效考核管理要求，对人员进行考核，绩效考核优秀率20%，完成目标。</w:t>
      </w:r>
    </w:p>
    <w:p>
      <w:pPr>
        <w:widowControl/>
        <w:spacing w:line="560" w:lineRule="exact"/>
        <w:ind w:firstLine="640" w:firstLineChars="200"/>
        <w:rPr>
          <w:rFonts w:eastAsia="仿宋"/>
          <w:sz w:val="32"/>
          <w:szCs w:val="32"/>
        </w:rPr>
      </w:pPr>
      <w:r>
        <w:rPr>
          <w:rFonts w:hint="eastAsia" w:eastAsia="仿宋"/>
          <w:sz w:val="32"/>
          <w:szCs w:val="32"/>
        </w:rPr>
        <w:t>③时效指标：</w:t>
      </w:r>
      <w:r>
        <w:rPr>
          <w:rFonts w:eastAsia="仿宋"/>
          <w:sz w:val="32"/>
          <w:szCs w:val="32"/>
        </w:rPr>
        <w:t>满分</w:t>
      </w:r>
      <w:r>
        <w:rPr>
          <w:rFonts w:hint="eastAsia" w:eastAsia="仿宋"/>
          <w:sz w:val="32"/>
          <w:szCs w:val="32"/>
        </w:rPr>
        <w:t>8</w:t>
      </w:r>
      <w:r>
        <w:rPr>
          <w:rFonts w:eastAsia="仿宋"/>
          <w:sz w:val="32"/>
          <w:szCs w:val="32"/>
        </w:rPr>
        <w:t>分，得分</w:t>
      </w:r>
      <w:r>
        <w:rPr>
          <w:rFonts w:hint="eastAsia" w:eastAsia="仿宋"/>
          <w:sz w:val="32"/>
          <w:szCs w:val="32"/>
        </w:rPr>
        <w:t>8</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在规定时间内完成各项专项工作</w:t>
      </w:r>
      <w:r>
        <w:rPr>
          <w:rFonts w:eastAsia="仿宋"/>
          <w:sz w:val="32"/>
          <w:szCs w:val="32"/>
        </w:rPr>
        <w:t>：满分</w:t>
      </w:r>
      <w:r>
        <w:rPr>
          <w:rFonts w:hint="eastAsia" w:eastAsia="仿宋"/>
          <w:sz w:val="32"/>
          <w:szCs w:val="32"/>
        </w:rPr>
        <w:t>8</w:t>
      </w:r>
      <w:r>
        <w:rPr>
          <w:rFonts w:eastAsia="仿宋"/>
          <w:sz w:val="32"/>
          <w:szCs w:val="32"/>
        </w:rPr>
        <w:t>分，得分</w:t>
      </w:r>
      <w:r>
        <w:rPr>
          <w:rFonts w:hint="eastAsia" w:eastAsia="仿宋"/>
          <w:sz w:val="32"/>
          <w:szCs w:val="32"/>
        </w:rPr>
        <w:t>8</w:t>
      </w:r>
      <w:r>
        <w:rPr>
          <w:rFonts w:eastAsia="仿宋"/>
          <w:sz w:val="32"/>
          <w:szCs w:val="32"/>
        </w:rPr>
        <w:t>分</w:t>
      </w:r>
    </w:p>
    <w:p>
      <w:pPr>
        <w:pStyle w:val="4"/>
        <w:spacing w:after="0" w:line="560" w:lineRule="exact"/>
        <w:ind w:firstLine="640" w:firstLineChars="200"/>
        <w:rPr>
          <w:rFonts w:eastAsia="仿宋"/>
          <w:sz w:val="32"/>
          <w:szCs w:val="32"/>
        </w:rPr>
      </w:pPr>
      <w:r>
        <w:rPr>
          <w:rFonts w:hint="eastAsia" w:eastAsia="仿宋"/>
          <w:sz w:val="32"/>
          <w:szCs w:val="32"/>
        </w:rPr>
        <w:t>目标为在规定时间内完成各项专项工作。2021年借用、聘用人员均在规定时间内完成各岗位工作任务，完成目标。</w:t>
      </w:r>
    </w:p>
    <w:p>
      <w:pPr>
        <w:widowControl/>
        <w:spacing w:line="560" w:lineRule="exact"/>
        <w:ind w:firstLine="640" w:firstLineChars="200"/>
        <w:rPr>
          <w:rFonts w:eastAsia="仿宋"/>
          <w:sz w:val="32"/>
          <w:szCs w:val="32"/>
        </w:rPr>
      </w:pPr>
      <w:r>
        <w:rPr>
          <w:rFonts w:eastAsia="仿宋"/>
          <w:sz w:val="32"/>
          <w:szCs w:val="32"/>
        </w:rPr>
        <w:t>（2）</w:t>
      </w:r>
      <w:r>
        <w:rPr>
          <w:rFonts w:hint="eastAsia" w:eastAsia="仿宋"/>
          <w:sz w:val="32"/>
          <w:szCs w:val="32"/>
        </w:rPr>
        <w:t>效益</w:t>
      </w:r>
      <w:r>
        <w:rPr>
          <w:rFonts w:eastAsia="仿宋"/>
          <w:sz w:val="32"/>
          <w:szCs w:val="32"/>
        </w:rPr>
        <w:t>指标完成情况分析（满分</w:t>
      </w:r>
      <w:r>
        <w:rPr>
          <w:rFonts w:hint="eastAsia" w:eastAsia="仿宋"/>
          <w:sz w:val="32"/>
          <w:szCs w:val="32"/>
        </w:rPr>
        <w:t>40</w:t>
      </w:r>
      <w:r>
        <w:rPr>
          <w:rFonts w:eastAsia="仿宋"/>
          <w:sz w:val="32"/>
          <w:szCs w:val="32"/>
        </w:rPr>
        <w:t>分，得分</w:t>
      </w:r>
      <w:r>
        <w:rPr>
          <w:rFonts w:hint="eastAsia" w:eastAsia="仿宋"/>
          <w:sz w:val="32"/>
          <w:szCs w:val="32"/>
        </w:rPr>
        <w:t>40</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①社会效益指标：</w:t>
      </w:r>
      <w:r>
        <w:rPr>
          <w:rFonts w:eastAsia="仿宋"/>
          <w:sz w:val="32"/>
          <w:szCs w:val="32"/>
        </w:rPr>
        <w:t>满分</w:t>
      </w:r>
      <w:r>
        <w:rPr>
          <w:rFonts w:hint="eastAsia" w:eastAsia="仿宋"/>
          <w:sz w:val="32"/>
          <w:szCs w:val="32"/>
        </w:rPr>
        <w:t>30</w:t>
      </w:r>
      <w:r>
        <w:rPr>
          <w:rFonts w:eastAsia="仿宋"/>
          <w:sz w:val="32"/>
          <w:szCs w:val="32"/>
        </w:rPr>
        <w:t>分，得分</w:t>
      </w:r>
      <w:r>
        <w:rPr>
          <w:rFonts w:hint="eastAsia" w:eastAsia="仿宋"/>
          <w:sz w:val="32"/>
          <w:szCs w:val="32"/>
        </w:rPr>
        <w:t>30</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推进城建交通重点项目、重要工作全面完成</w:t>
      </w:r>
      <w:r>
        <w:rPr>
          <w:rFonts w:eastAsia="仿宋"/>
          <w:sz w:val="32"/>
          <w:szCs w:val="32"/>
        </w:rPr>
        <w:t>：满分</w:t>
      </w:r>
      <w:r>
        <w:rPr>
          <w:rFonts w:hint="eastAsia" w:eastAsia="仿宋"/>
          <w:sz w:val="32"/>
          <w:szCs w:val="32"/>
        </w:rPr>
        <w:t>15</w:t>
      </w:r>
      <w:r>
        <w:rPr>
          <w:rFonts w:eastAsia="仿宋"/>
          <w:sz w:val="32"/>
          <w:szCs w:val="32"/>
        </w:rPr>
        <w:t>分，得分</w:t>
      </w:r>
      <w:r>
        <w:rPr>
          <w:rFonts w:hint="eastAsia" w:eastAsia="仿宋"/>
          <w:sz w:val="32"/>
          <w:szCs w:val="32"/>
        </w:rPr>
        <w:t>15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目标为推进城建交通重点项目、重要工作全面完成。2</w:t>
      </w:r>
      <w:r>
        <w:rPr>
          <w:rFonts w:eastAsia="仿宋"/>
          <w:sz w:val="32"/>
          <w:szCs w:val="32"/>
        </w:rPr>
        <w:t>021</w:t>
      </w:r>
      <w:r>
        <w:rPr>
          <w:rFonts w:hint="eastAsia" w:eastAsia="仿宋"/>
          <w:sz w:val="32"/>
          <w:szCs w:val="32"/>
        </w:rPr>
        <w:t>年区住建局聚焦打造“武汉之南·中国车谷”、建设“经开新区·军山新城”发展战略，攻坚克难、稳中求进、创新突破，努力完成年度绩效目标任务，推动我区经济社会和住建事业高质量发展取得新成效。强化统筹协调，城建重点项目全面推进；打造经济引擎，建筑业产业跨越发展；推进城乡建设，交通事业发展再上新台阶；聚焦民生改善，住房保障管理迎难突破；释放服务效能，营商环境更便更优；铸牢底线思维，常态化疫情防控持续加力；加强社会治理，全面依法治国彰显成效；</w:t>
      </w:r>
      <w:r>
        <w:rPr>
          <w:rFonts w:hint="eastAsia" w:eastAsia="仿宋"/>
          <w:sz w:val="32"/>
          <w:szCs w:val="32"/>
          <w:lang w:val="en-US" w:eastAsia="zh-CN"/>
        </w:rPr>
        <w:t>庆祝</w:t>
      </w:r>
      <w:r>
        <w:rPr>
          <w:rFonts w:hint="eastAsia" w:eastAsia="仿宋"/>
          <w:sz w:val="32"/>
          <w:szCs w:val="32"/>
        </w:rPr>
        <w:t>建党百年，党的建设全面加强，完成目标。</w:t>
      </w:r>
    </w:p>
    <w:p>
      <w:pPr>
        <w:widowControl/>
        <w:spacing w:line="560" w:lineRule="exact"/>
        <w:ind w:firstLine="640" w:firstLineChars="200"/>
        <w:rPr>
          <w:rFonts w:eastAsia="仿宋"/>
          <w:sz w:val="32"/>
          <w:szCs w:val="32"/>
        </w:rPr>
      </w:pPr>
      <w:r>
        <w:rPr>
          <w:rFonts w:hint="eastAsia" w:eastAsia="仿宋"/>
          <w:sz w:val="32"/>
          <w:szCs w:val="32"/>
        </w:rPr>
        <w:t>提升服务标准，提高服务水平</w:t>
      </w:r>
      <w:r>
        <w:rPr>
          <w:rFonts w:eastAsia="仿宋"/>
          <w:sz w:val="32"/>
          <w:szCs w:val="32"/>
        </w:rPr>
        <w:t>：满分</w:t>
      </w:r>
      <w:r>
        <w:rPr>
          <w:rFonts w:hint="eastAsia" w:eastAsia="仿宋"/>
          <w:sz w:val="32"/>
          <w:szCs w:val="32"/>
        </w:rPr>
        <w:t>15</w:t>
      </w:r>
      <w:r>
        <w:rPr>
          <w:rFonts w:eastAsia="仿宋"/>
          <w:sz w:val="32"/>
          <w:szCs w:val="32"/>
        </w:rPr>
        <w:t>分，得分</w:t>
      </w:r>
      <w:r>
        <w:rPr>
          <w:rFonts w:hint="eastAsia" w:eastAsia="仿宋"/>
          <w:sz w:val="32"/>
          <w:szCs w:val="32"/>
        </w:rPr>
        <w:t>15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目标为提升服务标准，提高服务水平。2</w:t>
      </w:r>
      <w:r>
        <w:rPr>
          <w:rFonts w:eastAsia="仿宋"/>
          <w:sz w:val="32"/>
          <w:szCs w:val="32"/>
        </w:rPr>
        <w:t>021</w:t>
      </w:r>
      <w:r>
        <w:rPr>
          <w:rFonts w:hint="eastAsia" w:eastAsia="仿宋"/>
          <w:sz w:val="32"/>
          <w:szCs w:val="32"/>
        </w:rPr>
        <w:t>年区住建局积极开展双评议工作，切实助力服务标准提升，服务水平提高，促进建设交通事业全面发展，完成目标。</w:t>
      </w:r>
    </w:p>
    <w:p>
      <w:pPr>
        <w:widowControl/>
        <w:spacing w:line="560" w:lineRule="exact"/>
        <w:ind w:firstLine="640" w:firstLineChars="200"/>
        <w:rPr>
          <w:rFonts w:eastAsia="仿宋"/>
          <w:sz w:val="32"/>
          <w:szCs w:val="32"/>
        </w:rPr>
      </w:pPr>
      <w:r>
        <w:rPr>
          <w:rFonts w:hint="eastAsia" w:eastAsia="仿宋"/>
          <w:sz w:val="32"/>
          <w:szCs w:val="32"/>
        </w:rPr>
        <w:t>服务对象满意度</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10</w:t>
      </w:r>
      <w:r>
        <w:rPr>
          <w:rFonts w:eastAsia="仿宋"/>
          <w:sz w:val="32"/>
          <w:szCs w:val="32"/>
        </w:rPr>
        <w:t>分</w:t>
      </w:r>
      <w:bookmarkStart w:id="1" w:name="_GoBack"/>
      <w:bookmarkEnd w:id="1"/>
    </w:p>
    <w:p>
      <w:pPr>
        <w:widowControl/>
        <w:spacing w:line="560" w:lineRule="exact"/>
        <w:ind w:firstLine="640" w:firstLineChars="200"/>
        <w:rPr>
          <w:rFonts w:eastAsia="仿宋"/>
          <w:sz w:val="32"/>
          <w:szCs w:val="32"/>
        </w:rPr>
      </w:pPr>
      <w:r>
        <w:rPr>
          <w:rFonts w:hint="eastAsia" w:eastAsia="仿宋"/>
          <w:sz w:val="32"/>
          <w:szCs w:val="32"/>
        </w:rPr>
        <w:t>目标为服务对象满意度≥95%。2021年群众满意率为</w:t>
      </w:r>
      <w:r>
        <w:rPr>
          <w:rFonts w:eastAsia="仿宋"/>
          <w:sz w:val="32"/>
          <w:szCs w:val="32"/>
        </w:rPr>
        <w:t>98</w:t>
      </w:r>
      <w:r>
        <w:rPr>
          <w:rFonts w:hint="eastAsia" w:eastAsia="仿宋"/>
          <w:sz w:val="32"/>
          <w:szCs w:val="32"/>
        </w:rPr>
        <w:t>%，完成目标。</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（四）上年度部门自评结果应用情况</w:t>
      </w:r>
    </w:p>
    <w:p>
      <w:pPr>
        <w:widowControl/>
        <w:spacing w:line="560" w:lineRule="exact"/>
        <w:ind w:firstLine="640" w:firstLineChars="200"/>
        <w:rPr>
          <w:rFonts w:eastAsia="仿宋"/>
          <w:sz w:val="32"/>
          <w:szCs w:val="32"/>
        </w:rPr>
      </w:pPr>
      <w:r>
        <w:rPr>
          <w:rFonts w:hint="eastAsia" w:eastAsia="仿宋"/>
          <w:sz w:val="32"/>
          <w:szCs w:val="32"/>
        </w:rPr>
        <w:t>本项目上年度实施了绩效自评并形成了项目自评表及项目自评报告。通过上年度的绩效自评工作，规范了绩效指标的“指标内容”和“指标值”填写，例如，数量指标的指标内容表述为“绩效考核频率”，明确、量化指标内容。上年度所有指标的指标值笼统地设置为95%，本年度指标的指标值与各项指标内容相结合，体现各项指标的实际工作目标。</w:t>
      </w:r>
    </w:p>
    <w:p>
      <w:pPr>
        <w:pStyle w:val="2"/>
      </w:pPr>
    </w:p>
    <w:p>
      <w:pPr>
        <w:rPr>
          <w:rFonts w:hint="eastAsia"/>
        </w:rPr>
      </w:pP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（五）其他佐证材料</w:t>
      </w:r>
    </w:p>
    <w:p>
      <w:pPr>
        <w:widowControl/>
        <w:spacing w:line="560" w:lineRule="exact"/>
        <w:ind w:firstLine="640" w:firstLineChars="200"/>
        <w:rPr>
          <w:rFonts w:eastAsia="仿宋"/>
          <w:sz w:val="32"/>
          <w:szCs w:val="32"/>
        </w:rPr>
      </w:pPr>
      <w:r>
        <w:rPr>
          <w:rFonts w:eastAsia="仿宋"/>
          <w:sz w:val="32"/>
          <w:szCs w:val="32"/>
        </w:rPr>
        <w:t>无。</w:t>
      </w:r>
    </w:p>
    <w:p>
      <w:pPr>
        <w:widowControl/>
        <w:spacing w:line="560" w:lineRule="exact"/>
        <w:ind w:firstLine="480" w:firstLineChars="200"/>
        <w:jc w:val="right"/>
        <w:rPr>
          <w:rFonts w:eastAsia="仿宋"/>
          <w:sz w:val="32"/>
          <w:szCs w:val="32"/>
        </w:rPr>
      </w:pPr>
      <w:r>
        <w:rPr>
          <w:rFonts w:eastAsia="宋体"/>
          <w:color w:val="000000"/>
          <w:kern w:val="0"/>
          <w:sz w:val="24"/>
        </w:rPr>
        <w:t xml:space="preserve">　         </w:t>
      </w:r>
      <w:r>
        <w:rPr>
          <w:rFonts w:hint="eastAsia" w:eastAsia="仿宋"/>
          <w:sz w:val="32"/>
          <w:szCs w:val="32"/>
        </w:rPr>
        <w:t>武汉经济技术开发区（汉南区）住房和城乡建设局</w:t>
      </w:r>
    </w:p>
    <w:p>
      <w:pPr>
        <w:widowControl/>
        <w:wordWrap w:val="0"/>
        <w:spacing w:line="560" w:lineRule="exact"/>
        <w:ind w:firstLine="5120" w:firstLineChars="1600"/>
        <w:jc w:val="right"/>
        <w:rPr>
          <w:rFonts w:eastAsia="仿宋"/>
          <w:sz w:val="32"/>
          <w:szCs w:val="32"/>
        </w:rPr>
      </w:pPr>
      <w:r>
        <w:rPr>
          <w:rFonts w:eastAsia="仿宋"/>
          <w:sz w:val="32"/>
          <w:szCs w:val="32"/>
        </w:rPr>
        <w:t>2022年5月25日</w:t>
      </w:r>
      <w:r>
        <w:rPr>
          <w:rFonts w:hint="eastAsia" w:eastAsia="仿宋"/>
          <w:sz w:val="32"/>
          <w:szCs w:val="32"/>
        </w:rPr>
        <w:t xml:space="preserve">            </w:t>
      </w:r>
    </w:p>
    <w:sectPr>
      <w:footerReference r:id="rId3"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14</w:t>
    </w:r>
    <w:r>
      <w:rPr>
        <w:lang w:val="zh-CN"/>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0E357"/>
    <w:multiLevelType w:val="singleLevel"/>
    <w:tmpl w:val="DEE0E35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0"/>
  <w:drawingGridVerticalSpacing w:val="58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4YmI0OTE1YTE2MGJlNjY4YmQ1MTgwYzIxYTM1N2YifQ=="/>
    <w:docVar w:name="KSO_WPS_MARK_KEY" w:val="83728d6c-5356-4a28-8870-7b40be48e3c5"/>
  </w:docVars>
  <w:rsids>
    <w:rsidRoot w:val="00F57F82"/>
    <w:rsid w:val="000101E1"/>
    <w:rsid w:val="00020084"/>
    <w:rsid w:val="00051EC6"/>
    <w:rsid w:val="00057FFB"/>
    <w:rsid w:val="00065763"/>
    <w:rsid w:val="000732DA"/>
    <w:rsid w:val="00075CDC"/>
    <w:rsid w:val="0008684B"/>
    <w:rsid w:val="000B1E8F"/>
    <w:rsid w:val="000F7ADE"/>
    <w:rsid w:val="00103D16"/>
    <w:rsid w:val="001377B5"/>
    <w:rsid w:val="00164D84"/>
    <w:rsid w:val="0017409B"/>
    <w:rsid w:val="001922DA"/>
    <w:rsid w:val="001A3002"/>
    <w:rsid w:val="001C5A40"/>
    <w:rsid w:val="001C7E41"/>
    <w:rsid w:val="001D628A"/>
    <w:rsid w:val="00203D57"/>
    <w:rsid w:val="00250053"/>
    <w:rsid w:val="0027293D"/>
    <w:rsid w:val="00287C3C"/>
    <w:rsid w:val="002B04C7"/>
    <w:rsid w:val="002F4440"/>
    <w:rsid w:val="0031678C"/>
    <w:rsid w:val="00332F8B"/>
    <w:rsid w:val="00362D7A"/>
    <w:rsid w:val="0039432D"/>
    <w:rsid w:val="003A26A2"/>
    <w:rsid w:val="003C6374"/>
    <w:rsid w:val="003D2293"/>
    <w:rsid w:val="003E04C4"/>
    <w:rsid w:val="00415F7C"/>
    <w:rsid w:val="004531B5"/>
    <w:rsid w:val="00457A1D"/>
    <w:rsid w:val="004A6386"/>
    <w:rsid w:val="004E0020"/>
    <w:rsid w:val="004F1666"/>
    <w:rsid w:val="00516271"/>
    <w:rsid w:val="00572F9F"/>
    <w:rsid w:val="005C193C"/>
    <w:rsid w:val="005C2EA2"/>
    <w:rsid w:val="005D07CE"/>
    <w:rsid w:val="006055C4"/>
    <w:rsid w:val="00687508"/>
    <w:rsid w:val="006A453E"/>
    <w:rsid w:val="006B57C1"/>
    <w:rsid w:val="006B653B"/>
    <w:rsid w:val="007553C7"/>
    <w:rsid w:val="00785AF7"/>
    <w:rsid w:val="007868B2"/>
    <w:rsid w:val="007A1DC2"/>
    <w:rsid w:val="007C0EBF"/>
    <w:rsid w:val="007D7B7E"/>
    <w:rsid w:val="00831412"/>
    <w:rsid w:val="008450D0"/>
    <w:rsid w:val="00871E38"/>
    <w:rsid w:val="00895854"/>
    <w:rsid w:val="008A20F2"/>
    <w:rsid w:val="008B50FA"/>
    <w:rsid w:val="008E34FF"/>
    <w:rsid w:val="00914333"/>
    <w:rsid w:val="00966878"/>
    <w:rsid w:val="009B6440"/>
    <w:rsid w:val="009D54D0"/>
    <w:rsid w:val="009F652F"/>
    <w:rsid w:val="00A72CA8"/>
    <w:rsid w:val="00AA2B82"/>
    <w:rsid w:val="00AB1512"/>
    <w:rsid w:val="00AC315F"/>
    <w:rsid w:val="00B22337"/>
    <w:rsid w:val="00B22814"/>
    <w:rsid w:val="00B524B8"/>
    <w:rsid w:val="00B658DE"/>
    <w:rsid w:val="00B7391F"/>
    <w:rsid w:val="00C27F72"/>
    <w:rsid w:val="00C348DC"/>
    <w:rsid w:val="00C73D48"/>
    <w:rsid w:val="00CC152C"/>
    <w:rsid w:val="00CC2FE8"/>
    <w:rsid w:val="00CC64C9"/>
    <w:rsid w:val="00D275EA"/>
    <w:rsid w:val="00D63908"/>
    <w:rsid w:val="00DD09A2"/>
    <w:rsid w:val="00DD16E3"/>
    <w:rsid w:val="00E02E05"/>
    <w:rsid w:val="00E54B40"/>
    <w:rsid w:val="00ED6D53"/>
    <w:rsid w:val="00EE6F1A"/>
    <w:rsid w:val="00F10473"/>
    <w:rsid w:val="00F15618"/>
    <w:rsid w:val="00F437B4"/>
    <w:rsid w:val="00F5389E"/>
    <w:rsid w:val="00F57F82"/>
    <w:rsid w:val="00F75963"/>
    <w:rsid w:val="00FA357A"/>
    <w:rsid w:val="01745D0A"/>
    <w:rsid w:val="02C86339"/>
    <w:rsid w:val="03623055"/>
    <w:rsid w:val="037D0BC8"/>
    <w:rsid w:val="05DC6FF8"/>
    <w:rsid w:val="065D1221"/>
    <w:rsid w:val="06F022F4"/>
    <w:rsid w:val="0845082D"/>
    <w:rsid w:val="094115EA"/>
    <w:rsid w:val="096A663E"/>
    <w:rsid w:val="09E965F2"/>
    <w:rsid w:val="0A87714B"/>
    <w:rsid w:val="0CBF575D"/>
    <w:rsid w:val="0D660F6F"/>
    <w:rsid w:val="0EBA438E"/>
    <w:rsid w:val="10426B40"/>
    <w:rsid w:val="10793D4A"/>
    <w:rsid w:val="11D7196B"/>
    <w:rsid w:val="122A5159"/>
    <w:rsid w:val="13511532"/>
    <w:rsid w:val="139840D3"/>
    <w:rsid w:val="143E091F"/>
    <w:rsid w:val="14865FC8"/>
    <w:rsid w:val="14D55517"/>
    <w:rsid w:val="150C2DB0"/>
    <w:rsid w:val="17C34C75"/>
    <w:rsid w:val="1A8E0BC2"/>
    <w:rsid w:val="1B515EE3"/>
    <w:rsid w:val="1BB80B76"/>
    <w:rsid w:val="1C125FA5"/>
    <w:rsid w:val="1CD14DDA"/>
    <w:rsid w:val="1CE94882"/>
    <w:rsid w:val="1E761F05"/>
    <w:rsid w:val="1FC7205C"/>
    <w:rsid w:val="203237D7"/>
    <w:rsid w:val="203B5808"/>
    <w:rsid w:val="20522F58"/>
    <w:rsid w:val="211537CA"/>
    <w:rsid w:val="21167BF2"/>
    <w:rsid w:val="21F20694"/>
    <w:rsid w:val="228B3D05"/>
    <w:rsid w:val="24E4263B"/>
    <w:rsid w:val="26406352"/>
    <w:rsid w:val="27125C45"/>
    <w:rsid w:val="276E7926"/>
    <w:rsid w:val="286D5E37"/>
    <w:rsid w:val="28A61929"/>
    <w:rsid w:val="295E5A23"/>
    <w:rsid w:val="2AC72633"/>
    <w:rsid w:val="2B195812"/>
    <w:rsid w:val="2DF34CC0"/>
    <w:rsid w:val="2FD80396"/>
    <w:rsid w:val="2FE17116"/>
    <w:rsid w:val="31EC0BC7"/>
    <w:rsid w:val="36CB629C"/>
    <w:rsid w:val="37604735"/>
    <w:rsid w:val="37C25012"/>
    <w:rsid w:val="37C877E9"/>
    <w:rsid w:val="38EF7AD8"/>
    <w:rsid w:val="391179DE"/>
    <w:rsid w:val="3AC26D8D"/>
    <w:rsid w:val="3AD60F72"/>
    <w:rsid w:val="3DD6679A"/>
    <w:rsid w:val="3E06382C"/>
    <w:rsid w:val="3E1672E6"/>
    <w:rsid w:val="3E185929"/>
    <w:rsid w:val="3E427927"/>
    <w:rsid w:val="3E612FB7"/>
    <w:rsid w:val="3EE947C1"/>
    <w:rsid w:val="40931DD7"/>
    <w:rsid w:val="415F08D8"/>
    <w:rsid w:val="42B46536"/>
    <w:rsid w:val="433B52D2"/>
    <w:rsid w:val="434010BE"/>
    <w:rsid w:val="44A95196"/>
    <w:rsid w:val="44DC6F9E"/>
    <w:rsid w:val="44E2230F"/>
    <w:rsid w:val="4549266A"/>
    <w:rsid w:val="46F9107C"/>
    <w:rsid w:val="48B51347"/>
    <w:rsid w:val="4A55216A"/>
    <w:rsid w:val="4AAE000A"/>
    <w:rsid w:val="4B2A565E"/>
    <w:rsid w:val="4B3509A2"/>
    <w:rsid w:val="4D4F4973"/>
    <w:rsid w:val="4DF97E9F"/>
    <w:rsid w:val="4F7E7282"/>
    <w:rsid w:val="4FE0696A"/>
    <w:rsid w:val="51A03C50"/>
    <w:rsid w:val="51FD19E1"/>
    <w:rsid w:val="52C0009F"/>
    <w:rsid w:val="5408455A"/>
    <w:rsid w:val="543B5F7F"/>
    <w:rsid w:val="54B70621"/>
    <w:rsid w:val="55673508"/>
    <w:rsid w:val="55D05801"/>
    <w:rsid w:val="56005A12"/>
    <w:rsid w:val="5729323B"/>
    <w:rsid w:val="58587667"/>
    <w:rsid w:val="59595A6F"/>
    <w:rsid w:val="599330CA"/>
    <w:rsid w:val="5A4C3EF6"/>
    <w:rsid w:val="5A7023CC"/>
    <w:rsid w:val="5A8958C0"/>
    <w:rsid w:val="5B0D23FC"/>
    <w:rsid w:val="5C314A66"/>
    <w:rsid w:val="5DB076C2"/>
    <w:rsid w:val="5E367F56"/>
    <w:rsid w:val="5EED033A"/>
    <w:rsid w:val="5F4015DE"/>
    <w:rsid w:val="60D5009F"/>
    <w:rsid w:val="63DF1591"/>
    <w:rsid w:val="65D630D8"/>
    <w:rsid w:val="660721C9"/>
    <w:rsid w:val="661E6C75"/>
    <w:rsid w:val="67C06E04"/>
    <w:rsid w:val="67F75FF5"/>
    <w:rsid w:val="681D4831"/>
    <w:rsid w:val="692E4B19"/>
    <w:rsid w:val="69513EF7"/>
    <w:rsid w:val="69BE2A6F"/>
    <w:rsid w:val="6A3413E5"/>
    <w:rsid w:val="6A786768"/>
    <w:rsid w:val="6BF3256F"/>
    <w:rsid w:val="6CE7018A"/>
    <w:rsid w:val="6E3E3F2D"/>
    <w:rsid w:val="715B2F02"/>
    <w:rsid w:val="7281713A"/>
    <w:rsid w:val="73912E38"/>
    <w:rsid w:val="74292DBE"/>
    <w:rsid w:val="74AB21C0"/>
    <w:rsid w:val="759B4EB0"/>
    <w:rsid w:val="76834D9A"/>
    <w:rsid w:val="76A548F2"/>
    <w:rsid w:val="7765772E"/>
    <w:rsid w:val="77867685"/>
    <w:rsid w:val="77F04540"/>
    <w:rsid w:val="781F36B6"/>
    <w:rsid w:val="7820224C"/>
    <w:rsid w:val="78976937"/>
    <w:rsid w:val="790627AD"/>
    <w:rsid w:val="79637AE4"/>
    <w:rsid w:val="7A5069D3"/>
    <w:rsid w:val="7ADC59FA"/>
    <w:rsid w:val="7B5E0429"/>
    <w:rsid w:val="7BDC27DF"/>
    <w:rsid w:val="7D692376"/>
    <w:rsid w:val="7DDD794F"/>
    <w:rsid w:val="7F323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5"/>
    <w:basedOn w:val="1"/>
    <w:next w:val="1"/>
    <w:qFormat/>
    <w:uiPriority w:val="0"/>
    <w:pPr>
      <w:keepNext/>
      <w:outlineLvl w:val="4"/>
    </w:pPr>
    <w:rPr>
      <w:rFonts w:ascii="宋体" w:hAnsi="宋体" w:cs="宋体"/>
      <w:b/>
      <w:bCs/>
      <w:sz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unhideWhenUsed/>
    <w:qFormat/>
    <w:uiPriority w:val="99"/>
    <w:pPr>
      <w:spacing w:after="120"/>
    </w:pPr>
  </w:style>
  <w:style w:type="paragraph" w:styleId="5">
    <w:name w:val="Balloon Text"/>
    <w:basedOn w:val="1"/>
    <w:link w:val="14"/>
    <w:qFormat/>
    <w:uiPriority w:val="0"/>
    <w:rPr>
      <w:sz w:val="18"/>
      <w:szCs w:val="18"/>
    </w:rPr>
  </w:style>
  <w:style w:type="paragraph" w:styleId="6">
    <w:name w:val="footer"/>
    <w:basedOn w:val="1"/>
    <w:link w:val="12"/>
    <w:qFormat/>
    <w:uiPriority w:val="99"/>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qFormat/>
    <w:uiPriority w:val="10"/>
    <w:pPr>
      <w:spacing w:line="360" w:lineRule="auto"/>
      <w:ind w:firstLine="200" w:firstLineChars="200"/>
      <w:jc w:val="left"/>
      <w:outlineLvl w:val="3"/>
    </w:pPr>
    <w:rPr>
      <w:rFonts w:ascii="Cambria" w:hAnsi="Cambria"/>
      <w:bCs/>
      <w:sz w:val="24"/>
      <w:szCs w:val="32"/>
    </w:rPr>
  </w:style>
  <w:style w:type="character" w:styleId="11">
    <w:name w:val="page number"/>
    <w:basedOn w:val="10"/>
    <w:qFormat/>
    <w:uiPriority w:val="0"/>
  </w:style>
  <w:style w:type="character" w:customStyle="1" w:styleId="12">
    <w:name w:val="页脚 字符"/>
    <w:basedOn w:val="10"/>
    <w:link w:val="6"/>
    <w:qFormat/>
    <w:uiPriority w:val="99"/>
    <w:rPr>
      <w:rFonts w:eastAsia="仿宋_GB2312"/>
      <w:kern w:val="2"/>
      <w:sz w:val="18"/>
      <w:szCs w:val="18"/>
    </w:rPr>
  </w:style>
  <w:style w:type="character" w:customStyle="1" w:styleId="13">
    <w:name w:val="页眉 字符"/>
    <w:basedOn w:val="10"/>
    <w:link w:val="7"/>
    <w:qFormat/>
    <w:uiPriority w:val="0"/>
    <w:rPr>
      <w:rFonts w:eastAsia="仿宋_GB2312"/>
      <w:kern w:val="2"/>
      <w:sz w:val="18"/>
      <w:szCs w:val="18"/>
    </w:rPr>
  </w:style>
  <w:style w:type="character" w:customStyle="1" w:styleId="14">
    <w:name w:val="批注框文本 字符"/>
    <w:basedOn w:val="10"/>
    <w:link w:val="5"/>
    <w:qFormat/>
    <w:uiPriority w:val="0"/>
    <w:rPr>
      <w:rFonts w:eastAsia="仿宋_GB2312"/>
      <w:kern w:val="2"/>
      <w:sz w:val="18"/>
      <w:szCs w:val="18"/>
    </w:rPr>
  </w:style>
  <w:style w:type="paragraph" w:styleId="15">
    <w:name w:val="List Paragraph"/>
    <w:basedOn w:val="1"/>
    <w:qFormat/>
    <w:uiPriority w:val="99"/>
    <w:pPr>
      <w:ind w:firstLine="420" w:firstLineChars="200"/>
    </w:pPr>
  </w:style>
  <w:style w:type="character" w:customStyle="1" w:styleId="16">
    <w:name w:val="font11"/>
    <w:basedOn w:val="10"/>
    <w:qFormat/>
    <w:uiPriority w:val="0"/>
    <w:rPr>
      <w:rFonts w:ascii="Wingdings" w:hAnsi="Wingdings" w:cs="Wingdings"/>
      <w:color w:val="000000"/>
      <w:sz w:val="20"/>
      <w:szCs w:val="20"/>
      <w:u w:val="none"/>
    </w:rPr>
  </w:style>
  <w:style w:type="character" w:customStyle="1" w:styleId="17">
    <w:name w:val="font31"/>
    <w:basedOn w:val="10"/>
    <w:qFormat/>
    <w:uiPriority w:val="0"/>
    <w:rPr>
      <w:rFonts w:hint="default" w:ascii="仿宋" w:hAnsi="仿宋" w:eastAsia="仿宋" w:cs="仿宋"/>
      <w:color w:val="000000"/>
      <w:sz w:val="20"/>
      <w:szCs w:val="20"/>
      <w:u w:val="none"/>
    </w:rPr>
  </w:style>
  <w:style w:type="character" w:customStyle="1" w:styleId="18">
    <w:name w:val="font51"/>
    <w:basedOn w:val="10"/>
    <w:qFormat/>
    <w:uiPriority w:val="0"/>
    <w:rPr>
      <w:rFonts w:ascii="Wingdings" w:hAnsi="Wingdings" w:cs="Wingdings"/>
      <w:color w:val="000000"/>
      <w:sz w:val="20"/>
      <w:szCs w:val="20"/>
      <w:u w:val="none"/>
    </w:rPr>
  </w:style>
  <w:style w:type="character" w:customStyle="1" w:styleId="19">
    <w:name w:val="font41"/>
    <w:basedOn w:val="10"/>
    <w:qFormat/>
    <w:uiPriority w:val="0"/>
    <w:rPr>
      <w:rFonts w:hint="default" w:ascii="仿宋" w:hAnsi="仿宋" w:eastAsia="仿宋" w:cs="仿宋"/>
      <w:color w:val="000000"/>
      <w:sz w:val="20"/>
      <w:szCs w:val="20"/>
      <w:u w:val="none"/>
    </w:rPr>
  </w:style>
  <w:style w:type="character" w:customStyle="1" w:styleId="20">
    <w:name w:val="font01"/>
    <w:basedOn w:val="10"/>
    <w:qFormat/>
    <w:uiPriority w:val="0"/>
    <w:rPr>
      <w:rFonts w:hint="default" w:ascii="Wingdings" w:hAnsi="Wingdings" w:cs="Wingdings"/>
      <w:color w:val="000000"/>
      <w:sz w:val="20"/>
      <w:szCs w:val="20"/>
      <w:u w:val="none"/>
    </w:rPr>
  </w:style>
  <w:style w:type="character" w:customStyle="1" w:styleId="21">
    <w:name w:val="font61"/>
    <w:basedOn w:val="10"/>
    <w:qFormat/>
    <w:uiPriority w:val="0"/>
    <w:rPr>
      <w:rFonts w:ascii="Wingdings" w:hAnsi="Wingdings" w:cs="Wingdings"/>
      <w:color w:val="000000"/>
      <w:sz w:val="20"/>
      <w:szCs w:val="20"/>
      <w:u w:val="none"/>
    </w:rPr>
  </w:style>
  <w:style w:type="character" w:customStyle="1" w:styleId="22">
    <w:name w:val="font71"/>
    <w:basedOn w:val="10"/>
    <w:qFormat/>
    <w:uiPriority w:val="0"/>
    <w:rPr>
      <w:rFonts w:hint="eastAsia" w:ascii="仿宋" w:hAnsi="仿宋" w:eastAsia="仿宋" w:cs="仿宋"/>
      <w:color w:val="000000"/>
      <w:sz w:val="20"/>
      <w:szCs w:val="20"/>
      <w:u w:val="none"/>
    </w:rPr>
  </w:style>
  <w:style w:type="character" w:customStyle="1" w:styleId="23">
    <w:name w:val="font81"/>
    <w:basedOn w:val="10"/>
    <w:qFormat/>
    <w:uiPriority w:val="0"/>
    <w:rPr>
      <w:rFonts w:hint="default" w:ascii="Wingdings" w:hAnsi="Wingdings" w:cs="Wingdings"/>
      <w:color w:val="000000"/>
      <w:sz w:val="20"/>
      <w:szCs w:val="20"/>
      <w:u w:val="none"/>
    </w:rPr>
  </w:style>
  <w:style w:type="paragraph" w:customStyle="1" w:styleId="24">
    <w:name w:val="正文1"/>
    <w:basedOn w:val="25"/>
    <w:qFormat/>
    <w:uiPriority w:val="0"/>
    <w:pPr>
      <w:jc w:val="both"/>
    </w:pPr>
    <w:rPr>
      <w:rFonts w:ascii="Times New Roman" w:hAnsi="Times New Roman" w:eastAsia="Times New Roman"/>
      <w:sz w:val="21"/>
    </w:rPr>
  </w:style>
  <w:style w:type="paragraph" w:customStyle="1" w:styleId="25">
    <w:name w:val="[Normal]"/>
    <w:qFormat/>
    <w:uiPriority w:val="6"/>
    <w:rPr>
      <w:rFonts w:ascii="宋体" w:hAnsi="宋体" w:eastAsia="宋体" w:cstheme="minorBidi"/>
      <w:sz w:val="24"/>
      <w:lang w:val="zh-CN"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4517</Words>
  <Characters>840</Characters>
  <Lines>7</Lines>
  <Paragraphs>10</Paragraphs>
  <TotalTime>64</TotalTime>
  <ScaleCrop>false</ScaleCrop>
  <LinksUpToDate>false</LinksUpToDate>
  <CharactersWithSpaces>5347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2021-02-26T14:13:00Z</dcterms:created>
  <dc:creator>lhn</dc:creator>
  <cp:lastModifiedBy>徐茫茫</cp:lastModifiedBy>
  <cp:lastPrinted>2020-12-04T01:52:00Z</cp:lastPrinted>
  <dcterms:modified xsi:type="dcterms:W3CDTF">2025-02-14T02:59:47Z</dcterms:modified>
  <dc:title>财政支出绩效评价报告</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FECA4DC1E6CD4428AFC7CE1B0B8A6FEF</vt:lpwstr>
  </property>
</Properties>
</file>