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themeFill="background1"/>
        <w:spacing w:line="560" w:lineRule="exact"/>
        <w:jc w:val="center"/>
        <w:rPr>
          <w:rFonts w:eastAsia="宋体"/>
          <w:b/>
          <w:sz w:val="36"/>
          <w:szCs w:val="36"/>
        </w:rPr>
      </w:pPr>
      <w:r>
        <w:rPr>
          <w:rFonts w:hint="eastAsia" w:eastAsia="宋体"/>
          <w:b/>
          <w:sz w:val="36"/>
          <w:szCs w:val="36"/>
        </w:rPr>
        <w:t>2021年度基建项目（交通及其他项目）</w:t>
      </w:r>
    </w:p>
    <w:p>
      <w:pPr>
        <w:shd w:val="clear" w:color="auto" w:fill="FFFFFF" w:themeFill="background1"/>
        <w:spacing w:line="560" w:lineRule="exact"/>
        <w:jc w:val="center"/>
        <w:rPr>
          <w:rFonts w:eastAsia="宋体"/>
          <w:b/>
          <w:sz w:val="36"/>
          <w:szCs w:val="36"/>
        </w:rPr>
      </w:pPr>
      <w:r>
        <w:rPr>
          <w:rFonts w:hint="eastAsia" w:eastAsia="宋体"/>
          <w:b/>
          <w:sz w:val="36"/>
          <w:szCs w:val="36"/>
        </w:rPr>
        <w:t>自评结果</w:t>
      </w:r>
    </w:p>
    <w:p>
      <w:pPr>
        <w:pStyle w:val="5"/>
        <w:shd w:val="clear" w:color="auto" w:fill="FFFFFF" w:themeFill="background1"/>
        <w:spacing w:line="560" w:lineRule="exact"/>
        <w:ind w:firstLine="0" w:firstLineChars="0"/>
        <w:jc w:val="center"/>
        <w:outlineLvl w:val="9"/>
        <w:rPr>
          <w:rFonts w:ascii="楷体" w:hAnsi="楷体" w:eastAsia="楷体" w:cs="楷体"/>
          <w:b/>
          <w:sz w:val="32"/>
        </w:rPr>
      </w:pPr>
      <w:r>
        <w:rPr>
          <w:rFonts w:hint="eastAsia" w:ascii="楷体" w:hAnsi="楷体" w:eastAsia="楷体" w:cs="楷体"/>
          <w:b/>
          <w:sz w:val="32"/>
        </w:rPr>
        <w:t>（缩略版）</w:t>
      </w:r>
    </w:p>
    <w:p>
      <w:pPr>
        <w:pStyle w:val="5"/>
        <w:shd w:val="clear" w:color="auto" w:fill="FFFFFF" w:themeFill="background1"/>
        <w:spacing w:line="560" w:lineRule="exact"/>
        <w:ind w:firstLine="643"/>
        <w:jc w:val="both"/>
        <w:outlineLvl w:val="0"/>
        <w:rPr>
          <w:rFonts w:ascii="Times New Roman" w:hAnsi="Times New Roman" w:eastAsia="黑体"/>
          <w:b/>
          <w:sz w:val="32"/>
        </w:rPr>
      </w:pPr>
      <w:r>
        <w:rPr>
          <w:rFonts w:hint="eastAsia" w:ascii="Times New Roman" w:hAnsi="Times New Roman" w:eastAsia="黑体"/>
          <w:b/>
          <w:sz w:val="32"/>
        </w:rPr>
        <w:t>一、自评结论</w:t>
      </w:r>
    </w:p>
    <w:p>
      <w:pPr>
        <w:pStyle w:val="3"/>
        <w:shd w:val="clear" w:color="auto" w:fill="FFFFFF" w:themeFill="background1"/>
        <w:spacing w:before="0" w:after="0" w:line="560" w:lineRule="exact"/>
        <w:ind w:firstLine="643" w:firstLineChars="200"/>
        <w:contextualSpacing/>
        <w:jc w:val="left"/>
        <w:rPr>
          <w:rFonts w:ascii="Times New Roman" w:hAnsi="Times New Roman" w:eastAsia="楷体" w:cs="Times New Roman"/>
        </w:rPr>
      </w:pPr>
      <w:r>
        <w:rPr>
          <w:rFonts w:hint="eastAsia" w:ascii="Times New Roman" w:hAnsi="Times New Roman" w:eastAsia="楷体" w:cs="Times New Roman"/>
        </w:rPr>
        <w:t>（一）自评得分</w:t>
      </w:r>
    </w:p>
    <w:p>
      <w:pPr>
        <w:widowControl/>
        <w:spacing w:line="560" w:lineRule="exact"/>
        <w:ind w:firstLine="640" w:firstLineChars="200"/>
        <w:rPr>
          <w:rFonts w:eastAsia="仿宋"/>
          <w:sz w:val="32"/>
          <w:szCs w:val="32"/>
        </w:rPr>
      </w:pPr>
      <w:r>
        <w:rPr>
          <w:rFonts w:eastAsia="仿宋"/>
          <w:sz w:val="32"/>
          <w:szCs w:val="32"/>
        </w:rPr>
        <w:t>202</w:t>
      </w:r>
      <w:r>
        <w:rPr>
          <w:rFonts w:hint="eastAsia" w:eastAsia="仿宋"/>
          <w:sz w:val="32"/>
          <w:szCs w:val="32"/>
        </w:rPr>
        <w:t>1</w:t>
      </w:r>
      <w:r>
        <w:rPr>
          <w:rFonts w:eastAsia="仿宋"/>
          <w:sz w:val="32"/>
          <w:szCs w:val="32"/>
        </w:rPr>
        <w:t>年度</w:t>
      </w:r>
      <w:r>
        <w:rPr>
          <w:rFonts w:hint="eastAsia" w:eastAsia="仿宋"/>
          <w:sz w:val="32"/>
          <w:szCs w:val="32"/>
        </w:rPr>
        <w:t>基建项目（交通及其他项目）</w:t>
      </w:r>
      <w:r>
        <w:rPr>
          <w:rFonts w:eastAsia="仿宋"/>
          <w:sz w:val="32"/>
          <w:szCs w:val="32"/>
        </w:rPr>
        <w:t>绩效评价综合得分为</w:t>
      </w:r>
      <w:r>
        <w:rPr>
          <w:rFonts w:hint="eastAsia" w:eastAsia="仿宋"/>
          <w:sz w:val="32"/>
          <w:szCs w:val="32"/>
        </w:rPr>
        <w:t>92.81</w:t>
      </w:r>
      <w:r>
        <w:rPr>
          <w:rFonts w:eastAsia="仿宋"/>
          <w:sz w:val="32"/>
          <w:szCs w:val="32"/>
        </w:rPr>
        <w:t>分。</w:t>
      </w:r>
    </w:p>
    <w:p>
      <w:pPr>
        <w:pStyle w:val="3"/>
        <w:shd w:val="clear" w:color="auto" w:fill="FFFFFF" w:themeFill="background1"/>
        <w:spacing w:before="0" w:after="0" w:line="560" w:lineRule="exact"/>
        <w:ind w:firstLine="643" w:firstLineChars="200"/>
        <w:contextualSpacing/>
        <w:jc w:val="left"/>
        <w:rPr>
          <w:rFonts w:ascii="Times New Roman" w:hAnsi="Times New Roman" w:eastAsia="楷体" w:cs="Times New Roman"/>
        </w:rPr>
      </w:pPr>
      <w:r>
        <w:rPr>
          <w:rFonts w:hint="eastAsia" w:ascii="Times New Roman" w:hAnsi="Times New Roman" w:eastAsia="楷体" w:cs="Times New Roman"/>
        </w:rPr>
        <w:t>（二）绩效目标完成情况</w:t>
      </w:r>
    </w:p>
    <w:p>
      <w:pPr>
        <w:widowControl/>
        <w:spacing w:line="560" w:lineRule="exact"/>
        <w:ind w:firstLine="640" w:firstLineChars="200"/>
        <w:rPr>
          <w:rFonts w:eastAsia="仿宋"/>
          <w:sz w:val="32"/>
          <w:szCs w:val="32"/>
        </w:rPr>
      </w:pPr>
      <w:r>
        <w:rPr>
          <w:rFonts w:eastAsia="仿宋"/>
          <w:sz w:val="32"/>
          <w:szCs w:val="32"/>
        </w:rPr>
        <w:t>1.</w:t>
      </w:r>
      <w:r>
        <w:rPr>
          <w:rFonts w:hint="eastAsia" w:eastAsia="仿宋"/>
          <w:sz w:val="32"/>
          <w:szCs w:val="32"/>
        </w:rPr>
        <w:t xml:space="preserve"> </w:t>
      </w:r>
      <w:r>
        <w:rPr>
          <w:rFonts w:eastAsia="仿宋"/>
          <w:sz w:val="32"/>
          <w:szCs w:val="32"/>
        </w:rPr>
        <w:t>执行率情况。202</w:t>
      </w:r>
      <w:r>
        <w:rPr>
          <w:rFonts w:hint="eastAsia" w:eastAsia="仿宋"/>
          <w:sz w:val="32"/>
          <w:szCs w:val="32"/>
        </w:rPr>
        <w:t>1</w:t>
      </w:r>
      <w:r>
        <w:rPr>
          <w:rFonts w:eastAsia="仿宋"/>
          <w:sz w:val="32"/>
          <w:szCs w:val="32"/>
        </w:rPr>
        <w:t>年度</w:t>
      </w:r>
      <w:r>
        <w:rPr>
          <w:rFonts w:hint="eastAsia" w:eastAsia="仿宋"/>
          <w:sz w:val="32"/>
          <w:szCs w:val="32"/>
        </w:rPr>
        <w:t>本项目年初</w:t>
      </w:r>
      <w:r>
        <w:rPr>
          <w:rFonts w:eastAsia="仿宋"/>
          <w:sz w:val="32"/>
          <w:szCs w:val="32"/>
        </w:rPr>
        <w:t>预算</w:t>
      </w:r>
      <w:r>
        <w:rPr>
          <w:rFonts w:hint="eastAsia" w:eastAsia="仿宋"/>
          <w:sz w:val="32"/>
          <w:szCs w:val="32"/>
        </w:rPr>
        <w:t>177327.72</w:t>
      </w:r>
      <w:r>
        <w:rPr>
          <w:rFonts w:eastAsia="仿宋"/>
          <w:sz w:val="32"/>
          <w:szCs w:val="32"/>
        </w:rPr>
        <w:t>万元，执行数</w:t>
      </w:r>
      <w:r>
        <w:rPr>
          <w:rFonts w:hint="eastAsia" w:eastAsia="仿宋"/>
          <w:sz w:val="32"/>
          <w:szCs w:val="32"/>
        </w:rPr>
        <w:t>23,328.00</w:t>
      </w:r>
      <w:r>
        <w:rPr>
          <w:rFonts w:eastAsia="仿宋"/>
          <w:sz w:val="32"/>
          <w:szCs w:val="32"/>
        </w:rPr>
        <w:t>万元，预算执行率</w:t>
      </w:r>
      <w:r>
        <w:rPr>
          <w:rFonts w:hint="eastAsia" w:eastAsia="仿宋"/>
          <w:sz w:val="32"/>
          <w:szCs w:val="32"/>
        </w:rPr>
        <w:t>91.55%</w:t>
      </w:r>
      <w:r>
        <w:rPr>
          <w:rFonts w:eastAsia="仿宋"/>
          <w:sz w:val="32"/>
          <w:szCs w:val="32"/>
        </w:rPr>
        <w:t>。</w:t>
      </w:r>
    </w:p>
    <w:p>
      <w:pPr>
        <w:widowControl/>
        <w:spacing w:line="560" w:lineRule="exact"/>
        <w:ind w:firstLine="640" w:firstLineChars="200"/>
        <w:rPr>
          <w:rFonts w:eastAsia="仿宋"/>
          <w:sz w:val="32"/>
          <w:szCs w:val="32"/>
        </w:rPr>
      </w:pPr>
      <w:r>
        <w:rPr>
          <w:rFonts w:eastAsia="仿宋"/>
          <w:sz w:val="32"/>
          <w:szCs w:val="32"/>
        </w:rPr>
        <w:t>2.</w:t>
      </w:r>
      <w:r>
        <w:rPr>
          <w:rFonts w:hint="eastAsia" w:eastAsia="仿宋"/>
          <w:sz w:val="32"/>
          <w:szCs w:val="32"/>
        </w:rPr>
        <w:t xml:space="preserve"> </w:t>
      </w:r>
      <w:r>
        <w:rPr>
          <w:rFonts w:eastAsia="仿宋"/>
          <w:sz w:val="32"/>
          <w:szCs w:val="32"/>
        </w:rPr>
        <w:t>完成的绩效目标。项目共设置</w:t>
      </w:r>
      <w:r>
        <w:rPr>
          <w:rFonts w:hint="eastAsia" w:eastAsia="仿宋"/>
          <w:sz w:val="32"/>
          <w:szCs w:val="32"/>
        </w:rPr>
        <w:t>11</w:t>
      </w:r>
      <w:r>
        <w:rPr>
          <w:rFonts w:eastAsia="仿宋"/>
          <w:sz w:val="32"/>
          <w:szCs w:val="32"/>
        </w:rPr>
        <w:t>个绩效指标，完成了</w:t>
      </w:r>
      <w:r>
        <w:rPr>
          <w:rFonts w:hint="eastAsia" w:eastAsia="仿宋"/>
          <w:sz w:val="32"/>
          <w:szCs w:val="32"/>
        </w:rPr>
        <w:t>8</w:t>
      </w:r>
      <w:r>
        <w:rPr>
          <w:rFonts w:eastAsia="仿宋"/>
          <w:sz w:val="32"/>
          <w:szCs w:val="32"/>
        </w:rPr>
        <w:t>个。资金使用规范，项目产出</w:t>
      </w:r>
      <w:r>
        <w:rPr>
          <w:rFonts w:hint="eastAsia" w:eastAsia="仿宋"/>
          <w:sz w:val="32"/>
          <w:szCs w:val="32"/>
        </w:rPr>
        <w:t>一般</w:t>
      </w:r>
      <w:r>
        <w:rPr>
          <w:rFonts w:eastAsia="仿宋"/>
          <w:sz w:val="32"/>
          <w:szCs w:val="32"/>
        </w:rPr>
        <w:t>，取得了</w:t>
      </w:r>
      <w:r>
        <w:rPr>
          <w:rFonts w:hint="eastAsia" w:eastAsia="仿宋"/>
          <w:sz w:val="32"/>
          <w:szCs w:val="32"/>
        </w:rPr>
        <w:t>一定</w:t>
      </w:r>
      <w:r>
        <w:rPr>
          <w:rFonts w:eastAsia="仿宋"/>
          <w:sz w:val="32"/>
          <w:szCs w:val="32"/>
        </w:rPr>
        <w:t>的社会效益</w:t>
      </w:r>
      <w:r>
        <w:rPr>
          <w:rFonts w:hint="eastAsia" w:eastAsia="仿宋"/>
          <w:sz w:val="32"/>
          <w:szCs w:val="32"/>
        </w:rPr>
        <w:t>。</w:t>
      </w:r>
    </w:p>
    <w:p>
      <w:pPr>
        <w:widowControl/>
        <w:spacing w:line="560" w:lineRule="exact"/>
        <w:ind w:firstLine="640" w:firstLineChars="200"/>
        <w:rPr>
          <w:rFonts w:eastAsia="仿宋"/>
          <w:sz w:val="32"/>
          <w:szCs w:val="32"/>
        </w:rPr>
      </w:pPr>
      <w:r>
        <w:rPr>
          <w:rFonts w:eastAsia="仿宋"/>
          <w:sz w:val="32"/>
          <w:szCs w:val="32"/>
        </w:rPr>
        <w:t>3.</w:t>
      </w:r>
      <w:r>
        <w:rPr>
          <w:rFonts w:hint="eastAsia" w:eastAsia="仿宋"/>
          <w:sz w:val="32"/>
          <w:szCs w:val="32"/>
        </w:rPr>
        <w:t xml:space="preserve"> </w:t>
      </w:r>
      <w:r>
        <w:rPr>
          <w:rFonts w:eastAsia="仿宋"/>
          <w:sz w:val="32"/>
          <w:szCs w:val="32"/>
        </w:rPr>
        <w:t>未完成的绩效目标。</w:t>
      </w:r>
      <w:r>
        <w:rPr>
          <w:rFonts w:hint="eastAsia" w:eastAsia="仿宋"/>
          <w:sz w:val="32"/>
          <w:szCs w:val="32"/>
        </w:rPr>
        <w:t>“续建项目完工数”年度目标值为“1项”，实际完成值为“0项”；“工程完成及时性”年度目标值为“及时”，实际完成值为“一般及时”；“改善交通出行环境”年度目标值为“改善”，实际完成值为“一定程度改善”。</w:t>
      </w:r>
    </w:p>
    <w:p>
      <w:pPr>
        <w:pStyle w:val="3"/>
        <w:shd w:val="clear" w:color="auto" w:fill="FFFFFF" w:themeFill="background1"/>
        <w:spacing w:before="0" w:after="0" w:line="560" w:lineRule="exact"/>
        <w:ind w:firstLine="643" w:firstLineChars="200"/>
        <w:contextualSpacing/>
        <w:jc w:val="left"/>
        <w:rPr>
          <w:rFonts w:ascii="Times New Roman" w:hAnsi="Times New Roman" w:eastAsia="楷体" w:cs="Times New Roman"/>
        </w:rPr>
      </w:pPr>
      <w:r>
        <w:rPr>
          <w:rFonts w:hint="eastAsia" w:ascii="Times New Roman" w:hAnsi="Times New Roman" w:eastAsia="楷体" w:cs="Times New Roman"/>
        </w:rPr>
        <w:t>（三）存在的问题和原因</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1. 上年度绩效评价结果应用情况</w:t>
      </w:r>
    </w:p>
    <w:p>
      <w:pPr>
        <w:widowControl/>
        <w:spacing w:line="560" w:lineRule="exact"/>
        <w:ind w:firstLine="640" w:firstLineChars="200"/>
        <w:rPr>
          <w:rFonts w:eastAsia="仿宋"/>
          <w:sz w:val="32"/>
          <w:szCs w:val="32"/>
        </w:rPr>
      </w:pPr>
      <w:r>
        <w:rPr>
          <w:rFonts w:hint="eastAsia" w:eastAsia="仿宋"/>
          <w:sz w:val="32"/>
          <w:szCs w:val="32"/>
        </w:rPr>
        <w:t>本项目上年度实施了绩效自评，但2021年进行预算申报时未同步进行绩效目标的申报。</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 xml:space="preserve">2. 本年度绩效存在的问题和原因                                                                                                                               </w:t>
      </w:r>
    </w:p>
    <w:p>
      <w:pPr>
        <w:widowControl/>
        <w:spacing w:line="560" w:lineRule="exact"/>
        <w:ind w:firstLine="640" w:firstLineChars="200"/>
        <w:rPr>
          <w:rFonts w:eastAsia="仿宋"/>
          <w:sz w:val="32"/>
          <w:szCs w:val="32"/>
        </w:rPr>
      </w:pPr>
      <w:r>
        <w:rPr>
          <w:rFonts w:hint="eastAsia" w:eastAsia="仿宋"/>
          <w:sz w:val="32"/>
          <w:szCs w:val="32"/>
        </w:rPr>
        <w:t>部分项目环节进度滞后。武汉港汉南区船舶污染物接收设施项目因江边防汛导致工程延期未能完工，开发区（汉南区)老旧小区改造项目因房屋拆迁受阻未能完工。</w:t>
      </w:r>
    </w:p>
    <w:p>
      <w:pPr>
        <w:pStyle w:val="3"/>
        <w:shd w:val="clear" w:color="auto" w:fill="FFFFFF" w:themeFill="background1"/>
        <w:spacing w:before="0" w:after="0" w:line="560" w:lineRule="exact"/>
        <w:ind w:firstLine="643" w:firstLineChars="200"/>
        <w:contextualSpacing/>
        <w:jc w:val="left"/>
        <w:rPr>
          <w:rFonts w:ascii="Times New Roman" w:hAnsi="Times New Roman" w:eastAsia="楷体" w:cs="Times New Roman"/>
        </w:rPr>
      </w:pPr>
      <w:r>
        <w:rPr>
          <w:rFonts w:hint="eastAsia" w:ascii="Times New Roman" w:hAnsi="Times New Roman" w:eastAsia="楷体" w:cs="Times New Roman"/>
        </w:rPr>
        <w:t>（四）下一步拟改进措施</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1. 下一步拟改进措施</w:t>
      </w:r>
    </w:p>
    <w:p>
      <w:pPr>
        <w:widowControl/>
        <w:spacing w:line="560" w:lineRule="exact"/>
        <w:ind w:firstLine="640" w:firstLineChars="200"/>
        <w:rPr>
          <w:rFonts w:eastAsia="仿宋"/>
          <w:sz w:val="32"/>
          <w:szCs w:val="32"/>
        </w:rPr>
      </w:pPr>
      <w:r>
        <w:rPr>
          <w:rFonts w:eastAsia="仿宋"/>
          <w:sz w:val="32"/>
          <w:szCs w:val="32"/>
        </w:rPr>
        <w:t>（</w:t>
      </w:r>
      <w:r>
        <w:rPr>
          <w:rFonts w:hint="eastAsia" w:eastAsia="仿宋"/>
          <w:sz w:val="32"/>
          <w:szCs w:val="32"/>
        </w:rPr>
        <w:t>1</w:t>
      </w:r>
      <w:r>
        <w:rPr>
          <w:rFonts w:eastAsia="仿宋"/>
          <w:sz w:val="32"/>
          <w:szCs w:val="32"/>
        </w:rPr>
        <w:t>）</w:t>
      </w:r>
      <w:r>
        <w:rPr>
          <w:rFonts w:hint="eastAsia" w:eastAsia="仿宋"/>
          <w:sz w:val="32"/>
          <w:szCs w:val="32"/>
        </w:rPr>
        <w:t>专人专事，加强进度管理。对未开工项目安排专人跟进前期用地及批复办理手续，主动与相关单位沟通协调，疏通阻点；对已开工项目倒排工期，在保障质量和经济可行的前提下，追赶进度；对待验收和审计的项目，完备项目资料，积极配合验收、审计的工作要求，协调解决相关问题，提高工作效率。</w:t>
      </w:r>
    </w:p>
    <w:p>
      <w:pPr>
        <w:widowControl/>
        <w:spacing w:line="560" w:lineRule="exact"/>
        <w:ind w:firstLine="640" w:firstLineChars="200"/>
        <w:rPr>
          <w:rFonts w:eastAsia="仿宋"/>
          <w:sz w:val="32"/>
          <w:szCs w:val="32"/>
        </w:rPr>
      </w:pPr>
      <w:r>
        <w:rPr>
          <w:rFonts w:eastAsia="仿宋"/>
          <w:sz w:val="32"/>
          <w:szCs w:val="32"/>
        </w:rPr>
        <w:t>（</w:t>
      </w:r>
      <w:r>
        <w:rPr>
          <w:rFonts w:hint="eastAsia" w:eastAsia="仿宋"/>
          <w:sz w:val="32"/>
          <w:szCs w:val="32"/>
        </w:rPr>
        <w:t>2</w:t>
      </w:r>
      <w:r>
        <w:rPr>
          <w:rFonts w:eastAsia="仿宋"/>
          <w:sz w:val="32"/>
          <w:szCs w:val="32"/>
        </w:rPr>
        <w:t>）</w:t>
      </w:r>
      <w:r>
        <w:rPr>
          <w:rFonts w:hint="eastAsia" w:eastAsia="仿宋"/>
          <w:sz w:val="32"/>
          <w:szCs w:val="32"/>
        </w:rPr>
        <w:t>梳理子项目情况，合理设置绩效目标。梳理每个子项目的年度工作计划和目标，制定科学合理的绩效目标和年度指标值。绩效指标需能准确反映年度工作任务量，并与预算资金量相匹配。</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2. 拟与预算安排相结合情况。</w:t>
      </w:r>
    </w:p>
    <w:p>
      <w:pPr>
        <w:widowControl/>
        <w:spacing w:line="560" w:lineRule="exact"/>
        <w:ind w:firstLine="640" w:firstLineChars="200"/>
        <w:rPr>
          <w:rFonts w:eastAsia="仿宋"/>
          <w:sz w:val="32"/>
          <w:szCs w:val="32"/>
        </w:rPr>
      </w:pPr>
      <w:r>
        <w:rPr>
          <w:rFonts w:eastAsia="仿宋"/>
          <w:sz w:val="32"/>
          <w:szCs w:val="32"/>
        </w:rPr>
        <w:t>今后在进行预算申报或预算调整时，根据</w:t>
      </w:r>
      <w:r>
        <w:rPr>
          <w:rFonts w:hint="eastAsia" w:eastAsia="仿宋"/>
          <w:sz w:val="32"/>
          <w:szCs w:val="32"/>
        </w:rPr>
        <w:t>子项目预期进度及任务量</w:t>
      </w:r>
      <w:r>
        <w:rPr>
          <w:rFonts w:eastAsia="仿宋"/>
          <w:sz w:val="32"/>
          <w:szCs w:val="32"/>
        </w:rPr>
        <w:t>，更加准确地测算</w:t>
      </w:r>
      <w:r>
        <w:rPr>
          <w:rFonts w:hint="eastAsia" w:eastAsia="仿宋"/>
          <w:sz w:val="32"/>
          <w:szCs w:val="32"/>
        </w:rPr>
        <w:t>子</w:t>
      </w:r>
      <w:r>
        <w:rPr>
          <w:rFonts w:eastAsia="仿宋"/>
          <w:sz w:val="32"/>
          <w:szCs w:val="32"/>
        </w:rPr>
        <w:t>项目</w:t>
      </w:r>
      <w:r>
        <w:rPr>
          <w:rFonts w:hint="eastAsia" w:eastAsia="仿宋"/>
          <w:sz w:val="32"/>
          <w:szCs w:val="32"/>
        </w:rPr>
        <w:t>所需</w:t>
      </w:r>
      <w:r>
        <w:rPr>
          <w:rFonts w:eastAsia="仿宋"/>
          <w:sz w:val="32"/>
          <w:szCs w:val="32"/>
        </w:rPr>
        <w:t>资金</w:t>
      </w:r>
      <w:r>
        <w:rPr>
          <w:rFonts w:hint="eastAsia" w:eastAsia="仿宋"/>
          <w:sz w:val="32"/>
          <w:szCs w:val="32"/>
        </w:rPr>
        <w:t>量</w:t>
      </w:r>
      <w:r>
        <w:rPr>
          <w:rFonts w:eastAsia="仿宋"/>
          <w:sz w:val="32"/>
          <w:szCs w:val="32"/>
        </w:rPr>
        <w:t>。</w:t>
      </w:r>
      <w:r>
        <w:rPr>
          <w:rFonts w:hint="eastAsia" w:eastAsia="仿宋"/>
          <w:sz w:val="32"/>
          <w:szCs w:val="32"/>
        </w:rPr>
        <w:t>在填报项目申报表时</w:t>
      </w:r>
      <w:r>
        <w:rPr>
          <w:rFonts w:eastAsia="仿宋"/>
          <w:sz w:val="32"/>
          <w:szCs w:val="32"/>
        </w:rPr>
        <w:t>，</w:t>
      </w:r>
      <w:r>
        <w:rPr>
          <w:rFonts w:hint="eastAsia" w:eastAsia="仿宋"/>
          <w:sz w:val="32"/>
          <w:szCs w:val="32"/>
        </w:rPr>
        <w:t>梳理每个子项目的年度工作计划和目标，制定科学合理的绩效目标和年度指标值。</w:t>
      </w:r>
    </w:p>
    <w:p>
      <w:pPr>
        <w:pStyle w:val="4"/>
      </w:pPr>
    </w:p>
    <w:p>
      <w:pPr>
        <w:keepNext/>
        <w:keepLines/>
        <w:shd w:val="clear" w:color="auto" w:fill="FFFFFF" w:themeFill="background1"/>
        <w:spacing w:line="560" w:lineRule="exact"/>
        <w:ind w:firstLine="640" w:firstLineChars="200"/>
        <w:contextualSpacing/>
        <w:jc w:val="left"/>
        <w:rPr>
          <w:rFonts w:eastAsia="楷体"/>
          <w:sz w:val="32"/>
          <w:szCs w:val="32"/>
        </w:rPr>
      </w:pPr>
      <w:r>
        <w:rPr>
          <w:rFonts w:hint="eastAsia" w:eastAsia="楷体"/>
          <w:sz w:val="32"/>
          <w:szCs w:val="32"/>
        </w:rPr>
        <w:t>附件：2021年度基建项目（交通及其他项目）自评表</w:t>
      </w:r>
    </w:p>
    <w:p>
      <w:pPr>
        <w:rPr>
          <w:rFonts w:eastAsia="楷体"/>
          <w:sz w:val="32"/>
          <w:szCs w:val="32"/>
        </w:rPr>
      </w:pPr>
      <w:r>
        <w:rPr>
          <w:rFonts w:hint="eastAsia" w:eastAsia="楷体"/>
          <w:sz w:val="32"/>
          <w:szCs w:val="32"/>
        </w:rPr>
        <w:br w:type="page"/>
      </w:r>
    </w:p>
    <w:p>
      <w:pPr>
        <w:pStyle w:val="3"/>
        <w:shd w:val="clear" w:color="auto" w:fill="FFFFFF" w:themeFill="background1"/>
        <w:spacing w:before="0" w:after="0" w:line="560" w:lineRule="exact"/>
        <w:ind w:firstLine="643" w:firstLineChars="200"/>
        <w:contextualSpacing/>
        <w:jc w:val="left"/>
      </w:pPr>
      <w:bookmarkStart w:id="0" w:name="_Toc28163"/>
      <w:r>
        <w:rPr>
          <w:rFonts w:hint="eastAsia" w:ascii="Times New Roman" w:hAnsi="Times New Roman" w:eastAsia="楷体" w:cs="Times New Roman"/>
        </w:rPr>
        <w:t xml:space="preserve">附件： </w:t>
      </w:r>
      <w:bookmarkEnd w:id="0"/>
    </w:p>
    <w:p>
      <w:pPr>
        <w:pStyle w:val="4"/>
        <w:jc w:val="center"/>
      </w:pPr>
      <w:r>
        <w:rPr>
          <w:rFonts w:hint="eastAsia" w:eastAsia="仿宋"/>
          <w:color w:val="000000"/>
          <w:kern w:val="0"/>
          <w:sz w:val="32"/>
          <w:szCs w:val="32"/>
        </w:rPr>
        <w:t>2021年度基建项目（交通及其他项目）自评表</w:t>
      </w:r>
    </w:p>
    <w:tbl>
      <w:tblPr>
        <w:tblStyle w:val="6"/>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2"/>
        <w:gridCol w:w="612"/>
        <w:gridCol w:w="1107"/>
        <w:gridCol w:w="1234"/>
        <w:gridCol w:w="1420"/>
        <w:gridCol w:w="1279"/>
        <w:gridCol w:w="1158"/>
        <w:gridCol w:w="1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900" w:type="pct"/>
            <w:gridSpan w:val="2"/>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项目名称</w:t>
            </w:r>
          </w:p>
        </w:tc>
        <w:tc>
          <w:tcPr>
            <w:tcW w:w="4099" w:type="pct"/>
            <w:gridSpan w:val="6"/>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基建项目（交通及其他项目）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900" w:type="pct"/>
            <w:gridSpan w:val="2"/>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主管部门</w:t>
            </w:r>
          </w:p>
        </w:tc>
        <w:tc>
          <w:tcPr>
            <w:tcW w:w="1315" w:type="pct"/>
            <w:gridSpan w:val="2"/>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武汉经济技术开发区（汉南区）住房和城乡建设局</w:t>
            </w:r>
          </w:p>
        </w:tc>
        <w:tc>
          <w:tcPr>
            <w:tcW w:w="798"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项目实施单位</w:t>
            </w:r>
          </w:p>
        </w:tc>
        <w:tc>
          <w:tcPr>
            <w:tcW w:w="1986" w:type="pct"/>
            <w:gridSpan w:val="3"/>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武汉经济技术开发区（汉南区）住房和城乡建设局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900" w:type="pct"/>
            <w:gridSpan w:val="2"/>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项目类别</w:t>
            </w:r>
          </w:p>
        </w:tc>
        <w:tc>
          <w:tcPr>
            <w:tcW w:w="4099" w:type="pct"/>
            <w:gridSpan w:val="6"/>
            <w:shd w:val="clear" w:color="auto" w:fill="auto"/>
            <w:noWrap/>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1.部门预算项目</w:t>
            </w:r>
            <w:r>
              <w:rPr>
                <w:rFonts w:ascii="Wingdings" w:hAnsi="Wingdings" w:eastAsia="仿宋" w:cs="Wingdings"/>
                <w:color w:val="000000"/>
                <w:kern w:val="0"/>
                <w:sz w:val="20"/>
                <w:szCs w:val="20"/>
                <w:lang w:bidi="ar"/>
              </w:rPr>
              <w:t>¨</w:t>
            </w:r>
            <w:r>
              <w:rPr>
                <w:rFonts w:hint="eastAsia" w:ascii="仿宋" w:hAnsi="仿宋" w:eastAsia="仿宋" w:cs="仿宋"/>
                <w:color w:val="000000"/>
                <w:kern w:val="0"/>
                <w:sz w:val="20"/>
                <w:szCs w:val="20"/>
                <w:lang w:bidi="ar"/>
              </w:rPr>
              <w:t xml:space="preserve">              2.财政专项资金</w:t>
            </w:r>
            <w:r>
              <w:rPr>
                <w:rFonts w:ascii="Wingdings" w:hAnsi="Wingdings" w:eastAsia="仿宋" w:cs="Wingdings"/>
                <w:color w:val="000000"/>
                <w:kern w:val="0"/>
                <w:sz w:val="20"/>
                <w:szCs w:val="20"/>
                <w:lang w:bidi="ar"/>
              </w:rPr>
              <w:t>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900" w:type="pct"/>
            <w:gridSpan w:val="2"/>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项目属性</w:t>
            </w:r>
          </w:p>
        </w:tc>
        <w:tc>
          <w:tcPr>
            <w:tcW w:w="4099" w:type="pct"/>
            <w:gridSpan w:val="6"/>
            <w:shd w:val="clear" w:color="auto" w:fill="auto"/>
            <w:noWrap/>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1.持续性项目</w:t>
            </w:r>
            <w:r>
              <w:rPr>
                <w:rFonts w:ascii="Wingdings" w:hAnsi="Wingdings" w:eastAsia="仿宋" w:cs="Wingdings"/>
                <w:color w:val="000000"/>
                <w:kern w:val="0"/>
                <w:sz w:val="20"/>
                <w:szCs w:val="20"/>
                <w:lang w:bidi="ar"/>
              </w:rPr>
              <w:t>þ</w:t>
            </w:r>
            <w:r>
              <w:rPr>
                <w:rFonts w:hint="eastAsia" w:ascii="仿宋" w:hAnsi="仿宋" w:eastAsia="仿宋" w:cs="仿宋"/>
                <w:color w:val="000000"/>
                <w:kern w:val="0"/>
                <w:sz w:val="20"/>
                <w:szCs w:val="20"/>
                <w:lang w:bidi="ar"/>
              </w:rPr>
              <w:t xml:space="preserve">                2.新增性项目</w:t>
            </w:r>
            <w:r>
              <w:rPr>
                <w:rFonts w:ascii="Wingdings" w:hAnsi="Wingdings" w:eastAsia="仿宋" w:cs="Wingdings"/>
                <w:color w:val="000000"/>
                <w:kern w:val="0"/>
                <w:sz w:val="20"/>
                <w:szCs w:val="20"/>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900" w:type="pct"/>
            <w:gridSpan w:val="2"/>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项目类型</w:t>
            </w:r>
          </w:p>
        </w:tc>
        <w:tc>
          <w:tcPr>
            <w:tcW w:w="4099" w:type="pct"/>
            <w:gridSpan w:val="6"/>
            <w:shd w:val="clear" w:color="auto" w:fill="auto"/>
            <w:noWrap/>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1.常年性项目</w:t>
            </w:r>
            <w:r>
              <w:rPr>
                <w:rFonts w:ascii="Wingdings" w:hAnsi="Wingdings" w:eastAsia="仿宋" w:cs="Wingdings"/>
                <w:color w:val="000000"/>
                <w:kern w:val="0"/>
                <w:sz w:val="20"/>
                <w:szCs w:val="20"/>
                <w:lang w:bidi="ar"/>
              </w:rPr>
              <w:t>þ</w:t>
            </w:r>
            <w:r>
              <w:rPr>
                <w:rFonts w:hint="eastAsia" w:ascii="仿宋" w:hAnsi="仿宋" w:eastAsia="仿宋" w:cs="仿宋"/>
                <w:color w:val="000000"/>
                <w:kern w:val="0"/>
                <w:sz w:val="20"/>
                <w:szCs w:val="20"/>
                <w:lang w:bidi="ar"/>
              </w:rPr>
              <w:t xml:space="preserve">                2.延续性项目</w:t>
            </w:r>
            <w:r>
              <w:rPr>
                <w:rFonts w:ascii="Wingdings" w:hAnsi="Wingdings" w:eastAsia="仿宋" w:cs="Wingdings"/>
                <w:color w:val="000000"/>
                <w:kern w:val="0"/>
                <w:sz w:val="20"/>
                <w:szCs w:val="20"/>
                <w:lang w:bidi="ar"/>
              </w:rPr>
              <w:t>¨</w:t>
            </w:r>
            <w:r>
              <w:rPr>
                <w:rFonts w:hint="eastAsia" w:ascii="仿宋" w:hAnsi="仿宋" w:eastAsia="仿宋" w:cs="仿宋"/>
                <w:color w:val="000000"/>
                <w:kern w:val="0"/>
                <w:sz w:val="20"/>
                <w:szCs w:val="20"/>
                <w:lang w:bidi="ar"/>
              </w:rPr>
              <w:t xml:space="preserve">              3.一次性项目</w:t>
            </w:r>
            <w:r>
              <w:rPr>
                <w:rFonts w:ascii="Wingdings" w:hAnsi="Wingdings" w:eastAsia="仿宋" w:cs="Wingdings"/>
                <w:color w:val="000000"/>
                <w:kern w:val="0"/>
                <w:sz w:val="20"/>
                <w:szCs w:val="20"/>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900" w:type="pct"/>
            <w:gridSpan w:val="2"/>
            <w:vMerge w:val="restar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预算执行情况（万元）（20分）</w:t>
            </w:r>
          </w:p>
        </w:tc>
        <w:tc>
          <w:tcPr>
            <w:tcW w:w="622" w:type="pct"/>
            <w:shd w:val="clear" w:color="auto" w:fill="auto"/>
            <w:vAlign w:val="center"/>
          </w:tcPr>
          <w:p>
            <w:pPr>
              <w:jc w:val="center"/>
              <w:rPr>
                <w:rFonts w:ascii="仿宋" w:hAnsi="仿宋" w:eastAsia="仿宋" w:cs="仿宋"/>
                <w:color w:val="000000"/>
                <w:sz w:val="20"/>
                <w:szCs w:val="20"/>
              </w:rPr>
            </w:pPr>
          </w:p>
        </w:tc>
        <w:tc>
          <w:tcPr>
            <w:tcW w:w="693"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预算数（A）</w:t>
            </w:r>
          </w:p>
        </w:tc>
        <w:tc>
          <w:tcPr>
            <w:tcW w:w="798"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执行数（B）</w:t>
            </w:r>
          </w:p>
        </w:tc>
        <w:tc>
          <w:tcPr>
            <w:tcW w:w="719"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执行率（B/A）</w:t>
            </w:r>
          </w:p>
        </w:tc>
        <w:tc>
          <w:tcPr>
            <w:tcW w:w="1267" w:type="pct"/>
            <w:gridSpan w:val="2"/>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得分</w:t>
            </w:r>
            <w:r>
              <w:rPr>
                <w:rFonts w:hint="eastAsia" w:ascii="仿宋" w:hAnsi="仿宋" w:eastAsia="仿宋" w:cs="仿宋"/>
                <w:color w:val="000000"/>
                <w:kern w:val="0"/>
                <w:sz w:val="20"/>
                <w:szCs w:val="20"/>
                <w:lang w:bidi="ar"/>
              </w:rPr>
              <w:br w:type="textWrapping"/>
            </w:r>
            <w:r>
              <w:rPr>
                <w:rFonts w:hint="eastAsia" w:ascii="仿宋" w:hAnsi="仿宋" w:eastAsia="仿宋" w:cs="仿宋"/>
                <w:color w:val="000000"/>
                <w:kern w:val="0"/>
                <w:sz w:val="20"/>
                <w:szCs w:val="20"/>
                <w:lang w:bidi="ar"/>
              </w:rPr>
              <w:t>（20分*执行率）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900" w:type="pct"/>
            <w:gridSpan w:val="2"/>
            <w:vMerge w:val="continue"/>
            <w:shd w:val="clear" w:color="auto" w:fill="auto"/>
            <w:vAlign w:val="center"/>
          </w:tcPr>
          <w:p>
            <w:pPr>
              <w:jc w:val="center"/>
              <w:rPr>
                <w:rFonts w:ascii="仿宋" w:hAnsi="仿宋" w:eastAsia="仿宋" w:cs="仿宋"/>
                <w:color w:val="000000"/>
                <w:sz w:val="20"/>
                <w:szCs w:val="20"/>
              </w:rPr>
            </w:pPr>
          </w:p>
        </w:tc>
        <w:tc>
          <w:tcPr>
            <w:tcW w:w="622"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年度财政资金总额</w:t>
            </w:r>
          </w:p>
        </w:tc>
        <w:tc>
          <w:tcPr>
            <w:tcW w:w="693"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 xml:space="preserve">177327.72 </w:t>
            </w:r>
          </w:p>
        </w:tc>
        <w:tc>
          <w:tcPr>
            <w:tcW w:w="798"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162340.60</w:t>
            </w:r>
          </w:p>
        </w:tc>
        <w:tc>
          <w:tcPr>
            <w:tcW w:w="719"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91.55%</w:t>
            </w:r>
          </w:p>
        </w:tc>
        <w:tc>
          <w:tcPr>
            <w:tcW w:w="1267" w:type="pct"/>
            <w:gridSpan w:val="2"/>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18.31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402" w:type="pct"/>
            <w:vMerge w:val="restar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 xml:space="preserve">年度绩效目标（80分） </w:t>
            </w:r>
          </w:p>
        </w:tc>
        <w:tc>
          <w:tcPr>
            <w:tcW w:w="497"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一级      指标</w:t>
            </w:r>
          </w:p>
        </w:tc>
        <w:tc>
          <w:tcPr>
            <w:tcW w:w="622"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二级指标</w:t>
            </w:r>
          </w:p>
        </w:tc>
        <w:tc>
          <w:tcPr>
            <w:tcW w:w="1491" w:type="pct"/>
            <w:gridSpan w:val="2"/>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三级指标</w:t>
            </w:r>
          </w:p>
        </w:tc>
        <w:tc>
          <w:tcPr>
            <w:tcW w:w="719"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年初目标值</w:t>
            </w:r>
            <w:r>
              <w:rPr>
                <w:rFonts w:hint="eastAsia" w:ascii="仿宋" w:hAnsi="仿宋" w:eastAsia="仿宋" w:cs="仿宋"/>
                <w:color w:val="000000"/>
                <w:kern w:val="0"/>
                <w:sz w:val="20"/>
                <w:szCs w:val="20"/>
                <w:lang w:bidi="ar"/>
              </w:rPr>
              <w:br w:type="textWrapping"/>
            </w:r>
            <w:r>
              <w:rPr>
                <w:rFonts w:hint="eastAsia" w:ascii="仿宋" w:hAnsi="仿宋" w:eastAsia="仿宋" w:cs="仿宋"/>
                <w:color w:val="000000"/>
                <w:kern w:val="0"/>
                <w:sz w:val="20"/>
                <w:szCs w:val="20"/>
                <w:lang w:bidi="ar"/>
              </w:rPr>
              <w:t>（A）</w:t>
            </w:r>
          </w:p>
        </w:tc>
        <w:tc>
          <w:tcPr>
            <w:tcW w:w="650"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实际完成值</w:t>
            </w:r>
            <w:r>
              <w:rPr>
                <w:rFonts w:hint="eastAsia" w:ascii="仿宋" w:hAnsi="仿宋" w:eastAsia="仿宋" w:cs="仿宋"/>
                <w:color w:val="000000"/>
                <w:kern w:val="0"/>
                <w:sz w:val="20"/>
                <w:szCs w:val="20"/>
                <w:lang w:bidi="ar"/>
              </w:rPr>
              <w:br w:type="textWrapping"/>
            </w:r>
            <w:r>
              <w:rPr>
                <w:rFonts w:hint="eastAsia" w:ascii="仿宋" w:hAnsi="仿宋" w:eastAsia="仿宋" w:cs="仿宋"/>
                <w:color w:val="000000"/>
                <w:kern w:val="0"/>
                <w:sz w:val="20"/>
                <w:szCs w:val="20"/>
                <w:lang w:bidi="ar"/>
              </w:rPr>
              <w:t>（B）</w:t>
            </w:r>
          </w:p>
        </w:tc>
        <w:tc>
          <w:tcPr>
            <w:tcW w:w="616" w:type="pct"/>
            <w:shd w:val="clear" w:color="auto" w:fill="auto"/>
            <w:noWrap/>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402" w:type="pct"/>
            <w:vMerge w:val="continue"/>
            <w:shd w:val="clear" w:color="auto" w:fill="auto"/>
            <w:vAlign w:val="center"/>
          </w:tcPr>
          <w:p>
            <w:pPr>
              <w:jc w:val="center"/>
              <w:rPr>
                <w:rFonts w:ascii="仿宋" w:hAnsi="仿宋" w:eastAsia="仿宋" w:cs="仿宋"/>
                <w:color w:val="000000"/>
                <w:sz w:val="20"/>
                <w:szCs w:val="20"/>
              </w:rPr>
            </w:pPr>
          </w:p>
        </w:tc>
        <w:tc>
          <w:tcPr>
            <w:tcW w:w="497" w:type="pct"/>
            <w:vMerge w:val="restar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产出</w:t>
            </w:r>
            <w:r>
              <w:rPr>
                <w:rFonts w:hint="eastAsia" w:ascii="仿宋" w:hAnsi="仿宋" w:eastAsia="仿宋" w:cs="仿宋"/>
                <w:color w:val="000000"/>
                <w:kern w:val="0"/>
                <w:sz w:val="20"/>
                <w:szCs w:val="20"/>
                <w:lang w:bidi="ar"/>
              </w:rPr>
              <w:br w:type="textWrapping"/>
            </w:r>
            <w:r>
              <w:rPr>
                <w:rFonts w:hint="eastAsia" w:ascii="仿宋" w:hAnsi="仿宋" w:eastAsia="仿宋" w:cs="仿宋"/>
                <w:color w:val="000000"/>
                <w:kern w:val="0"/>
                <w:sz w:val="20"/>
                <w:szCs w:val="20"/>
                <w:lang w:bidi="ar"/>
              </w:rPr>
              <w:t>指标</w:t>
            </w:r>
            <w:r>
              <w:rPr>
                <w:rFonts w:hint="eastAsia" w:ascii="仿宋" w:hAnsi="仿宋" w:eastAsia="仿宋" w:cs="仿宋"/>
                <w:color w:val="000000"/>
                <w:kern w:val="0"/>
                <w:sz w:val="20"/>
                <w:szCs w:val="20"/>
                <w:lang w:bidi="ar"/>
              </w:rPr>
              <w:br w:type="textWrapping"/>
            </w:r>
            <w:r>
              <w:rPr>
                <w:rFonts w:hint="eastAsia" w:ascii="仿宋" w:hAnsi="仿宋" w:eastAsia="仿宋" w:cs="仿宋"/>
                <w:color w:val="000000"/>
                <w:kern w:val="0"/>
                <w:sz w:val="20"/>
                <w:szCs w:val="20"/>
                <w:lang w:bidi="ar"/>
              </w:rPr>
              <w:t xml:space="preserve">（40分） </w:t>
            </w:r>
          </w:p>
        </w:tc>
        <w:tc>
          <w:tcPr>
            <w:tcW w:w="622" w:type="pct"/>
            <w:vMerge w:val="restar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数量指标</w:t>
            </w:r>
            <w:r>
              <w:rPr>
                <w:rFonts w:hint="eastAsia" w:ascii="仿宋" w:hAnsi="仿宋" w:eastAsia="仿宋" w:cs="仿宋"/>
                <w:color w:val="000000"/>
                <w:kern w:val="0"/>
                <w:sz w:val="20"/>
                <w:szCs w:val="20"/>
                <w:lang w:bidi="ar"/>
              </w:rPr>
              <w:br w:type="textWrapping"/>
            </w:r>
            <w:r>
              <w:rPr>
                <w:rFonts w:hint="eastAsia" w:ascii="仿宋" w:hAnsi="仿宋" w:eastAsia="仿宋" w:cs="仿宋"/>
                <w:color w:val="000000"/>
                <w:kern w:val="0"/>
                <w:sz w:val="20"/>
                <w:szCs w:val="20"/>
                <w:lang w:bidi="ar"/>
              </w:rPr>
              <w:t>（36分）</w:t>
            </w:r>
          </w:p>
        </w:tc>
        <w:tc>
          <w:tcPr>
            <w:tcW w:w="1491" w:type="pct"/>
            <w:gridSpan w:val="2"/>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新建项目开工数（9分）</w:t>
            </w:r>
          </w:p>
        </w:tc>
        <w:tc>
          <w:tcPr>
            <w:tcW w:w="719"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2项</w:t>
            </w:r>
          </w:p>
        </w:tc>
        <w:tc>
          <w:tcPr>
            <w:tcW w:w="650"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2项</w:t>
            </w:r>
          </w:p>
        </w:tc>
        <w:tc>
          <w:tcPr>
            <w:tcW w:w="616" w:type="pct"/>
            <w:shd w:val="clear" w:color="auto" w:fill="auto"/>
            <w:vAlign w:val="center"/>
          </w:tcPr>
          <w:p>
            <w:pPr>
              <w:widowControl/>
              <w:jc w:val="center"/>
              <w:textAlignment w:val="center"/>
              <w:rPr>
                <w:rFonts w:hint="default" w:ascii="仿宋" w:hAnsi="仿宋" w:eastAsia="仿宋" w:cs="仿宋"/>
                <w:color w:val="000000"/>
                <w:sz w:val="20"/>
                <w:szCs w:val="20"/>
                <w:lang w:val="en-US" w:eastAsia="zh-CN"/>
              </w:rPr>
            </w:pPr>
            <w:r>
              <w:rPr>
                <w:rFonts w:hint="eastAsia" w:ascii="仿宋" w:hAnsi="仿宋" w:eastAsia="仿宋" w:cs="仿宋"/>
                <w:color w:val="000000"/>
                <w:kern w:val="0"/>
                <w:sz w:val="20"/>
                <w:szCs w:val="20"/>
                <w:lang w:bidi="ar"/>
              </w:rPr>
              <w:t>9</w:t>
            </w:r>
            <w:r>
              <w:rPr>
                <w:rFonts w:hint="eastAsia" w:ascii="仿宋" w:hAnsi="仿宋" w:eastAsia="仿宋" w:cs="仿宋"/>
                <w:color w:val="000000"/>
                <w:kern w:val="0"/>
                <w:sz w:val="20"/>
                <w:szCs w:val="20"/>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402" w:type="pct"/>
            <w:vMerge w:val="continue"/>
            <w:shd w:val="clear" w:color="auto" w:fill="auto"/>
            <w:vAlign w:val="center"/>
          </w:tcPr>
          <w:p>
            <w:pPr>
              <w:jc w:val="center"/>
              <w:rPr>
                <w:rFonts w:ascii="仿宋" w:hAnsi="仿宋" w:eastAsia="仿宋" w:cs="仿宋"/>
                <w:color w:val="000000"/>
                <w:sz w:val="20"/>
                <w:szCs w:val="20"/>
              </w:rPr>
            </w:pPr>
          </w:p>
        </w:tc>
        <w:tc>
          <w:tcPr>
            <w:tcW w:w="497" w:type="pct"/>
            <w:vMerge w:val="continue"/>
            <w:shd w:val="clear" w:color="auto" w:fill="auto"/>
            <w:vAlign w:val="center"/>
          </w:tcPr>
          <w:p>
            <w:pPr>
              <w:jc w:val="center"/>
              <w:rPr>
                <w:rFonts w:ascii="仿宋" w:hAnsi="仿宋" w:eastAsia="仿宋" w:cs="仿宋"/>
                <w:color w:val="000000"/>
                <w:sz w:val="20"/>
                <w:szCs w:val="20"/>
              </w:rPr>
            </w:pPr>
          </w:p>
        </w:tc>
        <w:tc>
          <w:tcPr>
            <w:tcW w:w="622" w:type="pct"/>
            <w:vMerge w:val="continue"/>
            <w:shd w:val="clear" w:color="auto" w:fill="auto"/>
            <w:vAlign w:val="center"/>
          </w:tcPr>
          <w:p>
            <w:pPr>
              <w:jc w:val="center"/>
              <w:rPr>
                <w:rFonts w:ascii="仿宋" w:hAnsi="仿宋" w:eastAsia="仿宋" w:cs="仿宋"/>
                <w:color w:val="000000"/>
                <w:sz w:val="20"/>
                <w:szCs w:val="20"/>
              </w:rPr>
            </w:pPr>
          </w:p>
        </w:tc>
        <w:tc>
          <w:tcPr>
            <w:tcW w:w="1491" w:type="pct"/>
            <w:gridSpan w:val="2"/>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新建项目完工数（6分）</w:t>
            </w:r>
          </w:p>
        </w:tc>
        <w:tc>
          <w:tcPr>
            <w:tcW w:w="719"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2项</w:t>
            </w:r>
          </w:p>
        </w:tc>
        <w:tc>
          <w:tcPr>
            <w:tcW w:w="650"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2项</w:t>
            </w:r>
          </w:p>
        </w:tc>
        <w:tc>
          <w:tcPr>
            <w:tcW w:w="616"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6</w:t>
            </w:r>
            <w:r>
              <w:rPr>
                <w:rFonts w:hint="eastAsia" w:ascii="仿宋" w:hAnsi="仿宋" w:eastAsia="仿宋" w:cs="仿宋"/>
                <w:color w:val="000000"/>
                <w:kern w:val="0"/>
                <w:sz w:val="20"/>
                <w:szCs w:val="20"/>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402" w:type="pct"/>
            <w:vMerge w:val="continue"/>
            <w:shd w:val="clear" w:color="auto" w:fill="auto"/>
            <w:vAlign w:val="center"/>
          </w:tcPr>
          <w:p>
            <w:pPr>
              <w:jc w:val="center"/>
              <w:rPr>
                <w:rFonts w:ascii="仿宋" w:hAnsi="仿宋" w:eastAsia="仿宋" w:cs="仿宋"/>
                <w:color w:val="000000"/>
                <w:sz w:val="20"/>
                <w:szCs w:val="20"/>
              </w:rPr>
            </w:pPr>
          </w:p>
        </w:tc>
        <w:tc>
          <w:tcPr>
            <w:tcW w:w="497" w:type="pct"/>
            <w:vMerge w:val="continue"/>
            <w:shd w:val="clear" w:color="auto" w:fill="auto"/>
            <w:vAlign w:val="center"/>
          </w:tcPr>
          <w:p>
            <w:pPr>
              <w:jc w:val="center"/>
              <w:rPr>
                <w:rFonts w:ascii="仿宋" w:hAnsi="仿宋" w:eastAsia="仿宋" w:cs="仿宋"/>
                <w:color w:val="000000"/>
                <w:sz w:val="20"/>
                <w:szCs w:val="20"/>
              </w:rPr>
            </w:pPr>
          </w:p>
        </w:tc>
        <w:tc>
          <w:tcPr>
            <w:tcW w:w="622" w:type="pct"/>
            <w:vMerge w:val="continue"/>
            <w:shd w:val="clear" w:color="auto" w:fill="auto"/>
            <w:vAlign w:val="center"/>
          </w:tcPr>
          <w:p>
            <w:pPr>
              <w:jc w:val="center"/>
              <w:rPr>
                <w:rFonts w:ascii="仿宋" w:hAnsi="仿宋" w:eastAsia="仿宋" w:cs="仿宋"/>
                <w:color w:val="000000"/>
                <w:sz w:val="20"/>
                <w:szCs w:val="20"/>
              </w:rPr>
            </w:pPr>
          </w:p>
        </w:tc>
        <w:tc>
          <w:tcPr>
            <w:tcW w:w="1491" w:type="pct"/>
            <w:gridSpan w:val="2"/>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续建项目完工数（3分）</w:t>
            </w:r>
          </w:p>
        </w:tc>
        <w:tc>
          <w:tcPr>
            <w:tcW w:w="719"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2项</w:t>
            </w:r>
          </w:p>
        </w:tc>
        <w:tc>
          <w:tcPr>
            <w:tcW w:w="650"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1项</w:t>
            </w:r>
          </w:p>
        </w:tc>
        <w:tc>
          <w:tcPr>
            <w:tcW w:w="616" w:type="pct"/>
            <w:shd w:val="clear" w:color="auto" w:fill="auto"/>
            <w:vAlign w:val="center"/>
          </w:tcPr>
          <w:p>
            <w:pPr>
              <w:widowControl/>
              <w:jc w:val="center"/>
              <w:textAlignment w:val="center"/>
              <w:rPr>
                <w:rFonts w:hint="eastAsia" w:ascii="仿宋" w:hAnsi="仿宋" w:eastAsia="仿宋" w:cs="仿宋"/>
                <w:color w:val="000000"/>
                <w:sz w:val="20"/>
                <w:szCs w:val="20"/>
                <w:lang w:val="en-US" w:eastAsia="zh-CN"/>
              </w:rPr>
            </w:pPr>
            <w:r>
              <w:rPr>
                <w:rFonts w:hint="eastAsia" w:ascii="仿宋" w:hAnsi="仿宋" w:eastAsia="仿宋" w:cs="仿宋"/>
                <w:color w:val="000000"/>
                <w:kern w:val="0"/>
                <w:sz w:val="20"/>
                <w:szCs w:val="20"/>
                <w:lang w:bidi="ar"/>
              </w:rPr>
              <w:t>1.5</w:t>
            </w:r>
            <w:r>
              <w:rPr>
                <w:rFonts w:hint="eastAsia" w:ascii="仿宋" w:hAnsi="仿宋" w:eastAsia="仿宋" w:cs="仿宋"/>
                <w:color w:val="000000"/>
                <w:kern w:val="0"/>
                <w:sz w:val="20"/>
                <w:szCs w:val="20"/>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402" w:type="pct"/>
            <w:vMerge w:val="continue"/>
            <w:shd w:val="clear" w:color="auto" w:fill="auto"/>
            <w:vAlign w:val="center"/>
          </w:tcPr>
          <w:p>
            <w:pPr>
              <w:jc w:val="center"/>
              <w:rPr>
                <w:rFonts w:ascii="仿宋" w:hAnsi="仿宋" w:eastAsia="仿宋" w:cs="仿宋"/>
                <w:color w:val="000000"/>
                <w:sz w:val="20"/>
                <w:szCs w:val="20"/>
              </w:rPr>
            </w:pPr>
          </w:p>
        </w:tc>
        <w:tc>
          <w:tcPr>
            <w:tcW w:w="497" w:type="pct"/>
            <w:vMerge w:val="continue"/>
            <w:shd w:val="clear" w:color="auto" w:fill="auto"/>
            <w:vAlign w:val="center"/>
          </w:tcPr>
          <w:p>
            <w:pPr>
              <w:jc w:val="center"/>
              <w:rPr>
                <w:rFonts w:ascii="仿宋" w:hAnsi="仿宋" w:eastAsia="仿宋" w:cs="仿宋"/>
                <w:color w:val="000000"/>
                <w:sz w:val="20"/>
                <w:szCs w:val="20"/>
              </w:rPr>
            </w:pPr>
          </w:p>
        </w:tc>
        <w:tc>
          <w:tcPr>
            <w:tcW w:w="622" w:type="pct"/>
            <w:vMerge w:val="continue"/>
            <w:shd w:val="clear" w:color="auto" w:fill="auto"/>
            <w:vAlign w:val="center"/>
          </w:tcPr>
          <w:p>
            <w:pPr>
              <w:jc w:val="center"/>
              <w:rPr>
                <w:rFonts w:ascii="仿宋" w:hAnsi="仿宋" w:eastAsia="仿宋" w:cs="仿宋"/>
                <w:color w:val="000000"/>
                <w:sz w:val="20"/>
                <w:szCs w:val="20"/>
              </w:rPr>
            </w:pPr>
          </w:p>
        </w:tc>
        <w:tc>
          <w:tcPr>
            <w:tcW w:w="1491" w:type="pct"/>
            <w:gridSpan w:val="2"/>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完工项目完成验收数（3分）</w:t>
            </w:r>
          </w:p>
        </w:tc>
        <w:tc>
          <w:tcPr>
            <w:tcW w:w="719"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3项</w:t>
            </w:r>
          </w:p>
        </w:tc>
        <w:tc>
          <w:tcPr>
            <w:tcW w:w="650"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3项</w:t>
            </w:r>
          </w:p>
        </w:tc>
        <w:tc>
          <w:tcPr>
            <w:tcW w:w="616"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3</w:t>
            </w:r>
            <w:r>
              <w:rPr>
                <w:rFonts w:hint="eastAsia" w:ascii="仿宋" w:hAnsi="仿宋" w:eastAsia="仿宋" w:cs="仿宋"/>
                <w:color w:val="000000"/>
                <w:kern w:val="0"/>
                <w:sz w:val="20"/>
                <w:szCs w:val="20"/>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402" w:type="pct"/>
            <w:vMerge w:val="continue"/>
            <w:shd w:val="clear" w:color="auto" w:fill="auto"/>
            <w:vAlign w:val="center"/>
          </w:tcPr>
          <w:p>
            <w:pPr>
              <w:jc w:val="center"/>
              <w:rPr>
                <w:rFonts w:ascii="仿宋" w:hAnsi="仿宋" w:eastAsia="仿宋" w:cs="仿宋"/>
                <w:color w:val="000000"/>
                <w:sz w:val="20"/>
                <w:szCs w:val="20"/>
              </w:rPr>
            </w:pPr>
          </w:p>
        </w:tc>
        <w:tc>
          <w:tcPr>
            <w:tcW w:w="497" w:type="pct"/>
            <w:vMerge w:val="continue"/>
            <w:shd w:val="clear" w:color="auto" w:fill="auto"/>
            <w:vAlign w:val="center"/>
          </w:tcPr>
          <w:p>
            <w:pPr>
              <w:jc w:val="center"/>
              <w:rPr>
                <w:rFonts w:ascii="仿宋" w:hAnsi="仿宋" w:eastAsia="仿宋" w:cs="仿宋"/>
                <w:color w:val="000000"/>
                <w:sz w:val="20"/>
                <w:szCs w:val="20"/>
              </w:rPr>
            </w:pPr>
          </w:p>
        </w:tc>
        <w:tc>
          <w:tcPr>
            <w:tcW w:w="622" w:type="pct"/>
            <w:vMerge w:val="continue"/>
            <w:shd w:val="clear" w:color="auto" w:fill="auto"/>
            <w:vAlign w:val="center"/>
          </w:tcPr>
          <w:p>
            <w:pPr>
              <w:jc w:val="center"/>
              <w:rPr>
                <w:rFonts w:ascii="仿宋" w:hAnsi="仿宋" w:eastAsia="仿宋" w:cs="仿宋"/>
                <w:color w:val="000000"/>
                <w:sz w:val="20"/>
                <w:szCs w:val="20"/>
              </w:rPr>
            </w:pPr>
          </w:p>
        </w:tc>
        <w:tc>
          <w:tcPr>
            <w:tcW w:w="1491" w:type="pct"/>
            <w:gridSpan w:val="2"/>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验收合格项目进入审计数（6分）</w:t>
            </w:r>
          </w:p>
        </w:tc>
        <w:tc>
          <w:tcPr>
            <w:tcW w:w="719"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2项</w:t>
            </w:r>
          </w:p>
        </w:tc>
        <w:tc>
          <w:tcPr>
            <w:tcW w:w="650"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2项</w:t>
            </w:r>
          </w:p>
        </w:tc>
        <w:tc>
          <w:tcPr>
            <w:tcW w:w="616"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6</w:t>
            </w:r>
            <w:r>
              <w:rPr>
                <w:rFonts w:hint="eastAsia" w:ascii="仿宋" w:hAnsi="仿宋" w:eastAsia="仿宋" w:cs="仿宋"/>
                <w:color w:val="000000"/>
                <w:kern w:val="0"/>
                <w:sz w:val="20"/>
                <w:szCs w:val="20"/>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402" w:type="pct"/>
            <w:vMerge w:val="continue"/>
            <w:shd w:val="clear" w:color="auto" w:fill="auto"/>
            <w:vAlign w:val="center"/>
          </w:tcPr>
          <w:p>
            <w:pPr>
              <w:jc w:val="center"/>
              <w:rPr>
                <w:rFonts w:ascii="仿宋" w:hAnsi="仿宋" w:eastAsia="仿宋" w:cs="仿宋"/>
                <w:color w:val="000000"/>
                <w:sz w:val="20"/>
                <w:szCs w:val="20"/>
              </w:rPr>
            </w:pPr>
          </w:p>
        </w:tc>
        <w:tc>
          <w:tcPr>
            <w:tcW w:w="497" w:type="pct"/>
            <w:vMerge w:val="continue"/>
            <w:shd w:val="clear" w:color="auto" w:fill="auto"/>
            <w:vAlign w:val="center"/>
          </w:tcPr>
          <w:p>
            <w:pPr>
              <w:jc w:val="center"/>
              <w:rPr>
                <w:rFonts w:ascii="仿宋" w:hAnsi="仿宋" w:eastAsia="仿宋" w:cs="仿宋"/>
                <w:color w:val="000000"/>
                <w:sz w:val="20"/>
                <w:szCs w:val="20"/>
              </w:rPr>
            </w:pPr>
          </w:p>
        </w:tc>
        <w:tc>
          <w:tcPr>
            <w:tcW w:w="622" w:type="pct"/>
            <w:vMerge w:val="continue"/>
            <w:shd w:val="clear" w:color="auto" w:fill="auto"/>
            <w:vAlign w:val="center"/>
          </w:tcPr>
          <w:p>
            <w:pPr>
              <w:jc w:val="center"/>
              <w:rPr>
                <w:rFonts w:ascii="仿宋" w:hAnsi="仿宋" w:eastAsia="仿宋" w:cs="仿宋"/>
                <w:color w:val="000000"/>
                <w:sz w:val="20"/>
                <w:szCs w:val="20"/>
              </w:rPr>
            </w:pPr>
          </w:p>
        </w:tc>
        <w:tc>
          <w:tcPr>
            <w:tcW w:w="1491" w:type="pct"/>
            <w:gridSpan w:val="2"/>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审计项目完成数（9分）</w:t>
            </w:r>
          </w:p>
        </w:tc>
        <w:tc>
          <w:tcPr>
            <w:tcW w:w="719"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3项</w:t>
            </w:r>
          </w:p>
        </w:tc>
        <w:tc>
          <w:tcPr>
            <w:tcW w:w="650"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3项</w:t>
            </w:r>
          </w:p>
        </w:tc>
        <w:tc>
          <w:tcPr>
            <w:tcW w:w="616"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9</w:t>
            </w:r>
            <w:r>
              <w:rPr>
                <w:rFonts w:hint="eastAsia" w:ascii="仿宋" w:hAnsi="仿宋" w:eastAsia="仿宋" w:cs="仿宋"/>
                <w:color w:val="000000"/>
                <w:kern w:val="0"/>
                <w:sz w:val="20"/>
                <w:szCs w:val="20"/>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402" w:type="pct"/>
            <w:vMerge w:val="continue"/>
            <w:shd w:val="clear" w:color="auto" w:fill="auto"/>
            <w:vAlign w:val="center"/>
          </w:tcPr>
          <w:p>
            <w:pPr>
              <w:jc w:val="center"/>
              <w:rPr>
                <w:rFonts w:ascii="仿宋" w:hAnsi="仿宋" w:eastAsia="仿宋" w:cs="仿宋"/>
                <w:color w:val="000000"/>
                <w:sz w:val="20"/>
                <w:szCs w:val="20"/>
              </w:rPr>
            </w:pPr>
          </w:p>
        </w:tc>
        <w:tc>
          <w:tcPr>
            <w:tcW w:w="497" w:type="pct"/>
            <w:vMerge w:val="continue"/>
            <w:shd w:val="clear" w:color="auto" w:fill="auto"/>
            <w:vAlign w:val="center"/>
          </w:tcPr>
          <w:p>
            <w:pPr>
              <w:jc w:val="center"/>
              <w:rPr>
                <w:rFonts w:ascii="仿宋" w:hAnsi="仿宋" w:eastAsia="仿宋" w:cs="仿宋"/>
                <w:color w:val="000000"/>
                <w:sz w:val="20"/>
                <w:szCs w:val="20"/>
              </w:rPr>
            </w:pPr>
          </w:p>
        </w:tc>
        <w:tc>
          <w:tcPr>
            <w:tcW w:w="622"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时效指标</w:t>
            </w:r>
            <w:r>
              <w:rPr>
                <w:rFonts w:hint="eastAsia" w:ascii="仿宋" w:hAnsi="仿宋" w:eastAsia="仿宋" w:cs="仿宋"/>
                <w:color w:val="000000"/>
                <w:kern w:val="0"/>
                <w:sz w:val="20"/>
                <w:szCs w:val="20"/>
                <w:lang w:bidi="ar"/>
              </w:rPr>
              <w:br w:type="textWrapping"/>
            </w:r>
            <w:r>
              <w:rPr>
                <w:rFonts w:hint="eastAsia" w:ascii="仿宋" w:hAnsi="仿宋" w:eastAsia="仿宋" w:cs="仿宋"/>
                <w:color w:val="000000"/>
                <w:kern w:val="0"/>
                <w:sz w:val="20"/>
                <w:szCs w:val="20"/>
                <w:lang w:bidi="ar"/>
              </w:rPr>
              <w:t>（4分）</w:t>
            </w:r>
          </w:p>
        </w:tc>
        <w:tc>
          <w:tcPr>
            <w:tcW w:w="1491" w:type="pct"/>
            <w:gridSpan w:val="2"/>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工程完工及时性（4分）</w:t>
            </w:r>
          </w:p>
        </w:tc>
        <w:tc>
          <w:tcPr>
            <w:tcW w:w="719"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及时</w:t>
            </w:r>
          </w:p>
        </w:tc>
        <w:tc>
          <w:tcPr>
            <w:tcW w:w="650"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一般及时</w:t>
            </w:r>
          </w:p>
        </w:tc>
        <w:tc>
          <w:tcPr>
            <w:tcW w:w="616"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sz w:val="20"/>
                <w:szCs w:val="20"/>
              </w:rPr>
              <w:t>2</w:t>
            </w:r>
            <w:r>
              <w:rPr>
                <w:rFonts w:hint="eastAsia" w:ascii="仿宋" w:hAnsi="仿宋" w:eastAsia="仿宋" w:cs="仿宋"/>
                <w:color w:val="000000"/>
                <w:kern w:val="0"/>
                <w:sz w:val="20"/>
                <w:szCs w:val="20"/>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402" w:type="pct"/>
            <w:vMerge w:val="continue"/>
            <w:shd w:val="clear" w:color="auto" w:fill="auto"/>
            <w:vAlign w:val="center"/>
          </w:tcPr>
          <w:p>
            <w:pPr>
              <w:jc w:val="center"/>
              <w:rPr>
                <w:rFonts w:ascii="仿宋" w:hAnsi="仿宋" w:eastAsia="仿宋" w:cs="仿宋"/>
                <w:color w:val="000000"/>
                <w:sz w:val="20"/>
                <w:szCs w:val="20"/>
              </w:rPr>
            </w:pPr>
          </w:p>
        </w:tc>
        <w:tc>
          <w:tcPr>
            <w:tcW w:w="497" w:type="pct"/>
            <w:vMerge w:val="restar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效益指标（40分）</w:t>
            </w:r>
          </w:p>
        </w:tc>
        <w:tc>
          <w:tcPr>
            <w:tcW w:w="622" w:type="pct"/>
            <w:vMerge w:val="restar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社会效益指标</w:t>
            </w:r>
            <w:r>
              <w:rPr>
                <w:rFonts w:hint="eastAsia" w:ascii="仿宋" w:hAnsi="仿宋" w:eastAsia="仿宋" w:cs="仿宋"/>
                <w:color w:val="000000"/>
                <w:kern w:val="0"/>
                <w:sz w:val="20"/>
                <w:szCs w:val="20"/>
                <w:lang w:bidi="ar"/>
              </w:rPr>
              <w:br w:type="textWrapping"/>
            </w:r>
            <w:r>
              <w:rPr>
                <w:rFonts w:hint="eastAsia" w:ascii="仿宋" w:hAnsi="仿宋" w:eastAsia="仿宋" w:cs="仿宋"/>
                <w:color w:val="000000"/>
                <w:kern w:val="0"/>
                <w:sz w:val="20"/>
                <w:szCs w:val="20"/>
                <w:lang w:bidi="ar"/>
              </w:rPr>
              <w:t>（20分）</w:t>
            </w:r>
          </w:p>
        </w:tc>
        <w:tc>
          <w:tcPr>
            <w:tcW w:w="1491" w:type="pct"/>
            <w:gridSpan w:val="2"/>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改善交通出行环境（10分）</w:t>
            </w:r>
          </w:p>
        </w:tc>
        <w:tc>
          <w:tcPr>
            <w:tcW w:w="719"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改善</w:t>
            </w:r>
          </w:p>
        </w:tc>
        <w:tc>
          <w:tcPr>
            <w:tcW w:w="650"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一定程度改善</w:t>
            </w:r>
          </w:p>
        </w:tc>
        <w:tc>
          <w:tcPr>
            <w:tcW w:w="616"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8</w:t>
            </w:r>
            <w:r>
              <w:rPr>
                <w:rFonts w:hint="eastAsia" w:ascii="仿宋" w:hAnsi="仿宋" w:eastAsia="仿宋" w:cs="仿宋"/>
                <w:color w:val="000000"/>
                <w:kern w:val="0"/>
                <w:sz w:val="20"/>
                <w:szCs w:val="20"/>
                <w:lang w:val="en-US" w:eastAsia="zh-CN" w:bidi="ar"/>
              </w:rPr>
              <w:t>.00</w:t>
            </w:r>
            <w:r>
              <w:rPr>
                <w:rFonts w:hint="eastAsia" w:ascii="仿宋" w:hAnsi="仿宋" w:eastAsia="仿宋" w:cs="仿宋"/>
                <w:color w:val="000000"/>
                <w:kern w:val="0"/>
                <w:sz w:val="20"/>
                <w:szCs w:val="20"/>
                <w:lang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402" w:type="pct"/>
            <w:vMerge w:val="continue"/>
            <w:shd w:val="clear" w:color="auto" w:fill="auto"/>
            <w:vAlign w:val="center"/>
          </w:tcPr>
          <w:p>
            <w:pPr>
              <w:jc w:val="center"/>
              <w:rPr>
                <w:rFonts w:ascii="仿宋" w:hAnsi="仿宋" w:eastAsia="仿宋" w:cs="仿宋"/>
                <w:color w:val="000000"/>
                <w:sz w:val="20"/>
                <w:szCs w:val="20"/>
              </w:rPr>
            </w:pPr>
          </w:p>
        </w:tc>
        <w:tc>
          <w:tcPr>
            <w:tcW w:w="497" w:type="pct"/>
            <w:vMerge w:val="continue"/>
            <w:shd w:val="clear" w:color="auto" w:fill="auto"/>
            <w:vAlign w:val="center"/>
          </w:tcPr>
          <w:p>
            <w:pPr>
              <w:jc w:val="center"/>
              <w:rPr>
                <w:rFonts w:ascii="仿宋" w:hAnsi="仿宋" w:eastAsia="仿宋" w:cs="仿宋"/>
                <w:color w:val="000000"/>
                <w:sz w:val="20"/>
                <w:szCs w:val="20"/>
              </w:rPr>
            </w:pPr>
          </w:p>
        </w:tc>
        <w:tc>
          <w:tcPr>
            <w:tcW w:w="622" w:type="pct"/>
            <w:vMerge w:val="continue"/>
            <w:shd w:val="clear" w:color="auto" w:fill="auto"/>
            <w:vAlign w:val="center"/>
          </w:tcPr>
          <w:p>
            <w:pPr>
              <w:jc w:val="center"/>
              <w:rPr>
                <w:rFonts w:ascii="仿宋" w:hAnsi="仿宋" w:eastAsia="仿宋" w:cs="仿宋"/>
                <w:color w:val="000000"/>
                <w:sz w:val="20"/>
                <w:szCs w:val="20"/>
              </w:rPr>
            </w:pPr>
          </w:p>
        </w:tc>
        <w:tc>
          <w:tcPr>
            <w:tcW w:w="1491" w:type="pct"/>
            <w:gridSpan w:val="2"/>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无安全生产事故发生（10分）</w:t>
            </w:r>
          </w:p>
        </w:tc>
        <w:tc>
          <w:tcPr>
            <w:tcW w:w="719"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无</w:t>
            </w:r>
          </w:p>
        </w:tc>
        <w:tc>
          <w:tcPr>
            <w:tcW w:w="650"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无</w:t>
            </w:r>
          </w:p>
        </w:tc>
        <w:tc>
          <w:tcPr>
            <w:tcW w:w="616"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10</w:t>
            </w:r>
            <w:r>
              <w:rPr>
                <w:rFonts w:hint="eastAsia" w:ascii="仿宋" w:hAnsi="仿宋" w:eastAsia="仿宋" w:cs="仿宋"/>
                <w:color w:val="000000"/>
                <w:kern w:val="0"/>
                <w:sz w:val="20"/>
                <w:szCs w:val="20"/>
                <w:lang w:val="en-US" w:eastAsia="zh-CN" w:bidi="ar"/>
              </w:rPr>
              <w:t>.00</w:t>
            </w:r>
            <w:r>
              <w:rPr>
                <w:rFonts w:hint="eastAsia" w:ascii="仿宋" w:hAnsi="仿宋" w:eastAsia="仿宋" w:cs="仿宋"/>
                <w:color w:val="000000"/>
                <w:kern w:val="0"/>
                <w:sz w:val="20"/>
                <w:szCs w:val="20"/>
                <w:lang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402" w:type="pct"/>
            <w:vMerge w:val="continue"/>
            <w:shd w:val="clear" w:color="auto" w:fill="auto"/>
            <w:vAlign w:val="center"/>
          </w:tcPr>
          <w:p>
            <w:pPr>
              <w:jc w:val="center"/>
              <w:rPr>
                <w:rFonts w:ascii="仿宋" w:hAnsi="仿宋" w:eastAsia="仿宋" w:cs="仿宋"/>
                <w:color w:val="000000"/>
                <w:sz w:val="20"/>
                <w:szCs w:val="20"/>
              </w:rPr>
            </w:pPr>
          </w:p>
        </w:tc>
        <w:tc>
          <w:tcPr>
            <w:tcW w:w="497" w:type="pct"/>
            <w:vMerge w:val="continue"/>
            <w:shd w:val="clear" w:color="auto" w:fill="auto"/>
            <w:vAlign w:val="center"/>
          </w:tcPr>
          <w:p>
            <w:pPr>
              <w:jc w:val="center"/>
              <w:rPr>
                <w:rFonts w:ascii="仿宋" w:hAnsi="仿宋" w:eastAsia="仿宋" w:cs="仿宋"/>
                <w:color w:val="000000"/>
                <w:sz w:val="20"/>
                <w:szCs w:val="20"/>
              </w:rPr>
            </w:pPr>
          </w:p>
        </w:tc>
        <w:tc>
          <w:tcPr>
            <w:tcW w:w="622" w:type="pct"/>
            <w:shd w:val="clear" w:color="auto" w:fill="auto"/>
            <w:vAlign w:val="center"/>
          </w:tcPr>
          <w:p>
            <w:pPr>
              <w:widowControl/>
              <w:jc w:val="center"/>
              <w:textAlignment w:val="center"/>
              <w:rPr>
                <w:rFonts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生态效益指标</w:t>
            </w:r>
          </w:p>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（10分）</w:t>
            </w:r>
          </w:p>
        </w:tc>
        <w:tc>
          <w:tcPr>
            <w:tcW w:w="1491" w:type="pct"/>
            <w:gridSpan w:val="2"/>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无生态环境影响方面的投诉（10分）</w:t>
            </w:r>
          </w:p>
        </w:tc>
        <w:tc>
          <w:tcPr>
            <w:tcW w:w="719"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零投诉</w:t>
            </w:r>
          </w:p>
        </w:tc>
        <w:tc>
          <w:tcPr>
            <w:tcW w:w="650"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零投诉</w:t>
            </w:r>
          </w:p>
        </w:tc>
        <w:tc>
          <w:tcPr>
            <w:tcW w:w="616"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10</w:t>
            </w:r>
            <w:r>
              <w:rPr>
                <w:rFonts w:hint="eastAsia" w:ascii="仿宋" w:hAnsi="仿宋" w:eastAsia="仿宋" w:cs="仿宋"/>
                <w:color w:val="000000"/>
                <w:kern w:val="0"/>
                <w:sz w:val="20"/>
                <w:szCs w:val="20"/>
                <w:lang w:val="en-US" w:eastAsia="zh-CN" w:bidi="ar"/>
              </w:rPr>
              <w:t>.00</w:t>
            </w:r>
            <w:r>
              <w:rPr>
                <w:rFonts w:hint="eastAsia" w:ascii="仿宋" w:hAnsi="仿宋" w:eastAsia="仿宋" w:cs="仿宋"/>
                <w:color w:val="000000"/>
                <w:kern w:val="0"/>
                <w:sz w:val="20"/>
                <w:szCs w:val="20"/>
                <w:lang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402" w:type="pct"/>
            <w:vMerge w:val="continue"/>
            <w:shd w:val="clear" w:color="auto" w:fill="auto"/>
            <w:vAlign w:val="center"/>
          </w:tcPr>
          <w:p>
            <w:pPr>
              <w:jc w:val="center"/>
              <w:rPr>
                <w:rFonts w:ascii="仿宋" w:hAnsi="仿宋" w:eastAsia="仿宋" w:cs="仿宋"/>
                <w:color w:val="000000"/>
                <w:sz w:val="20"/>
                <w:szCs w:val="20"/>
              </w:rPr>
            </w:pPr>
          </w:p>
        </w:tc>
        <w:tc>
          <w:tcPr>
            <w:tcW w:w="497" w:type="pct"/>
            <w:vMerge w:val="continue"/>
            <w:shd w:val="clear" w:color="auto" w:fill="auto"/>
            <w:vAlign w:val="center"/>
          </w:tcPr>
          <w:p>
            <w:pPr>
              <w:jc w:val="center"/>
              <w:rPr>
                <w:rFonts w:ascii="仿宋" w:hAnsi="仿宋" w:eastAsia="仿宋" w:cs="仿宋"/>
                <w:color w:val="000000"/>
                <w:sz w:val="20"/>
                <w:szCs w:val="20"/>
              </w:rPr>
            </w:pPr>
          </w:p>
        </w:tc>
        <w:tc>
          <w:tcPr>
            <w:tcW w:w="622"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可持续性指标</w:t>
            </w:r>
            <w:r>
              <w:rPr>
                <w:rFonts w:hint="eastAsia" w:ascii="仿宋" w:hAnsi="仿宋" w:eastAsia="仿宋" w:cs="仿宋"/>
                <w:color w:val="000000"/>
                <w:kern w:val="0"/>
                <w:sz w:val="20"/>
                <w:szCs w:val="20"/>
                <w:lang w:bidi="ar"/>
              </w:rPr>
              <w:br w:type="textWrapping"/>
            </w:r>
            <w:r>
              <w:rPr>
                <w:rFonts w:hint="eastAsia" w:ascii="仿宋" w:hAnsi="仿宋" w:eastAsia="仿宋" w:cs="仿宋"/>
                <w:color w:val="000000"/>
                <w:kern w:val="0"/>
                <w:sz w:val="20"/>
                <w:szCs w:val="20"/>
                <w:lang w:bidi="ar"/>
              </w:rPr>
              <w:t>（10分）</w:t>
            </w:r>
          </w:p>
        </w:tc>
        <w:tc>
          <w:tcPr>
            <w:tcW w:w="1491" w:type="pct"/>
            <w:gridSpan w:val="2"/>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新增设施使用年限（10分）</w:t>
            </w:r>
          </w:p>
        </w:tc>
        <w:tc>
          <w:tcPr>
            <w:tcW w:w="719"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≥10年</w:t>
            </w:r>
          </w:p>
        </w:tc>
        <w:tc>
          <w:tcPr>
            <w:tcW w:w="650"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≥10年</w:t>
            </w:r>
          </w:p>
        </w:tc>
        <w:tc>
          <w:tcPr>
            <w:tcW w:w="616"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10</w:t>
            </w:r>
            <w:r>
              <w:rPr>
                <w:rFonts w:hint="eastAsia" w:ascii="仿宋" w:hAnsi="仿宋" w:eastAsia="仿宋" w:cs="仿宋"/>
                <w:color w:val="000000"/>
                <w:kern w:val="0"/>
                <w:sz w:val="20"/>
                <w:szCs w:val="20"/>
                <w:lang w:val="en-US" w:eastAsia="zh-CN" w:bidi="ar"/>
              </w:rPr>
              <w:t>.00</w:t>
            </w:r>
            <w:bookmarkStart w:id="1" w:name="_GoBack"/>
            <w:bookmarkEnd w:id="1"/>
            <w:r>
              <w:rPr>
                <w:rFonts w:hint="eastAsia" w:ascii="仿宋" w:hAnsi="仿宋" w:eastAsia="仿宋" w:cs="仿宋"/>
                <w:color w:val="000000"/>
                <w:kern w:val="0"/>
                <w:sz w:val="20"/>
                <w:szCs w:val="20"/>
                <w:lang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402" w:type="pct"/>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总分</w:t>
            </w:r>
          </w:p>
        </w:tc>
        <w:tc>
          <w:tcPr>
            <w:tcW w:w="4597" w:type="pct"/>
            <w:gridSpan w:val="7"/>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91.31分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0" w:hRule="atLeast"/>
        </w:trPr>
        <w:tc>
          <w:tcPr>
            <w:tcW w:w="1522" w:type="pct"/>
            <w:gridSpan w:val="3"/>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偏差大或目标未完成原因分析</w:t>
            </w:r>
          </w:p>
        </w:tc>
        <w:tc>
          <w:tcPr>
            <w:tcW w:w="3477" w:type="pct"/>
            <w:gridSpan w:val="5"/>
            <w:shd w:val="clear" w:color="auto" w:fill="auto"/>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武汉港汉南区船舶污染物接收设施项目因江边防汛导致工程延期未能完工，开发区（汉南区)老旧小区改造项目因房屋拆迁受阻未能完工。考虑到2021年疫情和汛情对工作正常开展造成了影响，故酌情扣分。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0" w:hRule="atLeast"/>
        </w:trPr>
        <w:tc>
          <w:tcPr>
            <w:tcW w:w="1522" w:type="pct"/>
            <w:gridSpan w:val="3"/>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改进措施及结果应用方案</w:t>
            </w:r>
          </w:p>
        </w:tc>
        <w:tc>
          <w:tcPr>
            <w:tcW w:w="3477" w:type="pct"/>
            <w:gridSpan w:val="5"/>
            <w:shd w:val="clear" w:color="auto" w:fill="auto"/>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对未开工项目安排专人跟进前期用地及批复办理手续，主动与相关单位沟通协调，疏通阻点；对已开工项目倒排工期，在保障质量和经济可行的前提下，追赶进度；对待验收和审计的项目，完备项目资料，积极配合验收、审计的工作要求，协调解决相关问题，提高工作效率。</w:t>
            </w:r>
          </w:p>
        </w:tc>
      </w:tr>
    </w:tbl>
    <w:p>
      <w:pPr>
        <w:rPr>
          <w:rFonts w:eastAsia="黑体"/>
          <w:b/>
          <w:sz w:val="32"/>
        </w:rPr>
      </w:pPr>
      <w:r>
        <w:rPr>
          <w:rFonts w:hint="eastAsia" w:eastAsia="黑体"/>
          <w:b/>
          <w:sz w:val="32"/>
        </w:rPr>
        <w:br w:type="page"/>
      </w:r>
    </w:p>
    <w:p>
      <w:pPr>
        <w:pStyle w:val="5"/>
        <w:numPr>
          <w:ilvl w:val="0"/>
          <w:numId w:val="1"/>
        </w:numPr>
        <w:shd w:val="clear" w:color="auto" w:fill="FFFFFF" w:themeFill="background1"/>
        <w:spacing w:line="560" w:lineRule="exact"/>
        <w:ind w:firstLine="643"/>
        <w:jc w:val="both"/>
        <w:outlineLvl w:val="0"/>
        <w:rPr>
          <w:rFonts w:ascii="Times New Roman" w:hAnsi="Times New Roman" w:eastAsia="黑体"/>
          <w:b/>
          <w:sz w:val="32"/>
        </w:rPr>
      </w:pPr>
      <w:r>
        <w:rPr>
          <w:rFonts w:hint="eastAsia" w:ascii="Times New Roman" w:hAnsi="Times New Roman" w:eastAsia="黑体"/>
          <w:b/>
          <w:sz w:val="32"/>
        </w:rPr>
        <w:t>佐证材料</w:t>
      </w:r>
    </w:p>
    <w:p>
      <w:pPr>
        <w:pStyle w:val="3"/>
        <w:shd w:val="clear" w:color="auto" w:fill="FFFFFF" w:themeFill="background1"/>
        <w:spacing w:before="0" w:after="0" w:line="560" w:lineRule="exact"/>
        <w:ind w:firstLine="643" w:firstLineChars="200"/>
        <w:contextualSpacing/>
        <w:jc w:val="left"/>
        <w:rPr>
          <w:rFonts w:ascii="Times New Roman" w:hAnsi="Times New Roman" w:eastAsia="楷体" w:cs="Times New Roman"/>
        </w:rPr>
      </w:pPr>
      <w:r>
        <w:rPr>
          <w:rFonts w:hint="eastAsia" w:ascii="Times New Roman" w:hAnsi="Times New Roman" w:eastAsia="楷体" w:cs="Times New Roman"/>
        </w:rPr>
        <w:t>（一）基本情况</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1. 项目立项目的</w:t>
      </w:r>
    </w:p>
    <w:p>
      <w:pPr>
        <w:widowControl/>
        <w:spacing w:line="560" w:lineRule="exact"/>
        <w:ind w:firstLine="640" w:firstLineChars="200"/>
        <w:rPr>
          <w:rFonts w:eastAsia="仿宋"/>
          <w:sz w:val="32"/>
          <w:szCs w:val="32"/>
        </w:rPr>
      </w:pPr>
      <w:r>
        <w:rPr>
          <w:rFonts w:hint="eastAsia" w:eastAsia="仿宋"/>
          <w:sz w:val="32"/>
          <w:szCs w:val="32"/>
        </w:rPr>
        <w:t>区住建局为了更好地履行部门主要职能“拟订并组织实施全区建筑行业、交通运输发展战略、中长期规划和年度计划。</w:t>
      </w:r>
      <w:r>
        <w:rPr>
          <w:rFonts w:eastAsia="仿宋"/>
          <w:sz w:val="32"/>
          <w:szCs w:val="32"/>
        </w:rPr>
        <w:t>指导全区交通运输行业的体制改革工作；组织协调多种运输方式的衔接，建立和发展综合运输体系，优化交通运输布局；负责统筹城乡交通运输协调发展，优先发展公共交通，推进城乡公共交通运输一体化</w:t>
      </w:r>
      <w:r>
        <w:rPr>
          <w:rFonts w:hint="eastAsia" w:eastAsia="仿宋"/>
          <w:sz w:val="32"/>
          <w:szCs w:val="32"/>
        </w:rPr>
        <w:t>”，实施区内城建项目计划，结合各建设项目进度，设立了基建项目（交通及其他项目）。</w:t>
      </w:r>
    </w:p>
    <w:p>
      <w:pPr>
        <w:widowControl/>
        <w:spacing w:line="560" w:lineRule="exact"/>
        <w:ind w:firstLine="640" w:firstLineChars="200"/>
        <w:rPr>
          <w:rFonts w:eastAsia="仿宋"/>
          <w:sz w:val="32"/>
          <w:szCs w:val="32"/>
        </w:rPr>
      </w:pPr>
      <w:r>
        <w:rPr>
          <w:rFonts w:hint="eastAsia" w:eastAsia="仿宋"/>
          <w:sz w:val="32"/>
          <w:szCs w:val="32"/>
        </w:rPr>
        <w:t>2021年本项目包含了11个子项目，分别为：拨付4个项目用地储备成本，汉洪高速公路小军山至汉南“点对点”免费通行路段，汉洪高速新增2.66公里免费路段买断使用权补偿协议，汉南区S321（汉仙线）大中修工程，开发区（汉南区)老旧小区改造项目，水毁公路灾后修复重建项目，乌金公交场站建设项目，武汉港汉南区船舶污染物接收设施项目，2020年度汉洪高速“点对点”免费通行，经开至汉南一体化交通项目（一期）（专项债券资金）。通过以上子项目实施，为居民打造更优质便捷的交通出行环境。</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2. 年度绩效目标</w:t>
      </w:r>
    </w:p>
    <w:p>
      <w:pPr>
        <w:widowControl/>
        <w:spacing w:line="560" w:lineRule="exact"/>
        <w:ind w:firstLine="640" w:firstLineChars="200"/>
        <w:rPr>
          <w:rFonts w:eastAsia="仿宋"/>
          <w:sz w:val="32"/>
          <w:szCs w:val="32"/>
        </w:rPr>
      </w:pPr>
      <w:r>
        <w:rPr>
          <w:rFonts w:hint="eastAsia" w:eastAsia="仿宋"/>
          <w:sz w:val="32"/>
          <w:szCs w:val="32"/>
        </w:rPr>
        <w:t>本项目2021年未设置绩效目标，根据项目主要工作任务及资金使用的产出和效果，设置绩效目标如下：新建项目开工数3项，新建项目完工数2项，续建项目完工数2项，完工项目完成验收数1项，验收合格项目进入审计数3项，审计项目完成数3项，工程完工及时，改善交通出行环境，无安全生产事故发生，无生态环境影响方面的投诉，新增设施使用年限≥10年。</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3. 项目资金情况</w:t>
      </w:r>
    </w:p>
    <w:p>
      <w:pPr>
        <w:widowControl/>
        <w:spacing w:line="560" w:lineRule="exact"/>
        <w:ind w:firstLine="640" w:firstLineChars="200"/>
        <w:rPr>
          <w:rFonts w:eastAsia="仿宋"/>
          <w:sz w:val="32"/>
          <w:szCs w:val="32"/>
        </w:rPr>
      </w:pPr>
      <w:r>
        <w:rPr>
          <w:rFonts w:hint="eastAsia" w:eastAsia="仿宋"/>
          <w:sz w:val="32"/>
          <w:szCs w:val="32"/>
        </w:rPr>
        <w:t>本项目为持续性、常年性项目，项目年初</w:t>
      </w:r>
      <w:r>
        <w:rPr>
          <w:rFonts w:eastAsia="仿宋"/>
          <w:sz w:val="32"/>
          <w:szCs w:val="32"/>
        </w:rPr>
        <w:t>预算资金</w:t>
      </w:r>
      <w:r>
        <w:rPr>
          <w:rFonts w:hint="eastAsia" w:eastAsia="仿宋"/>
          <w:sz w:val="32"/>
          <w:szCs w:val="32"/>
        </w:rPr>
        <w:t>177327.72</w:t>
      </w:r>
      <w:r>
        <w:rPr>
          <w:rFonts w:eastAsia="仿宋"/>
          <w:sz w:val="32"/>
          <w:szCs w:val="32"/>
        </w:rPr>
        <w:t>万元</w:t>
      </w:r>
      <w:r>
        <w:rPr>
          <w:rFonts w:hint="eastAsia" w:eastAsia="仿宋"/>
          <w:sz w:val="32"/>
          <w:szCs w:val="32"/>
        </w:rPr>
        <w:t>。2021年实际到位资金177327.72</w:t>
      </w:r>
      <w:r>
        <w:rPr>
          <w:rFonts w:eastAsia="仿宋"/>
          <w:sz w:val="32"/>
          <w:szCs w:val="32"/>
        </w:rPr>
        <w:t>万元</w:t>
      </w:r>
      <w:r>
        <w:rPr>
          <w:rFonts w:hint="eastAsia" w:eastAsia="仿宋"/>
          <w:sz w:val="32"/>
          <w:szCs w:val="32"/>
        </w:rPr>
        <w:t>，实际使用资金162340.60万元，主要用于支付拨付4个项目用地储备成本，汉洪高速公路小军山至汉南“点对点”免费通行路段，汉洪高速新增2.66公里免费路段买断使用权补偿协议，汉南区S321（汉仙线）大中修工程，开发区（汉南区)老旧小区改造项目，水毁公路灾后修复重建项目，乌金公交场站建设项目，武汉港汉南区船舶污染物接收设施项目，2020年度汉洪高速“点对点”免费通行，经开至汉南一体化交通项目（一期）（专项债券资金）等11个项目款项，预算执行率为91.55%。</w:t>
      </w:r>
    </w:p>
    <w:p>
      <w:pPr>
        <w:pStyle w:val="3"/>
        <w:shd w:val="clear" w:color="auto" w:fill="FFFFFF" w:themeFill="background1"/>
        <w:spacing w:before="0" w:after="0" w:line="560" w:lineRule="exact"/>
        <w:ind w:firstLine="643" w:firstLineChars="200"/>
        <w:contextualSpacing/>
        <w:jc w:val="left"/>
      </w:pPr>
      <w:r>
        <w:rPr>
          <w:rFonts w:hint="eastAsia" w:ascii="Times New Roman" w:hAnsi="Times New Roman" w:eastAsia="楷体" w:cs="Times New Roman"/>
        </w:rPr>
        <w:t>（二）部门自评工作开展情况</w:t>
      </w:r>
    </w:p>
    <w:p>
      <w:pPr>
        <w:widowControl/>
        <w:spacing w:line="560" w:lineRule="exact"/>
        <w:ind w:firstLine="640" w:firstLineChars="200"/>
        <w:rPr>
          <w:rFonts w:eastAsia="仿宋"/>
          <w:sz w:val="32"/>
          <w:szCs w:val="32"/>
        </w:rPr>
      </w:pPr>
      <w:r>
        <w:rPr>
          <w:rFonts w:eastAsia="仿宋"/>
          <w:sz w:val="32"/>
          <w:szCs w:val="32"/>
        </w:rPr>
        <w:t>本次自评时间从202</w:t>
      </w:r>
      <w:r>
        <w:rPr>
          <w:rFonts w:hint="eastAsia" w:eastAsia="仿宋"/>
          <w:sz w:val="32"/>
          <w:szCs w:val="32"/>
        </w:rPr>
        <w:t>2</w:t>
      </w:r>
      <w:r>
        <w:rPr>
          <w:rFonts w:eastAsia="仿宋"/>
          <w:sz w:val="32"/>
          <w:szCs w:val="32"/>
        </w:rPr>
        <w:t>年</w:t>
      </w:r>
      <w:r>
        <w:rPr>
          <w:rFonts w:hint="eastAsia" w:eastAsia="仿宋"/>
          <w:sz w:val="32"/>
          <w:szCs w:val="32"/>
        </w:rPr>
        <w:t>5</w:t>
      </w:r>
      <w:r>
        <w:rPr>
          <w:rFonts w:eastAsia="仿宋"/>
          <w:sz w:val="32"/>
          <w:szCs w:val="32"/>
        </w:rPr>
        <w:t>月</w:t>
      </w:r>
      <w:r>
        <w:rPr>
          <w:rFonts w:hint="eastAsia" w:eastAsia="仿宋"/>
          <w:sz w:val="32"/>
          <w:szCs w:val="32"/>
        </w:rPr>
        <w:t>15</w:t>
      </w:r>
      <w:r>
        <w:rPr>
          <w:rFonts w:eastAsia="仿宋"/>
          <w:sz w:val="32"/>
          <w:szCs w:val="32"/>
        </w:rPr>
        <w:t>日至202</w:t>
      </w:r>
      <w:r>
        <w:rPr>
          <w:rFonts w:hint="eastAsia" w:eastAsia="仿宋"/>
          <w:sz w:val="32"/>
          <w:szCs w:val="32"/>
        </w:rPr>
        <w:t>2</w:t>
      </w:r>
      <w:r>
        <w:rPr>
          <w:rFonts w:eastAsia="仿宋"/>
          <w:sz w:val="32"/>
          <w:szCs w:val="32"/>
        </w:rPr>
        <w:t>年</w:t>
      </w:r>
      <w:r>
        <w:rPr>
          <w:rFonts w:hint="eastAsia" w:eastAsia="仿宋"/>
          <w:sz w:val="32"/>
          <w:szCs w:val="32"/>
        </w:rPr>
        <w:t>5</w:t>
      </w:r>
      <w:r>
        <w:rPr>
          <w:rFonts w:eastAsia="仿宋"/>
          <w:sz w:val="32"/>
          <w:szCs w:val="32"/>
        </w:rPr>
        <w:t>月</w:t>
      </w:r>
      <w:r>
        <w:rPr>
          <w:rFonts w:hint="eastAsia" w:eastAsia="仿宋"/>
          <w:sz w:val="32"/>
          <w:szCs w:val="32"/>
        </w:rPr>
        <w:t>25</w:t>
      </w:r>
      <w:r>
        <w:rPr>
          <w:rFonts w:eastAsia="仿宋"/>
          <w:sz w:val="32"/>
          <w:szCs w:val="32"/>
        </w:rPr>
        <w:t>日，历时</w:t>
      </w:r>
      <w:r>
        <w:rPr>
          <w:rFonts w:hint="eastAsia" w:eastAsia="仿宋"/>
          <w:sz w:val="32"/>
          <w:szCs w:val="32"/>
        </w:rPr>
        <w:t>11日</w:t>
      </w:r>
      <w:r>
        <w:rPr>
          <w:rFonts w:eastAsia="仿宋"/>
          <w:sz w:val="32"/>
          <w:szCs w:val="32"/>
        </w:rPr>
        <w:t>。自评工作程序如下：</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1. 制定工作方案</w:t>
      </w:r>
    </w:p>
    <w:p>
      <w:pPr>
        <w:spacing w:line="560" w:lineRule="exact"/>
        <w:ind w:firstLine="640" w:firstLineChars="200"/>
        <w:rPr>
          <w:rFonts w:eastAsia="仿宋"/>
          <w:sz w:val="32"/>
          <w:szCs w:val="32"/>
        </w:rPr>
      </w:pPr>
      <w:r>
        <w:rPr>
          <w:rFonts w:hint="eastAsia" w:ascii="仿宋" w:hAnsi="仿宋" w:eastAsia="仿宋" w:cs="仿宋"/>
          <w:sz w:val="32"/>
          <w:szCs w:val="32"/>
        </w:rPr>
        <w:t>项目自评工作方案由区住建局会同第三方机构共同研究制订，根据部门主要负责同志要求和武汉经济技术开发区（汉南区）财政局发布的《关于开展</w:t>
      </w:r>
      <w:r>
        <w:rPr>
          <w:rFonts w:eastAsia="仿宋"/>
          <w:sz w:val="32"/>
          <w:szCs w:val="32"/>
        </w:rPr>
        <w:t>2022</w:t>
      </w:r>
      <w:r>
        <w:rPr>
          <w:rFonts w:hint="eastAsia" w:ascii="仿宋" w:hAnsi="仿宋" w:eastAsia="仿宋" w:cs="仿宋"/>
          <w:sz w:val="32"/>
          <w:szCs w:val="32"/>
        </w:rPr>
        <w:t>年预算绩效评价及项目支出绩效运行监控的通知》（武经开财〔</w:t>
      </w:r>
      <w:r>
        <w:rPr>
          <w:rFonts w:eastAsia="仿宋"/>
          <w:sz w:val="32"/>
          <w:szCs w:val="32"/>
        </w:rPr>
        <w:t>2022</w:t>
      </w:r>
      <w:r>
        <w:rPr>
          <w:rFonts w:hint="eastAsia" w:ascii="仿宋" w:hAnsi="仿宋" w:eastAsia="仿宋" w:cs="仿宋"/>
          <w:sz w:val="32"/>
          <w:szCs w:val="32"/>
        </w:rPr>
        <w:t>〕</w:t>
      </w:r>
      <w:r>
        <w:rPr>
          <w:rFonts w:eastAsia="仿宋"/>
          <w:sz w:val="32"/>
          <w:szCs w:val="32"/>
        </w:rPr>
        <w:t>8</w:t>
      </w:r>
      <w:r>
        <w:rPr>
          <w:rFonts w:hint="eastAsia" w:ascii="仿宋" w:hAnsi="仿宋" w:eastAsia="仿宋" w:cs="仿宋"/>
          <w:sz w:val="32"/>
          <w:szCs w:val="32"/>
        </w:rPr>
        <w:t>号）启动部门自评工作。启动项目自评工作。</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2. 组织实施自评</w:t>
      </w:r>
    </w:p>
    <w:p>
      <w:pPr>
        <w:widowControl/>
        <w:spacing w:line="560" w:lineRule="exact"/>
        <w:ind w:firstLine="640" w:firstLineChars="200"/>
        <w:rPr>
          <w:rFonts w:eastAsia="仿宋"/>
          <w:sz w:val="32"/>
          <w:szCs w:val="32"/>
        </w:rPr>
      </w:pPr>
      <w:r>
        <w:rPr>
          <w:rFonts w:eastAsia="仿宋"/>
          <w:sz w:val="32"/>
          <w:szCs w:val="32"/>
        </w:rPr>
        <w:t>财务部门会同第三方机构及时成立工作组，通过调研访谈、</w:t>
      </w:r>
      <w:r>
        <w:rPr>
          <w:rFonts w:hint="eastAsia" w:eastAsia="仿宋"/>
          <w:sz w:val="32"/>
          <w:szCs w:val="32"/>
        </w:rPr>
        <w:t>电话沟通</w:t>
      </w:r>
      <w:r>
        <w:rPr>
          <w:rFonts w:eastAsia="仿宋"/>
          <w:sz w:val="32"/>
          <w:szCs w:val="32"/>
        </w:rPr>
        <w:t>等方式收集、核实数据和信息，并对这些数据和信息进行整理分析。</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3. 撰写部门自评结果</w:t>
      </w:r>
    </w:p>
    <w:p>
      <w:pPr>
        <w:widowControl/>
        <w:spacing w:line="560" w:lineRule="exact"/>
        <w:ind w:firstLine="640" w:firstLineChars="200"/>
        <w:rPr>
          <w:rFonts w:eastAsia="仿宋"/>
          <w:sz w:val="32"/>
          <w:szCs w:val="32"/>
        </w:rPr>
      </w:pPr>
      <w:r>
        <w:rPr>
          <w:rFonts w:eastAsia="仿宋"/>
          <w:sz w:val="32"/>
          <w:szCs w:val="32"/>
        </w:rPr>
        <w:t>在整理分析基础上，形成部门自评结果。</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4. 建立部门自评档案</w:t>
      </w:r>
    </w:p>
    <w:p>
      <w:pPr>
        <w:spacing w:line="560" w:lineRule="exact"/>
        <w:ind w:firstLine="640" w:firstLineChars="200"/>
        <w:rPr>
          <w:rFonts w:eastAsia="仿宋"/>
          <w:sz w:val="32"/>
          <w:szCs w:val="32"/>
        </w:rPr>
      </w:pPr>
      <w:r>
        <w:rPr>
          <w:rFonts w:hint="eastAsia" w:ascii="仿宋" w:hAnsi="仿宋" w:eastAsia="仿宋" w:cs="仿宋"/>
          <w:sz w:val="32"/>
          <w:szCs w:val="32"/>
        </w:rPr>
        <w:t>项目自评结果按时报送相应资金管理科室并及时归档备查。</w:t>
      </w:r>
    </w:p>
    <w:p>
      <w:pPr>
        <w:pStyle w:val="3"/>
        <w:shd w:val="clear" w:color="auto" w:fill="FFFFFF" w:themeFill="background1"/>
        <w:spacing w:before="0" w:after="0" w:line="560" w:lineRule="exact"/>
        <w:ind w:firstLine="643" w:firstLineChars="200"/>
        <w:contextualSpacing/>
        <w:jc w:val="left"/>
        <w:rPr>
          <w:rFonts w:ascii="Times New Roman" w:hAnsi="Times New Roman" w:eastAsia="楷体" w:cs="Times New Roman"/>
        </w:rPr>
      </w:pPr>
      <w:r>
        <w:rPr>
          <w:rFonts w:hint="eastAsia" w:ascii="Times New Roman" w:hAnsi="Times New Roman" w:eastAsia="楷体" w:cs="Times New Roman"/>
        </w:rPr>
        <w:t>（三）绩效目标完成情况分析</w:t>
      </w:r>
    </w:p>
    <w:p>
      <w:pPr>
        <w:widowControl/>
        <w:spacing w:line="560" w:lineRule="exact"/>
        <w:ind w:firstLine="643" w:firstLineChars="200"/>
        <w:outlineLvl w:val="2"/>
        <w:rPr>
          <w:rFonts w:eastAsia="仿宋"/>
          <w:b/>
          <w:bCs/>
          <w:kern w:val="0"/>
          <w:sz w:val="32"/>
          <w:szCs w:val="32"/>
        </w:rPr>
      </w:pPr>
      <w:r>
        <w:rPr>
          <w:rFonts w:eastAsia="仿宋"/>
          <w:b/>
          <w:bCs/>
          <w:kern w:val="0"/>
          <w:sz w:val="32"/>
          <w:szCs w:val="32"/>
        </w:rPr>
        <w:t>1. 预算执行情况分析（满分20分，得分</w:t>
      </w:r>
      <w:r>
        <w:rPr>
          <w:rFonts w:hint="eastAsia" w:eastAsia="仿宋"/>
          <w:b/>
          <w:bCs/>
          <w:kern w:val="0"/>
          <w:sz w:val="32"/>
          <w:szCs w:val="32"/>
        </w:rPr>
        <w:t>18.31</w:t>
      </w:r>
      <w:r>
        <w:rPr>
          <w:rFonts w:eastAsia="仿宋"/>
          <w:b/>
          <w:bCs/>
          <w:kern w:val="0"/>
          <w:sz w:val="32"/>
          <w:szCs w:val="32"/>
        </w:rPr>
        <w:t>分）</w:t>
      </w:r>
    </w:p>
    <w:p>
      <w:pPr>
        <w:widowControl/>
        <w:spacing w:line="560" w:lineRule="exact"/>
        <w:ind w:firstLine="640" w:firstLineChars="200"/>
        <w:rPr>
          <w:rFonts w:eastAsia="仿宋"/>
          <w:sz w:val="32"/>
          <w:szCs w:val="32"/>
        </w:rPr>
      </w:pPr>
      <w:r>
        <w:rPr>
          <w:rFonts w:eastAsia="仿宋"/>
          <w:sz w:val="32"/>
          <w:szCs w:val="32"/>
        </w:rPr>
        <w:t>本项目202</w:t>
      </w:r>
      <w:r>
        <w:rPr>
          <w:rFonts w:hint="eastAsia" w:eastAsia="仿宋"/>
          <w:sz w:val="32"/>
          <w:szCs w:val="32"/>
        </w:rPr>
        <w:t>1</w:t>
      </w:r>
      <w:r>
        <w:rPr>
          <w:rFonts w:eastAsia="仿宋"/>
          <w:sz w:val="32"/>
          <w:szCs w:val="32"/>
        </w:rPr>
        <w:t>年实际到位资金</w:t>
      </w:r>
      <w:r>
        <w:rPr>
          <w:rFonts w:hint="eastAsia" w:eastAsia="仿宋"/>
          <w:sz w:val="32"/>
          <w:szCs w:val="32"/>
        </w:rPr>
        <w:t>177327.72</w:t>
      </w:r>
      <w:r>
        <w:rPr>
          <w:rFonts w:eastAsia="仿宋"/>
          <w:sz w:val="32"/>
          <w:szCs w:val="32"/>
        </w:rPr>
        <w:t>万元，资金到位率</w:t>
      </w:r>
      <w:r>
        <w:rPr>
          <w:rFonts w:hint="eastAsia" w:eastAsia="仿宋"/>
          <w:sz w:val="32"/>
          <w:szCs w:val="32"/>
        </w:rPr>
        <w:t>91.55</w:t>
      </w:r>
      <w:r>
        <w:rPr>
          <w:rFonts w:eastAsia="仿宋"/>
          <w:sz w:val="32"/>
          <w:szCs w:val="32"/>
        </w:rPr>
        <w:t>%。实际支出资金</w:t>
      </w:r>
      <w:r>
        <w:rPr>
          <w:rFonts w:hint="eastAsia" w:eastAsia="仿宋"/>
          <w:sz w:val="32"/>
          <w:szCs w:val="32"/>
        </w:rPr>
        <w:t>162340.60</w:t>
      </w:r>
      <w:r>
        <w:rPr>
          <w:rFonts w:eastAsia="仿宋"/>
          <w:sz w:val="32"/>
          <w:szCs w:val="32"/>
        </w:rPr>
        <w:t>万元，预算执行率为</w:t>
      </w:r>
      <w:r>
        <w:rPr>
          <w:rFonts w:hint="eastAsia" w:eastAsia="仿宋"/>
          <w:sz w:val="32"/>
          <w:szCs w:val="32"/>
        </w:rPr>
        <w:t>91.55%</w:t>
      </w:r>
      <w:r>
        <w:rPr>
          <w:rFonts w:eastAsia="仿宋"/>
          <w:sz w:val="32"/>
          <w:szCs w:val="32"/>
        </w:rPr>
        <w:t>。</w:t>
      </w:r>
    </w:p>
    <w:p>
      <w:pPr>
        <w:widowControl/>
        <w:spacing w:line="560" w:lineRule="exact"/>
        <w:ind w:firstLine="643" w:firstLineChars="200"/>
        <w:outlineLvl w:val="2"/>
        <w:rPr>
          <w:rFonts w:eastAsia="仿宋"/>
          <w:b/>
          <w:bCs/>
          <w:kern w:val="0"/>
          <w:sz w:val="32"/>
          <w:szCs w:val="32"/>
        </w:rPr>
      </w:pPr>
      <w:r>
        <w:rPr>
          <w:rFonts w:hint="eastAsia" w:eastAsia="仿宋"/>
          <w:b/>
          <w:bCs/>
          <w:kern w:val="0"/>
          <w:sz w:val="32"/>
          <w:szCs w:val="32"/>
        </w:rPr>
        <w:t>2. 绩效目标完成情况分析（满分80分，得分74.5分）</w:t>
      </w:r>
    </w:p>
    <w:p>
      <w:pPr>
        <w:widowControl/>
        <w:spacing w:line="560" w:lineRule="exact"/>
        <w:ind w:firstLine="640" w:firstLineChars="200"/>
        <w:rPr>
          <w:rFonts w:eastAsia="仿宋"/>
          <w:sz w:val="32"/>
          <w:szCs w:val="32"/>
        </w:rPr>
      </w:pPr>
      <w:r>
        <w:rPr>
          <w:rFonts w:eastAsia="仿宋"/>
          <w:sz w:val="32"/>
          <w:szCs w:val="32"/>
        </w:rPr>
        <w:t>（1）</w:t>
      </w:r>
      <w:r>
        <w:rPr>
          <w:rFonts w:hint="eastAsia" w:eastAsia="仿宋"/>
          <w:sz w:val="32"/>
          <w:szCs w:val="32"/>
        </w:rPr>
        <w:t>产出指标</w:t>
      </w:r>
      <w:r>
        <w:rPr>
          <w:rFonts w:eastAsia="仿宋"/>
          <w:sz w:val="32"/>
          <w:szCs w:val="32"/>
        </w:rPr>
        <w:t>完成情况分析</w:t>
      </w:r>
      <w:r>
        <w:rPr>
          <w:rFonts w:hint="eastAsia" w:eastAsia="仿宋"/>
          <w:sz w:val="32"/>
          <w:szCs w:val="32"/>
        </w:rPr>
        <w:t>（</w:t>
      </w:r>
      <w:r>
        <w:rPr>
          <w:rFonts w:eastAsia="仿宋"/>
          <w:sz w:val="32"/>
          <w:szCs w:val="32"/>
        </w:rPr>
        <w:t>满分</w:t>
      </w:r>
      <w:r>
        <w:rPr>
          <w:rFonts w:hint="eastAsia" w:eastAsia="仿宋"/>
          <w:sz w:val="32"/>
          <w:szCs w:val="32"/>
        </w:rPr>
        <w:t>40</w:t>
      </w:r>
      <w:r>
        <w:rPr>
          <w:rFonts w:eastAsia="仿宋"/>
          <w:sz w:val="32"/>
          <w:szCs w:val="32"/>
        </w:rPr>
        <w:t>分，得分</w:t>
      </w:r>
      <w:r>
        <w:rPr>
          <w:rFonts w:hint="eastAsia" w:eastAsia="仿宋"/>
          <w:sz w:val="32"/>
          <w:szCs w:val="32"/>
        </w:rPr>
        <w:t>38.5</w:t>
      </w:r>
      <w:r>
        <w:rPr>
          <w:rFonts w:eastAsia="仿宋"/>
          <w:sz w:val="32"/>
          <w:szCs w:val="32"/>
        </w:rPr>
        <w:t>分</w:t>
      </w:r>
      <w:r>
        <w:rPr>
          <w:rFonts w:hint="eastAsia" w:eastAsia="仿宋"/>
          <w:sz w:val="32"/>
          <w:szCs w:val="32"/>
        </w:rPr>
        <w:t>）</w:t>
      </w:r>
    </w:p>
    <w:p>
      <w:pPr>
        <w:widowControl/>
        <w:spacing w:line="560" w:lineRule="exact"/>
        <w:ind w:firstLine="640" w:firstLineChars="200"/>
        <w:rPr>
          <w:rFonts w:eastAsia="仿宋"/>
          <w:sz w:val="32"/>
          <w:szCs w:val="32"/>
        </w:rPr>
      </w:pPr>
      <w:r>
        <w:rPr>
          <w:rFonts w:hint="eastAsia" w:eastAsia="仿宋"/>
          <w:sz w:val="32"/>
          <w:szCs w:val="32"/>
        </w:rPr>
        <w:t>①新建项目开工数：满分9分，得</w:t>
      </w:r>
      <w:r>
        <w:rPr>
          <w:rFonts w:eastAsia="仿宋"/>
          <w:sz w:val="32"/>
          <w:szCs w:val="32"/>
        </w:rPr>
        <w:t>分</w:t>
      </w:r>
      <w:r>
        <w:rPr>
          <w:rFonts w:hint="eastAsia" w:eastAsia="仿宋"/>
          <w:sz w:val="32"/>
          <w:szCs w:val="32"/>
        </w:rPr>
        <w:t>9</w:t>
      </w:r>
      <w:r>
        <w:rPr>
          <w:rFonts w:eastAsia="仿宋"/>
          <w:sz w:val="32"/>
          <w:szCs w:val="32"/>
        </w:rPr>
        <w:t>分</w:t>
      </w:r>
    </w:p>
    <w:p>
      <w:pPr>
        <w:pStyle w:val="4"/>
        <w:spacing w:after="0" w:line="560" w:lineRule="exact"/>
        <w:ind w:firstLine="640" w:firstLineChars="200"/>
        <w:rPr>
          <w:rFonts w:eastAsia="仿宋"/>
          <w:sz w:val="32"/>
          <w:szCs w:val="32"/>
        </w:rPr>
      </w:pPr>
      <w:r>
        <w:rPr>
          <w:rFonts w:hint="eastAsia" w:eastAsia="仿宋"/>
          <w:sz w:val="32"/>
          <w:szCs w:val="32"/>
        </w:rPr>
        <w:t>目标为新建项目开工数2项。2021年计划开工项目有汉南区S321（汉仙线）大中修工程、水毁公路灾后修复重建项目，实际年内完成开工的项目有汉南区S321（汉仙线）大中修工程、水毁公路灾后修复重建项目，2021年新建项目开工数为2项，完成目标。</w:t>
      </w:r>
    </w:p>
    <w:p>
      <w:pPr>
        <w:widowControl/>
        <w:spacing w:line="560" w:lineRule="exact"/>
        <w:ind w:firstLine="640" w:firstLineChars="200"/>
        <w:rPr>
          <w:rFonts w:eastAsia="仿宋"/>
          <w:sz w:val="32"/>
          <w:szCs w:val="32"/>
        </w:rPr>
      </w:pPr>
      <w:r>
        <w:rPr>
          <w:rFonts w:hint="eastAsia" w:eastAsia="仿宋"/>
          <w:sz w:val="32"/>
          <w:szCs w:val="32"/>
        </w:rPr>
        <w:t>②新建项目完工数：满分6分，得</w:t>
      </w:r>
      <w:r>
        <w:rPr>
          <w:rFonts w:eastAsia="仿宋"/>
          <w:sz w:val="32"/>
          <w:szCs w:val="32"/>
        </w:rPr>
        <w:t>分</w:t>
      </w:r>
      <w:r>
        <w:rPr>
          <w:rFonts w:hint="eastAsia" w:eastAsia="仿宋"/>
          <w:sz w:val="32"/>
          <w:szCs w:val="32"/>
        </w:rPr>
        <w:t>6</w:t>
      </w:r>
      <w:r>
        <w:rPr>
          <w:rFonts w:eastAsia="仿宋"/>
          <w:sz w:val="32"/>
          <w:szCs w:val="32"/>
        </w:rPr>
        <w:t>分</w:t>
      </w:r>
    </w:p>
    <w:p>
      <w:pPr>
        <w:pStyle w:val="4"/>
        <w:spacing w:after="0" w:line="560" w:lineRule="exact"/>
        <w:ind w:firstLine="640" w:firstLineChars="200"/>
        <w:rPr>
          <w:rFonts w:eastAsia="仿宋"/>
          <w:sz w:val="32"/>
          <w:szCs w:val="32"/>
        </w:rPr>
      </w:pPr>
      <w:r>
        <w:rPr>
          <w:rFonts w:hint="eastAsia" w:eastAsia="仿宋"/>
          <w:sz w:val="32"/>
          <w:szCs w:val="32"/>
        </w:rPr>
        <w:t>目标为新建项目完工数2项。2021年新建项目计划完工项目有汉南区S321（汉仙线）大中修工程、水毁公路灾后修复重建项目。实际完工项目有汉南区S321（汉仙线）大中修工程、水毁公路灾后修复重建项目，新建项目完工数为2项，完成目标。</w:t>
      </w:r>
    </w:p>
    <w:p>
      <w:pPr>
        <w:widowControl/>
        <w:spacing w:line="560" w:lineRule="exact"/>
        <w:ind w:firstLine="640" w:firstLineChars="200"/>
        <w:rPr>
          <w:rFonts w:eastAsia="仿宋"/>
          <w:sz w:val="32"/>
          <w:szCs w:val="32"/>
        </w:rPr>
      </w:pPr>
      <w:r>
        <w:rPr>
          <w:rFonts w:hint="eastAsia" w:eastAsia="仿宋"/>
          <w:sz w:val="32"/>
          <w:szCs w:val="32"/>
        </w:rPr>
        <w:t>③续建项目完工数：满分3分，得</w:t>
      </w:r>
      <w:r>
        <w:rPr>
          <w:rFonts w:eastAsia="仿宋"/>
          <w:sz w:val="32"/>
          <w:szCs w:val="32"/>
        </w:rPr>
        <w:t>分</w:t>
      </w:r>
      <w:r>
        <w:rPr>
          <w:rFonts w:hint="eastAsia" w:eastAsia="仿宋"/>
          <w:sz w:val="32"/>
          <w:szCs w:val="32"/>
        </w:rPr>
        <w:t>1.5</w:t>
      </w:r>
      <w:r>
        <w:rPr>
          <w:rFonts w:eastAsia="仿宋"/>
          <w:sz w:val="32"/>
          <w:szCs w:val="32"/>
        </w:rPr>
        <w:t>分</w:t>
      </w:r>
    </w:p>
    <w:p>
      <w:pPr>
        <w:pStyle w:val="4"/>
        <w:spacing w:after="0" w:line="560" w:lineRule="exact"/>
        <w:ind w:firstLine="640" w:firstLineChars="200"/>
        <w:rPr>
          <w:rFonts w:eastAsia="仿宋"/>
          <w:sz w:val="32"/>
          <w:szCs w:val="32"/>
        </w:rPr>
      </w:pPr>
      <w:r>
        <w:rPr>
          <w:rFonts w:hint="eastAsia" w:eastAsia="仿宋"/>
          <w:sz w:val="32"/>
          <w:szCs w:val="32"/>
        </w:rPr>
        <w:t>目标为续建项目完工数2项。2021年续建项目计划完工项目为武汉港汉南区船舶污染物接收设施项目和乌金公交场站建设项目。实际完工项目有乌金公交场站建设项目，武汉港汉南区船舶污染物接收设施项目因江边防汛导致工程延期未能完工，续建项目完工数为1项，未完成目标。</w:t>
      </w:r>
    </w:p>
    <w:p>
      <w:pPr>
        <w:widowControl/>
        <w:spacing w:line="560" w:lineRule="exact"/>
        <w:ind w:firstLine="640" w:firstLineChars="200"/>
        <w:rPr>
          <w:rFonts w:eastAsia="仿宋"/>
          <w:sz w:val="32"/>
          <w:szCs w:val="32"/>
        </w:rPr>
      </w:pPr>
      <w:r>
        <w:rPr>
          <w:rFonts w:hint="eastAsia" w:eastAsia="仿宋"/>
          <w:sz w:val="32"/>
          <w:szCs w:val="32"/>
        </w:rPr>
        <w:t>④完工项目完成验收数：满分3分，得</w:t>
      </w:r>
      <w:r>
        <w:rPr>
          <w:rFonts w:eastAsia="仿宋"/>
          <w:sz w:val="32"/>
          <w:szCs w:val="32"/>
        </w:rPr>
        <w:t>分</w:t>
      </w:r>
      <w:r>
        <w:rPr>
          <w:rFonts w:hint="eastAsia" w:eastAsia="仿宋"/>
          <w:sz w:val="32"/>
          <w:szCs w:val="32"/>
        </w:rPr>
        <w:t>3</w:t>
      </w:r>
      <w:r>
        <w:rPr>
          <w:rFonts w:eastAsia="仿宋"/>
          <w:sz w:val="32"/>
          <w:szCs w:val="32"/>
        </w:rPr>
        <w:t>分</w:t>
      </w:r>
    </w:p>
    <w:p>
      <w:pPr>
        <w:pStyle w:val="4"/>
        <w:spacing w:after="0" w:line="560" w:lineRule="exact"/>
        <w:ind w:firstLine="640" w:firstLineChars="200"/>
        <w:rPr>
          <w:rFonts w:eastAsia="仿宋"/>
          <w:sz w:val="32"/>
          <w:szCs w:val="32"/>
        </w:rPr>
      </w:pPr>
      <w:r>
        <w:rPr>
          <w:rFonts w:hint="eastAsia" w:eastAsia="仿宋"/>
          <w:sz w:val="32"/>
          <w:szCs w:val="32"/>
        </w:rPr>
        <w:t>目标为完工项目完成验收数3项。2021年计划完成验收项目为汉南区S321（汉仙线）大中修工程、水毁公路灾后修复重建项目、乌金公交场站建设项目。实际完成验收项目为汉南区S321（汉仙线）大中修工程、水毁公路灾后修复重建项目、乌金公交场站建设项目，完工项目完成验收数为3项，完成目标。</w:t>
      </w:r>
    </w:p>
    <w:p>
      <w:pPr>
        <w:widowControl/>
        <w:spacing w:line="560" w:lineRule="exact"/>
        <w:ind w:firstLine="640" w:firstLineChars="200"/>
        <w:rPr>
          <w:rFonts w:eastAsia="仿宋"/>
          <w:sz w:val="32"/>
          <w:szCs w:val="32"/>
        </w:rPr>
      </w:pPr>
      <w:r>
        <w:rPr>
          <w:rFonts w:hint="eastAsia" w:eastAsia="仿宋"/>
          <w:sz w:val="32"/>
          <w:szCs w:val="32"/>
        </w:rPr>
        <w:t>⑤验收合格项目进入审计数：满分6分，得</w:t>
      </w:r>
      <w:r>
        <w:rPr>
          <w:rFonts w:eastAsia="仿宋"/>
          <w:sz w:val="32"/>
          <w:szCs w:val="32"/>
        </w:rPr>
        <w:t>分</w:t>
      </w:r>
      <w:r>
        <w:rPr>
          <w:rFonts w:hint="eastAsia" w:eastAsia="仿宋"/>
          <w:sz w:val="32"/>
          <w:szCs w:val="32"/>
        </w:rPr>
        <w:t>6</w:t>
      </w:r>
      <w:r>
        <w:rPr>
          <w:rFonts w:eastAsia="仿宋"/>
          <w:sz w:val="32"/>
          <w:szCs w:val="32"/>
        </w:rPr>
        <w:t>分</w:t>
      </w:r>
    </w:p>
    <w:p>
      <w:pPr>
        <w:pStyle w:val="4"/>
        <w:spacing w:after="0" w:line="560" w:lineRule="exact"/>
        <w:ind w:firstLine="640" w:firstLineChars="200"/>
        <w:rPr>
          <w:rFonts w:eastAsia="仿宋"/>
          <w:sz w:val="32"/>
          <w:szCs w:val="32"/>
        </w:rPr>
      </w:pPr>
      <w:r>
        <w:rPr>
          <w:rFonts w:hint="eastAsia" w:eastAsia="仿宋"/>
          <w:sz w:val="32"/>
          <w:szCs w:val="32"/>
        </w:rPr>
        <w:t>目标为验收合格项目进入审计数3项。2021年计划进入审计项目有水毁公路灾后修复重建项目、汉南区S321（汉仙线）大中修工程、2020年度汉洪高速“点对点”免费通行项目。2021年这三个项目都已进入审计，验收合格项目进入审计数为3项，完成目标。</w:t>
      </w:r>
    </w:p>
    <w:p>
      <w:pPr>
        <w:widowControl/>
        <w:spacing w:line="560" w:lineRule="exact"/>
        <w:ind w:firstLine="640" w:firstLineChars="200"/>
        <w:rPr>
          <w:rFonts w:eastAsia="仿宋"/>
          <w:sz w:val="32"/>
          <w:szCs w:val="32"/>
        </w:rPr>
      </w:pPr>
      <w:r>
        <w:rPr>
          <w:rFonts w:hint="eastAsia" w:eastAsia="仿宋"/>
          <w:sz w:val="32"/>
          <w:szCs w:val="32"/>
        </w:rPr>
        <w:t>⑥审计项目完成数：满分9分，得</w:t>
      </w:r>
      <w:r>
        <w:rPr>
          <w:rFonts w:eastAsia="仿宋"/>
          <w:sz w:val="32"/>
          <w:szCs w:val="32"/>
        </w:rPr>
        <w:t>分</w:t>
      </w:r>
      <w:r>
        <w:rPr>
          <w:rFonts w:hint="eastAsia" w:eastAsia="仿宋"/>
          <w:sz w:val="32"/>
          <w:szCs w:val="32"/>
        </w:rPr>
        <w:t>9</w:t>
      </w:r>
      <w:r>
        <w:rPr>
          <w:rFonts w:eastAsia="仿宋"/>
          <w:sz w:val="32"/>
          <w:szCs w:val="32"/>
        </w:rPr>
        <w:t>分</w:t>
      </w:r>
    </w:p>
    <w:p>
      <w:pPr>
        <w:pStyle w:val="4"/>
        <w:spacing w:after="0" w:line="560" w:lineRule="exact"/>
        <w:ind w:firstLine="640" w:firstLineChars="200"/>
        <w:rPr>
          <w:rFonts w:eastAsia="仿宋"/>
          <w:sz w:val="32"/>
          <w:szCs w:val="32"/>
        </w:rPr>
      </w:pPr>
      <w:r>
        <w:rPr>
          <w:rFonts w:hint="eastAsia" w:eastAsia="仿宋"/>
          <w:sz w:val="32"/>
          <w:szCs w:val="32"/>
        </w:rPr>
        <w:t>目标为审计项目完成数3项。2021年计划完成审计项目有水毁公路灾后修复重建项目、汉南区S321（汉仙线）大中修工程、2020年度汉洪高速“点对点”免费通行项目3个项目均完成审计，完成目标。</w:t>
      </w:r>
    </w:p>
    <w:p>
      <w:pPr>
        <w:widowControl/>
        <w:spacing w:line="560" w:lineRule="exact"/>
        <w:ind w:firstLine="640" w:firstLineChars="200"/>
        <w:rPr>
          <w:rFonts w:eastAsia="仿宋"/>
          <w:sz w:val="32"/>
          <w:szCs w:val="32"/>
        </w:rPr>
      </w:pPr>
      <w:r>
        <w:rPr>
          <w:rFonts w:hint="eastAsia" w:eastAsia="仿宋"/>
          <w:sz w:val="32"/>
          <w:szCs w:val="32"/>
        </w:rPr>
        <w:t>⑦工程完工及时性</w:t>
      </w:r>
      <w:r>
        <w:rPr>
          <w:rFonts w:eastAsia="仿宋"/>
          <w:sz w:val="32"/>
          <w:szCs w:val="32"/>
        </w:rPr>
        <w:t>：满分</w:t>
      </w:r>
      <w:r>
        <w:rPr>
          <w:rFonts w:hint="eastAsia" w:eastAsia="仿宋"/>
          <w:sz w:val="32"/>
          <w:szCs w:val="32"/>
        </w:rPr>
        <w:t>4</w:t>
      </w:r>
      <w:r>
        <w:rPr>
          <w:rFonts w:eastAsia="仿宋"/>
          <w:sz w:val="32"/>
          <w:szCs w:val="32"/>
        </w:rPr>
        <w:t>分，得分</w:t>
      </w:r>
      <w:r>
        <w:rPr>
          <w:rFonts w:hint="eastAsia" w:eastAsia="仿宋"/>
          <w:sz w:val="32"/>
          <w:szCs w:val="32"/>
        </w:rPr>
        <w:t>2</w:t>
      </w:r>
      <w:r>
        <w:rPr>
          <w:rFonts w:eastAsia="仿宋"/>
          <w:sz w:val="32"/>
          <w:szCs w:val="32"/>
        </w:rPr>
        <w:t>分</w:t>
      </w:r>
    </w:p>
    <w:p>
      <w:pPr>
        <w:pStyle w:val="4"/>
        <w:spacing w:after="0" w:line="560" w:lineRule="exact"/>
        <w:ind w:firstLine="640" w:firstLineChars="200"/>
        <w:rPr>
          <w:rFonts w:eastAsia="仿宋"/>
          <w:sz w:val="32"/>
          <w:szCs w:val="32"/>
        </w:rPr>
      </w:pPr>
      <w:r>
        <w:rPr>
          <w:rFonts w:hint="eastAsia" w:eastAsia="仿宋"/>
          <w:sz w:val="32"/>
          <w:szCs w:val="32"/>
        </w:rPr>
        <w:t>目标为工程完工及时。武汉港汉南区船舶污染物接收设施项目因江边防汛导致工程延期未能完工，开发区（汉南区)老旧小区改造项目因房屋拆迁受阻未能完工。考虑到2021年疫情和汛情对工作正常开展造成了影响，故酌情扣分。</w:t>
      </w:r>
    </w:p>
    <w:p>
      <w:pPr>
        <w:widowControl/>
        <w:spacing w:line="560" w:lineRule="exact"/>
        <w:ind w:firstLine="640" w:firstLineChars="200"/>
        <w:rPr>
          <w:rFonts w:eastAsia="仿宋"/>
          <w:sz w:val="32"/>
          <w:szCs w:val="32"/>
        </w:rPr>
      </w:pPr>
      <w:r>
        <w:rPr>
          <w:rFonts w:eastAsia="仿宋"/>
          <w:sz w:val="32"/>
          <w:szCs w:val="32"/>
        </w:rPr>
        <w:t>（2）</w:t>
      </w:r>
      <w:r>
        <w:rPr>
          <w:rFonts w:hint="eastAsia" w:eastAsia="仿宋"/>
          <w:sz w:val="32"/>
          <w:szCs w:val="32"/>
        </w:rPr>
        <w:t>效益</w:t>
      </w:r>
      <w:r>
        <w:rPr>
          <w:rFonts w:eastAsia="仿宋"/>
          <w:sz w:val="32"/>
          <w:szCs w:val="32"/>
        </w:rPr>
        <w:t>指标完成情况分析（满分</w:t>
      </w:r>
      <w:r>
        <w:rPr>
          <w:rFonts w:hint="eastAsia" w:eastAsia="仿宋"/>
          <w:sz w:val="32"/>
          <w:szCs w:val="32"/>
        </w:rPr>
        <w:t>40</w:t>
      </w:r>
      <w:r>
        <w:rPr>
          <w:rFonts w:eastAsia="仿宋"/>
          <w:sz w:val="32"/>
          <w:szCs w:val="32"/>
        </w:rPr>
        <w:t>分，得分</w:t>
      </w:r>
      <w:r>
        <w:rPr>
          <w:rFonts w:hint="eastAsia" w:eastAsia="仿宋"/>
          <w:sz w:val="32"/>
          <w:szCs w:val="32"/>
        </w:rPr>
        <w:t>38</w:t>
      </w:r>
      <w:r>
        <w:rPr>
          <w:rFonts w:eastAsia="仿宋"/>
          <w:sz w:val="32"/>
          <w:szCs w:val="32"/>
        </w:rPr>
        <w:t>分）</w:t>
      </w:r>
    </w:p>
    <w:p>
      <w:pPr>
        <w:widowControl/>
        <w:spacing w:line="560" w:lineRule="exact"/>
        <w:ind w:firstLine="640" w:firstLineChars="200"/>
        <w:rPr>
          <w:rFonts w:eastAsia="仿宋"/>
          <w:sz w:val="32"/>
          <w:szCs w:val="32"/>
        </w:rPr>
      </w:pPr>
      <w:r>
        <w:rPr>
          <w:rFonts w:hint="eastAsia" w:eastAsia="仿宋"/>
          <w:sz w:val="32"/>
          <w:szCs w:val="32"/>
        </w:rPr>
        <w:t>①改善交通出行环境</w:t>
      </w:r>
      <w:r>
        <w:rPr>
          <w:rFonts w:eastAsia="仿宋"/>
          <w:sz w:val="32"/>
          <w:szCs w:val="32"/>
        </w:rPr>
        <w:t>：满分</w:t>
      </w:r>
      <w:r>
        <w:rPr>
          <w:rFonts w:hint="eastAsia" w:eastAsia="仿宋"/>
          <w:sz w:val="32"/>
          <w:szCs w:val="32"/>
        </w:rPr>
        <w:t>10</w:t>
      </w:r>
      <w:r>
        <w:rPr>
          <w:rFonts w:eastAsia="仿宋"/>
          <w:sz w:val="32"/>
          <w:szCs w:val="32"/>
        </w:rPr>
        <w:t>分，得分</w:t>
      </w:r>
      <w:r>
        <w:rPr>
          <w:rFonts w:hint="eastAsia" w:eastAsia="仿宋"/>
          <w:sz w:val="32"/>
          <w:szCs w:val="32"/>
        </w:rPr>
        <w:t>8</w:t>
      </w:r>
      <w:r>
        <w:rPr>
          <w:rFonts w:eastAsia="仿宋"/>
          <w:sz w:val="32"/>
          <w:szCs w:val="32"/>
        </w:rPr>
        <w:t>分</w:t>
      </w:r>
    </w:p>
    <w:p>
      <w:pPr>
        <w:widowControl/>
        <w:spacing w:line="560" w:lineRule="exact"/>
        <w:ind w:firstLine="640" w:firstLineChars="200"/>
        <w:rPr>
          <w:rFonts w:eastAsia="仿宋"/>
          <w:sz w:val="32"/>
          <w:szCs w:val="32"/>
        </w:rPr>
      </w:pPr>
      <w:r>
        <w:rPr>
          <w:rFonts w:hint="eastAsia" w:eastAsia="仿宋"/>
          <w:sz w:val="32"/>
          <w:szCs w:val="32"/>
        </w:rPr>
        <w:t>目标为改善交通出行环境。本项目11个子项目的实施有利于改善区内交通出行环境，因2021年受到疫情和汛情的双重影响，部分子项目进度受到较大影响，项目预期效果尚未完全展现。</w:t>
      </w:r>
    </w:p>
    <w:p>
      <w:pPr>
        <w:widowControl/>
        <w:spacing w:line="560" w:lineRule="exact"/>
        <w:ind w:firstLine="640" w:firstLineChars="200"/>
        <w:rPr>
          <w:rFonts w:eastAsia="仿宋"/>
          <w:sz w:val="32"/>
          <w:szCs w:val="32"/>
        </w:rPr>
      </w:pPr>
      <w:r>
        <w:rPr>
          <w:rFonts w:hint="eastAsia" w:eastAsia="仿宋"/>
          <w:sz w:val="32"/>
          <w:szCs w:val="32"/>
        </w:rPr>
        <w:t>②无安全生产事故发生</w:t>
      </w:r>
      <w:r>
        <w:rPr>
          <w:rFonts w:eastAsia="仿宋"/>
          <w:sz w:val="32"/>
          <w:szCs w:val="32"/>
        </w:rPr>
        <w:t>：满分</w:t>
      </w:r>
      <w:r>
        <w:rPr>
          <w:rFonts w:hint="eastAsia" w:eastAsia="仿宋"/>
          <w:sz w:val="32"/>
          <w:szCs w:val="32"/>
        </w:rPr>
        <w:t>10</w:t>
      </w:r>
      <w:r>
        <w:rPr>
          <w:rFonts w:eastAsia="仿宋"/>
          <w:sz w:val="32"/>
          <w:szCs w:val="32"/>
        </w:rPr>
        <w:t>分，得分</w:t>
      </w:r>
      <w:r>
        <w:rPr>
          <w:rFonts w:hint="eastAsia" w:eastAsia="仿宋"/>
          <w:sz w:val="32"/>
          <w:szCs w:val="32"/>
        </w:rPr>
        <w:t>10</w:t>
      </w:r>
      <w:r>
        <w:rPr>
          <w:rFonts w:eastAsia="仿宋"/>
          <w:sz w:val="32"/>
          <w:szCs w:val="32"/>
        </w:rPr>
        <w:t>分</w:t>
      </w:r>
    </w:p>
    <w:p>
      <w:pPr>
        <w:widowControl/>
        <w:spacing w:line="560" w:lineRule="exact"/>
        <w:ind w:firstLine="640" w:firstLineChars="200"/>
        <w:rPr>
          <w:rFonts w:eastAsia="仿宋"/>
          <w:sz w:val="32"/>
          <w:szCs w:val="32"/>
        </w:rPr>
      </w:pPr>
      <w:r>
        <w:rPr>
          <w:rFonts w:hint="eastAsia" w:eastAsia="仿宋"/>
          <w:sz w:val="32"/>
          <w:szCs w:val="32"/>
        </w:rPr>
        <w:t>目标为无安全生产事故发生。区住建局严抓项目安全生产，2021年未发生安全生产事故，完成目标。</w:t>
      </w:r>
    </w:p>
    <w:p>
      <w:pPr>
        <w:widowControl/>
        <w:spacing w:line="560" w:lineRule="exact"/>
        <w:ind w:firstLine="640" w:firstLineChars="200"/>
        <w:rPr>
          <w:rFonts w:eastAsia="仿宋"/>
          <w:sz w:val="32"/>
          <w:szCs w:val="32"/>
        </w:rPr>
      </w:pPr>
      <w:r>
        <w:rPr>
          <w:rFonts w:hint="eastAsia" w:eastAsia="仿宋"/>
          <w:sz w:val="32"/>
          <w:szCs w:val="32"/>
        </w:rPr>
        <w:t>③无生态环境影响方面的投诉：</w:t>
      </w:r>
      <w:r>
        <w:rPr>
          <w:rFonts w:eastAsia="仿宋"/>
          <w:sz w:val="32"/>
          <w:szCs w:val="32"/>
        </w:rPr>
        <w:t>满分</w:t>
      </w:r>
      <w:r>
        <w:rPr>
          <w:rFonts w:hint="eastAsia" w:eastAsia="仿宋"/>
          <w:sz w:val="32"/>
          <w:szCs w:val="32"/>
        </w:rPr>
        <w:t>10</w:t>
      </w:r>
      <w:r>
        <w:rPr>
          <w:rFonts w:eastAsia="仿宋"/>
          <w:sz w:val="32"/>
          <w:szCs w:val="32"/>
        </w:rPr>
        <w:t>分，得分</w:t>
      </w:r>
      <w:r>
        <w:rPr>
          <w:rFonts w:hint="eastAsia" w:eastAsia="仿宋"/>
          <w:sz w:val="32"/>
          <w:szCs w:val="32"/>
        </w:rPr>
        <w:t>10</w:t>
      </w:r>
      <w:r>
        <w:rPr>
          <w:rFonts w:eastAsia="仿宋"/>
          <w:sz w:val="32"/>
          <w:szCs w:val="32"/>
        </w:rPr>
        <w:t>分</w:t>
      </w:r>
    </w:p>
    <w:p>
      <w:pPr>
        <w:widowControl/>
        <w:spacing w:line="560" w:lineRule="exact"/>
        <w:ind w:firstLine="640" w:firstLineChars="200"/>
        <w:rPr>
          <w:rFonts w:eastAsia="仿宋"/>
          <w:sz w:val="32"/>
          <w:szCs w:val="32"/>
        </w:rPr>
      </w:pPr>
      <w:r>
        <w:rPr>
          <w:rFonts w:hint="eastAsia" w:eastAsia="仿宋"/>
          <w:sz w:val="32"/>
          <w:szCs w:val="32"/>
        </w:rPr>
        <w:t>目标为无生态环境影响方面的投诉。各施工项目严格落实环境保护措施，2021年无生态环境影响方面的投诉，完成目标。</w:t>
      </w:r>
    </w:p>
    <w:p>
      <w:pPr>
        <w:widowControl/>
        <w:spacing w:line="560" w:lineRule="exact"/>
        <w:ind w:firstLine="640" w:firstLineChars="200"/>
        <w:rPr>
          <w:rFonts w:eastAsia="仿宋"/>
          <w:sz w:val="32"/>
          <w:szCs w:val="32"/>
        </w:rPr>
      </w:pPr>
      <w:r>
        <w:rPr>
          <w:rFonts w:hint="eastAsia" w:ascii="仿宋" w:hAnsi="仿宋" w:eastAsia="仿宋" w:cs="仿宋"/>
          <w:sz w:val="32"/>
          <w:szCs w:val="32"/>
        </w:rPr>
        <w:t>④</w:t>
      </w:r>
      <w:r>
        <w:rPr>
          <w:rFonts w:hint="eastAsia" w:eastAsia="仿宋"/>
          <w:sz w:val="32"/>
          <w:szCs w:val="32"/>
        </w:rPr>
        <w:t>新增设施使用年限</w:t>
      </w:r>
      <w:r>
        <w:rPr>
          <w:rFonts w:eastAsia="仿宋"/>
          <w:sz w:val="32"/>
          <w:szCs w:val="32"/>
        </w:rPr>
        <w:t>：满分</w:t>
      </w:r>
      <w:r>
        <w:rPr>
          <w:rFonts w:hint="eastAsia" w:eastAsia="仿宋"/>
          <w:sz w:val="32"/>
          <w:szCs w:val="32"/>
        </w:rPr>
        <w:t>10</w:t>
      </w:r>
      <w:r>
        <w:rPr>
          <w:rFonts w:eastAsia="仿宋"/>
          <w:sz w:val="32"/>
          <w:szCs w:val="32"/>
        </w:rPr>
        <w:t>分，得分</w:t>
      </w:r>
      <w:r>
        <w:rPr>
          <w:rFonts w:hint="eastAsia" w:eastAsia="仿宋"/>
          <w:sz w:val="32"/>
          <w:szCs w:val="32"/>
        </w:rPr>
        <w:t>10</w:t>
      </w:r>
      <w:r>
        <w:rPr>
          <w:rFonts w:eastAsia="仿宋"/>
          <w:sz w:val="32"/>
          <w:szCs w:val="32"/>
        </w:rPr>
        <w:t>分</w:t>
      </w:r>
    </w:p>
    <w:p>
      <w:pPr>
        <w:widowControl/>
        <w:spacing w:line="560" w:lineRule="exact"/>
        <w:ind w:firstLine="640" w:firstLineChars="200"/>
        <w:rPr>
          <w:rFonts w:eastAsia="仿宋"/>
          <w:sz w:val="32"/>
          <w:szCs w:val="32"/>
        </w:rPr>
      </w:pPr>
      <w:r>
        <w:rPr>
          <w:rFonts w:hint="eastAsia" w:eastAsia="仿宋"/>
          <w:sz w:val="32"/>
          <w:szCs w:val="32"/>
        </w:rPr>
        <w:t>目标为≥10年。2021年完工的S321（汉仙线）大中修工程，可使用年限均超过10年。</w:t>
      </w:r>
    </w:p>
    <w:p>
      <w:pPr>
        <w:pStyle w:val="3"/>
        <w:shd w:val="clear" w:color="auto" w:fill="FFFFFF" w:themeFill="background1"/>
        <w:spacing w:before="0" w:after="0" w:line="560" w:lineRule="exact"/>
        <w:ind w:firstLine="643" w:firstLineChars="200"/>
        <w:contextualSpacing/>
        <w:jc w:val="left"/>
        <w:rPr>
          <w:rFonts w:ascii="Times New Roman" w:hAnsi="Times New Roman" w:eastAsia="楷体" w:cs="Times New Roman"/>
        </w:rPr>
      </w:pPr>
      <w:r>
        <w:rPr>
          <w:rFonts w:hint="eastAsia" w:ascii="Times New Roman" w:hAnsi="Times New Roman" w:eastAsia="楷体" w:cs="Times New Roman"/>
        </w:rPr>
        <w:t>（四）上年度部门自评结果应用情况</w:t>
      </w:r>
    </w:p>
    <w:p>
      <w:pPr>
        <w:widowControl/>
        <w:spacing w:line="560" w:lineRule="exact"/>
        <w:ind w:firstLine="640" w:firstLineChars="200"/>
        <w:rPr>
          <w:rFonts w:eastAsia="仿宋"/>
          <w:sz w:val="32"/>
          <w:szCs w:val="32"/>
        </w:rPr>
      </w:pPr>
      <w:r>
        <w:rPr>
          <w:rFonts w:hint="eastAsia" w:eastAsia="仿宋"/>
          <w:sz w:val="32"/>
          <w:szCs w:val="32"/>
        </w:rPr>
        <w:t>本项目上年度实施了绩效自评，但2021年进行预算申报时未同步进行绩效目标的申报。</w:t>
      </w:r>
    </w:p>
    <w:p>
      <w:pPr>
        <w:pStyle w:val="3"/>
        <w:shd w:val="clear" w:color="auto" w:fill="FFFFFF" w:themeFill="background1"/>
        <w:spacing w:before="0" w:after="0" w:line="560" w:lineRule="exact"/>
        <w:ind w:firstLine="643" w:firstLineChars="200"/>
        <w:contextualSpacing/>
        <w:jc w:val="left"/>
        <w:rPr>
          <w:rFonts w:ascii="Times New Roman" w:hAnsi="Times New Roman" w:eastAsia="楷体" w:cs="Times New Roman"/>
        </w:rPr>
      </w:pPr>
      <w:r>
        <w:rPr>
          <w:rFonts w:hint="eastAsia" w:ascii="Times New Roman" w:hAnsi="Times New Roman" w:eastAsia="楷体" w:cs="Times New Roman"/>
        </w:rPr>
        <w:t>（五）其他佐证材料</w:t>
      </w:r>
    </w:p>
    <w:p>
      <w:pPr>
        <w:widowControl/>
        <w:spacing w:line="560" w:lineRule="exact"/>
        <w:ind w:firstLine="640" w:firstLineChars="200"/>
        <w:rPr>
          <w:rFonts w:eastAsia="仿宋"/>
          <w:sz w:val="32"/>
          <w:szCs w:val="32"/>
        </w:rPr>
      </w:pPr>
      <w:r>
        <w:rPr>
          <w:rFonts w:eastAsia="仿宋"/>
          <w:sz w:val="32"/>
          <w:szCs w:val="32"/>
        </w:rPr>
        <w:t>无。</w:t>
      </w:r>
    </w:p>
    <w:p>
      <w:pPr>
        <w:pStyle w:val="2"/>
        <w:rPr>
          <w:rFonts w:eastAsia="仿宋"/>
          <w:sz w:val="32"/>
          <w:szCs w:val="32"/>
        </w:rPr>
      </w:pPr>
    </w:p>
    <w:p/>
    <w:p>
      <w:pPr>
        <w:widowControl/>
        <w:spacing w:line="560" w:lineRule="exact"/>
        <w:ind w:firstLine="480" w:firstLineChars="200"/>
        <w:jc w:val="right"/>
        <w:rPr>
          <w:rFonts w:eastAsia="仿宋"/>
          <w:sz w:val="32"/>
          <w:szCs w:val="32"/>
        </w:rPr>
      </w:pPr>
      <w:r>
        <w:rPr>
          <w:rFonts w:eastAsia="宋体"/>
          <w:color w:val="000000"/>
          <w:kern w:val="0"/>
          <w:sz w:val="24"/>
        </w:rPr>
        <w:t xml:space="preserve">　     </w:t>
      </w:r>
      <w:r>
        <w:rPr>
          <w:rFonts w:hint="eastAsia" w:eastAsia="仿宋"/>
          <w:sz w:val="32"/>
          <w:szCs w:val="32"/>
        </w:rPr>
        <w:t>武汉经济技术开发区（汉南区）住房和城乡建设局</w:t>
      </w:r>
    </w:p>
    <w:p>
      <w:pPr>
        <w:jc w:val="right"/>
      </w:pPr>
      <w:r>
        <w:rPr>
          <w:rFonts w:eastAsia="仿宋"/>
          <w:sz w:val="32"/>
          <w:szCs w:val="32"/>
        </w:rPr>
        <w:t>202</w:t>
      </w:r>
      <w:r>
        <w:rPr>
          <w:rFonts w:hint="eastAsia" w:eastAsia="仿宋"/>
          <w:sz w:val="32"/>
          <w:szCs w:val="32"/>
        </w:rPr>
        <w:t>2</w:t>
      </w:r>
      <w:r>
        <w:rPr>
          <w:rFonts w:eastAsia="仿宋"/>
          <w:sz w:val="32"/>
          <w:szCs w:val="32"/>
        </w:rPr>
        <w:t>年</w:t>
      </w:r>
      <w:r>
        <w:rPr>
          <w:rFonts w:hint="eastAsia" w:eastAsia="仿宋"/>
          <w:sz w:val="32"/>
          <w:szCs w:val="32"/>
        </w:rPr>
        <w:t>5</w:t>
      </w:r>
      <w:r>
        <w:rPr>
          <w:rFonts w:eastAsia="仿宋"/>
          <w:sz w:val="32"/>
          <w:szCs w:val="32"/>
        </w:rPr>
        <w:t>月</w:t>
      </w:r>
      <w:r>
        <w:rPr>
          <w:rFonts w:hint="eastAsia" w:eastAsia="仿宋"/>
          <w:sz w:val="32"/>
          <w:szCs w:val="32"/>
        </w:rPr>
        <w:t>25</w:t>
      </w:r>
      <w:r>
        <w:rPr>
          <w:rFonts w:eastAsia="仿宋"/>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E0E357"/>
    <w:multiLevelType w:val="singleLevel"/>
    <w:tmpl w:val="DEE0E357"/>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lMWY2NTQ2NDIyMWY5YTUxZDk4NzYwNTFiZDllMTAifQ=="/>
  </w:docVars>
  <w:rsids>
    <w:rsidRoot w:val="4279025B"/>
    <w:rsid w:val="00031053"/>
    <w:rsid w:val="0006571F"/>
    <w:rsid w:val="004C0448"/>
    <w:rsid w:val="004E63CD"/>
    <w:rsid w:val="00566BE1"/>
    <w:rsid w:val="00567003"/>
    <w:rsid w:val="009D49A4"/>
    <w:rsid w:val="009E01F5"/>
    <w:rsid w:val="009E2BBB"/>
    <w:rsid w:val="00AE3845"/>
    <w:rsid w:val="00F549E2"/>
    <w:rsid w:val="0ECB1C73"/>
    <w:rsid w:val="135E44C2"/>
    <w:rsid w:val="1455144E"/>
    <w:rsid w:val="16A26006"/>
    <w:rsid w:val="264F1491"/>
    <w:rsid w:val="422E2090"/>
    <w:rsid w:val="4279025B"/>
    <w:rsid w:val="48FD2C64"/>
    <w:rsid w:val="4B6677AB"/>
    <w:rsid w:val="4E8D72C5"/>
    <w:rsid w:val="51DF65EE"/>
    <w:rsid w:val="70E8143F"/>
    <w:rsid w:val="7FD861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2">
    <w:name w:val="heading 5"/>
    <w:basedOn w:val="1"/>
    <w:next w:val="1"/>
    <w:qFormat/>
    <w:uiPriority w:val="0"/>
    <w:pPr>
      <w:keepNext/>
      <w:outlineLvl w:val="4"/>
    </w:pPr>
    <w:rPr>
      <w:rFonts w:ascii="宋体" w:hAnsi="宋体" w:cs="宋体"/>
      <w:b/>
      <w:bCs/>
      <w:sz w:val="24"/>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4">
    <w:name w:val="Body Text"/>
    <w:basedOn w:val="1"/>
    <w:unhideWhenUsed/>
    <w:qFormat/>
    <w:uiPriority w:val="99"/>
    <w:pPr>
      <w:spacing w:after="120"/>
    </w:pPr>
  </w:style>
  <w:style w:type="paragraph" w:styleId="5">
    <w:name w:val="Title"/>
    <w:basedOn w:val="1"/>
    <w:next w:val="1"/>
    <w:qFormat/>
    <w:uiPriority w:val="10"/>
    <w:pPr>
      <w:spacing w:line="360" w:lineRule="auto"/>
      <w:ind w:firstLine="200" w:firstLineChars="200"/>
      <w:jc w:val="left"/>
      <w:outlineLvl w:val="3"/>
    </w:pPr>
    <w:rPr>
      <w:rFonts w:ascii="Cambria" w:hAnsi="Cambria"/>
      <w:bCs/>
      <w:sz w:val="24"/>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4102</Words>
  <Characters>4432</Characters>
  <Lines>34</Lines>
  <Paragraphs>9</Paragraphs>
  <TotalTime>0</TotalTime>
  <ScaleCrop>false</ScaleCrop>
  <LinksUpToDate>false</LinksUpToDate>
  <CharactersWithSpaces>4656</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2022-05-26T00:38:00Z</dcterms:created>
  <dc:creator>咸鱼粥</dc:creator>
  <cp:lastModifiedBy>咸鱼粥</cp:lastModifiedBy>
  <dcterms:modified xsi:type="dcterms:W3CDTF">2022-05-27T08:54:22Z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F8B00DFBD30045B2BB294744748B70DD</vt:lpwstr>
  </property>
</Properties>
</file>