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国省干线小修保养工程项目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5"/>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5"/>
        <w:shd w:val="clear" w:color="auto" w:fill="FFFFFF" w:themeFill="background1"/>
        <w:spacing w:line="560" w:lineRule="exact"/>
        <w:ind w:firstLine="643"/>
        <w:jc w:val="both"/>
        <w:outlineLvl w:val="0"/>
        <w:rPr>
          <w:rFonts w:ascii="Times New Roman" w:hAnsi="Times New Roman" w:eastAsia="黑体"/>
          <w:b/>
          <w:sz w:val="32"/>
        </w:rPr>
      </w:pPr>
      <w:bookmarkStart w:id="1" w:name="_GoBack"/>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年度</w:t>
      </w:r>
      <w:r>
        <w:rPr>
          <w:rFonts w:hint="eastAsia" w:eastAsia="仿宋"/>
          <w:sz w:val="32"/>
          <w:szCs w:val="32"/>
        </w:rPr>
        <w:t>国省干线小修保养工程项目</w:t>
      </w:r>
      <w:r>
        <w:rPr>
          <w:rFonts w:eastAsia="仿宋"/>
          <w:sz w:val="32"/>
          <w:szCs w:val="32"/>
        </w:rPr>
        <w:t>绩效评价综合得分为</w:t>
      </w:r>
      <w:r>
        <w:rPr>
          <w:rFonts w:hint="eastAsia" w:eastAsia="仿宋"/>
          <w:sz w:val="32"/>
          <w:szCs w:val="32"/>
        </w:rPr>
        <w:t>90.8</w:t>
      </w:r>
      <w:r>
        <w:rPr>
          <w:rFonts w:hint="eastAsia" w:eastAsia="仿宋"/>
          <w:sz w:val="32"/>
          <w:szCs w:val="32"/>
          <w:lang w:val="en-US" w:eastAsia="zh-CN"/>
        </w:rPr>
        <w:t>0</w:t>
      </w:r>
      <w:r>
        <w:rPr>
          <w:rFonts w:eastAsia="仿宋"/>
          <w:sz w:val="32"/>
          <w:szCs w:val="32"/>
        </w:rPr>
        <w:t>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w:t>
      </w:r>
      <w:r>
        <w:rPr>
          <w:rFonts w:hint="eastAsia" w:eastAsia="仿宋"/>
          <w:sz w:val="32"/>
          <w:szCs w:val="32"/>
        </w:rPr>
        <w:t>1</w:t>
      </w:r>
      <w:r>
        <w:rPr>
          <w:rFonts w:eastAsia="仿宋"/>
          <w:sz w:val="32"/>
          <w:szCs w:val="32"/>
        </w:rPr>
        <w:t>年度</w:t>
      </w:r>
      <w:r>
        <w:rPr>
          <w:rFonts w:hint="eastAsia" w:eastAsia="仿宋"/>
          <w:sz w:val="32"/>
          <w:szCs w:val="32"/>
        </w:rPr>
        <w:t>本项目年初</w:t>
      </w:r>
      <w:r>
        <w:rPr>
          <w:rFonts w:eastAsia="仿宋"/>
          <w:sz w:val="32"/>
          <w:szCs w:val="32"/>
        </w:rPr>
        <w:t>预算</w:t>
      </w:r>
      <w:r>
        <w:rPr>
          <w:rFonts w:hint="eastAsia" w:eastAsia="仿宋"/>
          <w:sz w:val="32"/>
          <w:szCs w:val="32"/>
        </w:rPr>
        <w:t>1076.32</w:t>
      </w:r>
      <w:r>
        <w:rPr>
          <w:rFonts w:eastAsia="仿宋"/>
          <w:sz w:val="32"/>
          <w:szCs w:val="32"/>
        </w:rPr>
        <w:t>万元，执行数</w:t>
      </w:r>
      <w:r>
        <w:rPr>
          <w:rFonts w:hint="eastAsia" w:eastAsia="仿宋"/>
          <w:sz w:val="32"/>
          <w:szCs w:val="32"/>
        </w:rPr>
        <w:t>794.83</w:t>
      </w:r>
      <w:r>
        <w:rPr>
          <w:rFonts w:eastAsia="仿宋"/>
          <w:sz w:val="32"/>
          <w:szCs w:val="32"/>
        </w:rPr>
        <w:t>万元，预算执行率</w:t>
      </w:r>
      <w:r>
        <w:rPr>
          <w:rFonts w:hint="eastAsia" w:eastAsia="仿宋"/>
          <w:sz w:val="32"/>
          <w:szCs w:val="32"/>
        </w:rPr>
        <w:t>73.85%</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w:t>
      </w:r>
      <w:r>
        <w:rPr>
          <w:rFonts w:hint="eastAsia" w:eastAsia="仿宋"/>
          <w:sz w:val="32"/>
          <w:szCs w:val="32"/>
        </w:rPr>
        <w:t>11</w:t>
      </w:r>
      <w:r>
        <w:rPr>
          <w:rFonts w:eastAsia="仿宋"/>
          <w:sz w:val="32"/>
          <w:szCs w:val="32"/>
        </w:rPr>
        <w:t>个绩效指标，完成了</w:t>
      </w:r>
      <w:r>
        <w:rPr>
          <w:rFonts w:hint="eastAsia" w:eastAsia="仿宋"/>
          <w:sz w:val="32"/>
          <w:szCs w:val="32"/>
        </w:rPr>
        <w:t>10</w:t>
      </w:r>
      <w:r>
        <w:rPr>
          <w:rFonts w:eastAsia="仿宋"/>
          <w:sz w:val="32"/>
          <w:szCs w:val="32"/>
        </w:rPr>
        <w:t>个。资金使用规范，项目产出</w:t>
      </w:r>
      <w:r>
        <w:rPr>
          <w:rFonts w:hint="eastAsia" w:eastAsia="仿宋"/>
          <w:sz w:val="32"/>
          <w:szCs w:val="32"/>
        </w:rPr>
        <w:t>较好</w:t>
      </w:r>
      <w:r>
        <w:rPr>
          <w:rFonts w:eastAsia="仿宋"/>
          <w:sz w:val="32"/>
          <w:szCs w:val="32"/>
        </w:rPr>
        <w:t>，取得了</w:t>
      </w:r>
      <w:r>
        <w:rPr>
          <w:rFonts w:hint="eastAsia" w:eastAsia="仿宋"/>
          <w:sz w:val="32"/>
          <w:szCs w:val="32"/>
        </w:rPr>
        <w:t>一定</w:t>
      </w:r>
      <w:r>
        <w:rPr>
          <w:rFonts w:eastAsia="仿宋"/>
          <w:sz w:val="32"/>
          <w:szCs w:val="32"/>
        </w:rPr>
        <w:t>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“提高公路的使用质量和抗灾能力”年度目标值为“有效提高”，实际完成值为“部分提高”。</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本项目上年度实施了绩效自评。新增了数量指标“养护破损修复完成率”和质量指标“养护维修考核优良率”，更好的反应了项目的产出效果。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hint="eastAsia" w:eastAsia="仿宋"/>
          <w:sz w:val="32"/>
          <w:szCs w:val="32"/>
        </w:rPr>
        <w:t>国省干线小修保养工程绩效目标申报较晚，没有及时对照绩效目标加快项目执行，2022年国省干线小修保养工程于2021年末签订合同，年内未开工，影响资金支付。</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eastAsia="仿宋"/>
          <w:sz w:val="32"/>
          <w:szCs w:val="32"/>
        </w:rPr>
      </w:pPr>
      <w:r>
        <w:rPr>
          <w:rFonts w:hint="eastAsia" w:eastAsia="仿宋"/>
          <w:sz w:val="32"/>
          <w:szCs w:val="32"/>
        </w:rPr>
        <w:t>年中做好项目绩效监控，对照绩效目标检查项目工作完成情况，加快资金支付进度，针对尚未完成的工作，及时进行项目预算资金调整申请手续，避免出现当年预算资金出现大量结余。同时加强项目管理，确保工程项目如期完工。</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pPr>
      <w:r>
        <w:rPr>
          <w:rFonts w:eastAsia="仿宋"/>
          <w:sz w:val="32"/>
          <w:szCs w:val="32"/>
        </w:rPr>
        <w:t>今后在进行预算申报时，</w:t>
      </w:r>
      <w:r>
        <w:rPr>
          <w:rFonts w:hint="eastAsia" w:eastAsia="仿宋"/>
          <w:sz w:val="32"/>
          <w:szCs w:val="32"/>
        </w:rPr>
        <w:t>要</w:t>
      </w:r>
      <w:r>
        <w:rPr>
          <w:rFonts w:eastAsia="仿宋"/>
          <w:sz w:val="32"/>
          <w:szCs w:val="32"/>
        </w:rPr>
        <w:t>根据</w:t>
      </w:r>
      <w:r>
        <w:rPr>
          <w:rFonts w:hint="eastAsia" w:eastAsia="仿宋"/>
          <w:sz w:val="32"/>
          <w:szCs w:val="32"/>
        </w:rPr>
        <w:t>项目预期进度及任务量</w:t>
      </w:r>
      <w:r>
        <w:rPr>
          <w:rFonts w:eastAsia="仿宋"/>
          <w:sz w:val="32"/>
          <w:szCs w:val="32"/>
        </w:rPr>
        <w:t>，</w:t>
      </w:r>
      <w:r>
        <w:rPr>
          <w:rFonts w:hint="eastAsia" w:eastAsia="仿宋"/>
          <w:sz w:val="32"/>
          <w:szCs w:val="32"/>
        </w:rPr>
        <w:t>合理申请预算。</w:t>
      </w: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附件：国省干线小修保养工程项目自评表</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p>
      <w:pPr>
        <w:pStyle w:val="4"/>
        <w:jc w:val="center"/>
      </w:pPr>
      <w:r>
        <w:rPr>
          <w:rFonts w:hint="eastAsia" w:eastAsia="仿宋"/>
          <w:color w:val="000000"/>
          <w:kern w:val="0"/>
          <w:sz w:val="32"/>
          <w:szCs w:val="32"/>
        </w:rPr>
        <w:t>国省干线小修保养工程项目自评表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612"/>
        <w:gridCol w:w="1106"/>
        <w:gridCol w:w="1234"/>
        <w:gridCol w:w="1418"/>
        <w:gridCol w:w="1276"/>
        <w:gridCol w:w="1158"/>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项目名称</w:t>
            </w:r>
          </w:p>
        </w:tc>
        <w:tc>
          <w:tcPr>
            <w:tcW w:w="4281" w:type="pct"/>
            <w:gridSpan w:val="6"/>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国省干线小修保养工程项目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主管部门</w:t>
            </w:r>
          </w:p>
        </w:tc>
        <w:tc>
          <w:tcPr>
            <w:tcW w:w="1372"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c>
          <w:tcPr>
            <w:tcW w:w="83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项目实施单位</w:t>
            </w:r>
          </w:p>
        </w:tc>
        <w:tc>
          <w:tcPr>
            <w:tcW w:w="2076"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项目类别</w:t>
            </w:r>
          </w:p>
        </w:tc>
        <w:tc>
          <w:tcPr>
            <w:tcW w:w="4281"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1.部门预算项目</w:t>
            </w:r>
            <w:r>
              <w:rPr>
                <w:rFonts w:ascii="Wingdings" w:hAnsi="Wingdings" w:eastAsia="仿宋" w:cs="Wingdings"/>
                <w:color w:val="000000"/>
                <w:kern w:val="0"/>
                <w:sz w:val="20"/>
                <w:szCs w:val="20"/>
                <w:lang w:bidi="ar"/>
              </w:rPr>
              <w:sym w:font="Wingdings" w:char="00FE"/>
            </w:r>
            <w:r>
              <w:rPr>
                <w:rFonts w:hint="eastAsia" w:ascii="仿宋" w:hAnsi="仿宋" w:eastAsia="仿宋" w:cs="仿宋"/>
                <w:color w:val="000000"/>
                <w:kern w:val="0"/>
                <w:sz w:val="20"/>
                <w:szCs w:val="20"/>
                <w:lang w:bidi="ar"/>
              </w:rPr>
              <w:t xml:space="preserve">              2.财政专项资金</w:t>
            </w:r>
            <w:r>
              <w:rPr>
                <w:rFonts w:ascii="Wingdings" w:hAnsi="Wingdings" w:eastAsia="仿宋" w:cs="Wingdings"/>
                <w:color w:val="000000"/>
                <w:kern w:val="0"/>
                <w:sz w:val="20"/>
                <w:szCs w:val="20"/>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项目属性</w:t>
            </w:r>
          </w:p>
        </w:tc>
        <w:tc>
          <w:tcPr>
            <w:tcW w:w="4281"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1.持续性项目</w:t>
            </w:r>
            <w:r>
              <w:rPr>
                <w:rFonts w:ascii="Wingdings" w:hAnsi="Wingdings" w:eastAsia="仿宋" w:cs="Wingdings"/>
                <w:color w:val="000000"/>
                <w:kern w:val="0"/>
                <w:sz w:val="20"/>
                <w:szCs w:val="20"/>
                <w:lang w:bidi="ar"/>
              </w:rPr>
              <w:t>þ</w:t>
            </w:r>
            <w:r>
              <w:rPr>
                <w:rFonts w:hint="eastAsia" w:ascii="仿宋" w:hAnsi="仿宋" w:eastAsia="仿宋" w:cs="仿宋"/>
                <w:color w:val="000000"/>
                <w:kern w:val="0"/>
                <w:sz w:val="20"/>
                <w:szCs w:val="20"/>
                <w:lang w:bidi="ar"/>
              </w:rPr>
              <w:t xml:space="preserve">                2.新增性项目</w:t>
            </w:r>
            <w:r>
              <w:rPr>
                <w:rFonts w:ascii="Wingdings" w:hAnsi="Wingdings" w:eastAsia="仿宋" w:cs="Wingdings"/>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项目类型</w:t>
            </w:r>
          </w:p>
        </w:tc>
        <w:tc>
          <w:tcPr>
            <w:tcW w:w="4281"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1.常年性项目</w:t>
            </w:r>
            <w:r>
              <w:rPr>
                <w:rFonts w:ascii="Wingdings" w:hAnsi="Wingdings" w:eastAsia="仿宋" w:cs="Wingdings"/>
                <w:color w:val="000000"/>
                <w:kern w:val="0"/>
                <w:sz w:val="20"/>
                <w:szCs w:val="20"/>
                <w:lang w:bidi="ar"/>
              </w:rPr>
              <w:t>þ</w:t>
            </w:r>
            <w:r>
              <w:rPr>
                <w:rFonts w:hint="eastAsia" w:ascii="仿宋" w:hAnsi="仿宋" w:eastAsia="仿宋" w:cs="仿宋"/>
                <w:color w:val="000000"/>
                <w:kern w:val="0"/>
                <w:sz w:val="20"/>
                <w:szCs w:val="20"/>
                <w:lang w:bidi="ar"/>
              </w:rPr>
              <w:t xml:space="preserve">                2.延续性项目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3.一次性项目</w:t>
            </w:r>
            <w:r>
              <w:rPr>
                <w:rFonts w:ascii="Wingdings" w:hAnsi="Wingdings" w:eastAsia="仿宋" w:cs="Wingdings"/>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预算执行情况（万元）（20分）</w:t>
            </w:r>
          </w:p>
        </w:tc>
        <w:tc>
          <w:tcPr>
            <w:tcW w:w="648" w:type="pct"/>
            <w:shd w:val="clear" w:color="auto" w:fill="auto"/>
            <w:vAlign w:val="center"/>
          </w:tcPr>
          <w:p>
            <w:pPr>
              <w:jc w:val="center"/>
              <w:rPr>
                <w:rFonts w:ascii="仿宋" w:hAnsi="仿宋" w:eastAsia="仿宋" w:cs="仿宋"/>
                <w:color w:val="000000"/>
                <w:sz w:val="20"/>
                <w:szCs w:val="20"/>
              </w:rPr>
            </w:pPr>
          </w:p>
        </w:tc>
        <w:tc>
          <w:tcPr>
            <w:tcW w:w="724"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预算数（A）</w:t>
            </w:r>
          </w:p>
        </w:tc>
        <w:tc>
          <w:tcPr>
            <w:tcW w:w="83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执行数（B）</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执行率（B/A）</w:t>
            </w:r>
          </w:p>
        </w:tc>
        <w:tc>
          <w:tcPr>
            <w:tcW w:w="132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得分</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（20分*执行率）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8" w:type="pct"/>
            <w:gridSpan w:val="2"/>
            <w:vMerge w:val="continue"/>
            <w:shd w:val="clear" w:color="auto" w:fill="auto"/>
            <w:vAlign w:val="center"/>
          </w:tcPr>
          <w:p>
            <w:pPr>
              <w:jc w:val="center"/>
              <w:rPr>
                <w:rFonts w:ascii="仿宋" w:hAnsi="仿宋" w:eastAsia="仿宋" w:cs="仿宋"/>
                <w:color w:val="000000"/>
                <w:sz w:val="20"/>
                <w:szCs w:val="20"/>
              </w:rPr>
            </w:pPr>
          </w:p>
        </w:tc>
        <w:tc>
          <w:tcPr>
            <w:tcW w:w="64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年度财政资金总额</w:t>
            </w:r>
          </w:p>
        </w:tc>
        <w:tc>
          <w:tcPr>
            <w:tcW w:w="724"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1076.32 </w:t>
            </w:r>
          </w:p>
        </w:tc>
        <w:tc>
          <w:tcPr>
            <w:tcW w:w="83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794.83</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73.85%</w:t>
            </w:r>
          </w:p>
        </w:tc>
        <w:tc>
          <w:tcPr>
            <w:tcW w:w="1326" w:type="pct"/>
            <w:gridSpan w:val="2"/>
            <w:shd w:val="clear" w:color="auto" w:fill="auto"/>
            <w:vAlign w:val="center"/>
          </w:tcPr>
          <w:p>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14.8</w:t>
            </w:r>
            <w:r>
              <w:rPr>
                <w:rFonts w:hint="eastAsia" w:ascii="仿宋" w:hAnsi="仿宋" w:eastAsia="仿宋" w:cs="仿宋"/>
                <w:color w:val="000000"/>
                <w:kern w:val="0"/>
                <w:sz w:val="20"/>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年度绩效目标（80分） </w:t>
            </w:r>
          </w:p>
        </w:tc>
        <w:tc>
          <w:tcPr>
            <w:tcW w:w="35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一级      指标</w:t>
            </w:r>
          </w:p>
        </w:tc>
        <w:tc>
          <w:tcPr>
            <w:tcW w:w="64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二级指标</w:t>
            </w: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三级指标</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年初目标值</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（A）</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实际完成值</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（B）</w:t>
            </w:r>
          </w:p>
        </w:tc>
        <w:tc>
          <w:tcPr>
            <w:tcW w:w="647" w:type="pct"/>
            <w:shd w:val="clear" w:color="auto" w:fill="auto"/>
            <w:noWrap/>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产出</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 xml:space="preserve">（40分） </w:t>
            </w:r>
          </w:p>
        </w:tc>
        <w:tc>
          <w:tcPr>
            <w:tcW w:w="648"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数量指标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（30分）</w:t>
            </w: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养护破损修复完成率（5分）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≥95%</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47" w:type="pct"/>
            <w:shd w:val="clear" w:color="auto" w:fill="auto"/>
            <w:vAlign w:val="center"/>
          </w:tcPr>
          <w:p>
            <w:pPr>
              <w:widowControl/>
              <w:jc w:val="center"/>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每日道路巡查次数 （5分）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≥2次</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2次</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绿化日常养护里程 （5分）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65.61公里</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65.61公里</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路肩加固完成率（5分）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桥梁养护完成率（5分）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波形护栏标牌日常养护率（5分）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100%</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shd w:val="clear" w:color="auto" w:fill="auto"/>
            <w:vAlign w:val="center"/>
          </w:tcPr>
          <w:p>
            <w:pPr>
              <w:jc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质量指标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（5分）</w:t>
            </w:r>
          </w:p>
        </w:tc>
        <w:tc>
          <w:tcPr>
            <w:tcW w:w="1556" w:type="pct"/>
            <w:gridSpan w:val="2"/>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养护维修考核优良率（5分）</w:t>
            </w:r>
          </w:p>
        </w:tc>
        <w:tc>
          <w:tcPr>
            <w:tcW w:w="749" w:type="pct"/>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≥95%</w:t>
            </w:r>
          </w:p>
        </w:tc>
        <w:tc>
          <w:tcPr>
            <w:tcW w:w="679" w:type="pct"/>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100%</w:t>
            </w:r>
          </w:p>
        </w:tc>
        <w:tc>
          <w:tcPr>
            <w:tcW w:w="647" w:type="pct"/>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时效指标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（5分）</w:t>
            </w: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机械保洁路面及时性（5分）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及时</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及时</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sz w:val="20"/>
                <w:szCs w:val="20"/>
              </w:rPr>
              <w:t>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效益指标（40分）</w:t>
            </w:r>
          </w:p>
        </w:tc>
        <w:tc>
          <w:tcPr>
            <w:tcW w:w="648"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社会效益指标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（40分）</w:t>
            </w: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提高公路的使用质量和抗灾能力（10分）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有效提高</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部分提高</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jc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路况服务质量显著提升（15分）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显著提升</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显著提升</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vMerge w:val="continue"/>
            <w:shd w:val="clear" w:color="auto" w:fill="auto"/>
            <w:vAlign w:val="center"/>
          </w:tcPr>
          <w:p>
            <w:pPr>
              <w:jc w:val="center"/>
              <w:rPr>
                <w:rFonts w:ascii="仿宋" w:hAnsi="仿宋" w:eastAsia="仿宋" w:cs="仿宋"/>
                <w:color w:val="000000"/>
                <w:sz w:val="20"/>
                <w:szCs w:val="20"/>
              </w:rPr>
            </w:pPr>
          </w:p>
        </w:tc>
        <w:tc>
          <w:tcPr>
            <w:tcW w:w="359" w:type="pct"/>
            <w:vMerge w:val="continue"/>
            <w:shd w:val="clear" w:color="auto" w:fill="auto"/>
            <w:vAlign w:val="center"/>
          </w:tcPr>
          <w:p>
            <w:pPr>
              <w:jc w:val="center"/>
              <w:rPr>
                <w:rFonts w:ascii="仿宋" w:hAnsi="仿宋" w:eastAsia="仿宋" w:cs="仿宋"/>
                <w:color w:val="000000"/>
                <w:sz w:val="20"/>
                <w:szCs w:val="20"/>
              </w:rPr>
            </w:pPr>
          </w:p>
        </w:tc>
        <w:tc>
          <w:tcPr>
            <w:tcW w:w="648" w:type="pct"/>
            <w:vMerge w:val="continue"/>
            <w:shd w:val="clear" w:color="auto" w:fill="auto"/>
            <w:vAlign w:val="center"/>
          </w:tcPr>
          <w:p>
            <w:pPr>
              <w:widowControl/>
              <w:jc w:val="center"/>
              <w:textAlignment w:val="center"/>
              <w:rPr>
                <w:rFonts w:ascii="仿宋" w:hAnsi="仿宋" w:eastAsia="仿宋" w:cs="仿宋"/>
                <w:color w:val="000000"/>
                <w:sz w:val="20"/>
                <w:szCs w:val="20"/>
              </w:rPr>
            </w:pPr>
          </w:p>
        </w:tc>
        <w:tc>
          <w:tcPr>
            <w:tcW w:w="1556"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有效改善路域环境（15分）</w:t>
            </w:r>
          </w:p>
        </w:tc>
        <w:tc>
          <w:tcPr>
            <w:tcW w:w="74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明显改善</w:t>
            </w:r>
          </w:p>
        </w:tc>
        <w:tc>
          <w:tcPr>
            <w:tcW w:w="67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明显改善</w:t>
            </w:r>
          </w:p>
        </w:tc>
        <w:tc>
          <w:tcPr>
            <w:tcW w:w="64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15</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5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总分</w:t>
            </w:r>
          </w:p>
        </w:tc>
        <w:tc>
          <w:tcPr>
            <w:tcW w:w="4640" w:type="pct"/>
            <w:gridSpan w:val="7"/>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90.8</w:t>
            </w:r>
            <w:r>
              <w:rPr>
                <w:rFonts w:hint="eastAsia" w:ascii="仿宋" w:hAnsi="仿宋" w:eastAsia="仿宋" w:cs="仿宋"/>
                <w:color w:val="000000"/>
                <w:kern w:val="0"/>
                <w:sz w:val="20"/>
                <w:szCs w:val="20"/>
                <w:lang w:val="en-US" w:eastAsia="zh-CN" w:bidi="ar"/>
              </w:rPr>
              <w:t>0</w:t>
            </w:r>
            <w:r>
              <w:rPr>
                <w:rFonts w:hint="eastAsia" w:ascii="仿宋" w:hAnsi="仿宋" w:eastAsia="仿宋" w:cs="仿宋"/>
                <w:color w:val="000000"/>
                <w:kern w:val="0"/>
                <w:sz w:val="20"/>
                <w:szCs w:val="20"/>
                <w:lang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367"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偏差大或目标未完成原因分析</w:t>
            </w:r>
          </w:p>
        </w:tc>
        <w:tc>
          <w:tcPr>
            <w:tcW w:w="3632" w:type="pct"/>
            <w:gridSpan w:val="5"/>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本项目预算执行率较低，因为2022年国省干线小修保养工程合同于2021年12月签订，当年未开工，故未支付相应工程资金，预算执行率较低。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1367"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改进措施及结果应用方案</w:t>
            </w:r>
          </w:p>
        </w:tc>
        <w:tc>
          <w:tcPr>
            <w:tcW w:w="3632" w:type="pct"/>
            <w:gridSpan w:val="5"/>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加强项目管理，及时开展招投标工作，对于不能及时开展的项目，及时进行预算调整。</w:t>
            </w:r>
          </w:p>
        </w:tc>
      </w:tr>
    </w:tbl>
    <w:p>
      <w:pPr>
        <w:rPr>
          <w:rFonts w:eastAsia="黑体"/>
          <w:b/>
          <w:sz w:val="32"/>
        </w:rPr>
      </w:pPr>
      <w:r>
        <w:rPr>
          <w:rFonts w:hint="eastAsia" w:eastAsia="黑体"/>
          <w:b/>
          <w:sz w:val="32"/>
        </w:rPr>
        <w:br w:type="page"/>
      </w:r>
    </w:p>
    <w:p>
      <w:pPr>
        <w:pStyle w:val="5"/>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eastAsia="仿宋"/>
          <w:sz w:val="32"/>
          <w:szCs w:val="32"/>
          <w:lang w:val="zh-CN"/>
        </w:rPr>
        <w:t>根据</w:t>
      </w:r>
      <w:r>
        <w:rPr>
          <w:rFonts w:hint="eastAsia" w:eastAsia="仿宋"/>
          <w:sz w:val="32"/>
          <w:szCs w:val="32"/>
          <w:lang w:val="zh-CN"/>
        </w:rPr>
        <w:t>《湖北省交通运输领域省与市县财政事权和支出责任划分改革实施方案》（鄂财建发</w:t>
      </w:r>
      <w:r>
        <w:rPr>
          <w:rFonts w:hint="eastAsia" w:eastAsia="仿宋"/>
          <w:sz w:val="32"/>
          <w:szCs w:val="32"/>
        </w:rPr>
        <w:t>〔2020〕</w:t>
      </w:r>
      <w:r>
        <w:rPr>
          <w:rFonts w:hint="eastAsia" w:eastAsia="仿宋"/>
          <w:sz w:val="32"/>
          <w:szCs w:val="32"/>
          <w:lang w:val="zh-CN"/>
        </w:rPr>
        <w:t>39号），《省财政厅关于下达2021年省级交通运输一般性转移支付资金（第一批）的通知》（鄂财建发〔2021〕24号），《省交通运输厅关于下达2020年公路养护管理省级补助资金（第一批）项目明细的通知》</w:t>
      </w:r>
      <w:r>
        <w:rPr>
          <w:rFonts w:hint="eastAsia" w:ascii="仿宋" w:hAnsi="仿宋" w:eastAsia="仿宋" w:cs="仿宋"/>
          <w:sz w:val="32"/>
          <w:szCs w:val="32"/>
        </w:rPr>
        <w:t>等文件精神，</w:t>
      </w:r>
      <w:r>
        <w:rPr>
          <w:rFonts w:hint="eastAsia" w:eastAsia="仿宋"/>
          <w:sz w:val="32"/>
          <w:szCs w:val="32"/>
        </w:rPr>
        <w:t>区住建局为了更好地保障国省干线安全通畅，更好的服务农村经济建设和人民群众生产生活出行，设立了国省干线小修保养工程项目。</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已填报绩效目标，部分绩效指标设置不规范，不能全面反应项目的产出和效果，根据项目主要工作任务，将本项目绩效目标调整如下：养护破损修复完成率完成率≥95%，每日道路巡查次数≥2次，绿化日常养护里程65.61公里，路肩加固完成率100%，桥梁养护完成率100%，波形护栏标牌日常养护率100%，养护维修考核优良率≥95%，机械保洁路面及时，有效提高公路的使用质量和抗灾能力，路况服务质量显著提升，有效改善路域环境。</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hint="eastAsia" w:eastAsia="仿宋"/>
          <w:sz w:val="32"/>
          <w:szCs w:val="32"/>
        </w:rPr>
        <w:t>本项目为持续性、常年性项目，项目年初</w:t>
      </w:r>
      <w:r>
        <w:rPr>
          <w:rFonts w:eastAsia="仿宋"/>
          <w:sz w:val="32"/>
          <w:szCs w:val="32"/>
        </w:rPr>
        <w:t>预算资金</w:t>
      </w:r>
      <w:r>
        <w:rPr>
          <w:rFonts w:hint="eastAsia" w:eastAsia="仿宋"/>
          <w:sz w:val="32"/>
          <w:szCs w:val="32"/>
        </w:rPr>
        <w:t>1076.32</w:t>
      </w:r>
      <w:r>
        <w:rPr>
          <w:rFonts w:eastAsia="仿宋"/>
          <w:sz w:val="32"/>
          <w:szCs w:val="32"/>
        </w:rPr>
        <w:t>万元</w:t>
      </w:r>
      <w:r>
        <w:rPr>
          <w:rFonts w:hint="eastAsia" w:eastAsia="仿宋"/>
          <w:sz w:val="32"/>
          <w:szCs w:val="32"/>
        </w:rPr>
        <w:t>。2021年实际到位资金1076.32</w:t>
      </w:r>
      <w:r>
        <w:rPr>
          <w:rFonts w:eastAsia="仿宋"/>
          <w:sz w:val="32"/>
          <w:szCs w:val="32"/>
        </w:rPr>
        <w:t>万元</w:t>
      </w:r>
      <w:r>
        <w:rPr>
          <w:rFonts w:hint="eastAsia" w:eastAsia="仿宋"/>
          <w:sz w:val="32"/>
          <w:szCs w:val="32"/>
        </w:rPr>
        <w:t>，实际使用资金794.83万元，主要用于支付2020年汉南区国省干线公路中修工程项目工程费用、2020年汉南区国省干线公路中修工程交工验收检测费、2020年汉仙线、汉洪线中修工程财务决算费用、2022年汉南区普通国省干线公路小修保养工程预付款费用等，预算执行率为73.85%。</w:t>
      </w:r>
    </w:p>
    <w:p>
      <w:pPr>
        <w:pStyle w:val="3"/>
        <w:shd w:val="clear" w:color="auto" w:fill="FFFFFF" w:themeFill="background1"/>
        <w:spacing w:before="0" w:after="0" w:line="560" w:lineRule="exact"/>
        <w:ind w:firstLine="643" w:firstLineChars="200"/>
        <w:contextualSpacing/>
        <w:jc w:val="left"/>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sz w:val="32"/>
          <w:szCs w:val="32"/>
        </w:rPr>
      </w:pPr>
      <w:r>
        <w:rPr>
          <w:rFonts w:eastAsia="仿宋"/>
          <w:sz w:val="32"/>
          <w:szCs w:val="32"/>
        </w:rPr>
        <w:t>本次自评时间从202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15</w:t>
      </w:r>
      <w:r>
        <w:rPr>
          <w:rFonts w:eastAsia="仿宋"/>
          <w:sz w:val="32"/>
          <w:szCs w:val="32"/>
        </w:rPr>
        <w:t>日至202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日，历时</w:t>
      </w:r>
      <w:r>
        <w:rPr>
          <w:rFonts w:hint="eastAsia" w:eastAsia="仿宋"/>
          <w:sz w:val="32"/>
          <w:szCs w:val="32"/>
        </w:rPr>
        <w:t>11日</w:t>
      </w:r>
      <w:r>
        <w:rPr>
          <w:rFonts w:eastAsia="仿宋"/>
          <w:sz w:val="32"/>
          <w:szCs w:val="32"/>
        </w:rPr>
        <w:t>。自评工作程序如下：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spacing w:line="560" w:lineRule="exact"/>
        <w:ind w:firstLine="640" w:firstLineChars="200"/>
        <w:rPr>
          <w:rFonts w:eastAsia="仿宋"/>
          <w:sz w:val="32"/>
          <w:szCs w:val="32"/>
        </w:rPr>
      </w:pPr>
      <w:r>
        <w:rPr>
          <w:rFonts w:hint="eastAsia" w:ascii="仿宋" w:hAnsi="仿宋" w:eastAsia="仿宋" w:cs="仿宋"/>
          <w:sz w:val="32"/>
          <w:szCs w:val="32"/>
        </w:rPr>
        <w:t>项目自评工作方案由区住建局会同第三方机构共同研究制订，根据部门主要负责同志要求和武汉经济技术开发区（汉南区）财政局发布的《关于开展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电话沟通</w:t>
      </w:r>
      <w:r>
        <w:rPr>
          <w:rFonts w:eastAsia="仿宋"/>
          <w:sz w:val="32"/>
          <w:szCs w:val="32"/>
        </w:rPr>
        <w:t>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spacing w:line="560" w:lineRule="exact"/>
        <w:ind w:firstLine="640" w:firstLineChars="200"/>
        <w:rPr>
          <w:rFonts w:eastAsia="仿宋"/>
          <w:sz w:val="32"/>
          <w:szCs w:val="32"/>
        </w:rPr>
      </w:pPr>
      <w:r>
        <w:rPr>
          <w:rFonts w:hint="eastAsia" w:ascii="仿宋" w:hAnsi="仿宋" w:eastAsia="仿宋" w:cs="仿宋"/>
          <w:sz w:val="32"/>
          <w:szCs w:val="32"/>
        </w:rPr>
        <w:t>项目自评结果按时报送相应资金管理科室并及时归档备查。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14.8</w:t>
      </w:r>
      <w:r>
        <w:rPr>
          <w:rFonts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1076.32</w:t>
      </w:r>
      <w:r>
        <w:rPr>
          <w:rFonts w:eastAsia="仿宋"/>
          <w:sz w:val="32"/>
          <w:szCs w:val="32"/>
        </w:rPr>
        <w:t>万元，资金到位率</w:t>
      </w:r>
      <w:r>
        <w:rPr>
          <w:rFonts w:hint="eastAsia" w:eastAsia="仿宋"/>
          <w:sz w:val="32"/>
          <w:szCs w:val="32"/>
        </w:rPr>
        <w:t>100</w:t>
      </w:r>
      <w:r>
        <w:rPr>
          <w:rFonts w:eastAsia="仿宋"/>
          <w:sz w:val="32"/>
          <w:szCs w:val="32"/>
        </w:rPr>
        <w:t>%。实际支出资金</w:t>
      </w:r>
      <w:r>
        <w:rPr>
          <w:rFonts w:hint="eastAsia" w:eastAsia="仿宋"/>
          <w:sz w:val="32"/>
          <w:szCs w:val="32"/>
        </w:rPr>
        <w:t>794.83</w:t>
      </w:r>
      <w:r>
        <w:rPr>
          <w:rFonts w:eastAsia="仿宋"/>
          <w:sz w:val="32"/>
          <w:szCs w:val="32"/>
        </w:rPr>
        <w:t>万元，预算执行率为</w:t>
      </w:r>
      <w:r>
        <w:rPr>
          <w:rFonts w:hint="eastAsia" w:eastAsia="仿宋"/>
          <w:sz w:val="32"/>
          <w:szCs w:val="32"/>
        </w:rPr>
        <w:t>73.85%</w:t>
      </w:r>
      <w:r>
        <w:rPr>
          <w:rFonts w:eastAsia="仿宋"/>
          <w:sz w:val="32"/>
          <w:szCs w:val="32"/>
        </w:rPr>
        <w:t>。</w:t>
      </w:r>
      <w:r>
        <w:rPr>
          <w:rFonts w:hint="eastAsia" w:eastAsia="仿宋"/>
          <w:sz w:val="32"/>
          <w:szCs w:val="32"/>
        </w:rPr>
        <w:t>因为2022年国省干线小修保养工程合同于2021年12月签订，当年未开工，故未支付相应工程资金，预算执行率较低。</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绩效目标完成情况分析（满分80分，得分76分）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hint="eastAsia" w:eastAsia="仿宋"/>
          <w:sz w:val="32"/>
          <w:szCs w:val="32"/>
        </w:rPr>
        <w:t>（</w:t>
      </w:r>
      <w:r>
        <w:rPr>
          <w:rFonts w:eastAsia="仿宋"/>
          <w:sz w:val="32"/>
          <w:szCs w:val="32"/>
        </w:rPr>
        <w:t>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r>
        <w:rPr>
          <w:rFonts w:hint="eastAsia" w:eastAsia="仿宋"/>
          <w:sz w:val="32"/>
          <w:szCs w:val="32"/>
        </w:rPr>
        <w:t>）</w:t>
      </w:r>
    </w:p>
    <w:p>
      <w:pPr>
        <w:widowControl/>
        <w:spacing w:line="560" w:lineRule="exact"/>
        <w:ind w:firstLine="640" w:firstLineChars="200"/>
        <w:rPr>
          <w:rFonts w:eastAsia="仿宋"/>
          <w:sz w:val="32"/>
          <w:szCs w:val="32"/>
        </w:rPr>
      </w:pPr>
      <w:r>
        <w:rPr>
          <w:rFonts w:hint="eastAsia" w:eastAsia="仿宋"/>
          <w:sz w:val="32"/>
          <w:szCs w:val="32"/>
        </w:rPr>
        <w:t>①养护破损修复完成率：满分5分，得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目标为养护破损修复完成率≥95%。2020年国省干线中修工程及2020年普通国省干线小修保养工程已完工并进行了验收，养护破损修复完成率达到100%，完成目标。</w:t>
      </w:r>
    </w:p>
    <w:p>
      <w:pPr>
        <w:widowControl/>
        <w:spacing w:line="560" w:lineRule="exact"/>
        <w:ind w:firstLine="640" w:firstLineChars="200"/>
        <w:rPr>
          <w:rFonts w:eastAsia="仿宋"/>
          <w:sz w:val="32"/>
          <w:szCs w:val="32"/>
        </w:rPr>
      </w:pPr>
      <w:r>
        <w:rPr>
          <w:rFonts w:hint="eastAsia" w:eastAsia="仿宋"/>
          <w:sz w:val="32"/>
          <w:szCs w:val="32"/>
        </w:rPr>
        <w:t>②每日道路巡查次数：满分5分，得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目标为每日道路巡查次数≥2次。2020年国省干线中修工程及2020年普通国省干线小修保养工程已完工并进行了验收，每日道路巡查次数为2次，完成目标。</w:t>
      </w:r>
    </w:p>
    <w:p>
      <w:pPr>
        <w:widowControl/>
        <w:spacing w:line="560" w:lineRule="exact"/>
        <w:ind w:firstLine="640" w:firstLineChars="200"/>
        <w:rPr>
          <w:rFonts w:eastAsia="仿宋"/>
          <w:sz w:val="32"/>
          <w:szCs w:val="32"/>
        </w:rPr>
      </w:pPr>
      <w:r>
        <w:rPr>
          <w:rFonts w:hint="eastAsia" w:eastAsia="仿宋"/>
          <w:sz w:val="32"/>
          <w:szCs w:val="32"/>
        </w:rPr>
        <w:t>③绿化日常养护里程 ：满分5分，得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目标为绿化日常养护里程65.61公里。2020年国省干线中修工程及2020年普通国省干线小修保养工程对65.61公里的国省干线公路进行了绿化日常养护，完成目标。</w:t>
      </w:r>
    </w:p>
    <w:p>
      <w:pPr>
        <w:widowControl/>
        <w:spacing w:line="560" w:lineRule="exact"/>
        <w:ind w:firstLine="640" w:firstLineChars="200"/>
        <w:rPr>
          <w:rFonts w:eastAsia="仿宋"/>
          <w:sz w:val="32"/>
          <w:szCs w:val="32"/>
        </w:rPr>
      </w:pPr>
      <w:r>
        <w:rPr>
          <w:rFonts w:hint="eastAsia" w:eastAsia="仿宋"/>
          <w:sz w:val="32"/>
          <w:szCs w:val="32"/>
        </w:rPr>
        <w:t>④路肩加固完成率：满分5分，得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目标为路肩加固完成率100%。2020年国省干线中修工程及2020年普通国省干线小修保养工程已完工并进行了验收，路肩加固完成率达到100%，完成目标。</w:t>
      </w:r>
    </w:p>
    <w:p>
      <w:pPr>
        <w:widowControl/>
        <w:spacing w:line="560" w:lineRule="exact"/>
        <w:ind w:firstLine="640" w:firstLineChars="200"/>
        <w:rPr>
          <w:rFonts w:eastAsia="仿宋"/>
          <w:sz w:val="32"/>
          <w:szCs w:val="32"/>
        </w:rPr>
      </w:pPr>
      <w:r>
        <w:rPr>
          <w:rFonts w:hint="eastAsia" w:eastAsia="仿宋"/>
          <w:sz w:val="32"/>
          <w:szCs w:val="32"/>
        </w:rPr>
        <w:t>⑤桥梁养护完成率：满分5分，得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目标为桥梁养护完成率100%。2020年国省干线中修工程及2020年普通国省干线小修保养工程已完工并进行了验收，桥梁养护完成率达到100%，完成目标。</w:t>
      </w:r>
    </w:p>
    <w:p>
      <w:pPr>
        <w:widowControl/>
        <w:spacing w:line="560" w:lineRule="exact"/>
        <w:ind w:firstLine="640" w:firstLineChars="200"/>
        <w:rPr>
          <w:rFonts w:eastAsia="仿宋"/>
          <w:sz w:val="32"/>
          <w:szCs w:val="32"/>
        </w:rPr>
      </w:pPr>
      <w:r>
        <w:rPr>
          <w:rFonts w:hint="eastAsia" w:eastAsia="仿宋"/>
          <w:sz w:val="32"/>
          <w:szCs w:val="32"/>
        </w:rPr>
        <w:t>⑥波形护栏标牌日常养护率：满分5分，得</w:t>
      </w:r>
      <w:r>
        <w:rPr>
          <w:rFonts w:eastAsia="仿宋"/>
          <w:sz w:val="32"/>
          <w:szCs w:val="32"/>
        </w:rPr>
        <w:t>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目标为波形护栏标牌日常养护率100%。2020年国省干线中修工程及2020年普通国省干线小修保养工程已完工并进行了验收，波形护栏标牌日常养护率达到100%，完成目标。</w:t>
      </w:r>
    </w:p>
    <w:p>
      <w:pPr>
        <w:widowControl/>
        <w:spacing w:line="560" w:lineRule="exact"/>
        <w:ind w:firstLine="640" w:firstLineChars="200"/>
        <w:rPr>
          <w:rFonts w:eastAsia="仿宋"/>
          <w:sz w:val="32"/>
          <w:szCs w:val="32"/>
        </w:rPr>
      </w:pPr>
      <w:r>
        <w:rPr>
          <w:rFonts w:hint="eastAsia" w:eastAsia="仿宋"/>
          <w:sz w:val="32"/>
          <w:szCs w:val="32"/>
        </w:rPr>
        <w:t>⑦养护维修考核优良率</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目标为养护维修考核优良率100%。该项目对65.61公里的国省干线公路进行了养护维修，养护维修优良率到达100%，完成目标。</w:t>
      </w:r>
    </w:p>
    <w:p>
      <w:pPr>
        <w:pStyle w:val="4"/>
        <w:spacing w:after="0" w:line="560" w:lineRule="exact"/>
        <w:ind w:firstLine="640" w:firstLineChars="200"/>
        <w:rPr>
          <w:rFonts w:eastAsia="仿宋"/>
          <w:sz w:val="32"/>
          <w:szCs w:val="32"/>
        </w:rPr>
      </w:pPr>
      <w:r>
        <w:rPr>
          <w:rFonts w:hint="eastAsia" w:ascii="仿宋" w:hAnsi="仿宋" w:eastAsia="仿宋" w:cs="仿宋"/>
          <w:sz w:val="32"/>
          <w:szCs w:val="32"/>
        </w:rPr>
        <w:t>⑧</w:t>
      </w:r>
      <w:r>
        <w:rPr>
          <w:rFonts w:hint="eastAsia" w:eastAsia="仿宋"/>
          <w:sz w:val="32"/>
          <w:szCs w:val="32"/>
        </w:rPr>
        <w:t>机械保洁路面及时性</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目标为机械保洁路面及时。2020年国省干线中修工程及2020年普通国省干线小修保养工程已完工并进行了验收，机械保洁路面及时，完成目标。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40</w:t>
      </w:r>
      <w:r>
        <w:rPr>
          <w:rFonts w:eastAsia="仿宋"/>
          <w:sz w:val="32"/>
          <w:szCs w:val="32"/>
        </w:rPr>
        <w:t>分，得分</w:t>
      </w:r>
      <w:r>
        <w:rPr>
          <w:rFonts w:hint="eastAsia" w:eastAsia="仿宋"/>
          <w:sz w:val="32"/>
          <w:szCs w:val="32"/>
        </w:rPr>
        <w:t>36</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①提高公路的使用质量和抗灾能力</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6</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有效提高公路的使用质量和抗灾能力。通过2020年国省干线中修工程及2020年普通国省干线小修保养工程的实施，公路的使用质量和抗灾能力得到了提高，但是2022年国省干线小修保养工程合同于2021年12月签订，当年未开工，故公路的使用质量和抗灾能力得到了部分提高，未完成目标。</w:t>
      </w:r>
    </w:p>
    <w:p>
      <w:pPr>
        <w:widowControl/>
        <w:spacing w:line="560" w:lineRule="exact"/>
        <w:ind w:firstLine="640" w:firstLineChars="200"/>
        <w:rPr>
          <w:rFonts w:eastAsia="仿宋"/>
          <w:sz w:val="32"/>
          <w:szCs w:val="32"/>
        </w:rPr>
      </w:pPr>
      <w:r>
        <w:rPr>
          <w:rFonts w:hint="eastAsia" w:eastAsia="仿宋"/>
          <w:sz w:val="32"/>
          <w:szCs w:val="32"/>
        </w:rPr>
        <w:t>②路况服务质量显著提升</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目标为路况服务质量显著提升。通过2020年国省干线中修工程及2020年普通国省干线小修保养工程的实施，路况服务质量得到显著提升，完成目标。</w:t>
      </w:r>
    </w:p>
    <w:p>
      <w:pPr>
        <w:widowControl/>
        <w:spacing w:line="560" w:lineRule="exact"/>
        <w:ind w:firstLine="640" w:firstLineChars="200"/>
        <w:rPr>
          <w:rFonts w:eastAsia="仿宋"/>
          <w:sz w:val="32"/>
          <w:szCs w:val="32"/>
        </w:rPr>
      </w:pPr>
      <w:r>
        <w:rPr>
          <w:rFonts w:hint="eastAsia" w:eastAsia="仿宋"/>
          <w:sz w:val="32"/>
          <w:szCs w:val="32"/>
        </w:rPr>
        <w:t>③有效改善路域环境：</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目标为路域环境明显改善。通过2020年国省干线中修工程及2020年普通国省干线小修保养工程的实施，路域环境得到明显改善，完成目标。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本项目上年度实施了绩效自评。新增了数量指标“养护破损修复完成率”和质量指标“养护维修考核优良率”，更好的反应了项目的产出效果。</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eastAsia="仿宋"/>
          <w:sz w:val="32"/>
          <w:szCs w:val="32"/>
        </w:rPr>
        <w:t>无。</w:t>
      </w:r>
    </w:p>
    <w:p>
      <w:pPr>
        <w:pStyle w:val="2"/>
        <w:rPr>
          <w:rFonts w:eastAsia="仿宋"/>
          <w:sz w:val="32"/>
          <w:szCs w:val="32"/>
        </w:rPr>
      </w:pPr>
    </w:p>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jc w:val="right"/>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6BE3247B"/>
    <w:rsid w:val="001A4754"/>
    <w:rsid w:val="00217C31"/>
    <w:rsid w:val="0096275F"/>
    <w:rsid w:val="00EF103B"/>
    <w:rsid w:val="09060A47"/>
    <w:rsid w:val="09A97856"/>
    <w:rsid w:val="264C0CD6"/>
    <w:rsid w:val="5DC369C8"/>
    <w:rsid w:val="6A5C4449"/>
    <w:rsid w:val="6BE3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5"/>
    <w:basedOn w:val="1"/>
    <w:next w:val="1"/>
    <w:qFormat/>
    <w:uiPriority w:val="0"/>
    <w:pPr>
      <w:keepNext/>
      <w:outlineLvl w:val="4"/>
    </w:pPr>
    <w:rPr>
      <w:rFonts w:ascii="宋体" w:hAnsi="宋体" w:cs="宋体"/>
      <w:b/>
      <w:bCs/>
      <w:sz w:val="2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Title"/>
    <w:basedOn w:val="1"/>
    <w:next w:val="1"/>
    <w:qFormat/>
    <w:uiPriority w:val="10"/>
    <w:pPr>
      <w:spacing w:line="360" w:lineRule="auto"/>
      <w:ind w:firstLine="200" w:firstLineChars="200"/>
      <w:jc w:val="left"/>
      <w:outlineLvl w:val="3"/>
    </w:pPr>
    <w:rPr>
      <w:rFonts w:ascii="Cambria" w:hAnsi="Cambria"/>
      <w:bCs/>
      <w:sz w:val="2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3356</Words>
  <Characters>3730</Characters>
  <Lines>29</Lines>
  <Paragraphs>8</Paragraphs>
  <TotalTime>2</TotalTime>
  <ScaleCrop>false</ScaleCrop>
  <LinksUpToDate>false</LinksUpToDate>
  <CharactersWithSpaces>3952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2022-05-26T03:48:00Z</dcterms:created>
  <dc:creator>咸鱼粥</dc:creator>
  <cp:lastModifiedBy>咸鱼粥</cp:lastModifiedBy>
  <dcterms:modified xsi:type="dcterms:W3CDTF">2022-05-27T08:47:55Z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DF2D3694F9024F17B9438870C904A574</vt:lpwstr>
  </property>
</Properties>
</file>