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themeFill="background1"/>
        <w:spacing w:line="560" w:lineRule="exact"/>
        <w:jc w:val="center"/>
        <w:rPr>
          <w:rFonts w:eastAsia="宋体"/>
          <w:b/>
          <w:sz w:val="36"/>
          <w:szCs w:val="36"/>
        </w:rPr>
      </w:pPr>
      <w:r>
        <w:rPr>
          <w:rFonts w:hint="eastAsia" w:eastAsia="宋体"/>
          <w:b/>
          <w:sz w:val="36"/>
          <w:szCs w:val="36"/>
        </w:rPr>
        <w:t>2021年度公交及有轨电车运营补贴项目</w:t>
      </w:r>
    </w:p>
    <w:p>
      <w:pPr>
        <w:shd w:val="clear" w:color="auto" w:fill="FFFFFF" w:themeFill="background1"/>
        <w:spacing w:line="560" w:lineRule="exact"/>
        <w:jc w:val="center"/>
        <w:rPr>
          <w:rFonts w:eastAsia="宋体"/>
          <w:b/>
          <w:sz w:val="36"/>
          <w:szCs w:val="36"/>
        </w:rPr>
      </w:pPr>
      <w:r>
        <w:rPr>
          <w:rFonts w:hint="eastAsia" w:eastAsia="宋体"/>
          <w:b/>
          <w:sz w:val="36"/>
          <w:szCs w:val="36"/>
        </w:rPr>
        <w:t>自评结果</w:t>
      </w:r>
    </w:p>
    <w:p>
      <w:pPr>
        <w:pStyle w:val="5"/>
        <w:shd w:val="clear" w:color="auto" w:fill="FFFFFF" w:themeFill="background1"/>
        <w:spacing w:line="560" w:lineRule="exact"/>
        <w:ind w:firstLine="0" w:firstLineChars="0"/>
        <w:jc w:val="center"/>
        <w:outlineLvl w:val="9"/>
        <w:rPr>
          <w:rFonts w:ascii="楷体" w:hAnsi="楷体" w:eastAsia="楷体" w:cs="楷体"/>
          <w:b/>
          <w:sz w:val="32"/>
        </w:rPr>
      </w:pPr>
      <w:r>
        <w:rPr>
          <w:rFonts w:hint="eastAsia" w:ascii="楷体" w:hAnsi="楷体" w:eastAsia="楷体" w:cs="楷体"/>
          <w:b/>
          <w:sz w:val="32"/>
        </w:rPr>
        <w:t>（缩略版）</w:t>
      </w:r>
    </w:p>
    <w:p>
      <w:pPr>
        <w:pStyle w:val="5"/>
        <w:shd w:val="clear" w:color="auto" w:fill="FFFFFF" w:themeFill="background1"/>
        <w:spacing w:line="560" w:lineRule="exact"/>
        <w:ind w:firstLine="643"/>
        <w:jc w:val="both"/>
        <w:outlineLvl w:val="0"/>
        <w:rPr>
          <w:rFonts w:ascii="Times New Roman" w:hAnsi="Times New Roman" w:eastAsia="黑体"/>
          <w:b/>
          <w:sz w:val="32"/>
        </w:rPr>
      </w:pPr>
      <w:r>
        <w:rPr>
          <w:rFonts w:hint="eastAsia" w:ascii="Times New Roman" w:hAnsi="Times New Roman" w:eastAsia="黑体"/>
          <w:b/>
          <w:sz w:val="32"/>
        </w:rPr>
        <w:t>一、自评结论</w:t>
      </w:r>
    </w:p>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（一）自评得分</w:t>
      </w:r>
    </w:p>
    <w:p>
      <w:pPr>
        <w:widowControl/>
        <w:spacing w:line="560" w:lineRule="exact"/>
        <w:ind w:firstLine="640" w:firstLineChars="200"/>
        <w:rPr>
          <w:rFonts w:eastAsia="仿宋"/>
          <w:sz w:val="32"/>
          <w:szCs w:val="32"/>
        </w:rPr>
      </w:pPr>
      <w:r>
        <w:rPr>
          <w:rFonts w:eastAsia="仿宋"/>
          <w:sz w:val="32"/>
          <w:szCs w:val="32"/>
        </w:rPr>
        <w:t>202</w:t>
      </w:r>
      <w:r>
        <w:rPr>
          <w:rFonts w:hint="eastAsia" w:eastAsia="仿宋"/>
          <w:sz w:val="32"/>
          <w:szCs w:val="32"/>
        </w:rPr>
        <w:t>1</w:t>
      </w:r>
      <w:r>
        <w:rPr>
          <w:rFonts w:eastAsia="仿宋"/>
          <w:sz w:val="32"/>
          <w:szCs w:val="32"/>
        </w:rPr>
        <w:t>年度</w:t>
      </w:r>
      <w:r>
        <w:rPr>
          <w:rFonts w:hint="eastAsia" w:eastAsia="仿宋"/>
          <w:sz w:val="32"/>
          <w:szCs w:val="32"/>
        </w:rPr>
        <w:t>公交及有轨电车运营补贴项目</w:t>
      </w:r>
      <w:r>
        <w:rPr>
          <w:rFonts w:eastAsia="仿宋"/>
          <w:sz w:val="32"/>
          <w:szCs w:val="32"/>
        </w:rPr>
        <w:t>绩效评价综合得分为</w:t>
      </w:r>
      <w:r>
        <w:rPr>
          <w:rFonts w:hint="eastAsia" w:eastAsia="仿宋"/>
          <w:sz w:val="32"/>
          <w:szCs w:val="32"/>
        </w:rPr>
        <w:t>95</w:t>
      </w:r>
      <w:r>
        <w:rPr>
          <w:rFonts w:hint="eastAsia" w:eastAsia="仿宋"/>
          <w:sz w:val="32"/>
          <w:szCs w:val="32"/>
          <w:lang w:val="en-US" w:eastAsia="zh-CN"/>
        </w:rPr>
        <w:t>.00</w:t>
      </w:r>
      <w:r>
        <w:rPr>
          <w:rFonts w:eastAsia="仿宋"/>
          <w:sz w:val="32"/>
          <w:szCs w:val="32"/>
        </w:rPr>
        <w:t>分。</w:t>
      </w:r>
    </w:p>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（二）绩效目标完成情况</w:t>
      </w:r>
    </w:p>
    <w:p>
      <w:pPr>
        <w:widowControl/>
        <w:spacing w:line="560" w:lineRule="exact"/>
        <w:ind w:firstLine="640" w:firstLineChars="200"/>
        <w:rPr>
          <w:rFonts w:eastAsia="仿宋"/>
          <w:sz w:val="32"/>
          <w:szCs w:val="32"/>
        </w:rPr>
      </w:pPr>
      <w:r>
        <w:rPr>
          <w:rFonts w:eastAsia="仿宋"/>
          <w:sz w:val="32"/>
          <w:szCs w:val="32"/>
        </w:rPr>
        <w:t>1.</w:t>
      </w:r>
      <w:r>
        <w:rPr>
          <w:rFonts w:hint="eastAsia" w:eastAsia="仿宋"/>
          <w:sz w:val="32"/>
          <w:szCs w:val="32"/>
        </w:rPr>
        <w:t xml:space="preserve"> </w:t>
      </w:r>
      <w:r>
        <w:rPr>
          <w:rFonts w:eastAsia="仿宋"/>
          <w:sz w:val="32"/>
          <w:szCs w:val="32"/>
        </w:rPr>
        <w:t>执行率情况。202</w:t>
      </w:r>
      <w:r>
        <w:rPr>
          <w:rFonts w:hint="eastAsia" w:eastAsia="仿宋"/>
          <w:sz w:val="32"/>
          <w:szCs w:val="32"/>
        </w:rPr>
        <w:t>1</w:t>
      </w:r>
      <w:r>
        <w:rPr>
          <w:rFonts w:eastAsia="仿宋"/>
          <w:sz w:val="32"/>
          <w:szCs w:val="32"/>
        </w:rPr>
        <w:t>年度</w:t>
      </w:r>
      <w:r>
        <w:rPr>
          <w:rFonts w:hint="eastAsia" w:eastAsia="仿宋"/>
          <w:sz w:val="32"/>
          <w:szCs w:val="32"/>
        </w:rPr>
        <w:t>本项目</w:t>
      </w:r>
      <w:r>
        <w:rPr>
          <w:rFonts w:eastAsia="仿宋"/>
          <w:sz w:val="32"/>
          <w:szCs w:val="32"/>
        </w:rPr>
        <w:t>预算</w:t>
      </w:r>
      <w:r>
        <w:rPr>
          <w:rFonts w:hint="eastAsia" w:eastAsia="仿宋"/>
          <w:sz w:val="32"/>
          <w:szCs w:val="32"/>
        </w:rPr>
        <w:t>资金</w:t>
      </w:r>
      <w:r>
        <w:rPr>
          <w:rFonts w:eastAsia="仿宋"/>
          <w:sz w:val="32"/>
          <w:szCs w:val="32"/>
        </w:rPr>
        <w:t>总额</w:t>
      </w:r>
      <w:r>
        <w:rPr>
          <w:rFonts w:hint="eastAsia" w:eastAsia="仿宋"/>
          <w:sz w:val="32"/>
          <w:szCs w:val="32"/>
        </w:rPr>
        <w:t>共计7348.91</w:t>
      </w:r>
      <w:r>
        <w:rPr>
          <w:rFonts w:eastAsia="仿宋"/>
          <w:sz w:val="32"/>
          <w:szCs w:val="32"/>
        </w:rPr>
        <w:t>万元，执行数</w:t>
      </w:r>
      <w:r>
        <w:rPr>
          <w:rFonts w:hint="eastAsia" w:eastAsia="仿宋"/>
          <w:sz w:val="32"/>
          <w:szCs w:val="32"/>
        </w:rPr>
        <w:t>7333.65</w:t>
      </w:r>
      <w:r>
        <w:rPr>
          <w:rFonts w:eastAsia="仿宋"/>
          <w:sz w:val="32"/>
          <w:szCs w:val="32"/>
        </w:rPr>
        <w:t>万元，预算执行率</w:t>
      </w:r>
      <w:r>
        <w:rPr>
          <w:rFonts w:hint="eastAsia" w:eastAsia="仿宋"/>
          <w:sz w:val="32"/>
          <w:szCs w:val="32"/>
        </w:rPr>
        <w:t>99.79%</w:t>
      </w:r>
      <w:r>
        <w:rPr>
          <w:rFonts w:eastAsia="仿宋"/>
          <w:sz w:val="32"/>
          <w:szCs w:val="32"/>
        </w:rPr>
        <w:t>。</w:t>
      </w:r>
    </w:p>
    <w:p>
      <w:pPr>
        <w:widowControl/>
        <w:spacing w:line="560" w:lineRule="exact"/>
        <w:ind w:firstLine="640" w:firstLineChars="200"/>
        <w:rPr>
          <w:rFonts w:eastAsia="仿宋"/>
          <w:sz w:val="32"/>
          <w:szCs w:val="32"/>
        </w:rPr>
      </w:pPr>
      <w:r>
        <w:rPr>
          <w:rFonts w:eastAsia="仿宋"/>
          <w:sz w:val="32"/>
          <w:szCs w:val="32"/>
        </w:rPr>
        <w:t>2.</w:t>
      </w:r>
      <w:r>
        <w:rPr>
          <w:rFonts w:hint="eastAsia" w:eastAsia="仿宋"/>
          <w:sz w:val="32"/>
          <w:szCs w:val="32"/>
        </w:rPr>
        <w:t xml:space="preserve"> </w:t>
      </w:r>
      <w:r>
        <w:rPr>
          <w:rFonts w:eastAsia="仿宋"/>
          <w:sz w:val="32"/>
          <w:szCs w:val="32"/>
        </w:rPr>
        <w:t>完成的绩效目标。项目共设置</w:t>
      </w:r>
      <w:r>
        <w:rPr>
          <w:rFonts w:hint="eastAsia" w:eastAsia="仿宋"/>
          <w:sz w:val="32"/>
          <w:szCs w:val="32"/>
        </w:rPr>
        <w:t>9</w:t>
      </w:r>
      <w:r>
        <w:rPr>
          <w:rFonts w:eastAsia="仿宋"/>
          <w:sz w:val="32"/>
          <w:szCs w:val="32"/>
        </w:rPr>
        <w:t>个绩效指标，完成了</w:t>
      </w:r>
      <w:r>
        <w:rPr>
          <w:rFonts w:hint="eastAsia" w:eastAsia="仿宋"/>
          <w:sz w:val="32"/>
          <w:szCs w:val="32"/>
        </w:rPr>
        <w:t>8</w:t>
      </w:r>
      <w:r>
        <w:rPr>
          <w:rFonts w:eastAsia="仿宋"/>
          <w:sz w:val="32"/>
          <w:szCs w:val="32"/>
        </w:rPr>
        <w:t>个。资金使用规范，项目产出较好，并取得了较好的社会效益</w:t>
      </w:r>
      <w:r>
        <w:rPr>
          <w:rFonts w:hint="eastAsia" w:eastAsia="仿宋"/>
          <w:sz w:val="32"/>
          <w:szCs w:val="32"/>
        </w:rPr>
        <w:t>。</w:t>
      </w:r>
    </w:p>
    <w:p>
      <w:pPr>
        <w:widowControl/>
        <w:spacing w:line="560" w:lineRule="exact"/>
        <w:ind w:firstLine="640" w:firstLineChars="200"/>
        <w:rPr>
          <w:rFonts w:eastAsia="仿宋"/>
          <w:sz w:val="32"/>
          <w:szCs w:val="32"/>
        </w:rPr>
      </w:pPr>
      <w:r>
        <w:rPr>
          <w:rFonts w:eastAsia="仿宋"/>
          <w:sz w:val="32"/>
          <w:szCs w:val="32"/>
        </w:rPr>
        <w:t>3.</w:t>
      </w:r>
      <w:r>
        <w:rPr>
          <w:rFonts w:hint="eastAsia" w:eastAsia="仿宋"/>
          <w:sz w:val="32"/>
          <w:szCs w:val="32"/>
        </w:rPr>
        <w:t xml:space="preserve"> </w:t>
      </w:r>
      <w:r>
        <w:rPr>
          <w:rFonts w:eastAsia="仿宋"/>
          <w:sz w:val="32"/>
          <w:szCs w:val="32"/>
        </w:rPr>
        <w:t>未完成的绩效目标。</w:t>
      </w:r>
      <w:r>
        <w:rPr>
          <w:rFonts w:hint="eastAsia" w:eastAsia="仿宋"/>
          <w:sz w:val="32"/>
          <w:szCs w:val="32"/>
        </w:rPr>
        <w:t>时效指标“公交运营补贴发放及时”未完成，2019年度公交运营亏损补贴经公交集团经开公司负责同志多次来局催请后才于2021年11月30日发放。</w:t>
      </w:r>
    </w:p>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（三）存在的问题和原因</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1. 上年度绩效评价结果应用情况</w:t>
      </w:r>
    </w:p>
    <w:p>
      <w:pPr>
        <w:widowControl/>
        <w:spacing w:line="560" w:lineRule="exact"/>
        <w:ind w:firstLine="640" w:firstLineChars="200"/>
        <w:rPr>
          <w:rFonts w:eastAsia="仿宋"/>
          <w:sz w:val="32"/>
          <w:szCs w:val="32"/>
        </w:rPr>
      </w:pPr>
      <w:r>
        <w:rPr>
          <w:rFonts w:hint="eastAsia" w:eastAsia="仿宋"/>
          <w:sz w:val="32"/>
          <w:szCs w:val="32"/>
        </w:rPr>
        <w:t>本项目上年度实施了绩效自评并形成了项目自评表。但没有较好的应用上年度的绩效自评结果，本年度绩效指标体系设置仍不够合理。</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 xml:space="preserve">2. 本年度绩效存在的问题和原因                                                                                                                               </w:t>
      </w:r>
    </w:p>
    <w:p>
      <w:pPr>
        <w:widowControl/>
        <w:spacing w:line="560" w:lineRule="exact"/>
        <w:ind w:firstLine="640" w:firstLineChars="200"/>
        <w:rPr>
          <w:rFonts w:eastAsia="仿宋"/>
          <w:sz w:val="32"/>
          <w:szCs w:val="32"/>
        </w:rPr>
      </w:pPr>
      <w:r>
        <w:rPr>
          <w:rFonts w:hint="eastAsia" w:eastAsia="仿宋"/>
          <w:sz w:val="32"/>
          <w:szCs w:val="32"/>
        </w:rPr>
        <w:t>项目绩效指标体系设置不合理，部分指标设置过于笼统，不能较好的反应项目的实际产出及效果，例如数量指标“年度完成工作情况”就不能真实反应项目的产出，社会效益指标内容未明确，只是笼统的写“依据城市公交管理制度，让开发区城市公交有序进行、减少投诉事件等酌情打分”，不能准确反应项目的产出效果。</w:t>
      </w:r>
    </w:p>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（四）下一步拟改进措施</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1. 下一步拟改进措施</w:t>
      </w:r>
    </w:p>
    <w:p>
      <w:pPr>
        <w:widowControl/>
        <w:spacing w:line="560" w:lineRule="exact"/>
        <w:ind w:firstLine="640" w:firstLineChars="200"/>
        <w:rPr>
          <w:rFonts w:eastAsia="仿宋"/>
          <w:sz w:val="32"/>
          <w:szCs w:val="32"/>
        </w:rPr>
      </w:pPr>
      <w:r>
        <w:rPr>
          <w:rFonts w:hint="eastAsia" w:eastAsia="仿宋"/>
          <w:sz w:val="32"/>
          <w:szCs w:val="32"/>
        </w:rPr>
        <w:t>（1）强化绩效目标管理意识。绩效目标管理是绩效管理的起点，加强绩效目标管理可以为后续绩效监管和绩效评价打下基础。绩效目标管理的核心工作是随同项目预算规范设置绩效目标及指标。本项目绩效指标体系设置不够合理，应细化数量指标和社会效益指标，更好的反应项目的实际产出及效果。</w:t>
      </w:r>
    </w:p>
    <w:p>
      <w:pPr>
        <w:widowControl/>
        <w:spacing w:line="560" w:lineRule="exact"/>
        <w:ind w:firstLine="643" w:firstLineChars="200"/>
        <w:rPr>
          <w:rFonts w:ascii="仿宋" w:hAnsi="仿宋" w:eastAsia="仿宋" w:cs="仿宋"/>
          <w:b/>
          <w:bCs/>
          <w:kern w:val="0"/>
          <w:sz w:val="32"/>
          <w:szCs w:val="32"/>
        </w:rPr>
      </w:pPr>
      <w:r>
        <w:rPr>
          <w:rFonts w:hint="eastAsia" w:ascii="仿宋" w:hAnsi="仿宋" w:eastAsia="仿宋" w:cs="仿宋"/>
          <w:b/>
          <w:bCs/>
          <w:kern w:val="0"/>
          <w:sz w:val="32"/>
          <w:szCs w:val="32"/>
        </w:rPr>
        <w:t>2. 拟与预算安排相结合情况。</w:t>
      </w:r>
    </w:p>
    <w:p>
      <w:pPr>
        <w:widowControl/>
        <w:spacing w:line="560" w:lineRule="exact"/>
        <w:ind w:firstLine="640" w:firstLineChars="200"/>
        <w:rPr>
          <w:rFonts w:eastAsia="仿宋"/>
          <w:sz w:val="32"/>
          <w:szCs w:val="32"/>
        </w:rPr>
      </w:pPr>
      <w:r>
        <w:rPr>
          <w:rFonts w:hint="eastAsia" w:eastAsia="仿宋"/>
          <w:sz w:val="32"/>
          <w:szCs w:val="32"/>
        </w:rPr>
        <w:t>本项目预算执行率高，但绩效指标体系设置不够合理</w:t>
      </w:r>
      <w:r>
        <w:rPr>
          <w:rFonts w:eastAsia="仿宋"/>
          <w:sz w:val="32"/>
          <w:szCs w:val="32"/>
        </w:rPr>
        <w:t>。</w:t>
      </w:r>
      <w:r>
        <w:rPr>
          <w:rFonts w:hint="eastAsia" w:eastAsia="仿宋"/>
          <w:sz w:val="32"/>
          <w:szCs w:val="32"/>
        </w:rPr>
        <w:t>今后将加强绩效目标管理，规范设置绩效目标。</w:t>
      </w:r>
    </w:p>
    <w:p>
      <w:pPr>
        <w:pStyle w:val="2"/>
      </w:pPr>
    </w:p>
    <w:p>
      <w:pPr>
        <w:keepNext/>
        <w:keepLines/>
        <w:shd w:val="clear" w:color="auto" w:fill="FFFFFF" w:themeFill="background1"/>
        <w:spacing w:line="560" w:lineRule="exact"/>
        <w:ind w:firstLine="640" w:firstLineChars="200"/>
        <w:contextualSpacing/>
        <w:jc w:val="left"/>
        <w:rPr>
          <w:rFonts w:eastAsia="楷体"/>
          <w:sz w:val="32"/>
          <w:szCs w:val="32"/>
        </w:rPr>
      </w:pPr>
      <w:r>
        <w:rPr>
          <w:rFonts w:hint="eastAsia" w:eastAsia="楷体"/>
          <w:sz w:val="32"/>
          <w:szCs w:val="32"/>
        </w:rPr>
        <w:t>附件：2021年度公交及有轨电车运营补贴项目自评表</w:t>
      </w:r>
    </w:p>
    <w:p>
      <w:pPr>
        <w:rPr>
          <w:rFonts w:eastAsia="楷体"/>
          <w:sz w:val="32"/>
          <w:szCs w:val="32"/>
        </w:rPr>
      </w:pPr>
      <w:r>
        <w:rPr>
          <w:rFonts w:hint="eastAsia" w:eastAsia="楷体"/>
          <w:sz w:val="32"/>
          <w:szCs w:val="32"/>
        </w:rPr>
        <w:br w:type="page"/>
      </w:r>
    </w:p>
    <w:p>
      <w:pPr>
        <w:pStyle w:val="3"/>
        <w:shd w:val="clear" w:color="auto" w:fill="FFFFFF" w:themeFill="background1"/>
        <w:spacing w:before="0" w:after="0" w:line="560" w:lineRule="exact"/>
        <w:ind w:firstLine="643" w:firstLineChars="200"/>
        <w:contextualSpacing/>
        <w:jc w:val="left"/>
      </w:pPr>
      <w:bookmarkStart w:id="0" w:name="_Toc28163"/>
      <w:r>
        <w:rPr>
          <w:rFonts w:hint="eastAsia" w:ascii="Times New Roman" w:hAnsi="Times New Roman" w:eastAsia="楷体" w:cs="Times New Roman"/>
        </w:rPr>
        <w:t xml:space="preserve">附件： </w:t>
      </w:r>
      <w:bookmarkEnd w:id="0"/>
    </w:p>
    <w:p>
      <w:pPr>
        <w:pStyle w:val="2"/>
        <w:jc w:val="center"/>
        <w:rPr>
          <w:rFonts w:eastAsia="仿宋"/>
          <w:color w:val="000000"/>
          <w:kern w:val="0"/>
          <w:sz w:val="32"/>
          <w:szCs w:val="32"/>
        </w:rPr>
      </w:pPr>
      <w:r>
        <w:rPr>
          <w:rFonts w:hint="eastAsia" w:eastAsia="仿宋"/>
          <w:color w:val="000000"/>
          <w:kern w:val="0"/>
          <w:sz w:val="32"/>
          <w:szCs w:val="32"/>
        </w:rPr>
        <w:t>2021年度公交及有轨电车运营补贴项目自评表</w:t>
      </w:r>
    </w:p>
    <w:tbl>
      <w:tblPr>
        <w:tblStyle w:val="6"/>
        <w:tblW w:w="5000" w:type="pct"/>
        <w:tblInd w:w="0" w:type="dxa"/>
        <w:tblLayout w:type="autofit"/>
        <w:tblCellMar>
          <w:top w:w="0" w:type="dxa"/>
          <w:left w:w="108" w:type="dxa"/>
          <w:bottom w:w="0" w:type="dxa"/>
          <w:right w:w="108" w:type="dxa"/>
        </w:tblCellMar>
      </w:tblPr>
      <w:tblGrid>
        <w:gridCol w:w="606"/>
        <w:gridCol w:w="607"/>
        <w:gridCol w:w="1106"/>
        <w:gridCol w:w="1228"/>
        <w:gridCol w:w="1417"/>
        <w:gridCol w:w="1274"/>
        <w:gridCol w:w="1154"/>
        <w:gridCol w:w="1130"/>
      </w:tblGrid>
      <w:tr>
        <w:tblPrEx>
          <w:tblCellMar>
            <w:top w:w="0" w:type="dxa"/>
            <w:left w:w="108" w:type="dxa"/>
            <w:bottom w:w="0" w:type="dxa"/>
            <w:right w:w="108" w:type="dxa"/>
          </w:tblCellMar>
        </w:tblPrEx>
        <w:trPr>
          <w:trHeight w:val="500" w:hRule="atLeast"/>
        </w:trPr>
        <w:tc>
          <w:tcPr>
            <w:tcW w:w="7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项目名称</w:t>
            </w:r>
          </w:p>
        </w:tc>
        <w:tc>
          <w:tcPr>
            <w:tcW w:w="4288"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2021年度公交及有轨电车运营补贴项目</w:t>
            </w:r>
          </w:p>
        </w:tc>
      </w:tr>
      <w:tr>
        <w:tblPrEx>
          <w:tblCellMar>
            <w:top w:w="0" w:type="dxa"/>
            <w:left w:w="108" w:type="dxa"/>
            <w:bottom w:w="0" w:type="dxa"/>
            <w:right w:w="108" w:type="dxa"/>
          </w:tblCellMar>
        </w:tblPrEx>
        <w:trPr>
          <w:trHeight w:val="500" w:hRule="atLeast"/>
        </w:trPr>
        <w:tc>
          <w:tcPr>
            <w:tcW w:w="7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主管部门</w:t>
            </w:r>
          </w:p>
        </w:tc>
        <w:tc>
          <w:tcPr>
            <w:tcW w:w="13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武汉经济技术开发区（汉南区）住房和城乡建设局</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项目实施单位</w:t>
            </w:r>
          </w:p>
        </w:tc>
        <w:tc>
          <w:tcPr>
            <w:tcW w:w="208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武汉经济技术开发区（汉南区）住房和城乡建设局</w:t>
            </w:r>
          </w:p>
        </w:tc>
      </w:tr>
      <w:tr>
        <w:tblPrEx>
          <w:tblCellMar>
            <w:top w:w="0" w:type="dxa"/>
            <w:left w:w="108" w:type="dxa"/>
            <w:bottom w:w="0" w:type="dxa"/>
            <w:right w:w="108" w:type="dxa"/>
          </w:tblCellMar>
        </w:tblPrEx>
        <w:trPr>
          <w:trHeight w:val="500" w:hRule="atLeast"/>
        </w:trPr>
        <w:tc>
          <w:tcPr>
            <w:tcW w:w="7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项目类别</w:t>
            </w:r>
          </w:p>
        </w:tc>
        <w:tc>
          <w:tcPr>
            <w:tcW w:w="4288"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1.部门预算项目</w:t>
            </w:r>
            <w:r>
              <w:rPr>
                <w:rFonts w:ascii="Wingdings" w:hAnsi="Wingdings" w:eastAsia="仿宋" w:cs="Wingdings"/>
                <w:color w:val="000000"/>
                <w:kern w:val="0"/>
                <w:sz w:val="20"/>
                <w:szCs w:val="20"/>
                <w:lang w:bidi="ar"/>
              </w:rPr>
              <w:t></w:t>
            </w:r>
            <w:r>
              <w:rPr>
                <w:rFonts w:hint="eastAsia" w:ascii="仿宋" w:hAnsi="仿宋" w:eastAsia="仿宋" w:cs="仿宋"/>
                <w:color w:val="000000"/>
                <w:kern w:val="0"/>
                <w:sz w:val="20"/>
                <w:szCs w:val="20"/>
                <w:lang w:bidi="ar"/>
              </w:rPr>
              <w:t xml:space="preserve">            2.财政专项资金</w:t>
            </w:r>
            <w:r>
              <w:rPr>
                <w:rFonts w:ascii="Wingdings" w:hAnsi="Wingdings" w:eastAsia="仿宋" w:cs="Wingdings"/>
                <w:color w:val="000000"/>
                <w:kern w:val="0"/>
                <w:sz w:val="20"/>
                <w:szCs w:val="20"/>
                <w:lang w:bidi="ar"/>
              </w:rPr>
              <w:t></w:t>
            </w:r>
          </w:p>
        </w:tc>
      </w:tr>
      <w:tr>
        <w:tblPrEx>
          <w:tblCellMar>
            <w:top w:w="0" w:type="dxa"/>
            <w:left w:w="108" w:type="dxa"/>
            <w:bottom w:w="0" w:type="dxa"/>
            <w:right w:w="108" w:type="dxa"/>
          </w:tblCellMar>
        </w:tblPrEx>
        <w:trPr>
          <w:trHeight w:val="500" w:hRule="atLeast"/>
        </w:trPr>
        <w:tc>
          <w:tcPr>
            <w:tcW w:w="7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项目属性</w:t>
            </w:r>
          </w:p>
        </w:tc>
        <w:tc>
          <w:tcPr>
            <w:tcW w:w="4288"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1.持续性项目</w:t>
            </w:r>
            <w:r>
              <w:rPr>
                <w:rFonts w:ascii="Wingdings" w:hAnsi="Wingdings" w:eastAsia="仿宋" w:cs="Wingdings"/>
                <w:color w:val="000000"/>
                <w:kern w:val="0"/>
                <w:sz w:val="20"/>
                <w:szCs w:val="20"/>
                <w:lang w:bidi="ar"/>
              </w:rPr>
              <w:t></w:t>
            </w:r>
            <w:r>
              <w:rPr>
                <w:rFonts w:hint="eastAsia" w:ascii="仿宋" w:hAnsi="仿宋" w:eastAsia="仿宋" w:cs="仿宋"/>
                <w:color w:val="000000"/>
                <w:kern w:val="0"/>
                <w:sz w:val="20"/>
                <w:szCs w:val="20"/>
                <w:lang w:bidi="ar"/>
              </w:rPr>
              <w:t xml:space="preserve">                2.新增性项目</w:t>
            </w:r>
            <w:r>
              <w:rPr>
                <w:rFonts w:ascii="Wingdings" w:hAnsi="Wingdings" w:eastAsia="仿宋" w:cs="Wingdings"/>
                <w:color w:val="000000"/>
                <w:kern w:val="0"/>
                <w:sz w:val="20"/>
                <w:szCs w:val="20"/>
                <w:lang w:bidi="ar"/>
              </w:rPr>
              <w:t></w:t>
            </w:r>
          </w:p>
        </w:tc>
      </w:tr>
      <w:tr>
        <w:tblPrEx>
          <w:tblCellMar>
            <w:top w:w="0" w:type="dxa"/>
            <w:left w:w="108" w:type="dxa"/>
            <w:bottom w:w="0" w:type="dxa"/>
            <w:right w:w="108" w:type="dxa"/>
          </w:tblCellMar>
        </w:tblPrEx>
        <w:trPr>
          <w:trHeight w:val="500" w:hRule="atLeast"/>
        </w:trPr>
        <w:tc>
          <w:tcPr>
            <w:tcW w:w="7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项目类型</w:t>
            </w:r>
          </w:p>
        </w:tc>
        <w:tc>
          <w:tcPr>
            <w:tcW w:w="4288"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1.常年性项目</w:t>
            </w:r>
            <w:r>
              <w:rPr>
                <w:rFonts w:ascii="Wingdings" w:hAnsi="Wingdings" w:eastAsia="仿宋" w:cs="Wingdings"/>
                <w:color w:val="000000"/>
                <w:kern w:val="0"/>
                <w:sz w:val="20"/>
                <w:szCs w:val="20"/>
                <w:lang w:bidi="ar"/>
              </w:rPr>
              <w:t></w:t>
            </w:r>
            <w:r>
              <w:rPr>
                <w:rFonts w:hint="eastAsia" w:ascii="仿宋" w:hAnsi="仿宋" w:eastAsia="仿宋" w:cs="仿宋"/>
                <w:color w:val="000000"/>
                <w:kern w:val="0"/>
                <w:sz w:val="20"/>
                <w:szCs w:val="20"/>
                <w:lang w:bidi="ar"/>
              </w:rPr>
              <w:t xml:space="preserve">               2.延续性项目</w:t>
            </w:r>
            <w:r>
              <w:rPr>
                <w:rFonts w:ascii="Wingdings" w:hAnsi="Wingdings" w:eastAsia="仿宋" w:cs="Wingdings"/>
                <w:color w:val="000000"/>
                <w:kern w:val="0"/>
                <w:sz w:val="20"/>
                <w:szCs w:val="20"/>
                <w:lang w:bidi="ar"/>
              </w:rPr>
              <w:t></w:t>
            </w:r>
            <w:r>
              <w:rPr>
                <w:rFonts w:hint="eastAsia" w:ascii="仿宋" w:hAnsi="仿宋" w:eastAsia="仿宋" w:cs="仿宋"/>
                <w:color w:val="000000"/>
                <w:kern w:val="0"/>
                <w:sz w:val="20"/>
                <w:szCs w:val="20"/>
                <w:lang w:bidi="ar"/>
              </w:rPr>
              <w:t xml:space="preserve">              3.一次性项目</w:t>
            </w:r>
            <w:r>
              <w:rPr>
                <w:rFonts w:ascii="Wingdings" w:hAnsi="Wingdings" w:eastAsia="仿宋" w:cs="Wingdings"/>
                <w:color w:val="000000"/>
                <w:kern w:val="0"/>
                <w:sz w:val="20"/>
                <w:szCs w:val="20"/>
                <w:lang w:bidi="ar"/>
              </w:rPr>
              <w:t></w:t>
            </w:r>
          </w:p>
        </w:tc>
      </w:tr>
      <w:tr>
        <w:tblPrEx>
          <w:tblCellMar>
            <w:top w:w="0" w:type="dxa"/>
            <w:left w:w="108" w:type="dxa"/>
            <w:bottom w:w="0" w:type="dxa"/>
            <w:right w:w="108" w:type="dxa"/>
          </w:tblCellMar>
        </w:tblPrEx>
        <w:trPr>
          <w:trHeight w:val="500" w:hRule="atLeast"/>
        </w:trPr>
        <w:tc>
          <w:tcPr>
            <w:tcW w:w="711"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预算执行情况（万元）（20分）</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0"/>
                <w:szCs w:val="20"/>
              </w:rPr>
            </w:pP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预算数（A）</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执行数（B）</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执行率（B/A）</w:t>
            </w:r>
          </w:p>
        </w:tc>
        <w:tc>
          <w:tcPr>
            <w:tcW w:w="13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得分</w:t>
            </w:r>
          </w:p>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（20分*执行率）</w:t>
            </w:r>
          </w:p>
        </w:tc>
      </w:tr>
      <w:tr>
        <w:tblPrEx>
          <w:tblCellMar>
            <w:top w:w="0" w:type="dxa"/>
            <w:left w:w="108" w:type="dxa"/>
            <w:bottom w:w="0" w:type="dxa"/>
            <w:right w:w="108" w:type="dxa"/>
          </w:tblCellMar>
        </w:tblPrEx>
        <w:trPr>
          <w:trHeight w:val="500" w:hRule="atLeast"/>
        </w:trPr>
        <w:tc>
          <w:tcPr>
            <w:tcW w:w="71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0"/>
                <w:szCs w:val="20"/>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年度财政资金总额</w:t>
            </w:r>
          </w:p>
        </w:tc>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7349.91</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 xml:space="preserve">7333.65 </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99.79%</w:t>
            </w:r>
          </w:p>
        </w:tc>
        <w:tc>
          <w:tcPr>
            <w:tcW w:w="13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仿宋" w:hAnsi="仿宋" w:eastAsia="仿宋" w:cs="仿宋"/>
                <w:color w:val="000000"/>
                <w:sz w:val="20"/>
                <w:szCs w:val="20"/>
                <w:lang w:val="en-US" w:eastAsia="zh-CN"/>
              </w:rPr>
            </w:pPr>
            <w:r>
              <w:rPr>
                <w:rFonts w:hint="eastAsia" w:ascii="仿宋" w:hAnsi="仿宋" w:eastAsia="仿宋" w:cs="仿宋"/>
                <w:color w:val="000000"/>
                <w:kern w:val="0"/>
                <w:sz w:val="20"/>
                <w:szCs w:val="20"/>
                <w:lang w:bidi="ar"/>
              </w:rPr>
              <w:t>20</w:t>
            </w:r>
            <w:r>
              <w:rPr>
                <w:rFonts w:hint="eastAsia" w:ascii="仿宋" w:hAnsi="仿宋" w:eastAsia="仿宋" w:cs="仿宋"/>
                <w:color w:val="000000"/>
                <w:kern w:val="0"/>
                <w:sz w:val="20"/>
                <w:szCs w:val="20"/>
                <w:lang w:val="en-US" w:eastAsia="zh-CN" w:bidi="ar"/>
              </w:rPr>
              <w:t>.00</w:t>
            </w:r>
          </w:p>
        </w:tc>
      </w:tr>
      <w:tr>
        <w:tblPrEx>
          <w:tblCellMar>
            <w:top w:w="0" w:type="dxa"/>
            <w:left w:w="108" w:type="dxa"/>
            <w:bottom w:w="0" w:type="dxa"/>
            <w:right w:w="108" w:type="dxa"/>
          </w:tblCellMar>
        </w:tblPrEx>
        <w:trPr>
          <w:trHeight w:val="500" w:hRule="atLeast"/>
        </w:trPr>
        <w:tc>
          <w:tcPr>
            <w:tcW w:w="3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 xml:space="preserve">年度绩效目标（80分） </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一级      指标</w:t>
            </w: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二级指标</w:t>
            </w:r>
          </w:p>
        </w:tc>
        <w:tc>
          <w:tcPr>
            <w:tcW w:w="15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三级指标</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年初目标值</w:t>
            </w:r>
          </w:p>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（A）</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实际完成值</w:t>
            </w:r>
          </w:p>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（B）</w:t>
            </w:r>
          </w:p>
        </w:tc>
        <w:tc>
          <w:tcPr>
            <w:tcW w:w="6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得分</w:t>
            </w:r>
          </w:p>
        </w:tc>
      </w:tr>
      <w:tr>
        <w:tblPrEx>
          <w:tblCellMar>
            <w:top w:w="0" w:type="dxa"/>
            <w:left w:w="108" w:type="dxa"/>
            <w:bottom w:w="0" w:type="dxa"/>
            <w:right w:w="108" w:type="dxa"/>
          </w:tblCellMar>
        </w:tblPrEx>
        <w:trPr>
          <w:trHeight w:val="500" w:hRule="atLeast"/>
        </w:trPr>
        <w:tc>
          <w:tcPr>
            <w:tcW w:w="3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0"/>
                <w:szCs w:val="20"/>
              </w:rPr>
            </w:pPr>
          </w:p>
        </w:tc>
        <w:tc>
          <w:tcPr>
            <w:tcW w:w="356" w:type="pct"/>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产出</w:t>
            </w:r>
          </w:p>
          <w:p>
            <w:pPr>
              <w:widowControl/>
              <w:jc w:val="center"/>
              <w:textAlignment w:val="center"/>
              <w:rPr>
                <w:rFonts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指标</w:t>
            </w:r>
          </w:p>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 xml:space="preserve">（40分） </w:t>
            </w:r>
          </w:p>
        </w:tc>
        <w:tc>
          <w:tcPr>
            <w:tcW w:w="64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数量指标</w:t>
            </w:r>
          </w:p>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（20分）</w:t>
            </w:r>
          </w:p>
        </w:tc>
        <w:tc>
          <w:tcPr>
            <w:tcW w:w="1553" w:type="pct"/>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公交营运补贴线路数（7分）</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ascii="仿宋" w:hAnsi="仿宋" w:eastAsia="仿宋" w:cs="仿宋"/>
                <w:color w:val="000000"/>
                <w:kern w:val="0"/>
                <w:sz w:val="20"/>
                <w:szCs w:val="20"/>
                <w:lang w:bidi="ar"/>
              </w:rPr>
              <w:t>14</w:t>
            </w:r>
            <w:r>
              <w:rPr>
                <w:rFonts w:hint="eastAsia" w:ascii="仿宋" w:hAnsi="仿宋" w:eastAsia="仿宋" w:cs="仿宋"/>
                <w:color w:val="000000"/>
                <w:kern w:val="0"/>
                <w:sz w:val="20"/>
                <w:szCs w:val="20"/>
                <w:lang w:bidi="ar"/>
              </w:rPr>
              <w:t>条</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ascii="仿宋" w:hAnsi="仿宋" w:eastAsia="仿宋" w:cs="仿宋"/>
                <w:color w:val="000000"/>
                <w:kern w:val="0"/>
                <w:sz w:val="20"/>
                <w:szCs w:val="20"/>
                <w:lang w:bidi="ar"/>
              </w:rPr>
              <w:t>14</w:t>
            </w:r>
            <w:r>
              <w:rPr>
                <w:rFonts w:hint="eastAsia" w:ascii="仿宋" w:hAnsi="仿宋" w:eastAsia="仿宋" w:cs="仿宋"/>
                <w:color w:val="000000"/>
                <w:kern w:val="0"/>
                <w:sz w:val="20"/>
                <w:szCs w:val="20"/>
                <w:lang w:bidi="ar"/>
              </w:rPr>
              <w:t>条</w:t>
            </w:r>
          </w:p>
        </w:tc>
        <w:tc>
          <w:tcPr>
            <w:tcW w:w="66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7</w:t>
            </w:r>
            <w:r>
              <w:rPr>
                <w:rFonts w:hint="eastAsia" w:ascii="仿宋" w:hAnsi="仿宋" w:eastAsia="仿宋" w:cs="仿宋"/>
                <w:kern w:val="0"/>
                <w:sz w:val="20"/>
                <w:szCs w:val="20"/>
                <w:lang w:val="en-US" w:eastAsia="zh-CN" w:bidi="ar"/>
              </w:rPr>
              <w:t>.00</w:t>
            </w:r>
          </w:p>
        </w:tc>
      </w:tr>
      <w:tr>
        <w:tblPrEx>
          <w:tblCellMar>
            <w:top w:w="0" w:type="dxa"/>
            <w:left w:w="108" w:type="dxa"/>
            <w:bottom w:w="0" w:type="dxa"/>
            <w:right w:w="108" w:type="dxa"/>
          </w:tblCellMar>
        </w:tblPrEx>
        <w:trPr>
          <w:trHeight w:val="500" w:hRule="atLeast"/>
        </w:trPr>
        <w:tc>
          <w:tcPr>
            <w:tcW w:w="3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0"/>
                <w:szCs w:val="20"/>
              </w:rPr>
            </w:pPr>
          </w:p>
        </w:tc>
        <w:tc>
          <w:tcPr>
            <w:tcW w:w="356" w:type="pct"/>
            <w:vMerge w:val="continue"/>
            <w:tcBorders>
              <w:left w:val="single" w:color="000000" w:sz="4" w:space="0"/>
              <w:right w:val="single" w:color="000000" w:sz="4" w:space="0"/>
            </w:tcBorders>
            <w:shd w:val="clear" w:color="auto" w:fill="auto"/>
            <w:vAlign w:val="center"/>
          </w:tcPr>
          <w:p>
            <w:pPr>
              <w:jc w:val="center"/>
              <w:rPr>
                <w:rFonts w:ascii="仿宋" w:hAnsi="仿宋" w:eastAsia="仿宋" w:cs="仿宋"/>
                <w:color w:val="000000"/>
                <w:sz w:val="20"/>
                <w:szCs w:val="20"/>
              </w:rPr>
            </w:pPr>
          </w:p>
        </w:tc>
        <w:tc>
          <w:tcPr>
            <w:tcW w:w="6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0"/>
                <w:szCs w:val="20"/>
              </w:rPr>
            </w:pPr>
          </w:p>
        </w:tc>
        <w:tc>
          <w:tcPr>
            <w:tcW w:w="1553" w:type="pct"/>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有轨电车轨行区长度（7分）</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ascii="仿宋" w:hAnsi="仿宋" w:eastAsia="仿宋" w:cs="仿宋"/>
                <w:color w:val="000000"/>
                <w:kern w:val="0"/>
                <w:sz w:val="20"/>
                <w:szCs w:val="20"/>
                <w:lang w:bidi="ar"/>
              </w:rPr>
              <w:t>16.8</w:t>
            </w:r>
            <w:r>
              <w:rPr>
                <w:rFonts w:hint="eastAsia" w:ascii="仿宋" w:hAnsi="仿宋" w:eastAsia="仿宋" w:cs="仿宋"/>
                <w:color w:val="000000"/>
                <w:kern w:val="0"/>
                <w:sz w:val="20"/>
                <w:szCs w:val="20"/>
                <w:lang w:bidi="ar"/>
              </w:rPr>
              <w:t>公里</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ascii="仿宋" w:hAnsi="仿宋" w:eastAsia="仿宋" w:cs="仿宋"/>
                <w:color w:val="000000"/>
                <w:kern w:val="0"/>
                <w:sz w:val="20"/>
                <w:szCs w:val="20"/>
                <w:lang w:bidi="ar"/>
              </w:rPr>
              <w:t>16.8</w:t>
            </w:r>
            <w:r>
              <w:rPr>
                <w:rFonts w:hint="eastAsia" w:ascii="仿宋" w:hAnsi="仿宋" w:eastAsia="仿宋" w:cs="仿宋"/>
                <w:color w:val="000000"/>
                <w:kern w:val="0"/>
                <w:sz w:val="20"/>
                <w:szCs w:val="20"/>
                <w:lang w:bidi="ar"/>
              </w:rPr>
              <w:t>公里</w:t>
            </w:r>
          </w:p>
        </w:tc>
        <w:tc>
          <w:tcPr>
            <w:tcW w:w="66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7</w:t>
            </w:r>
            <w:r>
              <w:rPr>
                <w:rFonts w:hint="eastAsia" w:ascii="仿宋" w:hAnsi="仿宋" w:eastAsia="仿宋" w:cs="仿宋"/>
                <w:kern w:val="0"/>
                <w:sz w:val="20"/>
                <w:szCs w:val="20"/>
                <w:lang w:val="en-US" w:eastAsia="zh-CN" w:bidi="ar"/>
              </w:rPr>
              <w:t>.00</w:t>
            </w:r>
            <w:r>
              <w:rPr>
                <w:rFonts w:hint="eastAsia" w:ascii="仿宋" w:hAnsi="仿宋" w:eastAsia="仿宋" w:cs="仿宋"/>
                <w:color w:val="000000"/>
                <w:kern w:val="0"/>
                <w:sz w:val="20"/>
                <w:szCs w:val="20"/>
                <w:lang w:bidi="ar"/>
              </w:rPr>
              <w:t xml:space="preserve"> </w:t>
            </w:r>
          </w:p>
        </w:tc>
      </w:tr>
      <w:tr>
        <w:tblPrEx>
          <w:tblCellMar>
            <w:top w:w="0" w:type="dxa"/>
            <w:left w:w="108" w:type="dxa"/>
            <w:bottom w:w="0" w:type="dxa"/>
            <w:right w:w="108" w:type="dxa"/>
          </w:tblCellMar>
        </w:tblPrEx>
        <w:trPr>
          <w:trHeight w:val="500" w:hRule="atLeast"/>
        </w:trPr>
        <w:tc>
          <w:tcPr>
            <w:tcW w:w="3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0"/>
                <w:szCs w:val="20"/>
              </w:rPr>
            </w:pPr>
          </w:p>
        </w:tc>
        <w:tc>
          <w:tcPr>
            <w:tcW w:w="356" w:type="pct"/>
            <w:vMerge w:val="continue"/>
            <w:tcBorders>
              <w:left w:val="single" w:color="000000" w:sz="4" w:space="0"/>
              <w:right w:val="single" w:color="000000" w:sz="4" w:space="0"/>
            </w:tcBorders>
            <w:shd w:val="clear" w:color="auto" w:fill="auto"/>
            <w:vAlign w:val="center"/>
          </w:tcPr>
          <w:p>
            <w:pPr>
              <w:jc w:val="center"/>
              <w:rPr>
                <w:rFonts w:ascii="仿宋" w:hAnsi="仿宋" w:eastAsia="仿宋" w:cs="仿宋"/>
                <w:color w:val="000000"/>
                <w:sz w:val="20"/>
                <w:szCs w:val="20"/>
              </w:rPr>
            </w:pPr>
          </w:p>
        </w:tc>
        <w:tc>
          <w:tcPr>
            <w:tcW w:w="6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0"/>
                <w:szCs w:val="20"/>
              </w:rPr>
            </w:pPr>
          </w:p>
        </w:tc>
        <w:tc>
          <w:tcPr>
            <w:tcW w:w="1553" w:type="pct"/>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有轨电车补贴发放频次   （6分）</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ascii="仿宋" w:hAnsi="仿宋" w:eastAsia="仿宋" w:cs="仿宋"/>
                <w:color w:val="000000"/>
                <w:kern w:val="0"/>
                <w:sz w:val="20"/>
                <w:szCs w:val="20"/>
                <w:lang w:bidi="ar"/>
              </w:rPr>
              <w:t>1</w:t>
            </w:r>
            <w:r>
              <w:rPr>
                <w:rFonts w:hint="eastAsia" w:ascii="仿宋" w:hAnsi="仿宋" w:eastAsia="仿宋" w:cs="仿宋"/>
                <w:color w:val="000000"/>
                <w:kern w:val="0"/>
                <w:sz w:val="20"/>
                <w:szCs w:val="20"/>
                <w:lang w:bidi="ar"/>
              </w:rPr>
              <w:t>次</w:t>
            </w:r>
            <w:r>
              <w:rPr>
                <w:rFonts w:ascii="仿宋" w:hAnsi="仿宋" w:eastAsia="仿宋" w:cs="仿宋"/>
                <w:color w:val="000000"/>
                <w:kern w:val="0"/>
                <w:sz w:val="20"/>
                <w:szCs w:val="20"/>
                <w:lang w:bidi="ar"/>
              </w:rPr>
              <w:t>/</w:t>
            </w:r>
            <w:r>
              <w:rPr>
                <w:rFonts w:hint="eastAsia" w:ascii="仿宋" w:hAnsi="仿宋" w:eastAsia="仿宋" w:cs="仿宋"/>
                <w:color w:val="000000"/>
                <w:kern w:val="0"/>
                <w:sz w:val="20"/>
                <w:szCs w:val="20"/>
                <w:lang w:bidi="ar"/>
              </w:rPr>
              <w:t>季度</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ascii="仿宋" w:hAnsi="仿宋" w:eastAsia="仿宋" w:cs="仿宋"/>
                <w:color w:val="000000"/>
                <w:kern w:val="0"/>
                <w:sz w:val="20"/>
                <w:szCs w:val="20"/>
                <w:lang w:bidi="ar"/>
              </w:rPr>
              <w:t>1</w:t>
            </w:r>
            <w:r>
              <w:rPr>
                <w:rFonts w:hint="eastAsia" w:ascii="仿宋" w:hAnsi="仿宋" w:eastAsia="仿宋" w:cs="仿宋"/>
                <w:color w:val="000000"/>
                <w:kern w:val="0"/>
                <w:sz w:val="20"/>
                <w:szCs w:val="20"/>
                <w:lang w:bidi="ar"/>
              </w:rPr>
              <w:t>次</w:t>
            </w:r>
            <w:r>
              <w:rPr>
                <w:rFonts w:ascii="仿宋" w:hAnsi="仿宋" w:eastAsia="仿宋" w:cs="仿宋"/>
                <w:color w:val="000000"/>
                <w:kern w:val="0"/>
                <w:sz w:val="20"/>
                <w:szCs w:val="20"/>
                <w:lang w:bidi="ar"/>
              </w:rPr>
              <w:t>/</w:t>
            </w:r>
            <w:r>
              <w:rPr>
                <w:rFonts w:hint="eastAsia" w:ascii="仿宋" w:hAnsi="仿宋" w:eastAsia="仿宋" w:cs="仿宋"/>
                <w:color w:val="000000"/>
                <w:kern w:val="0"/>
                <w:sz w:val="20"/>
                <w:szCs w:val="20"/>
                <w:lang w:bidi="ar"/>
              </w:rPr>
              <w:t>季度</w:t>
            </w:r>
          </w:p>
        </w:tc>
        <w:tc>
          <w:tcPr>
            <w:tcW w:w="66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6</w:t>
            </w:r>
            <w:r>
              <w:rPr>
                <w:rFonts w:hint="eastAsia" w:ascii="仿宋" w:hAnsi="仿宋" w:eastAsia="仿宋" w:cs="仿宋"/>
                <w:kern w:val="0"/>
                <w:sz w:val="20"/>
                <w:szCs w:val="20"/>
                <w:lang w:val="en-US" w:eastAsia="zh-CN" w:bidi="ar"/>
              </w:rPr>
              <w:t>.00</w:t>
            </w:r>
          </w:p>
        </w:tc>
      </w:tr>
      <w:tr>
        <w:tblPrEx>
          <w:tblCellMar>
            <w:top w:w="0" w:type="dxa"/>
            <w:left w:w="108" w:type="dxa"/>
            <w:bottom w:w="0" w:type="dxa"/>
            <w:right w:w="108" w:type="dxa"/>
          </w:tblCellMar>
        </w:tblPrEx>
        <w:trPr>
          <w:trHeight w:val="500" w:hRule="atLeast"/>
        </w:trPr>
        <w:tc>
          <w:tcPr>
            <w:tcW w:w="3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0"/>
                <w:szCs w:val="20"/>
              </w:rPr>
            </w:pPr>
          </w:p>
        </w:tc>
        <w:tc>
          <w:tcPr>
            <w:tcW w:w="356" w:type="pct"/>
            <w:vMerge w:val="continue"/>
            <w:tcBorders>
              <w:left w:val="single" w:color="000000" w:sz="4" w:space="0"/>
              <w:right w:val="single" w:color="000000" w:sz="4" w:space="0"/>
            </w:tcBorders>
            <w:shd w:val="clear" w:color="auto" w:fill="auto"/>
            <w:vAlign w:val="center"/>
          </w:tcPr>
          <w:p>
            <w:pPr>
              <w:jc w:val="center"/>
              <w:rPr>
                <w:rFonts w:ascii="仿宋" w:hAnsi="仿宋" w:eastAsia="仿宋" w:cs="仿宋"/>
                <w:color w:val="000000"/>
                <w:sz w:val="20"/>
                <w:szCs w:val="20"/>
              </w:rPr>
            </w:pPr>
          </w:p>
        </w:tc>
        <w:tc>
          <w:tcPr>
            <w:tcW w:w="64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质量指标</w:t>
            </w:r>
          </w:p>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（10分）</w:t>
            </w:r>
          </w:p>
        </w:tc>
        <w:tc>
          <w:tcPr>
            <w:tcW w:w="1553" w:type="pct"/>
            <w:gridSpan w:val="2"/>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highlight w:val="yellow"/>
              </w:rPr>
            </w:pPr>
            <w:r>
              <w:rPr>
                <w:rFonts w:hint="eastAsia" w:ascii="仿宋" w:hAnsi="仿宋" w:eastAsia="仿宋" w:cs="仿宋"/>
                <w:color w:val="000000"/>
                <w:kern w:val="0"/>
                <w:sz w:val="20"/>
                <w:szCs w:val="20"/>
                <w:lang w:bidi="ar"/>
              </w:rPr>
              <w:t>公交及有轨电车考核达标（10分）</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highlight w:val="yellow"/>
                <w:lang w:bidi="ar"/>
              </w:rPr>
            </w:pPr>
            <w:r>
              <w:rPr>
                <w:rFonts w:hint="eastAsia" w:ascii="仿宋" w:hAnsi="仿宋" w:eastAsia="仿宋" w:cs="仿宋"/>
                <w:color w:val="000000"/>
                <w:kern w:val="0"/>
                <w:sz w:val="20"/>
                <w:szCs w:val="20"/>
                <w:lang w:bidi="ar"/>
              </w:rPr>
              <w:t>及时</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highlight w:val="yellow"/>
                <w:lang w:bidi="ar"/>
              </w:rPr>
            </w:pPr>
            <w:r>
              <w:rPr>
                <w:rFonts w:hint="eastAsia" w:ascii="仿宋" w:hAnsi="仿宋" w:eastAsia="仿宋" w:cs="仿宋"/>
                <w:color w:val="000000"/>
                <w:kern w:val="0"/>
                <w:sz w:val="20"/>
                <w:szCs w:val="20"/>
                <w:lang w:bidi="ar"/>
              </w:rPr>
              <w:t>及时</w:t>
            </w:r>
          </w:p>
        </w:tc>
        <w:tc>
          <w:tcPr>
            <w:tcW w:w="66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highlight w:val="yellow"/>
              </w:rPr>
            </w:pPr>
            <w:r>
              <w:rPr>
                <w:rFonts w:hint="eastAsia" w:ascii="仿宋" w:hAnsi="仿宋" w:eastAsia="仿宋" w:cs="仿宋"/>
                <w:color w:val="000000"/>
                <w:kern w:val="0"/>
                <w:sz w:val="20"/>
                <w:szCs w:val="20"/>
                <w:lang w:bidi="ar"/>
              </w:rPr>
              <w:t>10</w:t>
            </w:r>
            <w:r>
              <w:rPr>
                <w:rFonts w:hint="eastAsia" w:ascii="仿宋" w:hAnsi="仿宋" w:eastAsia="仿宋" w:cs="仿宋"/>
                <w:kern w:val="0"/>
                <w:sz w:val="20"/>
                <w:szCs w:val="20"/>
                <w:lang w:val="en-US" w:eastAsia="zh-CN" w:bidi="ar"/>
              </w:rPr>
              <w:t>.00</w:t>
            </w:r>
            <w:r>
              <w:rPr>
                <w:rFonts w:hint="eastAsia" w:ascii="仿宋" w:hAnsi="仿宋" w:eastAsia="仿宋" w:cs="仿宋"/>
                <w:color w:val="000000"/>
                <w:kern w:val="0"/>
                <w:sz w:val="20"/>
                <w:szCs w:val="20"/>
                <w:lang w:bidi="ar"/>
              </w:rPr>
              <w:t xml:space="preserve"> </w:t>
            </w:r>
          </w:p>
        </w:tc>
      </w:tr>
      <w:tr>
        <w:tblPrEx>
          <w:tblCellMar>
            <w:top w:w="0" w:type="dxa"/>
            <w:left w:w="108" w:type="dxa"/>
            <w:bottom w:w="0" w:type="dxa"/>
            <w:right w:w="108" w:type="dxa"/>
          </w:tblCellMar>
        </w:tblPrEx>
        <w:trPr>
          <w:trHeight w:val="500" w:hRule="atLeast"/>
        </w:trPr>
        <w:tc>
          <w:tcPr>
            <w:tcW w:w="3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0"/>
                <w:szCs w:val="20"/>
              </w:rPr>
            </w:pPr>
          </w:p>
        </w:tc>
        <w:tc>
          <w:tcPr>
            <w:tcW w:w="356" w:type="pct"/>
            <w:vMerge w:val="continue"/>
            <w:tcBorders>
              <w:left w:val="single" w:color="000000" w:sz="4" w:space="0"/>
              <w:right w:val="single" w:color="000000" w:sz="4" w:space="0"/>
            </w:tcBorders>
            <w:shd w:val="clear" w:color="auto" w:fill="auto"/>
            <w:vAlign w:val="center"/>
          </w:tcPr>
          <w:p>
            <w:pPr>
              <w:jc w:val="center"/>
              <w:rPr>
                <w:rFonts w:ascii="仿宋" w:hAnsi="仿宋" w:eastAsia="仿宋" w:cs="仿宋"/>
                <w:color w:val="000000"/>
                <w:sz w:val="20"/>
                <w:szCs w:val="20"/>
              </w:rPr>
            </w:pPr>
          </w:p>
        </w:tc>
        <w:tc>
          <w:tcPr>
            <w:tcW w:w="648" w:type="pct"/>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时效指标</w:t>
            </w:r>
          </w:p>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（10分）</w:t>
            </w:r>
          </w:p>
        </w:tc>
        <w:tc>
          <w:tcPr>
            <w:tcW w:w="15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公交运营补贴发放及时性 （5分）</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及时</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不及时</w:t>
            </w:r>
          </w:p>
        </w:tc>
        <w:tc>
          <w:tcPr>
            <w:tcW w:w="66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sz w:val="20"/>
                <w:szCs w:val="20"/>
              </w:rPr>
              <w:t>0</w:t>
            </w:r>
          </w:p>
        </w:tc>
      </w:tr>
      <w:tr>
        <w:tblPrEx>
          <w:tblCellMar>
            <w:top w:w="0" w:type="dxa"/>
            <w:left w:w="108" w:type="dxa"/>
            <w:bottom w:w="0" w:type="dxa"/>
            <w:right w:w="108" w:type="dxa"/>
          </w:tblCellMar>
        </w:tblPrEx>
        <w:trPr>
          <w:trHeight w:val="500" w:hRule="atLeast"/>
        </w:trPr>
        <w:tc>
          <w:tcPr>
            <w:tcW w:w="3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0"/>
                <w:szCs w:val="20"/>
              </w:rPr>
            </w:pPr>
          </w:p>
        </w:tc>
        <w:tc>
          <w:tcPr>
            <w:tcW w:w="356" w:type="pct"/>
            <w:vMerge w:val="continue"/>
            <w:tcBorders>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0"/>
                <w:szCs w:val="20"/>
              </w:rPr>
            </w:pPr>
          </w:p>
        </w:tc>
        <w:tc>
          <w:tcPr>
            <w:tcW w:w="648" w:type="pct"/>
            <w:vMerge w:val="continue"/>
            <w:tcBorders>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lang w:bidi="ar"/>
              </w:rPr>
            </w:pPr>
          </w:p>
        </w:tc>
        <w:tc>
          <w:tcPr>
            <w:tcW w:w="15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有轨电车运营补贴发放及时性（5分）</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及时</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及时</w:t>
            </w:r>
          </w:p>
        </w:tc>
        <w:tc>
          <w:tcPr>
            <w:tcW w:w="66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5</w:t>
            </w:r>
            <w:r>
              <w:rPr>
                <w:rFonts w:hint="eastAsia" w:ascii="仿宋" w:hAnsi="仿宋" w:eastAsia="仿宋" w:cs="仿宋"/>
                <w:kern w:val="0"/>
                <w:sz w:val="20"/>
                <w:szCs w:val="20"/>
                <w:lang w:val="en-US" w:eastAsia="zh-CN" w:bidi="ar"/>
              </w:rPr>
              <w:t>.00</w:t>
            </w:r>
          </w:p>
        </w:tc>
      </w:tr>
      <w:tr>
        <w:tblPrEx>
          <w:tblCellMar>
            <w:top w:w="0" w:type="dxa"/>
            <w:left w:w="108" w:type="dxa"/>
            <w:bottom w:w="0" w:type="dxa"/>
            <w:right w:w="108" w:type="dxa"/>
          </w:tblCellMar>
        </w:tblPrEx>
        <w:trPr>
          <w:trHeight w:val="500" w:hRule="atLeast"/>
        </w:trPr>
        <w:tc>
          <w:tcPr>
            <w:tcW w:w="3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0"/>
                <w:szCs w:val="20"/>
              </w:rPr>
            </w:pPr>
          </w:p>
        </w:tc>
        <w:tc>
          <w:tcPr>
            <w:tcW w:w="356" w:type="pct"/>
            <w:vMerge w:val="restart"/>
            <w:tcBorders>
              <w:top w:val="nil"/>
              <w:left w:val="single" w:color="000000" w:sz="4" w:space="0"/>
              <w:bottom w:val="nil"/>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效益指标（40分）</w:t>
            </w:r>
          </w:p>
        </w:tc>
        <w:tc>
          <w:tcPr>
            <w:tcW w:w="648" w:type="pct"/>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社会效益指标</w:t>
            </w:r>
          </w:p>
          <w:p>
            <w:pPr>
              <w:widowControl/>
              <w:jc w:val="center"/>
              <w:textAlignment w:val="center"/>
              <w:rPr>
                <w:rFonts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（40分）</w:t>
            </w:r>
          </w:p>
          <w:p>
            <w:pPr>
              <w:widowControl/>
              <w:jc w:val="center"/>
              <w:textAlignment w:val="center"/>
              <w:rPr>
                <w:rFonts w:ascii="仿宋" w:hAnsi="仿宋" w:eastAsia="仿宋" w:cs="仿宋"/>
                <w:color w:val="000000"/>
                <w:sz w:val="20"/>
                <w:szCs w:val="20"/>
              </w:rPr>
            </w:pPr>
          </w:p>
        </w:tc>
        <w:tc>
          <w:tcPr>
            <w:tcW w:w="15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保障区域内城市公共交通正常运营（15分）</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有助于</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有助于</w:t>
            </w:r>
          </w:p>
        </w:tc>
        <w:tc>
          <w:tcPr>
            <w:tcW w:w="66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15</w:t>
            </w:r>
            <w:r>
              <w:rPr>
                <w:rFonts w:hint="eastAsia" w:ascii="仿宋" w:hAnsi="仿宋" w:eastAsia="仿宋" w:cs="仿宋"/>
                <w:kern w:val="0"/>
                <w:sz w:val="20"/>
                <w:szCs w:val="20"/>
                <w:lang w:val="en-US" w:eastAsia="zh-CN" w:bidi="ar"/>
              </w:rPr>
              <w:t>.00</w:t>
            </w:r>
          </w:p>
        </w:tc>
      </w:tr>
      <w:tr>
        <w:tblPrEx>
          <w:tblCellMar>
            <w:top w:w="0" w:type="dxa"/>
            <w:left w:w="108" w:type="dxa"/>
            <w:bottom w:w="0" w:type="dxa"/>
            <w:right w:w="108" w:type="dxa"/>
          </w:tblCellMar>
        </w:tblPrEx>
        <w:trPr>
          <w:trHeight w:val="500" w:hRule="atLeast"/>
        </w:trPr>
        <w:tc>
          <w:tcPr>
            <w:tcW w:w="3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0"/>
                <w:szCs w:val="20"/>
              </w:rPr>
            </w:pPr>
          </w:p>
        </w:tc>
        <w:tc>
          <w:tcPr>
            <w:tcW w:w="356" w:type="pct"/>
            <w:vMerge w:val="continue"/>
            <w:tcBorders>
              <w:top w:val="nil"/>
              <w:left w:val="single" w:color="000000" w:sz="4" w:space="0"/>
              <w:bottom w:val="nil"/>
              <w:right w:val="single" w:color="000000" w:sz="4" w:space="0"/>
            </w:tcBorders>
            <w:shd w:val="clear" w:color="auto" w:fill="auto"/>
            <w:vAlign w:val="center"/>
          </w:tcPr>
          <w:p>
            <w:pPr>
              <w:jc w:val="center"/>
              <w:rPr>
                <w:rFonts w:ascii="仿宋" w:hAnsi="仿宋" w:eastAsia="仿宋" w:cs="仿宋"/>
                <w:color w:val="000000"/>
                <w:sz w:val="20"/>
                <w:szCs w:val="20"/>
              </w:rPr>
            </w:pPr>
          </w:p>
        </w:tc>
        <w:tc>
          <w:tcPr>
            <w:tcW w:w="648" w:type="pct"/>
            <w:vMerge w:val="continue"/>
            <w:tcBorders>
              <w:left w:val="single" w:color="000000" w:sz="4" w:space="0"/>
              <w:right w:val="single" w:color="000000" w:sz="4" w:space="0"/>
            </w:tcBorders>
            <w:shd w:val="clear" w:color="auto" w:fill="auto"/>
            <w:vAlign w:val="center"/>
          </w:tcPr>
          <w:p>
            <w:pPr>
              <w:jc w:val="center"/>
              <w:rPr>
                <w:rFonts w:ascii="仿宋" w:hAnsi="仿宋" w:eastAsia="仿宋" w:cs="仿宋"/>
                <w:color w:val="000000"/>
                <w:sz w:val="20"/>
                <w:szCs w:val="20"/>
              </w:rPr>
            </w:pPr>
          </w:p>
        </w:tc>
        <w:tc>
          <w:tcPr>
            <w:tcW w:w="15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提高公交及有轨电车运营管理（15分）</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有效提高</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有效提高</w:t>
            </w:r>
          </w:p>
        </w:tc>
        <w:tc>
          <w:tcPr>
            <w:tcW w:w="66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15</w:t>
            </w:r>
            <w:r>
              <w:rPr>
                <w:rFonts w:hint="eastAsia" w:ascii="仿宋" w:hAnsi="仿宋" w:eastAsia="仿宋" w:cs="仿宋"/>
                <w:kern w:val="0"/>
                <w:sz w:val="20"/>
                <w:szCs w:val="20"/>
                <w:lang w:val="en-US" w:eastAsia="zh-CN" w:bidi="ar"/>
              </w:rPr>
              <w:t>.00</w:t>
            </w:r>
            <w:r>
              <w:rPr>
                <w:rFonts w:hint="eastAsia" w:ascii="仿宋" w:hAnsi="仿宋" w:eastAsia="仿宋" w:cs="仿宋"/>
                <w:color w:val="000000"/>
                <w:kern w:val="0"/>
                <w:sz w:val="20"/>
                <w:szCs w:val="20"/>
                <w:lang w:bidi="ar"/>
              </w:rPr>
              <w:t xml:space="preserve"> </w:t>
            </w:r>
          </w:p>
        </w:tc>
      </w:tr>
      <w:tr>
        <w:tblPrEx>
          <w:tblCellMar>
            <w:top w:w="0" w:type="dxa"/>
            <w:left w:w="108" w:type="dxa"/>
            <w:bottom w:w="0" w:type="dxa"/>
            <w:right w:w="108" w:type="dxa"/>
          </w:tblCellMar>
        </w:tblPrEx>
        <w:trPr>
          <w:trHeight w:val="500" w:hRule="atLeast"/>
        </w:trPr>
        <w:tc>
          <w:tcPr>
            <w:tcW w:w="3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color w:val="000000"/>
                <w:sz w:val="20"/>
                <w:szCs w:val="20"/>
              </w:rPr>
            </w:pPr>
          </w:p>
        </w:tc>
        <w:tc>
          <w:tcPr>
            <w:tcW w:w="356" w:type="pct"/>
            <w:vMerge w:val="continue"/>
            <w:tcBorders>
              <w:top w:val="nil"/>
              <w:left w:val="single" w:color="000000" w:sz="4" w:space="0"/>
              <w:bottom w:val="nil"/>
              <w:right w:val="single" w:color="000000" w:sz="4" w:space="0"/>
            </w:tcBorders>
            <w:shd w:val="clear" w:color="auto" w:fill="auto"/>
            <w:vAlign w:val="center"/>
          </w:tcPr>
          <w:p>
            <w:pPr>
              <w:jc w:val="center"/>
              <w:rPr>
                <w:rFonts w:ascii="仿宋" w:hAnsi="仿宋" w:eastAsia="仿宋" w:cs="仿宋"/>
                <w:color w:val="000000"/>
                <w:sz w:val="20"/>
                <w:szCs w:val="20"/>
              </w:rPr>
            </w:pPr>
          </w:p>
        </w:tc>
        <w:tc>
          <w:tcPr>
            <w:tcW w:w="648" w:type="pct"/>
            <w:vMerge w:val="continue"/>
            <w:tcBorders>
              <w:left w:val="single" w:color="000000" w:sz="4" w:space="0"/>
              <w:bottom w:val="nil"/>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p>
        </w:tc>
        <w:tc>
          <w:tcPr>
            <w:tcW w:w="15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公交优惠保障度（10分）</w:t>
            </w:r>
          </w:p>
        </w:tc>
        <w:tc>
          <w:tcPr>
            <w:tcW w:w="74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有助于</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有助于</w:t>
            </w:r>
          </w:p>
        </w:tc>
        <w:tc>
          <w:tcPr>
            <w:tcW w:w="66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10</w:t>
            </w:r>
            <w:r>
              <w:rPr>
                <w:rFonts w:hint="eastAsia" w:ascii="仿宋" w:hAnsi="仿宋" w:eastAsia="仿宋" w:cs="仿宋"/>
                <w:kern w:val="0"/>
                <w:sz w:val="20"/>
                <w:szCs w:val="20"/>
                <w:lang w:val="en-US" w:eastAsia="zh-CN" w:bidi="ar"/>
              </w:rPr>
              <w:t>.00</w:t>
            </w:r>
            <w:r>
              <w:rPr>
                <w:rFonts w:hint="eastAsia" w:ascii="仿宋" w:hAnsi="仿宋" w:eastAsia="仿宋" w:cs="仿宋"/>
                <w:color w:val="000000"/>
                <w:kern w:val="0"/>
                <w:sz w:val="20"/>
                <w:szCs w:val="20"/>
                <w:lang w:bidi="ar"/>
              </w:rPr>
              <w:t xml:space="preserve"> </w:t>
            </w:r>
          </w:p>
        </w:tc>
      </w:tr>
      <w:tr>
        <w:tblPrEx>
          <w:tblCellMar>
            <w:top w:w="0" w:type="dxa"/>
            <w:left w:w="108" w:type="dxa"/>
            <w:bottom w:w="0" w:type="dxa"/>
            <w:right w:w="108" w:type="dxa"/>
          </w:tblCellMar>
        </w:tblPrEx>
        <w:trPr>
          <w:trHeight w:val="500" w:hRule="atLeast"/>
        </w:trPr>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总分</w:t>
            </w:r>
          </w:p>
        </w:tc>
        <w:tc>
          <w:tcPr>
            <w:tcW w:w="464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95</w:t>
            </w:r>
            <w:r>
              <w:rPr>
                <w:rFonts w:hint="eastAsia" w:ascii="仿宋" w:hAnsi="仿宋" w:eastAsia="仿宋" w:cs="仿宋"/>
                <w:kern w:val="0"/>
                <w:sz w:val="20"/>
                <w:szCs w:val="20"/>
                <w:lang w:val="en-US" w:eastAsia="zh-CN" w:bidi="ar"/>
              </w:rPr>
              <w:t>.00</w:t>
            </w:r>
            <w:bookmarkStart w:id="1" w:name="_GoBack"/>
            <w:bookmarkEnd w:id="1"/>
            <w:r>
              <w:rPr>
                <w:rFonts w:hint="eastAsia" w:ascii="仿宋" w:hAnsi="仿宋" w:eastAsia="仿宋" w:cs="仿宋"/>
                <w:color w:val="000000"/>
                <w:kern w:val="0"/>
                <w:sz w:val="20"/>
                <w:szCs w:val="20"/>
                <w:lang w:bidi="ar"/>
              </w:rPr>
              <w:t>分</w:t>
            </w:r>
          </w:p>
        </w:tc>
      </w:tr>
      <w:tr>
        <w:tblPrEx>
          <w:tblCellMar>
            <w:top w:w="0" w:type="dxa"/>
            <w:left w:w="108" w:type="dxa"/>
            <w:bottom w:w="0" w:type="dxa"/>
            <w:right w:w="108" w:type="dxa"/>
          </w:tblCellMar>
        </w:tblPrEx>
        <w:trPr>
          <w:trHeight w:val="1239" w:hRule="atLeast"/>
        </w:trPr>
        <w:tc>
          <w:tcPr>
            <w:tcW w:w="13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偏差大或目标未完成原因分析</w:t>
            </w:r>
          </w:p>
        </w:tc>
        <w:tc>
          <w:tcPr>
            <w:tcW w:w="363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 w:hAnsi="仿宋" w:eastAsia="仿宋" w:cs="仿宋"/>
                <w:color w:val="000000"/>
                <w:sz w:val="20"/>
                <w:szCs w:val="20"/>
                <w:highlight w:val="yellow"/>
              </w:rPr>
            </w:pPr>
            <w:r>
              <w:rPr>
                <w:rFonts w:hint="eastAsia" w:ascii="仿宋" w:hAnsi="仿宋" w:eastAsia="仿宋" w:cs="仿宋"/>
                <w:color w:val="000000"/>
                <w:kern w:val="0"/>
                <w:sz w:val="20"/>
                <w:szCs w:val="20"/>
                <w:lang w:bidi="ar"/>
              </w:rPr>
              <w:t>本项目预算执行率高，时效指标“公交运营补贴发放及时”未完成，2019年度公交运营亏损补贴经公交集团经开公司负责同志多次来局催请后才于2021年11月30日发放。</w:t>
            </w:r>
          </w:p>
        </w:tc>
      </w:tr>
      <w:tr>
        <w:tblPrEx>
          <w:tblCellMar>
            <w:top w:w="0" w:type="dxa"/>
            <w:left w:w="108" w:type="dxa"/>
            <w:bottom w:w="0" w:type="dxa"/>
            <w:right w:w="108" w:type="dxa"/>
          </w:tblCellMar>
        </w:tblPrEx>
        <w:trPr>
          <w:trHeight w:val="1180" w:hRule="atLeast"/>
        </w:trPr>
        <w:tc>
          <w:tcPr>
            <w:tcW w:w="136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改进措施及结果应用方案</w:t>
            </w:r>
          </w:p>
        </w:tc>
        <w:tc>
          <w:tcPr>
            <w:tcW w:w="363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仿宋" w:hAnsi="仿宋" w:eastAsia="仿宋" w:cs="仿宋"/>
                <w:color w:val="000000"/>
                <w:sz w:val="20"/>
                <w:szCs w:val="20"/>
                <w:highlight w:val="yellow"/>
              </w:rPr>
            </w:pPr>
            <w:r>
              <w:rPr>
                <w:rFonts w:hint="eastAsia" w:ascii="仿宋" w:hAnsi="仿宋" w:eastAsia="仿宋" w:cs="仿宋"/>
                <w:color w:val="000000"/>
                <w:kern w:val="0"/>
                <w:sz w:val="20"/>
                <w:szCs w:val="20"/>
                <w:lang w:bidi="ar"/>
              </w:rPr>
              <w:t>加强项目管理，及时发放项目资金。</w:t>
            </w:r>
          </w:p>
        </w:tc>
      </w:tr>
      <w:tr>
        <w:tblPrEx>
          <w:tblCellMar>
            <w:top w:w="0" w:type="dxa"/>
            <w:left w:w="108" w:type="dxa"/>
            <w:bottom w:w="0" w:type="dxa"/>
            <w:right w:w="108" w:type="dxa"/>
          </w:tblCellMar>
        </w:tblPrEx>
        <w:trPr>
          <w:trHeight w:val="2680" w:hRule="atLeast"/>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注</w:t>
            </w:r>
            <w:r>
              <w:rPr>
                <w:rStyle w:val="8"/>
                <w:rFonts w:hint="default"/>
                <w:lang w:bidi="ar"/>
              </w:rPr>
              <w:t>: 1.</w:t>
            </w:r>
            <w:r>
              <w:rPr>
                <w:rFonts w:hint="eastAsia" w:ascii="仿宋" w:hAnsi="仿宋" w:eastAsia="仿宋" w:cs="仿宋"/>
                <w:color w:val="000000"/>
                <w:kern w:val="0"/>
                <w:sz w:val="20"/>
                <w:szCs w:val="20"/>
                <w:lang w:bidi="ar"/>
              </w:rPr>
              <w:t>预算执行情况口径</w:t>
            </w:r>
            <w:r>
              <w:rPr>
                <w:rStyle w:val="8"/>
                <w:rFonts w:hint="default"/>
                <w:lang w:bidi="ar"/>
              </w:rPr>
              <w:t xml:space="preserve">: </w:t>
            </w:r>
            <w:r>
              <w:rPr>
                <w:rFonts w:hint="eastAsia" w:ascii="仿宋" w:hAnsi="仿宋" w:eastAsia="仿宋" w:cs="仿宋"/>
                <w:color w:val="000000"/>
                <w:kern w:val="0"/>
                <w:sz w:val="20"/>
                <w:szCs w:val="20"/>
                <w:lang w:bidi="ar"/>
              </w:rPr>
              <w:t>预算数为调整后财政资金总额（包括上年结余结转</w:t>
            </w:r>
            <w:r>
              <w:rPr>
                <w:rStyle w:val="8"/>
                <w:rFonts w:hint="default"/>
                <w:lang w:bidi="ar"/>
              </w:rPr>
              <w:t>），</w:t>
            </w:r>
            <w:r>
              <w:rPr>
                <w:rFonts w:hint="eastAsia" w:ascii="仿宋" w:hAnsi="仿宋" w:eastAsia="仿宋" w:cs="仿宋"/>
                <w:color w:val="000000"/>
                <w:kern w:val="0"/>
                <w:sz w:val="20"/>
                <w:szCs w:val="20"/>
                <w:lang w:bidi="ar"/>
              </w:rPr>
              <w:t>执行数为资金使用单位财政资金实际支出数。</w:t>
            </w:r>
          </w:p>
          <w:p>
            <w:pPr>
              <w:widowControl/>
              <w:jc w:val="left"/>
              <w:textAlignment w:val="center"/>
              <w:rPr>
                <w:rStyle w:val="8"/>
                <w:rFonts w:hint="default"/>
                <w:lang w:bidi="ar"/>
              </w:rPr>
            </w:pPr>
            <w:r>
              <w:rPr>
                <w:rStyle w:val="8"/>
                <w:rFonts w:hint="default"/>
                <w:lang w:bidi="ar"/>
              </w:rPr>
              <w:t xml:space="preserve">    2.定量指标完成数汇总原则：绝对值直接累加计算，相对值按照资金额度加权平均计算。定量指标计分原则：正向指标（即目标值≥X，得分=权重*B/A），反向指标（即目标值≤X，得分=权重*A/B），得分不得突破权重总额，定量指标先汇总完成数，再计算得分。</w:t>
            </w:r>
          </w:p>
          <w:p>
            <w:pPr>
              <w:widowControl/>
              <w:jc w:val="left"/>
              <w:textAlignment w:val="center"/>
              <w:rPr>
                <w:rFonts w:ascii="仿宋" w:hAnsi="仿宋" w:eastAsia="仿宋" w:cs="仿宋"/>
                <w:color w:val="000000"/>
                <w:kern w:val="0"/>
                <w:sz w:val="20"/>
                <w:szCs w:val="20"/>
                <w:lang w:bidi="ar"/>
              </w:rPr>
            </w:pPr>
            <w:r>
              <w:rPr>
                <w:rStyle w:val="8"/>
                <w:rFonts w:hint="default"/>
                <w:lang w:bidi="ar"/>
              </w:rPr>
              <w:t xml:space="preserve">    3.</w:t>
            </w:r>
            <w:r>
              <w:rPr>
                <w:rFonts w:hint="eastAsia" w:ascii="仿宋" w:hAnsi="仿宋" w:eastAsia="仿宋" w:cs="仿宋"/>
                <w:color w:val="000000"/>
                <w:kern w:val="0"/>
                <w:sz w:val="20"/>
                <w:szCs w:val="20"/>
                <w:lang w:bidi="ar"/>
              </w:rPr>
              <w:t>定性指标分档原则</w:t>
            </w:r>
            <w:r>
              <w:rPr>
                <w:rStyle w:val="8"/>
                <w:rFonts w:hint="default"/>
                <w:lang w:bidi="ar"/>
              </w:rPr>
              <w:t>: 分成</w:t>
            </w:r>
            <w:r>
              <w:rPr>
                <w:rFonts w:hint="eastAsia" w:ascii="仿宋" w:hAnsi="仿宋" w:eastAsia="仿宋" w:cs="仿宋"/>
                <w:color w:val="000000"/>
                <w:kern w:val="0"/>
                <w:sz w:val="20"/>
                <w:szCs w:val="20"/>
                <w:lang w:bidi="ar"/>
              </w:rPr>
              <w:t>达成预期指标、部分达成预期指标并具有一定效果、未达成预期指标且效果较差三档，分别按照该指标对应分值区间100-80%（含80%）、80-50%</w:t>
            </w:r>
            <w:r>
              <w:rPr>
                <w:rStyle w:val="8"/>
                <w:rFonts w:hint="default"/>
                <w:lang w:bidi="ar"/>
              </w:rPr>
              <w:t xml:space="preserve"> （含50%）、50-0% 合理确定分值。汇总时，以资金</w:t>
            </w:r>
            <w:r>
              <w:rPr>
                <w:rFonts w:hint="eastAsia" w:ascii="仿宋" w:hAnsi="仿宋" w:eastAsia="仿宋" w:cs="仿宋"/>
                <w:color w:val="000000"/>
                <w:kern w:val="0"/>
                <w:sz w:val="20"/>
                <w:szCs w:val="20"/>
                <w:lang w:bidi="ar"/>
              </w:rPr>
              <w:t>额度为权重，对分值进行加权平均计算。</w:t>
            </w:r>
          </w:p>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 xml:space="preserve">    4.基于经济性和必要性等因素考虑，满意度指标暂可不作为必评指标。</w:t>
            </w:r>
          </w:p>
        </w:tc>
      </w:tr>
    </w:tbl>
    <w:p>
      <w:pPr>
        <w:pStyle w:val="2"/>
        <w:jc w:val="center"/>
        <w:rPr>
          <w:rFonts w:eastAsia="仿宋"/>
          <w:color w:val="000000"/>
          <w:kern w:val="0"/>
          <w:sz w:val="32"/>
          <w:szCs w:val="32"/>
        </w:rPr>
      </w:pPr>
    </w:p>
    <w:p>
      <w:pPr>
        <w:rPr>
          <w:rFonts w:eastAsia="黑体"/>
          <w:b/>
          <w:sz w:val="32"/>
        </w:rPr>
      </w:pPr>
      <w:r>
        <w:rPr>
          <w:rFonts w:hint="eastAsia" w:eastAsia="黑体"/>
          <w:b/>
          <w:sz w:val="32"/>
        </w:rPr>
        <w:br w:type="page"/>
      </w:r>
    </w:p>
    <w:p>
      <w:pPr>
        <w:pStyle w:val="5"/>
        <w:numPr>
          <w:ilvl w:val="0"/>
          <w:numId w:val="1"/>
        </w:numPr>
        <w:shd w:val="clear" w:color="auto" w:fill="FFFFFF" w:themeFill="background1"/>
        <w:spacing w:line="560" w:lineRule="exact"/>
        <w:ind w:firstLine="643"/>
        <w:jc w:val="both"/>
        <w:outlineLvl w:val="0"/>
        <w:rPr>
          <w:rFonts w:ascii="Times New Roman" w:hAnsi="Times New Roman" w:eastAsia="黑体"/>
          <w:b/>
          <w:sz w:val="32"/>
        </w:rPr>
      </w:pPr>
      <w:r>
        <w:rPr>
          <w:rFonts w:hint="eastAsia" w:ascii="Times New Roman" w:hAnsi="Times New Roman" w:eastAsia="黑体"/>
          <w:b/>
          <w:sz w:val="32"/>
        </w:rPr>
        <w:t>佐证材料</w:t>
      </w:r>
    </w:p>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（一）基本情况</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1. 项目立项目的</w:t>
      </w:r>
    </w:p>
    <w:p>
      <w:pPr>
        <w:widowControl/>
        <w:spacing w:line="560" w:lineRule="exact"/>
        <w:ind w:firstLine="640" w:firstLineChars="200"/>
        <w:rPr>
          <w:rFonts w:eastAsia="仿宋"/>
          <w:sz w:val="32"/>
          <w:szCs w:val="32"/>
        </w:rPr>
      </w:pPr>
      <w:r>
        <w:rPr>
          <w:rFonts w:hint="eastAsia" w:eastAsia="仿宋"/>
          <w:sz w:val="32"/>
          <w:szCs w:val="32"/>
        </w:rPr>
        <w:t>根据武汉经济技术开发区管委会（汉南区政府）主任办公会议纪要〔2016〕第12期要求，由武汉车都轨道交通有限公司与武汉市公共交通集团有限责任公司合资成立武汉车都现代有轨电车运营有限公司（以下简称：车都电车公司），负责开发区有轨电车试验线（以下简称：T1线）的运营工作。2016年5月，武汉市公共交通集团有限责任公司与武汉车都轨道交通有限公司签订合资合同，合同第五条第四款内容约定“合资公司经营项目属公益性事业范围，政策性亏损由合资公司向开发区申请全额补贴，同时合资公司向市政府积极争取财政补贴”。2016年7月，公司注册资本金暂定1000万元，由武汉车都轨道交通有限公司出资20%，武汉公交集团出资80%，车都电车公司完成注册与组建，并于2017年4月15日正式开始实施车都T1线项目的联调联试及“三权”接管工作任务，同年正式载客试运营。</w:t>
      </w:r>
    </w:p>
    <w:p>
      <w:pPr>
        <w:widowControl/>
        <w:spacing w:line="560" w:lineRule="exact"/>
        <w:ind w:firstLine="640" w:firstLineChars="200"/>
        <w:rPr>
          <w:rFonts w:eastAsia="仿宋"/>
          <w:sz w:val="32"/>
          <w:szCs w:val="32"/>
          <w:lang w:val="zh-CN"/>
        </w:rPr>
      </w:pPr>
      <w:r>
        <w:rPr>
          <w:rFonts w:hint="eastAsia" w:eastAsia="仿宋"/>
          <w:sz w:val="32"/>
          <w:szCs w:val="32"/>
        </w:rPr>
        <w:t>根据武汉经济技术开发区管委会（汉南区政府）主任办公会议纪要〔2017〕第18期内容要求</w:t>
      </w:r>
      <w:r>
        <w:rPr>
          <w:rFonts w:eastAsia="仿宋"/>
          <w:sz w:val="32"/>
          <w:szCs w:val="32"/>
          <w:lang w:val="zh-CN"/>
        </w:rPr>
        <w:t>武汉经济技术开发区（汉南区）落实</w:t>
      </w:r>
      <w:r>
        <w:rPr>
          <w:rFonts w:hint="eastAsia" w:eastAsia="仿宋"/>
          <w:sz w:val="32"/>
          <w:szCs w:val="32"/>
          <w:lang w:val="zh-CN"/>
        </w:rPr>
        <w:t>辖区</w:t>
      </w:r>
      <w:r>
        <w:rPr>
          <w:rFonts w:eastAsia="仿宋"/>
          <w:sz w:val="32"/>
          <w:szCs w:val="32"/>
          <w:lang w:val="zh-CN"/>
        </w:rPr>
        <w:t>实施汉南区全域公交化改造方案</w:t>
      </w:r>
      <w:r>
        <w:rPr>
          <w:rFonts w:hint="eastAsia" w:eastAsia="仿宋"/>
          <w:sz w:val="32"/>
          <w:szCs w:val="32"/>
          <w:lang w:val="zh-CN"/>
        </w:rPr>
        <w:t>。</w:t>
      </w:r>
    </w:p>
    <w:p>
      <w:pPr>
        <w:widowControl/>
        <w:spacing w:line="560" w:lineRule="exact"/>
        <w:ind w:firstLine="640" w:firstLineChars="200"/>
        <w:rPr>
          <w:rFonts w:eastAsia="仿宋"/>
          <w:sz w:val="32"/>
          <w:szCs w:val="32"/>
        </w:rPr>
      </w:pPr>
      <w:r>
        <w:rPr>
          <w:rFonts w:eastAsia="仿宋"/>
          <w:sz w:val="32"/>
          <w:szCs w:val="32"/>
          <w:lang w:val="zh-CN"/>
        </w:rPr>
        <w:t>为改善人民群众出行条件，加快城乡一体化进程，促进汉南区域经济发展，</w:t>
      </w:r>
      <w:r>
        <w:rPr>
          <w:rFonts w:hint="eastAsia" w:eastAsia="仿宋"/>
          <w:sz w:val="32"/>
          <w:szCs w:val="32"/>
        </w:rPr>
        <w:t>为保障车都电车公司生产经营工作正常有序，T1线生产运营有序推进，区住建局就</w:t>
      </w:r>
      <w:r>
        <w:rPr>
          <w:rFonts w:eastAsia="仿宋"/>
          <w:sz w:val="32"/>
          <w:szCs w:val="32"/>
          <w:lang w:val="zh-CN"/>
        </w:rPr>
        <w:t>汉南全域公交化改造公交线路营运亏损经济补贴</w:t>
      </w:r>
      <w:r>
        <w:rPr>
          <w:rFonts w:hint="eastAsia" w:eastAsia="仿宋"/>
          <w:sz w:val="32"/>
          <w:szCs w:val="32"/>
          <w:lang w:val="zh-CN"/>
        </w:rPr>
        <w:t>及</w:t>
      </w:r>
      <w:r>
        <w:rPr>
          <w:rFonts w:hint="eastAsia" w:eastAsia="仿宋"/>
          <w:sz w:val="32"/>
          <w:szCs w:val="32"/>
        </w:rPr>
        <w:t>车都电车公司（T1线）运营亏损补贴事宜设立本项目。</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2. 年度绩效目标</w:t>
      </w:r>
    </w:p>
    <w:p>
      <w:pPr>
        <w:widowControl/>
        <w:spacing w:line="560" w:lineRule="exact"/>
        <w:ind w:firstLine="640" w:firstLineChars="200"/>
        <w:rPr>
          <w:rFonts w:eastAsia="仿宋"/>
          <w:sz w:val="32"/>
          <w:szCs w:val="32"/>
        </w:rPr>
      </w:pPr>
      <w:r>
        <w:rPr>
          <w:rFonts w:hint="eastAsia" w:eastAsia="仿宋"/>
          <w:sz w:val="32"/>
          <w:szCs w:val="32"/>
        </w:rPr>
        <w:t>本项目2021年项目申报表中年度绩效指标设置不规范，不能全面反映项目的产出和效果，故将本项目绩效目标调整如下：公交营运补贴线路数14条，有轨电车轨行区长度16.8公里，有轨电车补贴发放频次1次/季度，公交及有轨电车考核达标，补贴发放及时，有助于保障区域内城市公共交通正常运营，有效提高公交及有轨电车运营管理，有助于改善公交优惠保障度。</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3. 项目资金情况</w:t>
      </w:r>
    </w:p>
    <w:p>
      <w:pPr>
        <w:widowControl/>
        <w:spacing w:line="560" w:lineRule="exact"/>
        <w:ind w:firstLine="640" w:firstLineChars="200"/>
        <w:rPr>
          <w:rFonts w:eastAsia="仿宋"/>
          <w:sz w:val="32"/>
          <w:szCs w:val="32"/>
        </w:rPr>
      </w:pPr>
      <w:r>
        <w:rPr>
          <w:rFonts w:eastAsia="仿宋"/>
          <w:sz w:val="32"/>
          <w:szCs w:val="32"/>
        </w:rPr>
        <w:t>本项目</w:t>
      </w:r>
      <w:r>
        <w:rPr>
          <w:rFonts w:hint="eastAsia" w:eastAsia="仿宋"/>
          <w:sz w:val="32"/>
          <w:szCs w:val="32"/>
        </w:rPr>
        <w:t>为持续性延续性项目，项目2021年预算资金7348.91</w:t>
      </w:r>
      <w:r>
        <w:rPr>
          <w:rFonts w:eastAsia="仿宋"/>
          <w:sz w:val="32"/>
          <w:szCs w:val="32"/>
        </w:rPr>
        <w:t>万元</w:t>
      </w:r>
      <w:r>
        <w:rPr>
          <w:rFonts w:hint="eastAsia" w:eastAsia="仿宋"/>
          <w:sz w:val="32"/>
          <w:szCs w:val="32"/>
        </w:rPr>
        <w:t>。本项目实际到位资金7348.91万元，实际使用资金7333.65万元，主要用于支付武汉车都现代有轨电车运营有限公司2021年4个季度营运补贴、武汉市公共交通集团有限责任公司经济技术开发区营运公司2019年度部分成本规制费用补贴等支出。</w:t>
      </w:r>
    </w:p>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（二）部门自评工作开展情况</w:t>
      </w:r>
    </w:p>
    <w:p>
      <w:pPr>
        <w:widowControl/>
        <w:spacing w:line="560" w:lineRule="exact"/>
        <w:ind w:firstLine="640" w:firstLineChars="200"/>
        <w:rPr>
          <w:rFonts w:eastAsia="仿宋"/>
          <w:sz w:val="32"/>
          <w:szCs w:val="32"/>
        </w:rPr>
      </w:pPr>
      <w:r>
        <w:rPr>
          <w:rFonts w:eastAsia="仿宋"/>
          <w:sz w:val="32"/>
          <w:szCs w:val="32"/>
        </w:rPr>
        <w:t>本次自评时间从202</w:t>
      </w:r>
      <w:r>
        <w:rPr>
          <w:rFonts w:hint="eastAsia" w:eastAsia="仿宋"/>
          <w:sz w:val="32"/>
          <w:szCs w:val="32"/>
        </w:rPr>
        <w:t>2</w:t>
      </w:r>
      <w:r>
        <w:rPr>
          <w:rFonts w:eastAsia="仿宋"/>
          <w:sz w:val="32"/>
          <w:szCs w:val="32"/>
        </w:rPr>
        <w:t>年</w:t>
      </w:r>
      <w:r>
        <w:rPr>
          <w:rFonts w:hint="eastAsia" w:eastAsia="仿宋"/>
          <w:sz w:val="32"/>
          <w:szCs w:val="32"/>
        </w:rPr>
        <w:t>5</w:t>
      </w:r>
      <w:r>
        <w:rPr>
          <w:rFonts w:eastAsia="仿宋"/>
          <w:sz w:val="32"/>
          <w:szCs w:val="32"/>
        </w:rPr>
        <w:t>月</w:t>
      </w:r>
      <w:r>
        <w:rPr>
          <w:rFonts w:hint="eastAsia" w:eastAsia="仿宋"/>
          <w:sz w:val="32"/>
          <w:szCs w:val="32"/>
        </w:rPr>
        <w:t>15</w:t>
      </w:r>
      <w:r>
        <w:rPr>
          <w:rFonts w:eastAsia="仿宋"/>
          <w:sz w:val="32"/>
          <w:szCs w:val="32"/>
        </w:rPr>
        <w:t>日至202</w:t>
      </w:r>
      <w:r>
        <w:rPr>
          <w:rFonts w:hint="eastAsia" w:eastAsia="仿宋"/>
          <w:sz w:val="32"/>
          <w:szCs w:val="32"/>
        </w:rPr>
        <w:t>2</w:t>
      </w:r>
      <w:r>
        <w:rPr>
          <w:rFonts w:eastAsia="仿宋"/>
          <w:sz w:val="32"/>
          <w:szCs w:val="32"/>
        </w:rPr>
        <w:t>年</w:t>
      </w:r>
      <w:r>
        <w:rPr>
          <w:rFonts w:hint="eastAsia" w:eastAsia="仿宋"/>
          <w:sz w:val="32"/>
          <w:szCs w:val="32"/>
        </w:rPr>
        <w:t>5</w:t>
      </w:r>
      <w:r>
        <w:rPr>
          <w:rFonts w:eastAsia="仿宋"/>
          <w:sz w:val="32"/>
          <w:szCs w:val="32"/>
        </w:rPr>
        <w:t>月</w:t>
      </w:r>
      <w:r>
        <w:rPr>
          <w:rFonts w:hint="eastAsia" w:eastAsia="仿宋"/>
          <w:sz w:val="32"/>
          <w:szCs w:val="32"/>
        </w:rPr>
        <w:t>25</w:t>
      </w:r>
      <w:r>
        <w:rPr>
          <w:rFonts w:eastAsia="仿宋"/>
          <w:sz w:val="32"/>
          <w:szCs w:val="32"/>
        </w:rPr>
        <w:t>日，历时11</w:t>
      </w:r>
      <w:r>
        <w:rPr>
          <w:rFonts w:hint="eastAsia" w:eastAsia="仿宋"/>
          <w:sz w:val="32"/>
          <w:szCs w:val="32"/>
        </w:rPr>
        <w:t>日</w:t>
      </w:r>
      <w:r>
        <w:rPr>
          <w:rFonts w:eastAsia="仿宋"/>
          <w:sz w:val="32"/>
          <w:szCs w:val="32"/>
        </w:rPr>
        <w:t>。自评工作程序如下：</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1. 制定工作方案</w:t>
      </w:r>
    </w:p>
    <w:p>
      <w:pPr>
        <w:spacing w:line="560" w:lineRule="exact"/>
        <w:ind w:firstLine="640" w:firstLineChars="200"/>
        <w:rPr>
          <w:rFonts w:eastAsia="仿宋"/>
          <w:sz w:val="32"/>
          <w:szCs w:val="32"/>
        </w:rPr>
      </w:pPr>
      <w:r>
        <w:rPr>
          <w:rFonts w:hint="eastAsia" w:ascii="仿宋" w:hAnsi="仿宋" w:eastAsia="仿宋" w:cs="仿宋"/>
          <w:sz w:val="32"/>
          <w:szCs w:val="32"/>
        </w:rPr>
        <w:t>项目自评工作方案由区住建局会同第三方机构共同研究制订，根据部门主要负责同志要求和武汉经济技术开发区（汉南区）财政局发布的《关于开展</w:t>
      </w:r>
      <w:r>
        <w:rPr>
          <w:rFonts w:eastAsia="仿宋"/>
          <w:sz w:val="32"/>
          <w:szCs w:val="32"/>
        </w:rPr>
        <w:t>2022</w:t>
      </w:r>
      <w:r>
        <w:rPr>
          <w:rFonts w:hint="eastAsia" w:ascii="仿宋" w:hAnsi="仿宋" w:eastAsia="仿宋" w:cs="仿宋"/>
          <w:sz w:val="32"/>
          <w:szCs w:val="32"/>
        </w:rPr>
        <w:t>年预算绩效评价及项目支出绩效运行监控的通知》（武经开财〔</w:t>
      </w:r>
      <w:r>
        <w:rPr>
          <w:rFonts w:eastAsia="仿宋"/>
          <w:sz w:val="32"/>
          <w:szCs w:val="32"/>
        </w:rPr>
        <w:t>2022</w:t>
      </w:r>
      <w:r>
        <w:rPr>
          <w:rFonts w:hint="eastAsia" w:ascii="仿宋" w:hAnsi="仿宋" w:eastAsia="仿宋" w:cs="仿宋"/>
          <w:sz w:val="32"/>
          <w:szCs w:val="32"/>
        </w:rPr>
        <w:t>〕</w:t>
      </w:r>
      <w:r>
        <w:rPr>
          <w:rFonts w:eastAsia="仿宋"/>
          <w:sz w:val="32"/>
          <w:szCs w:val="32"/>
        </w:rPr>
        <w:t>8</w:t>
      </w:r>
      <w:r>
        <w:rPr>
          <w:rFonts w:hint="eastAsia" w:ascii="仿宋" w:hAnsi="仿宋" w:eastAsia="仿宋" w:cs="仿宋"/>
          <w:sz w:val="32"/>
          <w:szCs w:val="32"/>
        </w:rPr>
        <w:t>号）启动部门自评工作。启动项目自评工作。</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2. 组织实施自评</w:t>
      </w:r>
    </w:p>
    <w:p>
      <w:pPr>
        <w:widowControl/>
        <w:spacing w:line="560" w:lineRule="exact"/>
        <w:ind w:firstLine="640" w:firstLineChars="200"/>
        <w:rPr>
          <w:rFonts w:eastAsia="仿宋"/>
          <w:sz w:val="32"/>
          <w:szCs w:val="32"/>
        </w:rPr>
      </w:pPr>
      <w:r>
        <w:rPr>
          <w:rFonts w:eastAsia="仿宋"/>
          <w:sz w:val="32"/>
          <w:szCs w:val="32"/>
        </w:rPr>
        <w:t>财务部门会同第三方机构及时成立工作组，通过调研访谈等方式收集、核实数据和信息，并对这些数据和信息进行整理分析。</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3. 撰写部门自评结果</w:t>
      </w:r>
    </w:p>
    <w:p>
      <w:pPr>
        <w:widowControl/>
        <w:spacing w:line="560" w:lineRule="exact"/>
        <w:ind w:firstLine="640" w:firstLineChars="200"/>
        <w:rPr>
          <w:rFonts w:eastAsia="仿宋"/>
          <w:sz w:val="32"/>
          <w:szCs w:val="32"/>
        </w:rPr>
      </w:pPr>
      <w:r>
        <w:rPr>
          <w:rFonts w:eastAsia="仿宋"/>
          <w:sz w:val="32"/>
          <w:szCs w:val="32"/>
        </w:rPr>
        <w:t>在整理分析基础上，形成部门自评结果。</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4. 建立部门自评档案</w:t>
      </w:r>
    </w:p>
    <w:p>
      <w:pPr>
        <w:widowControl/>
        <w:spacing w:line="560" w:lineRule="exact"/>
        <w:ind w:firstLine="640" w:firstLineChars="200"/>
        <w:rPr>
          <w:rFonts w:eastAsia="仿宋"/>
          <w:sz w:val="32"/>
          <w:szCs w:val="32"/>
        </w:rPr>
      </w:pPr>
      <w:r>
        <w:rPr>
          <w:rFonts w:hint="eastAsia" w:ascii="仿宋" w:hAnsi="仿宋" w:eastAsia="仿宋" w:cs="仿宋"/>
          <w:sz w:val="32"/>
          <w:szCs w:val="32"/>
        </w:rPr>
        <w:t>项目自评结果按时报送相应资金管理科室并及时归档备查。</w:t>
      </w:r>
    </w:p>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（三）绩效目标完成情况分析</w:t>
      </w:r>
    </w:p>
    <w:p>
      <w:pPr>
        <w:widowControl/>
        <w:spacing w:line="560" w:lineRule="exact"/>
        <w:ind w:firstLine="643" w:firstLineChars="200"/>
        <w:outlineLvl w:val="2"/>
        <w:rPr>
          <w:rFonts w:eastAsia="仿宋"/>
          <w:b/>
          <w:bCs/>
          <w:kern w:val="0"/>
          <w:sz w:val="32"/>
          <w:szCs w:val="32"/>
        </w:rPr>
      </w:pPr>
      <w:r>
        <w:rPr>
          <w:rFonts w:eastAsia="仿宋"/>
          <w:b/>
          <w:bCs/>
          <w:kern w:val="0"/>
          <w:sz w:val="32"/>
          <w:szCs w:val="32"/>
        </w:rPr>
        <w:t>1. 预算执行情况分析（满分20分，得分</w:t>
      </w:r>
      <w:r>
        <w:rPr>
          <w:rFonts w:hint="eastAsia" w:eastAsia="仿宋"/>
          <w:b/>
          <w:bCs/>
          <w:kern w:val="0"/>
          <w:sz w:val="32"/>
          <w:szCs w:val="32"/>
        </w:rPr>
        <w:t>20</w:t>
      </w:r>
      <w:r>
        <w:rPr>
          <w:rFonts w:eastAsia="仿宋"/>
          <w:b/>
          <w:bCs/>
          <w:kern w:val="0"/>
          <w:sz w:val="32"/>
          <w:szCs w:val="32"/>
        </w:rPr>
        <w:t>分）</w:t>
      </w:r>
    </w:p>
    <w:p>
      <w:pPr>
        <w:widowControl/>
        <w:spacing w:line="560" w:lineRule="exact"/>
        <w:ind w:firstLine="640" w:firstLineChars="200"/>
        <w:rPr>
          <w:rFonts w:eastAsia="仿宋"/>
          <w:sz w:val="32"/>
          <w:szCs w:val="32"/>
        </w:rPr>
      </w:pPr>
      <w:r>
        <w:rPr>
          <w:rFonts w:eastAsia="仿宋"/>
          <w:sz w:val="32"/>
          <w:szCs w:val="32"/>
        </w:rPr>
        <w:t>本项目202</w:t>
      </w:r>
      <w:r>
        <w:rPr>
          <w:rFonts w:hint="eastAsia" w:eastAsia="仿宋"/>
          <w:sz w:val="32"/>
          <w:szCs w:val="32"/>
        </w:rPr>
        <w:t>1</w:t>
      </w:r>
      <w:r>
        <w:rPr>
          <w:rFonts w:eastAsia="仿宋"/>
          <w:sz w:val="32"/>
          <w:szCs w:val="32"/>
        </w:rPr>
        <w:t>年实际到位资金</w:t>
      </w:r>
      <w:r>
        <w:rPr>
          <w:rFonts w:hint="eastAsia" w:eastAsia="仿宋"/>
          <w:sz w:val="32"/>
          <w:szCs w:val="32"/>
        </w:rPr>
        <w:t>7348.91</w:t>
      </w:r>
      <w:r>
        <w:rPr>
          <w:rFonts w:eastAsia="仿宋"/>
          <w:sz w:val="32"/>
          <w:szCs w:val="32"/>
        </w:rPr>
        <w:t>万元，资金到位率100%。实际支出资金</w:t>
      </w:r>
      <w:r>
        <w:rPr>
          <w:rFonts w:hint="eastAsia" w:eastAsia="仿宋"/>
          <w:sz w:val="32"/>
          <w:szCs w:val="32"/>
        </w:rPr>
        <w:t>7333.65</w:t>
      </w:r>
      <w:r>
        <w:rPr>
          <w:rFonts w:eastAsia="仿宋"/>
          <w:sz w:val="32"/>
          <w:szCs w:val="32"/>
        </w:rPr>
        <w:t>万元，预算执行率</w:t>
      </w:r>
      <w:r>
        <w:rPr>
          <w:rFonts w:hint="eastAsia" w:eastAsia="仿宋"/>
          <w:sz w:val="32"/>
          <w:szCs w:val="32"/>
        </w:rPr>
        <w:t>99.79%</w:t>
      </w:r>
      <w:r>
        <w:rPr>
          <w:rFonts w:eastAsia="仿宋"/>
          <w:sz w:val="32"/>
          <w:szCs w:val="32"/>
        </w:rPr>
        <w:t>。</w:t>
      </w:r>
    </w:p>
    <w:p>
      <w:pPr>
        <w:widowControl/>
        <w:spacing w:line="560" w:lineRule="exact"/>
        <w:ind w:firstLine="643" w:firstLineChars="200"/>
        <w:outlineLvl w:val="2"/>
        <w:rPr>
          <w:rFonts w:eastAsia="仿宋"/>
          <w:b/>
          <w:bCs/>
          <w:kern w:val="0"/>
          <w:sz w:val="32"/>
          <w:szCs w:val="32"/>
        </w:rPr>
      </w:pPr>
      <w:r>
        <w:rPr>
          <w:rFonts w:hint="eastAsia" w:eastAsia="仿宋"/>
          <w:b/>
          <w:bCs/>
          <w:kern w:val="0"/>
          <w:sz w:val="32"/>
          <w:szCs w:val="32"/>
        </w:rPr>
        <w:t>2. 绩效目标完成情况分析（满分80分，得分75分）</w:t>
      </w:r>
    </w:p>
    <w:p>
      <w:pPr>
        <w:widowControl/>
        <w:spacing w:line="560" w:lineRule="exact"/>
        <w:ind w:firstLine="640" w:firstLineChars="200"/>
        <w:rPr>
          <w:rFonts w:eastAsia="仿宋"/>
          <w:sz w:val="32"/>
          <w:szCs w:val="32"/>
        </w:rPr>
      </w:pPr>
      <w:r>
        <w:rPr>
          <w:rFonts w:eastAsia="仿宋"/>
          <w:sz w:val="32"/>
          <w:szCs w:val="32"/>
        </w:rPr>
        <w:t>（1）</w:t>
      </w:r>
      <w:r>
        <w:rPr>
          <w:rFonts w:hint="eastAsia" w:eastAsia="仿宋"/>
          <w:sz w:val="32"/>
          <w:szCs w:val="32"/>
        </w:rPr>
        <w:t>产出指标</w:t>
      </w:r>
      <w:r>
        <w:rPr>
          <w:rFonts w:eastAsia="仿宋"/>
          <w:sz w:val="32"/>
          <w:szCs w:val="32"/>
        </w:rPr>
        <w:t>完成情况分析</w:t>
      </w:r>
      <w:r>
        <w:rPr>
          <w:rFonts w:hint="eastAsia" w:eastAsia="仿宋"/>
          <w:sz w:val="32"/>
          <w:szCs w:val="32"/>
        </w:rPr>
        <w:t>（</w:t>
      </w:r>
      <w:r>
        <w:rPr>
          <w:rFonts w:eastAsia="仿宋"/>
          <w:sz w:val="32"/>
          <w:szCs w:val="32"/>
        </w:rPr>
        <w:t>满分</w:t>
      </w:r>
      <w:r>
        <w:rPr>
          <w:rFonts w:hint="eastAsia" w:eastAsia="仿宋"/>
          <w:sz w:val="32"/>
          <w:szCs w:val="32"/>
        </w:rPr>
        <w:t>40</w:t>
      </w:r>
      <w:r>
        <w:rPr>
          <w:rFonts w:eastAsia="仿宋"/>
          <w:sz w:val="32"/>
          <w:szCs w:val="32"/>
        </w:rPr>
        <w:t>分，得分</w:t>
      </w:r>
      <w:r>
        <w:rPr>
          <w:rFonts w:hint="eastAsia" w:eastAsia="仿宋"/>
          <w:sz w:val="32"/>
          <w:szCs w:val="32"/>
        </w:rPr>
        <w:t>35</w:t>
      </w:r>
      <w:r>
        <w:rPr>
          <w:rFonts w:eastAsia="仿宋"/>
          <w:sz w:val="32"/>
          <w:szCs w:val="32"/>
        </w:rPr>
        <w:t>分</w:t>
      </w:r>
      <w:r>
        <w:rPr>
          <w:rFonts w:hint="eastAsia" w:eastAsia="仿宋"/>
          <w:sz w:val="32"/>
          <w:szCs w:val="32"/>
        </w:rPr>
        <w:t>）</w:t>
      </w:r>
    </w:p>
    <w:p>
      <w:pPr>
        <w:widowControl/>
        <w:spacing w:line="560" w:lineRule="exact"/>
        <w:ind w:firstLine="640" w:firstLineChars="200"/>
        <w:rPr>
          <w:rFonts w:eastAsia="仿宋"/>
          <w:sz w:val="32"/>
          <w:szCs w:val="32"/>
        </w:rPr>
      </w:pPr>
      <w:r>
        <w:rPr>
          <w:rFonts w:hint="eastAsia" w:eastAsia="仿宋"/>
          <w:sz w:val="32"/>
          <w:szCs w:val="32"/>
        </w:rPr>
        <w:t>①公交营运补贴线路数：满分7分，得分7分</w:t>
      </w:r>
    </w:p>
    <w:p>
      <w:pPr>
        <w:pStyle w:val="2"/>
        <w:spacing w:after="0" w:line="560" w:lineRule="exact"/>
        <w:ind w:firstLine="640" w:firstLineChars="200"/>
        <w:rPr>
          <w:rFonts w:eastAsia="仿宋"/>
          <w:sz w:val="32"/>
          <w:szCs w:val="32"/>
        </w:rPr>
      </w:pPr>
      <w:r>
        <w:rPr>
          <w:rFonts w:hint="eastAsia" w:eastAsia="仿宋"/>
          <w:sz w:val="32"/>
          <w:szCs w:val="32"/>
        </w:rPr>
        <w:t>目标为14条。区住建局根据与公交集团经开公司及四公司签订的14份公交线路运营亏损补贴协议，对于经开区要求开通的14条公交线路（经开公司13条，四公司1条），按照《武汉市公交企业成本规制实施办法》核算公交营运收支情况，完成2019年公交营运补贴，完成目标。</w:t>
      </w:r>
    </w:p>
    <w:p>
      <w:pPr>
        <w:widowControl/>
        <w:spacing w:line="560" w:lineRule="exact"/>
        <w:ind w:firstLine="640" w:firstLineChars="200"/>
        <w:rPr>
          <w:rFonts w:eastAsia="仿宋"/>
          <w:sz w:val="32"/>
          <w:szCs w:val="32"/>
        </w:rPr>
      </w:pPr>
      <w:r>
        <w:rPr>
          <w:rFonts w:hint="eastAsia" w:eastAsia="仿宋"/>
          <w:sz w:val="32"/>
          <w:szCs w:val="32"/>
        </w:rPr>
        <w:t>②有轨电车轨行区长度：满分7分，得分7分</w:t>
      </w:r>
    </w:p>
    <w:p>
      <w:pPr>
        <w:pStyle w:val="2"/>
        <w:spacing w:after="0" w:line="560" w:lineRule="exact"/>
        <w:ind w:firstLine="640" w:firstLineChars="200"/>
        <w:rPr>
          <w:rFonts w:eastAsia="仿宋"/>
          <w:sz w:val="32"/>
          <w:szCs w:val="32"/>
        </w:rPr>
      </w:pPr>
      <w:r>
        <w:rPr>
          <w:rFonts w:hint="eastAsia" w:eastAsia="仿宋"/>
          <w:sz w:val="32"/>
          <w:szCs w:val="32"/>
        </w:rPr>
        <w:t>目标为16.8公里。2021年有轨电车轨行区长度为全线16.8公里，完成目标。</w:t>
      </w:r>
    </w:p>
    <w:p>
      <w:pPr>
        <w:widowControl/>
        <w:spacing w:line="560" w:lineRule="exact"/>
        <w:ind w:firstLine="640" w:firstLineChars="200"/>
        <w:rPr>
          <w:rFonts w:eastAsia="仿宋"/>
          <w:sz w:val="32"/>
          <w:szCs w:val="32"/>
        </w:rPr>
      </w:pPr>
      <w:r>
        <w:rPr>
          <w:rFonts w:hint="eastAsia" w:eastAsia="仿宋"/>
          <w:sz w:val="32"/>
          <w:szCs w:val="32"/>
        </w:rPr>
        <w:t>③有轨电车补贴发放频次：满分6分，得分6分</w:t>
      </w:r>
    </w:p>
    <w:p>
      <w:pPr>
        <w:widowControl/>
        <w:spacing w:line="560" w:lineRule="exact"/>
        <w:ind w:firstLine="640" w:firstLineChars="200"/>
        <w:rPr>
          <w:rFonts w:eastAsia="仿宋"/>
          <w:sz w:val="32"/>
          <w:szCs w:val="32"/>
        </w:rPr>
      </w:pPr>
      <w:r>
        <w:rPr>
          <w:rFonts w:hint="eastAsia" w:eastAsia="仿宋"/>
          <w:sz w:val="32"/>
          <w:szCs w:val="32"/>
        </w:rPr>
        <w:t>目标为1次/季度。2021年区住建局根据《武汉车都现代有轨电车（T1线）营运亏损补贴协议》，每季度发放一次有轨电车补贴营运补贴资金，完成目标。</w:t>
      </w:r>
    </w:p>
    <w:p>
      <w:pPr>
        <w:widowControl/>
        <w:spacing w:line="560" w:lineRule="exact"/>
        <w:ind w:firstLine="640" w:firstLineChars="200"/>
        <w:rPr>
          <w:rFonts w:eastAsia="仿宋"/>
          <w:sz w:val="32"/>
          <w:szCs w:val="32"/>
        </w:rPr>
      </w:pPr>
      <w:r>
        <w:rPr>
          <w:rFonts w:hint="eastAsia" w:eastAsia="仿宋"/>
          <w:sz w:val="32"/>
          <w:szCs w:val="32"/>
        </w:rPr>
        <w:t>④公交及有轨电车考核达标：满分10分，得分10分</w:t>
      </w:r>
    </w:p>
    <w:p>
      <w:pPr>
        <w:widowControl/>
        <w:spacing w:line="560" w:lineRule="exact"/>
        <w:ind w:firstLine="640" w:firstLineChars="200"/>
        <w:rPr>
          <w:rFonts w:eastAsia="仿宋"/>
          <w:sz w:val="32"/>
          <w:szCs w:val="32"/>
        </w:rPr>
      </w:pPr>
      <w:r>
        <w:rPr>
          <w:rFonts w:hint="eastAsia" w:eastAsia="仿宋"/>
          <w:sz w:val="32"/>
          <w:szCs w:val="32"/>
        </w:rPr>
        <w:t>目标为公交及有轨电车考核达标。2021年公交及有轨电车考核均已达标，完成目标。</w:t>
      </w:r>
    </w:p>
    <w:p>
      <w:pPr>
        <w:widowControl/>
        <w:spacing w:line="560" w:lineRule="exact"/>
        <w:ind w:firstLine="640" w:firstLineChars="200"/>
        <w:rPr>
          <w:rFonts w:eastAsia="仿宋"/>
          <w:sz w:val="32"/>
          <w:szCs w:val="32"/>
        </w:rPr>
      </w:pPr>
      <w:r>
        <w:rPr>
          <w:rFonts w:hint="eastAsia" w:eastAsia="仿宋"/>
          <w:sz w:val="32"/>
          <w:szCs w:val="32"/>
        </w:rPr>
        <w:t>⑤公交运营补贴发放及时性</w:t>
      </w:r>
      <w:r>
        <w:rPr>
          <w:rFonts w:eastAsia="仿宋"/>
          <w:sz w:val="32"/>
          <w:szCs w:val="32"/>
        </w:rPr>
        <w:t>：满分</w:t>
      </w:r>
      <w:r>
        <w:rPr>
          <w:rFonts w:hint="eastAsia" w:eastAsia="仿宋"/>
          <w:sz w:val="32"/>
          <w:szCs w:val="32"/>
        </w:rPr>
        <w:t>5</w:t>
      </w:r>
      <w:r>
        <w:rPr>
          <w:rFonts w:eastAsia="仿宋"/>
          <w:sz w:val="32"/>
          <w:szCs w:val="32"/>
        </w:rPr>
        <w:t>分，得分</w:t>
      </w:r>
      <w:r>
        <w:rPr>
          <w:rFonts w:hint="eastAsia" w:eastAsia="仿宋"/>
          <w:sz w:val="32"/>
          <w:szCs w:val="32"/>
        </w:rPr>
        <w:t>0</w:t>
      </w:r>
      <w:r>
        <w:rPr>
          <w:rFonts w:eastAsia="仿宋"/>
          <w:sz w:val="32"/>
          <w:szCs w:val="32"/>
        </w:rPr>
        <w:t>分</w:t>
      </w:r>
    </w:p>
    <w:p>
      <w:pPr>
        <w:pStyle w:val="2"/>
        <w:spacing w:after="0" w:line="560" w:lineRule="exact"/>
        <w:ind w:firstLine="640" w:firstLineChars="200"/>
        <w:rPr>
          <w:rFonts w:eastAsia="仿宋"/>
          <w:sz w:val="32"/>
          <w:szCs w:val="32"/>
        </w:rPr>
      </w:pPr>
      <w:r>
        <w:rPr>
          <w:rFonts w:hint="eastAsia" w:eastAsia="仿宋"/>
          <w:sz w:val="32"/>
          <w:szCs w:val="32"/>
        </w:rPr>
        <w:t>目标为公交运营补贴发放及时。2019年度公交运营亏损补贴经公交集团经开公司负责同志多次来局催请后才于2021年11月30日发放，超出合同约定时间，补贴发放不及时，未完成目标。</w:t>
      </w:r>
    </w:p>
    <w:p>
      <w:pPr>
        <w:widowControl/>
        <w:spacing w:line="560" w:lineRule="exact"/>
        <w:ind w:firstLine="640" w:firstLineChars="200"/>
        <w:rPr>
          <w:rFonts w:eastAsia="仿宋"/>
          <w:sz w:val="32"/>
          <w:szCs w:val="32"/>
        </w:rPr>
      </w:pPr>
      <w:r>
        <w:rPr>
          <w:rFonts w:hint="eastAsia" w:eastAsia="仿宋"/>
          <w:sz w:val="32"/>
          <w:szCs w:val="32"/>
        </w:rPr>
        <w:t>⑥有轨电车运营补贴发放及时性</w:t>
      </w:r>
      <w:r>
        <w:rPr>
          <w:rFonts w:eastAsia="仿宋"/>
          <w:sz w:val="32"/>
          <w:szCs w:val="32"/>
        </w:rPr>
        <w:t>：满分</w:t>
      </w:r>
      <w:r>
        <w:rPr>
          <w:rFonts w:hint="eastAsia" w:eastAsia="仿宋"/>
          <w:sz w:val="32"/>
          <w:szCs w:val="32"/>
        </w:rPr>
        <w:t>5</w:t>
      </w:r>
      <w:r>
        <w:rPr>
          <w:rFonts w:eastAsia="仿宋"/>
          <w:sz w:val="32"/>
          <w:szCs w:val="32"/>
        </w:rPr>
        <w:t>分，得分</w:t>
      </w:r>
      <w:r>
        <w:rPr>
          <w:rFonts w:hint="eastAsia" w:eastAsia="仿宋"/>
          <w:sz w:val="32"/>
          <w:szCs w:val="32"/>
        </w:rPr>
        <w:t>5</w:t>
      </w:r>
      <w:r>
        <w:rPr>
          <w:rFonts w:eastAsia="仿宋"/>
          <w:sz w:val="32"/>
          <w:szCs w:val="32"/>
        </w:rPr>
        <w:t>分</w:t>
      </w:r>
    </w:p>
    <w:p>
      <w:pPr>
        <w:pStyle w:val="2"/>
        <w:spacing w:after="0" w:line="560" w:lineRule="exact"/>
        <w:ind w:firstLine="640" w:firstLineChars="200"/>
        <w:rPr>
          <w:rFonts w:eastAsia="仿宋"/>
          <w:sz w:val="32"/>
          <w:szCs w:val="32"/>
        </w:rPr>
      </w:pPr>
      <w:r>
        <w:rPr>
          <w:rFonts w:hint="eastAsia" w:eastAsia="仿宋"/>
          <w:sz w:val="32"/>
          <w:szCs w:val="32"/>
        </w:rPr>
        <w:t>目标为有轨电车运营补贴发放及时。根据车都公司协议约定，区住建局及时支付2021年四个季度补贴资金，</w:t>
      </w:r>
      <w:r>
        <w:rPr>
          <w:rFonts w:eastAsia="仿宋"/>
          <w:sz w:val="32"/>
          <w:szCs w:val="32"/>
        </w:rPr>
        <w:t>补贴发放及时</w:t>
      </w:r>
      <w:r>
        <w:rPr>
          <w:rFonts w:hint="eastAsia" w:eastAsia="仿宋"/>
          <w:sz w:val="32"/>
          <w:szCs w:val="32"/>
        </w:rPr>
        <w:t>，完成目标。</w:t>
      </w:r>
    </w:p>
    <w:p>
      <w:pPr>
        <w:widowControl/>
        <w:spacing w:line="560" w:lineRule="exact"/>
        <w:ind w:firstLine="640" w:firstLineChars="200"/>
        <w:rPr>
          <w:rFonts w:eastAsia="仿宋"/>
          <w:sz w:val="32"/>
          <w:szCs w:val="32"/>
        </w:rPr>
      </w:pPr>
      <w:r>
        <w:rPr>
          <w:rFonts w:eastAsia="仿宋"/>
          <w:sz w:val="32"/>
          <w:szCs w:val="32"/>
        </w:rPr>
        <w:t>（2）</w:t>
      </w:r>
      <w:r>
        <w:rPr>
          <w:rFonts w:hint="eastAsia" w:eastAsia="仿宋"/>
          <w:sz w:val="32"/>
          <w:szCs w:val="32"/>
        </w:rPr>
        <w:t>效益</w:t>
      </w:r>
      <w:r>
        <w:rPr>
          <w:rFonts w:eastAsia="仿宋"/>
          <w:sz w:val="32"/>
          <w:szCs w:val="32"/>
        </w:rPr>
        <w:t>指标完成情况分析（满分</w:t>
      </w:r>
      <w:r>
        <w:rPr>
          <w:rFonts w:hint="eastAsia" w:eastAsia="仿宋"/>
          <w:sz w:val="32"/>
          <w:szCs w:val="32"/>
        </w:rPr>
        <w:t>40</w:t>
      </w:r>
      <w:r>
        <w:rPr>
          <w:rFonts w:eastAsia="仿宋"/>
          <w:sz w:val="32"/>
          <w:szCs w:val="32"/>
        </w:rPr>
        <w:t>分，得分</w:t>
      </w:r>
      <w:r>
        <w:rPr>
          <w:rFonts w:hint="eastAsia" w:eastAsia="仿宋"/>
          <w:sz w:val="32"/>
          <w:szCs w:val="32"/>
        </w:rPr>
        <w:t>40</w:t>
      </w:r>
      <w:r>
        <w:rPr>
          <w:rFonts w:eastAsia="仿宋"/>
          <w:sz w:val="32"/>
          <w:szCs w:val="32"/>
        </w:rPr>
        <w:t>分）</w:t>
      </w:r>
    </w:p>
    <w:p>
      <w:pPr>
        <w:widowControl/>
        <w:spacing w:line="560" w:lineRule="exact"/>
        <w:ind w:firstLine="640" w:firstLineChars="200"/>
        <w:rPr>
          <w:rFonts w:eastAsia="仿宋"/>
          <w:sz w:val="32"/>
          <w:szCs w:val="32"/>
        </w:rPr>
      </w:pPr>
      <w:r>
        <w:rPr>
          <w:rFonts w:hint="eastAsia" w:eastAsia="仿宋"/>
          <w:sz w:val="32"/>
          <w:szCs w:val="32"/>
        </w:rPr>
        <w:t>①保障区域内城市公共交通正常运营</w:t>
      </w:r>
      <w:r>
        <w:rPr>
          <w:rFonts w:eastAsia="仿宋"/>
          <w:sz w:val="32"/>
          <w:szCs w:val="32"/>
        </w:rPr>
        <w:t>：满分</w:t>
      </w:r>
      <w:r>
        <w:rPr>
          <w:rFonts w:hint="eastAsia" w:eastAsia="仿宋"/>
          <w:sz w:val="32"/>
          <w:szCs w:val="32"/>
        </w:rPr>
        <w:t>15</w:t>
      </w:r>
      <w:r>
        <w:rPr>
          <w:rFonts w:eastAsia="仿宋"/>
          <w:sz w:val="32"/>
          <w:szCs w:val="32"/>
        </w:rPr>
        <w:t>分，得分</w:t>
      </w:r>
      <w:r>
        <w:rPr>
          <w:rFonts w:hint="eastAsia" w:eastAsia="仿宋"/>
          <w:sz w:val="32"/>
          <w:szCs w:val="32"/>
        </w:rPr>
        <w:t>15</w:t>
      </w:r>
      <w:r>
        <w:rPr>
          <w:rFonts w:eastAsia="仿宋"/>
          <w:sz w:val="32"/>
          <w:szCs w:val="32"/>
        </w:rPr>
        <w:t>分</w:t>
      </w:r>
    </w:p>
    <w:p>
      <w:pPr>
        <w:widowControl/>
        <w:spacing w:line="560" w:lineRule="exact"/>
        <w:ind w:firstLine="640" w:firstLineChars="200"/>
        <w:rPr>
          <w:rFonts w:eastAsia="仿宋"/>
          <w:sz w:val="32"/>
          <w:szCs w:val="32"/>
        </w:rPr>
      </w:pPr>
      <w:r>
        <w:rPr>
          <w:rFonts w:hint="eastAsia" w:eastAsia="仿宋"/>
          <w:sz w:val="32"/>
          <w:szCs w:val="32"/>
        </w:rPr>
        <w:t>目标为有助于保障区域内城市公共交通正常运营。区住建局通过营运亏损补贴，从资金方面保障辖区公交线路及有轨电车人员、设备、管理等成本支出，进而有效保障城市公共交通正常运转，完成目标。</w:t>
      </w:r>
    </w:p>
    <w:p>
      <w:pPr>
        <w:widowControl/>
        <w:spacing w:line="560" w:lineRule="exact"/>
        <w:ind w:firstLine="640" w:firstLineChars="200"/>
        <w:rPr>
          <w:rFonts w:eastAsia="仿宋"/>
          <w:sz w:val="32"/>
          <w:szCs w:val="32"/>
        </w:rPr>
      </w:pPr>
      <w:r>
        <w:rPr>
          <w:rFonts w:hint="eastAsia" w:eastAsia="仿宋"/>
          <w:sz w:val="32"/>
          <w:szCs w:val="32"/>
        </w:rPr>
        <w:t>②提高公交及有轨电车运营管理</w:t>
      </w:r>
      <w:r>
        <w:rPr>
          <w:rFonts w:eastAsia="仿宋"/>
          <w:sz w:val="32"/>
          <w:szCs w:val="32"/>
        </w:rPr>
        <w:t>：满分</w:t>
      </w:r>
      <w:r>
        <w:rPr>
          <w:rFonts w:hint="eastAsia" w:eastAsia="仿宋"/>
          <w:sz w:val="32"/>
          <w:szCs w:val="32"/>
        </w:rPr>
        <w:t>15</w:t>
      </w:r>
      <w:r>
        <w:rPr>
          <w:rFonts w:eastAsia="仿宋"/>
          <w:sz w:val="32"/>
          <w:szCs w:val="32"/>
        </w:rPr>
        <w:t>分，得分</w:t>
      </w:r>
      <w:r>
        <w:rPr>
          <w:rFonts w:hint="eastAsia" w:eastAsia="仿宋"/>
          <w:sz w:val="32"/>
          <w:szCs w:val="32"/>
        </w:rPr>
        <w:t>15</w:t>
      </w:r>
      <w:r>
        <w:rPr>
          <w:rFonts w:eastAsia="仿宋"/>
          <w:sz w:val="32"/>
          <w:szCs w:val="32"/>
        </w:rPr>
        <w:t>分</w:t>
      </w:r>
    </w:p>
    <w:p>
      <w:pPr>
        <w:widowControl/>
        <w:spacing w:line="560" w:lineRule="exact"/>
        <w:ind w:firstLine="640" w:firstLineChars="200"/>
        <w:rPr>
          <w:rFonts w:eastAsia="仿宋"/>
          <w:sz w:val="32"/>
          <w:szCs w:val="32"/>
        </w:rPr>
      </w:pPr>
      <w:r>
        <w:rPr>
          <w:rFonts w:hint="eastAsia" w:eastAsia="仿宋"/>
          <w:sz w:val="32"/>
          <w:szCs w:val="32"/>
        </w:rPr>
        <w:t>目标为有效提高公交及有轨电车运营管理。区住建局按照会议精神及相关文件要求，在补贴公交及有轨电车运营亏损的同时，制定相关考核制度，对公交及有轨电车运营公司进行考核，保障资金落实、考核机制落实、工作任务落实</w:t>
      </w:r>
      <w:r>
        <w:rPr>
          <w:rFonts w:hint="eastAsia" w:eastAsia="仿宋"/>
          <w:sz w:val="32"/>
          <w:szCs w:val="32"/>
          <w:lang w:val="zh-CN"/>
        </w:rPr>
        <w:t>，</w:t>
      </w:r>
      <w:r>
        <w:rPr>
          <w:rFonts w:hint="eastAsia" w:eastAsia="仿宋"/>
          <w:sz w:val="32"/>
          <w:szCs w:val="32"/>
        </w:rPr>
        <w:t>通过考核有效提高公交及有轨电车运营管理，完成目标。</w:t>
      </w:r>
    </w:p>
    <w:p>
      <w:pPr>
        <w:widowControl/>
        <w:spacing w:line="560" w:lineRule="exact"/>
        <w:ind w:firstLine="640" w:firstLineChars="200"/>
        <w:rPr>
          <w:rFonts w:eastAsia="仿宋"/>
          <w:sz w:val="32"/>
          <w:szCs w:val="32"/>
        </w:rPr>
      </w:pPr>
      <w:r>
        <w:rPr>
          <w:rFonts w:hint="eastAsia" w:eastAsia="仿宋"/>
          <w:sz w:val="32"/>
          <w:szCs w:val="32"/>
        </w:rPr>
        <w:t>③公交优惠保障度</w:t>
      </w:r>
      <w:r>
        <w:rPr>
          <w:rFonts w:eastAsia="仿宋"/>
          <w:sz w:val="32"/>
          <w:szCs w:val="32"/>
        </w:rPr>
        <w:t>：满分</w:t>
      </w:r>
      <w:r>
        <w:rPr>
          <w:rFonts w:hint="eastAsia" w:eastAsia="仿宋"/>
          <w:sz w:val="32"/>
          <w:szCs w:val="32"/>
        </w:rPr>
        <w:t>10</w:t>
      </w:r>
      <w:r>
        <w:rPr>
          <w:rFonts w:eastAsia="仿宋"/>
          <w:sz w:val="32"/>
          <w:szCs w:val="32"/>
        </w:rPr>
        <w:t>分，得分</w:t>
      </w:r>
      <w:r>
        <w:rPr>
          <w:rFonts w:hint="eastAsia" w:eastAsia="仿宋"/>
          <w:sz w:val="32"/>
          <w:szCs w:val="32"/>
        </w:rPr>
        <w:t>10</w:t>
      </w:r>
      <w:r>
        <w:rPr>
          <w:rFonts w:eastAsia="仿宋"/>
          <w:sz w:val="32"/>
          <w:szCs w:val="32"/>
        </w:rPr>
        <w:t>分</w:t>
      </w:r>
    </w:p>
    <w:p>
      <w:pPr>
        <w:widowControl/>
        <w:spacing w:line="560" w:lineRule="exact"/>
        <w:ind w:firstLine="640" w:firstLineChars="200"/>
        <w:rPr>
          <w:rFonts w:eastAsia="仿宋"/>
          <w:sz w:val="32"/>
          <w:szCs w:val="32"/>
        </w:rPr>
      </w:pPr>
      <w:r>
        <w:rPr>
          <w:rFonts w:hint="eastAsia" w:eastAsia="仿宋"/>
          <w:sz w:val="32"/>
          <w:szCs w:val="32"/>
        </w:rPr>
        <w:t>目标为有助于提升公交优惠保障度。区住建局</w:t>
      </w:r>
      <w:r>
        <w:rPr>
          <w:rFonts w:hint="eastAsia" w:ascii="仿宋_GB2312"/>
          <w:sz w:val="32"/>
          <w:szCs w:val="32"/>
        </w:rPr>
        <w:t>通过</w:t>
      </w:r>
      <w:r>
        <w:rPr>
          <w:rFonts w:hint="eastAsia" w:eastAsia="仿宋"/>
          <w:sz w:val="32"/>
          <w:szCs w:val="32"/>
        </w:rPr>
        <w:t>营运亏损补贴，保障辖区内14条公交线路及有轨电车售票标准与武汉市公交相关优惠方案内标准保持一致，有效改善人民群众出行条件，助力辖区内公交出行优惠保障度，完成目标。</w:t>
      </w:r>
    </w:p>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（四）上年度部门自评结果应用情况</w:t>
      </w:r>
    </w:p>
    <w:p>
      <w:pPr>
        <w:widowControl/>
        <w:spacing w:line="560" w:lineRule="exact"/>
        <w:ind w:firstLine="640" w:firstLineChars="200"/>
        <w:rPr>
          <w:rFonts w:eastAsia="仿宋"/>
          <w:sz w:val="32"/>
          <w:szCs w:val="32"/>
        </w:rPr>
      </w:pPr>
      <w:r>
        <w:rPr>
          <w:rFonts w:hint="eastAsia" w:eastAsia="仿宋"/>
          <w:sz w:val="32"/>
          <w:szCs w:val="32"/>
        </w:rPr>
        <w:t>本项目上年度实施了绩效自评并形成了项目自评表。但没有较好的应用上年度的绩效自评结果，本年度绩效指标体系设置仍不够合理。</w:t>
      </w:r>
    </w:p>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（五）其他佐证材料</w:t>
      </w:r>
    </w:p>
    <w:p>
      <w:pPr>
        <w:widowControl/>
        <w:spacing w:line="560" w:lineRule="exact"/>
        <w:ind w:firstLine="640" w:firstLineChars="200"/>
        <w:rPr>
          <w:rFonts w:eastAsia="仿宋"/>
          <w:sz w:val="32"/>
          <w:szCs w:val="32"/>
        </w:rPr>
      </w:pPr>
      <w:r>
        <w:rPr>
          <w:rFonts w:eastAsia="仿宋"/>
          <w:sz w:val="32"/>
          <w:szCs w:val="32"/>
        </w:rPr>
        <w:t>无。</w:t>
      </w:r>
    </w:p>
    <w:p>
      <w:pPr>
        <w:pStyle w:val="4"/>
        <w:rPr>
          <w:rFonts w:eastAsia="仿宋"/>
          <w:sz w:val="32"/>
          <w:szCs w:val="32"/>
        </w:rPr>
      </w:pPr>
    </w:p>
    <w:p/>
    <w:p>
      <w:pPr>
        <w:widowControl/>
        <w:spacing w:line="560" w:lineRule="exact"/>
        <w:ind w:firstLine="480" w:firstLineChars="200"/>
        <w:jc w:val="right"/>
        <w:rPr>
          <w:rFonts w:eastAsia="仿宋"/>
          <w:sz w:val="32"/>
          <w:szCs w:val="32"/>
        </w:rPr>
      </w:pPr>
      <w:r>
        <w:rPr>
          <w:rFonts w:eastAsia="宋体"/>
          <w:color w:val="000000"/>
          <w:kern w:val="0"/>
          <w:sz w:val="24"/>
        </w:rPr>
        <w:t xml:space="preserve">　     </w:t>
      </w:r>
      <w:r>
        <w:rPr>
          <w:rFonts w:hint="eastAsia" w:eastAsia="仿宋"/>
          <w:sz w:val="32"/>
          <w:szCs w:val="32"/>
        </w:rPr>
        <w:t>武汉经济技术开发区（汉南区）住房和城乡建设局</w:t>
      </w:r>
    </w:p>
    <w:p>
      <w:pPr>
        <w:jc w:val="right"/>
      </w:pPr>
      <w:r>
        <w:rPr>
          <w:rFonts w:eastAsia="仿宋"/>
          <w:sz w:val="32"/>
          <w:szCs w:val="32"/>
        </w:rPr>
        <w:t>202</w:t>
      </w:r>
      <w:r>
        <w:rPr>
          <w:rFonts w:hint="eastAsia" w:eastAsia="仿宋"/>
          <w:sz w:val="32"/>
          <w:szCs w:val="32"/>
        </w:rPr>
        <w:t>2</w:t>
      </w:r>
      <w:r>
        <w:rPr>
          <w:rFonts w:eastAsia="仿宋"/>
          <w:sz w:val="32"/>
          <w:szCs w:val="32"/>
        </w:rPr>
        <w:t>年</w:t>
      </w:r>
      <w:r>
        <w:rPr>
          <w:rFonts w:hint="eastAsia" w:eastAsia="仿宋"/>
          <w:sz w:val="32"/>
          <w:szCs w:val="32"/>
        </w:rPr>
        <w:t>5</w:t>
      </w:r>
      <w:r>
        <w:rPr>
          <w:rFonts w:eastAsia="仿宋"/>
          <w:sz w:val="32"/>
          <w:szCs w:val="32"/>
        </w:rPr>
        <w:t>月</w:t>
      </w:r>
      <w:r>
        <w:rPr>
          <w:rFonts w:hint="eastAsia" w:eastAsia="仿宋"/>
          <w:sz w:val="32"/>
          <w:szCs w:val="32"/>
        </w:rPr>
        <w:t>25</w:t>
      </w:r>
      <w:r>
        <w:rPr>
          <w:rFonts w:eastAsia="仿宋"/>
          <w:sz w:val="32"/>
          <w:szCs w:val="32"/>
        </w:rPr>
        <w:t>日</w:t>
      </w:r>
      <w:r>
        <w:rPr>
          <w:rFonts w:hint="eastAsia" w:eastAsia="仿宋"/>
          <w:sz w:val="32"/>
          <w:szCs w:val="32"/>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0E357"/>
    <w:multiLevelType w:val="singleLevel"/>
    <w:tmpl w:val="DEE0E35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lMWY2NTQ2NDIyMWY5YTUxZDk4NzYwNTFiZDllMTAifQ=="/>
  </w:docVars>
  <w:rsids>
    <w:rsidRoot w:val="1D470C1B"/>
    <w:rsid w:val="001260FF"/>
    <w:rsid w:val="00421E76"/>
    <w:rsid w:val="00677CE5"/>
    <w:rsid w:val="00DB7F3E"/>
    <w:rsid w:val="1D470C1B"/>
    <w:rsid w:val="2E5F5196"/>
    <w:rsid w:val="47EE3C70"/>
    <w:rsid w:val="66690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5"/>
    <w:basedOn w:val="1"/>
    <w:next w:val="1"/>
    <w:qFormat/>
    <w:uiPriority w:val="0"/>
    <w:pPr>
      <w:keepNext/>
      <w:outlineLvl w:val="4"/>
    </w:pPr>
    <w:rPr>
      <w:rFonts w:ascii="宋体" w:hAnsi="宋体" w:cs="宋体"/>
      <w:b/>
      <w:bCs/>
      <w:sz w:val="24"/>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5">
    <w:name w:val="Title"/>
    <w:basedOn w:val="1"/>
    <w:next w:val="1"/>
    <w:qFormat/>
    <w:uiPriority w:val="10"/>
    <w:pPr>
      <w:spacing w:line="360" w:lineRule="auto"/>
      <w:ind w:firstLine="200" w:firstLineChars="200"/>
      <w:jc w:val="left"/>
      <w:outlineLvl w:val="3"/>
    </w:pPr>
    <w:rPr>
      <w:rFonts w:ascii="Cambria" w:hAnsi="Cambria"/>
      <w:bCs/>
      <w:sz w:val="24"/>
      <w:szCs w:val="32"/>
    </w:rPr>
  </w:style>
  <w:style w:type="character" w:customStyle="1" w:styleId="8">
    <w:name w:val="font101"/>
    <w:basedOn w:val="7"/>
    <w:qFormat/>
    <w:uiPriority w:val="0"/>
    <w:rPr>
      <w:rFonts w:hint="eastAsia" w:ascii="仿宋" w:hAnsi="仿宋" w:eastAsia="仿宋" w:cs="仿宋"/>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3945</Words>
  <Characters>4253</Characters>
  <Lines>33</Lines>
  <Paragraphs>9</Paragraphs>
  <TotalTime>0</TotalTime>
  <ScaleCrop>false</ScaleCrop>
  <LinksUpToDate>false</LinksUpToDate>
  <CharactersWithSpaces>4500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2022-05-24T02:26:00Z</dcterms:created>
  <dc:creator>咸鱼粥</dc:creator>
  <cp:lastModifiedBy>咸鱼粥</cp:lastModifiedBy>
  <dcterms:modified xsi:type="dcterms:W3CDTF">2022-05-27T08:43:36Z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4E94D54A52D64495BC47A82484DFA6F5</vt:lpwstr>
  </property>
</Properties>
</file>