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0" w:after="0" w:line="560" w:lineRule="exact"/>
        <w:jc w:val="center"/>
        <w:rPr>
          <w:rFonts w:ascii="Times New Roman" w:hAnsi="Times New Roman" w:eastAsia="宋体"/>
          <w:bCs/>
          <w:sz w:val="36"/>
          <w:szCs w:val="36"/>
        </w:rPr>
      </w:pPr>
      <w:r>
        <w:rPr>
          <w:rFonts w:hint="eastAsia" w:ascii="Times New Roman" w:hAnsi="Times New Roman" w:eastAsia="宋体"/>
          <w:bCs/>
          <w:sz w:val="36"/>
          <w:szCs w:val="36"/>
        </w:rPr>
        <w:t xml:space="preserve"> </w:t>
      </w:r>
      <w:r>
        <w:rPr>
          <w:rFonts w:ascii="Times New Roman" w:hAnsi="Times New Roman" w:eastAsia="宋体"/>
          <w:bCs/>
          <w:sz w:val="36"/>
          <w:szCs w:val="36"/>
        </w:rPr>
        <w:t>2021年度武汉经济技术开发区（汉南区）住房和城乡建设局部门整体绩效自评结果</w:t>
      </w:r>
    </w:p>
    <w:p>
      <w:pPr>
        <w:pStyle w:val="8"/>
        <w:shd w:val="clear" w:color="auto" w:fill="FFFFFF" w:themeFill="background1"/>
        <w:spacing w:line="560" w:lineRule="exact"/>
        <w:ind w:firstLine="0" w:firstLineChars="0"/>
        <w:jc w:val="center"/>
        <w:outlineLvl w:val="9"/>
      </w:pPr>
      <w:r>
        <w:rPr>
          <w:rFonts w:hint="eastAsia" w:ascii="楷体" w:hAnsi="楷体" w:eastAsia="楷体" w:cs="楷体"/>
          <w:b/>
          <w:sz w:val="32"/>
        </w:rPr>
        <w:t xml:space="preserve">（缩略版） </w:t>
      </w:r>
    </w:p>
    <w:p>
      <w:pPr>
        <w:widowControl/>
        <w:spacing w:line="560" w:lineRule="exact"/>
        <w:ind w:firstLine="640" w:firstLineChars="200"/>
        <w:outlineLvl w:val="0"/>
        <w:rPr>
          <w:kern w:val="0"/>
          <w:sz w:val="32"/>
          <w:szCs w:val="32"/>
        </w:rPr>
      </w:pPr>
      <w:r>
        <w:rPr>
          <w:rFonts w:eastAsia="黑体"/>
          <w:kern w:val="0"/>
          <w:sz w:val="32"/>
          <w:szCs w:val="32"/>
        </w:rPr>
        <w:t>一、自评结论</w:t>
      </w:r>
    </w:p>
    <w:p>
      <w:pPr>
        <w:widowControl/>
        <w:spacing w:line="560" w:lineRule="exact"/>
        <w:ind w:firstLine="643" w:firstLineChars="200"/>
        <w:jc w:val="left"/>
        <w:outlineLvl w:val="1"/>
        <w:rPr>
          <w:rFonts w:eastAsia="楷体"/>
          <w:b/>
          <w:bCs/>
          <w:kern w:val="0"/>
          <w:sz w:val="32"/>
          <w:szCs w:val="32"/>
        </w:rPr>
      </w:pPr>
      <w:r>
        <w:rPr>
          <w:rFonts w:eastAsia="楷体"/>
          <w:b/>
          <w:bCs/>
          <w:kern w:val="0"/>
          <w:sz w:val="32"/>
          <w:szCs w:val="32"/>
        </w:rPr>
        <w:t>（一）部门整体绩效自评得分</w:t>
      </w:r>
    </w:p>
    <w:p>
      <w:pPr>
        <w:keepNext/>
        <w:spacing w:line="560" w:lineRule="exact"/>
        <w:ind w:firstLine="640" w:firstLineChars="200"/>
        <w:rPr>
          <w:rFonts w:eastAsia="仿宋"/>
          <w:sz w:val="32"/>
          <w:szCs w:val="32"/>
        </w:rPr>
      </w:pPr>
      <w:r>
        <w:rPr>
          <w:rFonts w:eastAsia="仿宋"/>
          <w:sz w:val="32"/>
          <w:szCs w:val="32"/>
        </w:rPr>
        <w:t>2021年度武汉经济技术开发区（汉南区）住房和城乡建设局部门整体绩效</w:t>
      </w:r>
      <w:r>
        <w:rPr>
          <w:rFonts w:hint="eastAsia" w:eastAsia="仿宋"/>
          <w:sz w:val="32"/>
          <w:szCs w:val="32"/>
        </w:rPr>
        <w:t>自评</w:t>
      </w:r>
      <w:r>
        <w:rPr>
          <w:rFonts w:eastAsia="仿宋"/>
          <w:sz w:val="32"/>
          <w:szCs w:val="32"/>
        </w:rPr>
        <w:t>综合得分为91.82分。</w:t>
      </w:r>
    </w:p>
    <w:p>
      <w:pPr>
        <w:widowControl/>
        <w:spacing w:line="560" w:lineRule="exact"/>
        <w:ind w:firstLine="643" w:firstLineChars="200"/>
        <w:jc w:val="left"/>
        <w:outlineLvl w:val="1"/>
        <w:rPr>
          <w:rFonts w:eastAsia="楷体"/>
          <w:b/>
          <w:bCs/>
          <w:kern w:val="0"/>
          <w:sz w:val="32"/>
          <w:szCs w:val="32"/>
        </w:rPr>
      </w:pPr>
      <w:r>
        <w:rPr>
          <w:rFonts w:eastAsia="楷体"/>
          <w:b/>
          <w:bCs/>
          <w:kern w:val="0"/>
          <w:sz w:val="32"/>
          <w:szCs w:val="32"/>
        </w:rPr>
        <w:t>（二）部门整体绩效目标完成情况</w:t>
      </w:r>
    </w:p>
    <w:p>
      <w:pPr>
        <w:keepNext/>
        <w:spacing w:line="560" w:lineRule="exact"/>
        <w:ind w:firstLine="640" w:firstLineChars="200"/>
        <w:rPr>
          <w:rFonts w:eastAsia="仿宋"/>
          <w:sz w:val="32"/>
          <w:szCs w:val="32"/>
        </w:rPr>
      </w:pPr>
      <w:r>
        <w:rPr>
          <w:rFonts w:eastAsia="仿宋"/>
          <w:sz w:val="32"/>
          <w:szCs w:val="32"/>
        </w:rPr>
        <w:t>1.执行率情况。</w:t>
      </w:r>
      <w:r>
        <w:rPr>
          <w:rFonts w:hint="eastAsia" w:eastAsia="仿宋"/>
          <w:sz w:val="32"/>
          <w:szCs w:val="32"/>
        </w:rPr>
        <w:t>2021年度武汉经济技术开发区（汉南区）住房和城乡建设局部门年初预算总额</w:t>
      </w:r>
      <w:r>
        <w:rPr>
          <w:rFonts w:eastAsia="仿宋"/>
          <w:sz w:val="32"/>
          <w:szCs w:val="32"/>
        </w:rPr>
        <w:t>78216.95</w:t>
      </w:r>
      <w:r>
        <w:rPr>
          <w:rFonts w:hint="eastAsia" w:eastAsia="仿宋"/>
          <w:sz w:val="32"/>
          <w:szCs w:val="32"/>
        </w:rPr>
        <w:t>万元，调整预算数为</w:t>
      </w:r>
      <w:r>
        <w:rPr>
          <w:rFonts w:eastAsia="仿宋"/>
          <w:sz w:val="32"/>
          <w:szCs w:val="32"/>
        </w:rPr>
        <w:t>357422.52</w:t>
      </w:r>
      <w:r>
        <w:rPr>
          <w:rFonts w:hint="eastAsia" w:eastAsia="仿宋"/>
          <w:sz w:val="32"/>
          <w:szCs w:val="32"/>
        </w:rPr>
        <w:t>万元，决算数为</w:t>
      </w:r>
      <w:r>
        <w:rPr>
          <w:rFonts w:eastAsia="仿宋"/>
          <w:sz w:val="32"/>
          <w:szCs w:val="32"/>
        </w:rPr>
        <w:t>278329</w:t>
      </w:r>
      <w:r>
        <w:rPr>
          <w:rFonts w:hint="eastAsia" w:eastAsia="仿宋"/>
          <w:sz w:val="32"/>
          <w:szCs w:val="32"/>
        </w:rPr>
        <w:t>.</w:t>
      </w:r>
      <w:r>
        <w:rPr>
          <w:rFonts w:eastAsia="仿宋"/>
          <w:sz w:val="32"/>
          <w:szCs w:val="32"/>
        </w:rPr>
        <w:t>89</w:t>
      </w:r>
      <w:r>
        <w:rPr>
          <w:rFonts w:hint="eastAsia" w:eastAsia="仿宋"/>
          <w:sz w:val="32"/>
          <w:szCs w:val="32"/>
        </w:rPr>
        <w:t>万元，其中基本支出总额</w:t>
      </w:r>
      <w:r>
        <w:rPr>
          <w:rFonts w:eastAsia="仿宋"/>
          <w:sz w:val="32"/>
          <w:szCs w:val="32"/>
        </w:rPr>
        <w:t>7422.09</w:t>
      </w:r>
      <w:r>
        <w:rPr>
          <w:rFonts w:hint="eastAsia" w:eastAsia="仿宋"/>
          <w:sz w:val="32"/>
          <w:szCs w:val="32"/>
        </w:rPr>
        <w:t>万元，项目支出总额</w:t>
      </w:r>
      <w:r>
        <w:rPr>
          <w:rFonts w:eastAsia="仿宋"/>
          <w:sz w:val="32"/>
          <w:szCs w:val="32"/>
        </w:rPr>
        <w:t>270907.80</w:t>
      </w:r>
      <w:r>
        <w:rPr>
          <w:rFonts w:hint="eastAsia" w:eastAsia="仿宋"/>
          <w:sz w:val="32"/>
          <w:szCs w:val="32"/>
        </w:rPr>
        <w:t>万元，预算执行率</w:t>
      </w:r>
      <w:r>
        <w:rPr>
          <w:rFonts w:eastAsia="仿宋"/>
          <w:sz w:val="32"/>
          <w:szCs w:val="32"/>
        </w:rPr>
        <w:t>77.87</w:t>
      </w:r>
      <w:r>
        <w:rPr>
          <w:rFonts w:hint="eastAsia" w:eastAsia="仿宋"/>
          <w:sz w:val="32"/>
          <w:szCs w:val="32"/>
        </w:rPr>
        <w:t>%。</w:t>
      </w:r>
    </w:p>
    <w:p>
      <w:pPr>
        <w:widowControl/>
        <w:spacing w:line="560" w:lineRule="exact"/>
        <w:ind w:firstLine="640" w:firstLineChars="200"/>
        <w:rPr>
          <w:rFonts w:eastAsia="仿宋"/>
          <w:sz w:val="32"/>
          <w:szCs w:val="32"/>
        </w:rPr>
      </w:pPr>
      <w:r>
        <w:rPr>
          <w:rFonts w:eastAsia="仿宋"/>
          <w:sz w:val="32"/>
          <w:szCs w:val="32"/>
        </w:rPr>
        <w:t>2.完成的绩效目标。部门共设置44个绩效指标，完成了42个。资金使用较为规范，部门产出较好，并取得了良好的社会效益。</w:t>
      </w:r>
    </w:p>
    <w:p>
      <w:pPr>
        <w:widowControl/>
        <w:spacing w:line="560" w:lineRule="exact"/>
        <w:ind w:firstLine="640" w:firstLineChars="200"/>
        <w:rPr>
          <w:rFonts w:eastAsia="仿宋"/>
          <w:sz w:val="32"/>
          <w:szCs w:val="32"/>
        </w:rPr>
      </w:pPr>
      <w:r>
        <w:rPr>
          <w:rFonts w:eastAsia="仿宋"/>
          <w:sz w:val="32"/>
          <w:szCs w:val="32"/>
        </w:rPr>
        <w:t>3.未完成的绩效目标。</w:t>
      </w:r>
      <w:r>
        <w:rPr>
          <w:rFonts w:hint="eastAsia" w:eastAsia="仿宋"/>
          <w:sz w:val="32"/>
          <w:szCs w:val="32"/>
        </w:rPr>
        <w:t>“房产销售增速”</w:t>
      </w:r>
      <w:r>
        <w:rPr>
          <w:rFonts w:eastAsia="仿宋"/>
          <w:sz w:val="32"/>
          <w:szCs w:val="32"/>
        </w:rPr>
        <w:t>年初目标值为</w:t>
      </w:r>
      <w:r>
        <w:rPr>
          <w:rFonts w:hint="eastAsia" w:eastAsia="仿宋"/>
          <w:sz w:val="32"/>
          <w:szCs w:val="32"/>
        </w:rPr>
        <w:t>“</w:t>
      </w:r>
      <w:r>
        <w:rPr>
          <w:rFonts w:eastAsia="仿宋"/>
          <w:sz w:val="32"/>
          <w:szCs w:val="32"/>
        </w:rPr>
        <w:t>22%</w:t>
      </w:r>
      <w:r>
        <w:rPr>
          <w:rFonts w:hint="eastAsia" w:eastAsia="仿宋"/>
          <w:sz w:val="32"/>
          <w:szCs w:val="32"/>
        </w:rPr>
        <w:t>”</w:t>
      </w:r>
      <w:r>
        <w:rPr>
          <w:rFonts w:eastAsia="仿宋"/>
          <w:sz w:val="32"/>
          <w:szCs w:val="32"/>
        </w:rPr>
        <w:t>，实际完成值</w:t>
      </w:r>
      <w:r>
        <w:rPr>
          <w:rFonts w:hint="eastAsia" w:eastAsia="仿宋"/>
          <w:sz w:val="32"/>
          <w:szCs w:val="32"/>
        </w:rPr>
        <w:t>“</w:t>
      </w:r>
      <w:r>
        <w:rPr>
          <w:rFonts w:eastAsia="仿宋"/>
          <w:sz w:val="32"/>
          <w:szCs w:val="32"/>
        </w:rPr>
        <w:t>2%</w:t>
      </w:r>
      <w:r>
        <w:rPr>
          <w:rFonts w:hint="eastAsia" w:eastAsia="仿宋"/>
          <w:sz w:val="32"/>
          <w:szCs w:val="32"/>
        </w:rPr>
        <w:t>”；“提升物业管理水平”</w:t>
      </w:r>
      <w:r>
        <w:rPr>
          <w:rFonts w:eastAsia="仿宋"/>
          <w:sz w:val="32"/>
          <w:szCs w:val="32"/>
        </w:rPr>
        <w:t>年初目标值为</w:t>
      </w:r>
      <w:r>
        <w:rPr>
          <w:rFonts w:hint="eastAsia" w:eastAsia="仿宋"/>
          <w:sz w:val="32"/>
          <w:szCs w:val="32"/>
        </w:rPr>
        <w:t>“有效提升”</w:t>
      </w:r>
      <w:r>
        <w:rPr>
          <w:rFonts w:eastAsia="仿宋"/>
          <w:sz w:val="32"/>
          <w:szCs w:val="32"/>
        </w:rPr>
        <w:t>，实际完成值</w:t>
      </w:r>
      <w:r>
        <w:rPr>
          <w:rFonts w:hint="eastAsia" w:eastAsia="仿宋"/>
          <w:sz w:val="32"/>
          <w:szCs w:val="32"/>
        </w:rPr>
        <w:t>“有所提升”。</w:t>
      </w:r>
    </w:p>
    <w:p>
      <w:pPr>
        <w:widowControl/>
        <w:spacing w:line="560" w:lineRule="exact"/>
        <w:ind w:firstLine="643" w:firstLineChars="200"/>
        <w:jc w:val="left"/>
        <w:outlineLvl w:val="1"/>
        <w:rPr>
          <w:rFonts w:eastAsia="楷体"/>
          <w:b/>
          <w:bCs/>
          <w:kern w:val="0"/>
          <w:sz w:val="32"/>
          <w:szCs w:val="32"/>
        </w:rPr>
      </w:pPr>
      <w:r>
        <w:rPr>
          <w:rFonts w:eastAsia="楷体"/>
          <w:b/>
          <w:bCs/>
          <w:kern w:val="0"/>
          <w:sz w:val="32"/>
          <w:szCs w:val="32"/>
        </w:rPr>
        <w:t>（三）存在的问题和原因</w:t>
      </w:r>
    </w:p>
    <w:p>
      <w:pPr>
        <w:widowControl/>
        <w:spacing w:line="560" w:lineRule="exact"/>
        <w:ind w:firstLine="643" w:firstLineChars="200"/>
        <w:rPr>
          <w:rFonts w:eastAsia="仿宋"/>
          <w:b/>
          <w:bCs/>
          <w:kern w:val="0"/>
          <w:sz w:val="32"/>
          <w:szCs w:val="32"/>
        </w:rPr>
      </w:pPr>
      <w:r>
        <w:rPr>
          <w:rFonts w:eastAsia="仿宋"/>
          <w:b/>
          <w:bCs/>
          <w:kern w:val="0"/>
          <w:sz w:val="32"/>
          <w:szCs w:val="32"/>
        </w:rPr>
        <w:t>1.上年度绩效评价结果应用情况</w:t>
      </w:r>
    </w:p>
    <w:p>
      <w:pPr>
        <w:keepNext/>
        <w:spacing w:line="560" w:lineRule="exact"/>
        <w:ind w:firstLine="640" w:firstLineChars="200"/>
        <w:rPr>
          <w:rFonts w:eastAsia="仿宋"/>
          <w:sz w:val="32"/>
          <w:szCs w:val="32"/>
        </w:rPr>
      </w:pPr>
      <w:r>
        <w:rPr>
          <w:rFonts w:hint="eastAsia" w:eastAsia="仿宋"/>
          <w:sz w:val="32"/>
          <w:szCs w:val="32"/>
        </w:rPr>
        <w:t>武汉经济技术开发区（汉南区）住房和城乡建设局上年度实施了部门整体绩效自评并形成了部门整体自评表及部门整体自评报告，本年度较好地应用了上年度绩效自评结果。在上年评价的基础上优化了绩效评价指标体系，如根据部门职责和工作重点新增了绩效评价指标如“两学一做推进度”等，使得绩效评价指标体系与部门职能和工作重点紧密结合，有效督促各项重点工作保质保量按时完成，实现绩效管理工作目标。</w:t>
      </w:r>
    </w:p>
    <w:p>
      <w:pPr>
        <w:widowControl/>
        <w:spacing w:line="560" w:lineRule="exact"/>
        <w:ind w:firstLine="643" w:firstLineChars="200"/>
        <w:rPr>
          <w:rFonts w:eastAsia="仿宋"/>
          <w:b/>
          <w:bCs/>
          <w:kern w:val="0"/>
          <w:sz w:val="32"/>
          <w:szCs w:val="32"/>
        </w:rPr>
      </w:pPr>
      <w:r>
        <w:rPr>
          <w:rFonts w:hint="eastAsia" w:eastAsia="仿宋"/>
          <w:b/>
          <w:bCs/>
          <w:kern w:val="0"/>
          <w:sz w:val="32"/>
          <w:szCs w:val="32"/>
        </w:rPr>
        <w:t>2.</w:t>
      </w:r>
      <w:r>
        <w:rPr>
          <w:rFonts w:eastAsia="仿宋"/>
          <w:b/>
          <w:bCs/>
          <w:kern w:val="0"/>
          <w:sz w:val="32"/>
          <w:szCs w:val="32"/>
        </w:rPr>
        <w:t>本年度绩效存在的问题和原因</w:t>
      </w:r>
    </w:p>
    <w:p>
      <w:pPr>
        <w:widowControl/>
        <w:spacing w:line="560" w:lineRule="exact"/>
        <w:ind w:firstLine="640" w:firstLineChars="200"/>
        <w:rPr>
          <w:rFonts w:eastAsia="仿宋"/>
          <w:sz w:val="32"/>
          <w:szCs w:val="32"/>
        </w:rPr>
      </w:pPr>
      <w:r>
        <w:rPr>
          <w:rFonts w:eastAsia="仿宋"/>
          <w:sz w:val="32"/>
          <w:szCs w:val="32"/>
        </w:rPr>
        <w:t>（1）</w:t>
      </w:r>
      <w:r>
        <w:rPr>
          <w:rFonts w:hint="eastAsia" w:eastAsia="仿宋"/>
          <w:sz w:val="32"/>
          <w:szCs w:val="32"/>
        </w:rPr>
        <w:t>房地产商品房销售增速不理想。经开区202</w:t>
      </w:r>
      <w:r>
        <w:rPr>
          <w:rFonts w:eastAsia="仿宋"/>
          <w:sz w:val="32"/>
          <w:szCs w:val="32"/>
        </w:rPr>
        <w:t>1</w:t>
      </w:r>
      <w:r>
        <w:rPr>
          <w:rFonts w:hint="eastAsia" w:eastAsia="仿宋"/>
          <w:sz w:val="32"/>
          <w:szCs w:val="32"/>
        </w:rPr>
        <w:t>年销售项目地理位置较偏，公共配套设施不够完善，且受新冠肺炎疫情影响，就业岗位和收入预期不稳，带来居民购房欲望降低，导致经开区房地产销售遇冷，销售量大幅下行，市场调整压力较大。</w:t>
      </w:r>
    </w:p>
    <w:p>
      <w:pPr>
        <w:widowControl/>
        <w:spacing w:line="560" w:lineRule="exact"/>
        <w:ind w:firstLine="640" w:firstLineChars="200"/>
        <w:rPr>
          <w:rFonts w:eastAsia="仿宋"/>
          <w:sz w:val="32"/>
          <w:szCs w:val="32"/>
        </w:rPr>
      </w:pPr>
      <w:r>
        <w:rPr>
          <w:rFonts w:hint="eastAsia" w:eastAsia="仿宋"/>
          <w:sz w:val="32"/>
          <w:szCs w:val="32"/>
        </w:rPr>
        <w:t>（2）物业服务治理有待提高。一是业委会及业主对物业服务认识不到位。部分小区基础设施较差，业主将问题责任全部归于物业企业，导致双方之间存在矛盾，制约着物业服务质量的提高。二是全区57家物业服务企业，88个物业管理项目，物业从业人员4260人。由于物业从业人员流动性大，从业人员业务素质参差不齐，影响物业管理水平的提升。</w:t>
      </w:r>
    </w:p>
    <w:p>
      <w:pPr>
        <w:widowControl/>
        <w:spacing w:line="560" w:lineRule="exact"/>
        <w:ind w:firstLine="643" w:firstLineChars="200"/>
        <w:jc w:val="left"/>
        <w:outlineLvl w:val="1"/>
        <w:rPr>
          <w:rFonts w:eastAsia="楷体"/>
          <w:b/>
          <w:bCs/>
          <w:kern w:val="0"/>
          <w:sz w:val="32"/>
          <w:szCs w:val="32"/>
        </w:rPr>
      </w:pPr>
      <w:r>
        <w:rPr>
          <w:rFonts w:eastAsia="楷体"/>
          <w:b/>
          <w:bCs/>
          <w:kern w:val="0"/>
          <w:sz w:val="32"/>
          <w:szCs w:val="32"/>
        </w:rPr>
        <w:t>（四）下一步拟改进措施</w:t>
      </w:r>
    </w:p>
    <w:p>
      <w:pPr>
        <w:widowControl/>
        <w:spacing w:line="560" w:lineRule="exact"/>
        <w:ind w:firstLine="643" w:firstLineChars="200"/>
        <w:rPr>
          <w:rFonts w:eastAsia="仿宋"/>
          <w:b/>
          <w:bCs/>
          <w:kern w:val="0"/>
          <w:sz w:val="32"/>
          <w:szCs w:val="32"/>
        </w:rPr>
      </w:pPr>
      <w:r>
        <w:rPr>
          <w:rFonts w:eastAsia="仿宋"/>
          <w:b/>
          <w:bCs/>
          <w:kern w:val="0"/>
          <w:sz w:val="32"/>
          <w:szCs w:val="32"/>
        </w:rPr>
        <w:t>1.下一步拟改进措施</w:t>
      </w:r>
    </w:p>
    <w:p>
      <w:pPr>
        <w:widowControl/>
        <w:spacing w:line="560" w:lineRule="exact"/>
        <w:ind w:firstLine="640" w:firstLineChars="200"/>
        <w:rPr>
          <w:rFonts w:eastAsia="仿宋"/>
          <w:sz w:val="32"/>
          <w:szCs w:val="32"/>
        </w:rPr>
      </w:pPr>
      <w:r>
        <w:rPr>
          <w:rFonts w:hint="eastAsia" w:eastAsia="仿宋"/>
          <w:sz w:val="32"/>
          <w:szCs w:val="32"/>
        </w:rPr>
        <w:t>（1）加强政策引导，恢复房地产业发展活力。将中央经济工作会议提出的“促进房地产业良性循环和健康发展”及支持商品房市场更好满足购房者合理的多样化的住房需求做为总体目标，以指导规划部署和制定政策措施。从房地产信贷、公积金支持、优化预售资金监管、提升出让地块品质、完善住房销售政策、提升购房便利度和居住品质等六方面提出政策支持，促进经开区房地产业良性循环和健康发展，进一步满足人才和新市民的自住需求和改善性住房需求。</w:t>
      </w:r>
    </w:p>
    <w:p>
      <w:pPr>
        <w:widowControl/>
        <w:spacing w:line="560" w:lineRule="exact"/>
        <w:ind w:firstLine="640" w:firstLineChars="200"/>
        <w:rPr>
          <w:rFonts w:eastAsia="仿宋"/>
          <w:sz w:val="32"/>
          <w:szCs w:val="32"/>
        </w:rPr>
      </w:pPr>
      <w:r>
        <w:rPr>
          <w:rFonts w:hint="eastAsia" w:eastAsia="仿宋"/>
          <w:sz w:val="32"/>
          <w:szCs w:val="32"/>
        </w:rPr>
        <w:t>（2）切实提升物业管理水平。一是加大辖区物业管理小区的巡查力度。对业主投诉较多的小区重点巡查，及时督促物业服务企业整改，降低关于物业管理方面的投诉率，达到群众满意的效果，提升物业管理水平。二是加大辖区物业服务企业的处罚力度。对物业服务企业不履职，不履行物业服务合同的约定，服务不到位的企业进行约谈、从重处罚，规范全区的物业服务市场。三是加强业委会培训指导。组织对参与指导和组织业委会组建换届的工作人员进行集中培训，重点学习有关法律法规和政策规定，明确工作方法，提升履职能力。四是推动物业企业服务标准化。分类制定物业服务规范，开展物业服务培训，提升物业服务水平。物业巡查常态化，督促物业企业立行立改，不断提升服务水平。五是加强物业管理宣传，提高社会对物业管理的认识。通过小区微信群、公告栏等渠道，广泛宣传物业管理政策、法规、规定，让广大居民对物业管理行业有充分的了解，进一步了解物业服务方面的知识，更好的化解物业服务企业与业主的矛盾纠纷。</w:t>
      </w:r>
    </w:p>
    <w:p>
      <w:pPr>
        <w:widowControl/>
        <w:spacing w:line="560" w:lineRule="exact"/>
        <w:ind w:firstLine="643" w:firstLineChars="200"/>
        <w:rPr>
          <w:rFonts w:eastAsia="仿宋"/>
          <w:kern w:val="0"/>
          <w:sz w:val="32"/>
          <w:szCs w:val="32"/>
        </w:rPr>
      </w:pPr>
      <w:r>
        <w:rPr>
          <w:rFonts w:eastAsia="仿宋"/>
          <w:b/>
          <w:bCs/>
          <w:kern w:val="0"/>
          <w:sz w:val="32"/>
          <w:szCs w:val="32"/>
        </w:rPr>
        <w:t>2.拟与预算安排相结合情况</w:t>
      </w:r>
    </w:p>
    <w:p>
      <w:pPr>
        <w:keepNext/>
        <w:spacing w:line="560" w:lineRule="exact"/>
        <w:ind w:firstLine="640" w:firstLineChars="200"/>
        <w:rPr>
          <w:rFonts w:eastAsia="仿宋"/>
          <w:sz w:val="32"/>
          <w:szCs w:val="32"/>
        </w:rPr>
      </w:pPr>
      <w:r>
        <w:rPr>
          <w:rFonts w:hint="eastAsia" w:eastAsia="仿宋"/>
          <w:sz w:val="32"/>
          <w:szCs w:val="32"/>
        </w:rPr>
        <w:t>鉴于本次部门整体绩效自评发现的问题，拟在下年度预算安排中采取以下措施：一是提高预算编制的科学性和合理性，加强预算编制的前瞻性，按照《预算法》及其实施条例的相关规定，结合本年度预算执行和调整情况、下年度预算收支变化因素及项目支出进度，科学、合理地编制下年度预算草案，避免预算支出与实际执行出现较大偏差的情况，同时加强202</w:t>
      </w:r>
      <w:r>
        <w:rPr>
          <w:rFonts w:eastAsia="仿宋"/>
          <w:sz w:val="32"/>
          <w:szCs w:val="32"/>
        </w:rPr>
        <w:t>2</w:t>
      </w:r>
      <w:r>
        <w:rPr>
          <w:rFonts w:hint="eastAsia" w:eastAsia="仿宋"/>
          <w:sz w:val="32"/>
          <w:szCs w:val="32"/>
        </w:rPr>
        <w:t>年度部门预算执行进度和绩效执行监控并及时纠偏；二是结合部门职责、上级部门下达任务目标及预算资金重点支出方向全面、合理设置年度绩效目标，有针对性地设置考核指标及目标值，便于考核工作成果；三是加强项目进度管理，尤其是推动各项规划设计项目落地建设，并保障项目进度，从而提升项目预算资金使用效率</w:t>
      </w:r>
      <w:r>
        <w:rPr>
          <w:rFonts w:eastAsia="仿宋"/>
          <w:sz w:val="32"/>
          <w:szCs w:val="32"/>
        </w:rPr>
        <w:t>。</w:t>
      </w:r>
    </w:p>
    <w:p>
      <w:pPr>
        <w:keepNext/>
        <w:spacing w:line="560" w:lineRule="exact"/>
        <w:ind w:firstLine="640" w:firstLineChars="200"/>
        <w:jc w:val="left"/>
        <w:rPr>
          <w:rFonts w:eastAsia="楷体"/>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2098" w:right="1474" w:bottom="1984" w:left="1587" w:header="851" w:footer="992" w:gutter="0"/>
          <w:cols w:space="425" w:num="1"/>
          <w:docGrid w:type="lines" w:linePitch="312" w:charSpace="0"/>
        </w:sectPr>
      </w:pPr>
      <w:r>
        <w:rPr>
          <w:rFonts w:eastAsia="楷体"/>
          <w:sz w:val="32"/>
          <w:szCs w:val="32"/>
        </w:rPr>
        <w:t>附件：2021年度武汉经济技术开发区（汉南区）住房和城乡建设局部门整体自评表</w:t>
      </w:r>
    </w:p>
    <w:p>
      <w:pPr>
        <w:keepNext/>
        <w:spacing w:line="560" w:lineRule="exact"/>
        <w:jc w:val="left"/>
        <w:rPr>
          <w:rFonts w:eastAsia="楷体"/>
          <w:b/>
          <w:bCs/>
          <w:sz w:val="32"/>
          <w:szCs w:val="32"/>
        </w:rPr>
      </w:pPr>
      <w:r>
        <w:rPr>
          <w:rFonts w:eastAsia="楷体"/>
          <w:b/>
          <w:bCs/>
          <w:sz w:val="32"/>
          <w:szCs w:val="32"/>
        </w:rPr>
        <w:t>附件：</w:t>
      </w:r>
    </w:p>
    <w:tbl>
      <w:tblPr>
        <w:tblStyle w:val="10"/>
        <w:tblW w:w="5000" w:type="pct"/>
        <w:tblInd w:w="0" w:type="dxa"/>
        <w:tblLayout w:type="autofit"/>
        <w:tblCellMar>
          <w:top w:w="0" w:type="dxa"/>
          <w:left w:w="108" w:type="dxa"/>
          <w:bottom w:w="0" w:type="dxa"/>
          <w:right w:w="108" w:type="dxa"/>
        </w:tblCellMar>
      </w:tblPr>
      <w:tblGrid>
        <w:gridCol w:w="518"/>
        <w:gridCol w:w="677"/>
        <w:gridCol w:w="970"/>
        <w:gridCol w:w="1566"/>
        <w:gridCol w:w="1566"/>
        <w:gridCol w:w="1333"/>
        <w:gridCol w:w="1145"/>
        <w:gridCol w:w="747"/>
      </w:tblGrid>
      <w:tr>
        <w:tblPrEx>
          <w:tblCellMar>
            <w:top w:w="0" w:type="dxa"/>
            <w:left w:w="108" w:type="dxa"/>
            <w:bottom w:w="0" w:type="dxa"/>
            <w:right w:w="108" w:type="dxa"/>
          </w:tblCellMar>
        </w:tblPrEx>
        <w:trPr>
          <w:trHeight w:val="1219" w:hRule="atLeast"/>
        </w:trPr>
        <w:tc>
          <w:tcPr>
            <w:tcW w:w="5000" w:type="pct"/>
            <w:gridSpan w:val="8"/>
            <w:tcBorders>
              <w:top w:val="nil"/>
              <w:left w:val="nil"/>
              <w:bottom w:val="nil"/>
              <w:right w:val="nil"/>
            </w:tcBorders>
            <w:shd w:val="clear" w:color="auto" w:fill="auto"/>
            <w:vAlign w:val="center"/>
          </w:tcPr>
          <w:p>
            <w:pPr>
              <w:widowControl/>
              <w:jc w:val="center"/>
              <w:rPr>
                <w:rFonts w:ascii="仿宋" w:hAnsi="仿宋" w:eastAsia="仿宋" w:cs="宋体"/>
                <w:b/>
                <w:bCs/>
                <w:kern w:val="0"/>
                <w:sz w:val="36"/>
                <w:szCs w:val="36"/>
              </w:rPr>
            </w:pPr>
            <w:r>
              <w:rPr>
                <w:rFonts w:hint="eastAsia" w:ascii="仿宋" w:hAnsi="仿宋" w:eastAsia="仿宋" w:cs="宋体"/>
                <w:b/>
                <w:bCs/>
                <w:kern w:val="0"/>
                <w:sz w:val="36"/>
                <w:szCs w:val="36"/>
              </w:rPr>
              <w:t xml:space="preserve">2021年度武汉经济技术开发区（汉南区）住房和城乡建设局部门整体绩效自评表  </w:t>
            </w:r>
          </w:p>
        </w:tc>
      </w:tr>
      <w:tr>
        <w:tblPrEx>
          <w:tblCellMar>
            <w:top w:w="0" w:type="dxa"/>
            <w:left w:w="108" w:type="dxa"/>
            <w:bottom w:w="0" w:type="dxa"/>
            <w:right w:w="108" w:type="dxa"/>
          </w:tblCellMar>
        </w:tblPrEx>
        <w:trPr>
          <w:trHeight w:val="615" w:hRule="atLeast"/>
        </w:trPr>
        <w:tc>
          <w:tcPr>
            <w:tcW w:w="5000" w:type="pct"/>
            <w:gridSpan w:val="8"/>
            <w:tcBorders>
              <w:top w:val="nil"/>
              <w:left w:val="nil"/>
              <w:bottom w:val="single" w:color="auto" w:sz="4" w:space="0"/>
              <w:right w:val="nil"/>
            </w:tcBorders>
            <w:shd w:val="clear" w:color="auto" w:fill="auto"/>
            <w:vAlign w:val="center"/>
          </w:tcPr>
          <w:p>
            <w:pPr>
              <w:widowControl/>
              <w:jc w:val="left"/>
              <w:rPr>
                <w:rFonts w:hint="eastAsia" w:ascii="仿宋" w:hAnsi="仿宋" w:eastAsia="仿宋" w:cs="宋体"/>
                <w:kern w:val="0"/>
                <w:sz w:val="22"/>
                <w:szCs w:val="22"/>
                <w:lang w:eastAsia="zh-CN"/>
              </w:rPr>
            </w:pPr>
            <w:r>
              <w:rPr>
                <w:rFonts w:hint="eastAsia" w:ascii="仿宋" w:hAnsi="仿宋" w:eastAsia="仿宋" w:cs="宋体"/>
                <w:kern w:val="0"/>
                <w:sz w:val="22"/>
                <w:szCs w:val="22"/>
              </w:rPr>
              <w:t xml:space="preserve">单位名称： 武汉经济技术开发区（汉南区）住房和城乡建设局                 </w:t>
            </w:r>
          </w:p>
          <w:p>
            <w:pPr>
              <w:widowControl/>
              <w:jc w:val="left"/>
              <w:rPr>
                <w:rFonts w:ascii="仿宋" w:hAnsi="仿宋" w:eastAsia="仿宋" w:cs="宋体"/>
                <w:kern w:val="0"/>
                <w:sz w:val="22"/>
                <w:szCs w:val="22"/>
              </w:rPr>
            </w:pPr>
            <w:r>
              <w:rPr>
                <w:rFonts w:hint="eastAsia" w:ascii="仿宋" w:hAnsi="仿宋" w:eastAsia="仿宋" w:cs="宋体"/>
                <w:kern w:val="0"/>
                <w:sz w:val="22"/>
                <w:szCs w:val="22"/>
              </w:rPr>
              <w:t>填报日期：2022年5月25日</w:t>
            </w:r>
          </w:p>
        </w:tc>
      </w:tr>
      <w:tr>
        <w:tblPrEx>
          <w:tblCellMar>
            <w:top w:w="0" w:type="dxa"/>
            <w:left w:w="108" w:type="dxa"/>
            <w:bottom w:w="0" w:type="dxa"/>
            <w:right w:w="108" w:type="dxa"/>
          </w:tblCellMar>
        </w:tblPrEx>
        <w:trPr>
          <w:trHeight w:val="420" w:hRule="atLeast"/>
        </w:trPr>
        <w:tc>
          <w:tcPr>
            <w:tcW w:w="701" w:type="pct"/>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单位名称</w:t>
            </w:r>
          </w:p>
        </w:tc>
        <w:tc>
          <w:tcPr>
            <w:tcW w:w="4299" w:type="pct"/>
            <w:gridSpan w:val="6"/>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武汉经济技术开发区（汉南区）住房和城乡建设局</w:t>
            </w:r>
          </w:p>
        </w:tc>
      </w:tr>
      <w:tr>
        <w:tblPrEx>
          <w:tblCellMar>
            <w:top w:w="0" w:type="dxa"/>
            <w:left w:w="108" w:type="dxa"/>
            <w:bottom w:w="0" w:type="dxa"/>
            <w:right w:w="108" w:type="dxa"/>
          </w:tblCellMar>
        </w:tblPrEx>
        <w:trPr>
          <w:trHeight w:val="585" w:hRule="atLeast"/>
        </w:trPr>
        <w:tc>
          <w:tcPr>
            <w:tcW w:w="701" w:type="pct"/>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基本支出总额</w:t>
            </w:r>
          </w:p>
        </w:tc>
        <w:tc>
          <w:tcPr>
            <w:tcW w:w="1487" w:type="pct"/>
            <w:gridSpan w:val="2"/>
            <w:tcBorders>
              <w:top w:val="single" w:color="auto" w:sz="4" w:space="0"/>
              <w:left w:val="nil"/>
              <w:bottom w:val="single" w:color="auto" w:sz="4" w:space="0"/>
              <w:right w:val="nil"/>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7422.09 </w:t>
            </w:r>
          </w:p>
        </w:tc>
        <w:tc>
          <w:tcPr>
            <w:tcW w:w="170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项目支出总额</w:t>
            </w:r>
          </w:p>
        </w:tc>
        <w:tc>
          <w:tcPr>
            <w:tcW w:w="1111"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270,907.80 </w:t>
            </w:r>
          </w:p>
        </w:tc>
      </w:tr>
      <w:tr>
        <w:tblPrEx>
          <w:tblCellMar>
            <w:top w:w="0" w:type="dxa"/>
            <w:left w:w="108" w:type="dxa"/>
            <w:bottom w:w="0" w:type="dxa"/>
            <w:right w:w="108" w:type="dxa"/>
          </w:tblCellMar>
        </w:tblPrEx>
        <w:trPr>
          <w:trHeight w:val="600" w:hRule="atLeast"/>
        </w:trPr>
        <w:tc>
          <w:tcPr>
            <w:tcW w:w="701" w:type="pct"/>
            <w:gridSpan w:val="2"/>
            <w:vMerge w:val="restart"/>
            <w:tcBorders>
              <w:top w:val="single" w:color="auto" w:sz="4" w:space="0"/>
              <w:left w:val="single" w:color="auto" w:sz="4" w:space="0"/>
              <w:bottom w:val="nil"/>
              <w:right w:val="single" w:color="000000"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预算执行情况（万元）</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（20分）</w:t>
            </w:r>
          </w:p>
        </w:tc>
        <w:tc>
          <w:tcPr>
            <w:tcW w:w="569" w:type="pct"/>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kern w:val="0"/>
                <w:sz w:val="20"/>
                <w:szCs w:val="20"/>
              </w:rPr>
            </w:pPr>
            <w:r>
              <w:rPr>
                <w:rFonts w:hint="eastAsia" w:ascii="仿宋" w:hAnsi="仿宋" w:eastAsia="仿宋" w:cs="宋体"/>
                <w:kern w:val="0"/>
                <w:sz w:val="20"/>
                <w:szCs w:val="20"/>
              </w:rPr>
              <w:t>　</w:t>
            </w:r>
          </w:p>
        </w:tc>
        <w:tc>
          <w:tcPr>
            <w:tcW w:w="91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预算数（A）</w:t>
            </w:r>
          </w:p>
        </w:tc>
        <w:tc>
          <w:tcPr>
            <w:tcW w:w="91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执行数（B）</w:t>
            </w:r>
          </w:p>
        </w:tc>
        <w:tc>
          <w:tcPr>
            <w:tcW w:w="78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执行率（B/A）</w:t>
            </w:r>
          </w:p>
        </w:tc>
        <w:tc>
          <w:tcPr>
            <w:tcW w:w="1111"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得分（20分*执行率）</w:t>
            </w:r>
          </w:p>
        </w:tc>
      </w:tr>
      <w:tr>
        <w:tblPrEx>
          <w:tblCellMar>
            <w:top w:w="0" w:type="dxa"/>
            <w:left w:w="108" w:type="dxa"/>
            <w:bottom w:w="0" w:type="dxa"/>
            <w:right w:w="108" w:type="dxa"/>
          </w:tblCellMar>
        </w:tblPrEx>
        <w:trPr>
          <w:trHeight w:val="600" w:hRule="atLeast"/>
        </w:trPr>
        <w:tc>
          <w:tcPr>
            <w:tcW w:w="701" w:type="pct"/>
            <w:gridSpan w:val="2"/>
            <w:vMerge w:val="continue"/>
            <w:tcBorders>
              <w:top w:val="single" w:color="auto" w:sz="4" w:space="0"/>
              <w:left w:val="single" w:color="auto" w:sz="4" w:space="0"/>
              <w:bottom w:val="nil"/>
              <w:right w:val="single" w:color="000000" w:sz="4" w:space="0"/>
            </w:tcBorders>
            <w:vAlign w:val="center"/>
          </w:tcPr>
          <w:p>
            <w:pPr>
              <w:widowControl/>
              <w:jc w:val="left"/>
              <w:rPr>
                <w:rFonts w:ascii="仿宋" w:hAnsi="仿宋" w:eastAsia="仿宋" w:cs="宋体"/>
                <w:kern w:val="0"/>
                <w:sz w:val="20"/>
                <w:szCs w:val="20"/>
              </w:rPr>
            </w:pPr>
          </w:p>
        </w:tc>
        <w:tc>
          <w:tcPr>
            <w:tcW w:w="569" w:type="pct"/>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部门整体</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支出总额</w:t>
            </w:r>
          </w:p>
        </w:tc>
        <w:tc>
          <w:tcPr>
            <w:tcW w:w="91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357,422.52 </w:t>
            </w:r>
          </w:p>
        </w:tc>
        <w:tc>
          <w:tcPr>
            <w:tcW w:w="91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278,329.89 </w:t>
            </w:r>
          </w:p>
        </w:tc>
        <w:tc>
          <w:tcPr>
            <w:tcW w:w="78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77.87%</w:t>
            </w:r>
          </w:p>
        </w:tc>
        <w:tc>
          <w:tcPr>
            <w:tcW w:w="1111"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15.57 </w:t>
            </w:r>
          </w:p>
        </w:tc>
      </w:tr>
      <w:tr>
        <w:tblPrEx>
          <w:tblCellMar>
            <w:top w:w="0" w:type="dxa"/>
            <w:left w:w="108" w:type="dxa"/>
            <w:bottom w:w="0" w:type="dxa"/>
            <w:right w:w="108" w:type="dxa"/>
          </w:tblCellMar>
        </w:tblPrEx>
        <w:trPr>
          <w:trHeight w:val="600" w:hRule="atLeast"/>
        </w:trPr>
        <w:tc>
          <w:tcPr>
            <w:tcW w:w="701" w:type="pct"/>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年度目标1：</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（8分）</w:t>
            </w:r>
          </w:p>
        </w:tc>
        <w:tc>
          <w:tcPr>
            <w:tcW w:w="4299" w:type="pct"/>
            <w:gridSpan w:val="6"/>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 w:hAnsi="仿宋" w:eastAsia="仿宋" w:cs="宋体"/>
                <w:kern w:val="0"/>
                <w:sz w:val="20"/>
                <w:szCs w:val="20"/>
              </w:rPr>
            </w:pPr>
            <w:r>
              <w:rPr>
                <w:rFonts w:hint="eastAsia" w:ascii="仿宋" w:hAnsi="仿宋" w:eastAsia="仿宋" w:cs="宋体"/>
                <w:kern w:val="0"/>
                <w:sz w:val="20"/>
                <w:szCs w:val="20"/>
              </w:rPr>
              <w:t>进一步推进城建攻坚计划，全面推进城市基础设施配套建设；加强重点项目协调，全面推进路网项目建设。</w:t>
            </w:r>
          </w:p>
        </w:tc>
      </w:tr>
      <w:tr>
        <w:tblPrEx>
          <w:tblCellMar>
            <w:top w:w="0" w:type="dxa"/>
            <w:left w:w="108" w:type="dxa"/>
            <w:bottom w:w="0" w:type="dxa"/>
            <w:right w:w="108" w:type="dxa"/>
          </w:tblCellMar>
        </w:tblPrEx>
        <w:trPr>
          <w:trHeight w:val="1020" w:hRule="atLeast"/>
        </w:trPr>
        <w:tc>
          <w:tcPr>
            <w:tcW w:w="304"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年度绩效指标</w:t>
            </w:r>
          </w:p>
        </w:tc>
        <w:tc>
          <w:tcPr>
            <w:tcW w:w="396"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一级指标</w:t>
            </w:r>
          </w:p>
        </w:tc>
        <w:tc>
          <w:tcPr>
            <w:tcW w:w="56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二级指标</w:t>
            </w:r>
          </w:p>
        </w:tc>
        <w:tc>
          <w:tcPr>
            <w:tcW w:w="1837"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三级指标</w:t>
            </w:r>
          </w:p>
        </w:tc>
        <w:tc>
          <w:tcPr>
            <w:tcW w:w="78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年初目标值（A）</w:t>
            </w:r>
          </w:p>
        </w:tc>
        <w:tc>
          <w:tcPr>
            <w:tcW w:w="67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实际完成值（B）</w:t>
            </w:r>
          </w:p>
        </w:tc>
        <w:tc>
          <w:tcPr>
            <w:tcW w:w="43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得分</w:t>
            </w:r>
          </w:p>
        </w:tc>
      </w:tr>
      <w:tr>
        <w:tblPrEx>
          <w:tblCellMar>
            <w:top w:w="0" w:type="dxa"/>
            <w:left w:w="108" w:type="dxa"/>
            <w:bottom w:w="0" w:type="dxa"/>
            <w:right w:w="108" w:type="dxa"/>
          </w:tblCellMar>
        </w:tblPrEx>
        <w:trPr>
          <w:trHeight w:val="540" w:hRule="atLeast"/>
        </w:trPr>
        <w:tc>
          <w:tcPr>
            <w:tcW w:w="304" w:type="pct"/>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0"/>
                <w:szCs w:val="20"/>
              </w:rPr>
            </w:pPr>
          </w:p>
        </w:tc>
        <w:tc>
          <w:tcPr>
            <w:tcW w:w="396"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产出</w:t>
            </w:r>
          </w:p>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 xml:space="preserve">指标 </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（4分）</w:t>
            </w:r>
          </w:p>
        </w:tc>
        <w:tc>
          <w:tcPr>
            <w:tcW w:w="569"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质量指标</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（4分）</w:t>
            </w:r>
          </w:p>
        </w:tc>
        <w:tc>
          <w:tcPr>
            <w:tcW w:w="1837" w:type="pct"/>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照明提升改造建设推进度（2分）</w:t>
            </w:r>
          </w:p>
        </w:tc>
        <w:tc>
          <w:tcPr>
            <w:tcW w:w="78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c>
          <w:tcPr>
            <w:tcW w:w="67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c>
          <w:tcPr>
            <w:tcW w:w="43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2.00 </w:t>
            </w:r>
          </w:p>
        </w:tc>
      </w:tr>
      <w:tr>
        <w:tblPrEx>
          <w:tblCellMar>
            <w:top w:w="0" w:type="dxa"/>
            <w:left w:w="108" w:type="dxa"/>
            <w:bottom w:w="0" w:type="dxa"/>
            <w:right w:w="108" w:type="dxa"/>
          </w:tblCellMar>
        </w:tblPrEx>
        <w:trPr>
          <w:trHeight w:val="540" w:hRule="atLeast"/>
        </w:trPr>
        <w:tc>
          <w:tcPr>
            <w:tcW w:w="304" w:type="pct"/>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0"/>
                <w:szCs w:val="20"/>
              </w:rPr>
            </w:pPr>
          </w:p>
        </w:tc>
        <w:tc>
          <w:tcPr>
            <w:tcW w:w="396" w:type="pct"/>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0"/>
                <w:szCs w:val="20"/>
              </w:rPr>
            </w:pPr>
          </w:p>
        </w:tc>
        <w:tc>
          <w:tcPr>
            <w:tcW w:w="569" w:type="pct"/>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kern w:val="0"/>
                <w:sz w:val="20"/>
                <w:szCs w:val="20"/>
              </w:rPr>
            </w:pPr>
          </w:p>
        </w:tc>
        <w:tc>
          <w:tcPr>
            <w:tcW w:w="1837" w:type="pct"/>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市（区）级重点项目建设推进度（2分）</w:t>
            </w:r>
          </w:p>
        </w:tc>
        <w:tc>
          <w:tcPr>
            <w:tcW w:w="78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c>
          <w:tcPr>
            <w:tcW w:w="67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c>
          <w:tcPr>
            <w:tcW w:w="43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2.00 </w:t>
            </w:r>
          </w:p>
        </w:tc>
      </w:tr>
      <w:tr>
        <w:tblPrEx>
          <w:tblCellMar>
            <w:top w:w="0" w:type="dxa"/>
            <w:left w:w="108" w:type="dxa"/>
            <w:bottom w:w="0" w:type="dxa"/>
            <w:right w:w="108" w:type="dxa"/>
          </w:tblCellMar>
        </w:tblPrEx>
        <w:trPr>
          <w:trHeight w:val="930" w:hRule="atLeast"/>
        </w:trPr>
        <w:tc>
          <w:tcPr>
            <w:tcW w:w="304" w:type="pct"/>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0"/>
                <w:szCs w:val="20"/>
              </w:rPr>
            </w:pPr>
          </w:p>
        </w:tc>
        <w:tc>
          <w:tcPr>
            <w:tcW w:w="396" w:type="pct"/>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效益</w:t>
            </w:r>
          </w:p>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指标</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（4分）</w:t>
            </w:r>
          </w:p>
        </w:tc>
        <w:tc>
          <w:tcPr>
            <w:tcW w:w="569" w:type="pct"/>
            <w:tcBorders>
              <w:top w:val="nil"/>
              <w:left w:val="nil"/>
              <w:bottom w:val="nil"/>
              <w:right w:val="single" w:color="auto"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社会效益指标</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（4分）</w:t>
            </w:r>
          </w:p>
        </w:tc>
        <w:tc>
          <w:tcPr>
            <w:tcW w:w="1837"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全区建筑业投资提升度（4分）</w:t>
            </w:r>
          </w:p>
        </w:tc>
        <w:tc>
          <w:tcPr>
            <w:tcW w:w="78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提升</w:t>
            </w:r>
          </w:p>
        </w:tc>
        <w:tc>
          <w:tcPr>
            <w:tcW w:w="67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提升</w:t>
            </w:r>
          </w:p>
        </w:tc>
        <w:tc>
          <w:tcPr>
            <w:tcW w:w="43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4.00 </w:t>
            </w:r>
          </w:p>
        </w:tc>
      </w:tr>
      <w:tr>
        <w:tblPrEx>
          <w:tblCellMar>
            <w:top w:w="0" w:type="dxa"/>
            <w:left w:w="108" w:type="dxa"/>
            <w:bottom w:w="0" w:type="dxa"/>
            <w:right w:w="108" w:type="dxa"/>
          </w:tblCellMar>
        </w:tblPrEx>
        <w:trPr>
          <w:trHeight w:val="600" w:hRule="atLeast"/>
        </w:trPr>
        <w:tc>
          <w:tcPr>
            <w:tcW w:w="701" w:type="pct"/>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年度目标2：</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（16分）</w:t>
            </w:r>
          </w:p>
        </w:tc>
        <w:tc>
          <w:tcPr>
            <w:tcW w:w="4299" w:type="pct"/>
            <w:gridSpan w:val="6"/>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 w:hAnsi="仿宋" w:eastAsia="仿宋" w:cs="宋体"/>
                <w:kern w:val="0"/>
                <w:sz w:val="20"/>
                <w:szCs w:val="20"/>
              </w:rPr>
            </w:pPr>
            <w:r>
              <w:rPr>
                <w:rFonts w:hint="eastAsia" w:ascii="仿宋" w:hAnsi="仿宋" w:eastAsia="仿宋" w:cs="宋体"/>
                <w:kern w:val="0"/>
                <w:sz w:val="20"/>
                <w:szCs w:val="20"/>
              </w:rPr>
              <w:t>进一步强化建设市场监管与服务，建设规范有序的建筑市场；推进智能家居之都建设，推进装配式建筑发展，推进海绵城市建设，强化建筑工程质量安全监管。</w:t>
            </w:r>
          </w:p>
        </w:tc>
      </w:tr>
      <w:tr>
        <w:tblPrEx>
          <w:tblCellMar>
            <w:top w:w="0" w:type="dxa"/>
            <w:left w:w="108" w:type="dxa"/>
            <w:bottom w:w="0" w:type="dxa"/>
            <w:right w:w="108" w:type="dxa"/>
          </w:tblCellMar>
        </w:tblPrEx>
        <w:trPr>
          <w:trHeight w:val="1200" w:hRule="atLeast"/>
        </w:trPr>
        <w:tc>
          <w:tcPr>
            <w:tcW w:w="304"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年度绩效指标</w:t>
            </w:r>
          </w:p>
        </w:tc>
        <w:tc>
          <w:tcPr>
            <w:tcW w:w="396"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一级指标</w:t>
            </w:r>
          </w:p>
        </w:tc>
        <w:tc>
          <w:tcPr>
            <w:tcW w:w="56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二级指标</w:t>
            </w:r>
          </w:p>
        </w:tc>
        <w:tc>
          <w:tcPr>
            <w:tcW w:w="1837"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三级指标</w:t>
            </w:r>
          </w:p>
        </w:tc>
        <w:tc>
          <w:tcPr>
            <w:tcW w:w="78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年初目标值（A）</w:t>
            </w:r>
          </w:p>
        </w:tc>
        <w:tc>
          <w:tcPr>
            <w:tcW w:w="67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实际完成值（B）</w:t>
            </w:r>
          </w:p>
        </w:tc>
        <w:tc>
          <w:tcPr>
            <w:tcW w:w="43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得分</w:t>
            </w:r>
          </w:p>
        </w:tc>
      </w:tr>
      <w:tr>
        <w:tblPrEx>
          <w:tblCellMar>
            <w:top w:w="0" w:type="dxa"/>
            <w:left w:w="108" w:type="dxa"/>
            <w:bottom w:w="0" w:type="dxa"/>
            <w:right w:w="108" w:type="dxa"/>
          </w:tblCellMar>
        </w:tblPrEx>
        <w:trPr>
          <w:trHeight w:val="540" w:hRule="atLeast"/>
        </w:trPr>
        <w:tc>
          <w:tcPr>
            <w:tcW w:w="304" w:type="pct"/>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0"/>
                <w:szCs w:val="20"/>
              </w:rPr>
            </w:pPr>
          </w:p>
        </w:tc>
        <w:tc>
          <w:tcPr>
            <w:tcW w:w="396"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产出</w:t>
            </w:r>
          </w:p>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 xml:space="preserve">指标 </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（8分）</w:t>
            </w:r>
          </w:p>
        </w:tc>
        <w:tc>
          <w:tcPr>
            <w:tcW w:w="569" w:type="pct"/>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数量指标</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（2分）</w:t>
            </w:r>
          </w:p>
        </w:tc>
        <w:tc>
          <w:tcPr>
            <w:tcW w:w="1837"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工程监督抽查到位率（2分）</w:t>
            </w:r>
          </w:p>
        </w:tc>
        <w:tc>
          <w:tcPr>
            <w:tcW w:w="78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c>
          <w:tcPr>
            <w:tcW w:w="67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c>
          <w:tcPr>
            <w:tcW w:w="43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2.00 </w:t>
            </w:r>
          </w:p>
        </w:tc>
      </w:tr>
      <w:tr>
        <w:tblPrEx>
          <w:tblCellMar>
            <w:top w:w="0" w:type="dxa"/>
            <w:left w:w="108" w:type="dxa"/>
            <w:bottom w:w="0" w:type="dxa"/>
            <w:right w:w="108" w:type="dxa"/>
          </w:tblCellMar>
        </w:tblPrEx>
        <w:trPr>
          <w:trHeight w:val="540" w:hRule="atLeast"/>
        </w:trPr>
        <w:tc>
          <w:tcPr>
            <w:tcW w:w="304" w:type="pct"/>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0"/>
                <w:szCs w:val="20"/>
              </w:rPr>
            </w:pPr>
          </w:p>
        </w:tc>
        <w:tc>
          <w:tcPr>
            <w:tcW w:w="396" w:type="pct"/>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0"/>
                <w:szCs w:val="20"/>
              </w:rPr>
            </w:pPr>
          </w:p>
        </w:tc>
        <w:tc>
          <w:tcPr>
            <w:tcW w:w="569"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质量指标</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（6分）</w:t>
            </w:r>
          </w:p>
        </w:tc>
        <w:tc>
          <w:tcPr>
            <w:tcW w:w="1837"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文明施工获奖工程数（2分）</w:t>
            </w:r>
          </w:p>
        </w:tc>
        <w:tc>
          <w:tcPr>
            <w:tcW w:w="78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20个</w:t>
            </w:r>
          </w:p>
        </w:tc>
        <w:tc>
          <w:tcPr>
            <w:tcW w:w="67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28个</w:t>
            </w:r>
          </w:p>
        </w:tc>
        <w:tc>
          <w:tcPr>
            <w:tcW w:w="43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2.00 </w:t>
            </w:r>
          </w:p>
        </w:tc>
      </w:tr>
      <w:tr>
        <w:tblPrEx>
          <w:tblCellMar>
            <w:top w:w="0" w:type="dxa"/>
            <w:left w:w="108" w:type="dxa"/>
            <w:bottom w:w="0" w:type="dxa"/>
            <w:right w:w="108" w:type="dxa"/>
          </w:tblCellMar>
        </w:tblPrEx>
        <w:trPr>
          <w:trHeight w:val="540" w:hRule="atLeast"/>
        </w:trPr>
        <w:tc>
          <w:tcPr>
            <w:tcW w:w="304" w:type="pct"/>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0"/>
                <w:szCs w:val="20"/>
              </w:rPr>
            </w:pPr>
          </w:p>
        </w:tc>
        <w:tc>
          <w:tcPr>
            <w:tcW w:w="396" w:type="pct"/>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0"/>
                <w:szCs w:val="20"/>
              </w:rPr>
            </w:pPr>
          </w:p>
        </w:tc>
        <w:tc>
          <w:tcPr>
            <w:tcW w:w="569" w:type="pct"/>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kern w:val="0"/>
                <w:sz w:val="20"/>
                <w:szCs w:val="20"/>
              </w:rPr>
            </w:pPr>
          </w:p>
        </w:tc>
        <w:tc>
          <w:tcPr>
            <w:tcW w:w="1837"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海绵城市建设推进度（2分）</w:t>
            </w:r>
          </w:p>
        </w:tc>
        <w:tc>
          <w:tcPr>
            <w:tcW w:w="78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c>
          <w:tcPr>
            <w:tcW w:w="67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c>
          <w:tcPr>
            <w:tcW w:w="43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2.00 </w:t>
            </w:r>
          </w:p>
        </w:tc>
      </w:tr>
      <w:tr>
        <w:tblPrEx>
          <w:tblCellMar>
            <w:top w:w="0" w:type="dxa"/>
            <w:left w:w="108" w:type="dxa"/>
            <w:bottom w:w="0" w:type="dxa"/>
            <w:right w:w="108" w:type="dxa"/>
          </w:tblCellMar>
        </w:tblPrEx>
        <w:trPr>
          <w:trHeight w:val="540" w:hRule="atLeast"/>
        </w:trPr>
        <w:tc>
          <w:tcPr>
            <w:tcW w:w="304" w:type="pct"/>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0"/>
                <w:szCs w:val="20"/>
              </w:rPr>
            </w:pPr>
          </w:p>
        </w:tc>
        <w:tc>
          <w:tcPr>
            <w:tcW w:w="396" w:type="pct"/>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0"/>
                <w:szCs w:val="20"/>
              </w:rPr>
            </w:pPr>
          </w:p>
        </w:tc>
        <w:tc>
          <w:tcPr>
            <w:tcW w:w="569" w:type="pct"/>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kern w:val="0"/>
                <w:sz w:val="20"/>
                <w:szCs w:val="20"/>
              </w:rPr>
            </w:pPr>
          </w:p>
        </w:tc>
        <w:tc>
          <w:tcPr>
            <w:tcW w:w="1837"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受监工程质量安全责任事故发生数（2分）</w:t>
            </w:r>
          </w:p>
        </w:tc>
        <w:tc>
          <w:tcPr>
            <w:tcW w:w="78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0项</w:t>
            </w:r>
          </w:p>
        </w:tc>
        <w:tc>
          <w:tcPr>
            <w:tcW w:w="67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0项</w:t>
            </w:r>
          </w:p>
        </w:tc>
        <w:tc>
          <w:tcPr>
            <w:tcW w:w="43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2.00 </w:t>
            </w:r>
          </w:p>
        </w:tc>
      </w:tr>
      <w:tr>
        <w:tblPrEx>
          <w:tblCellMar>
            <w:top w:w="0" w:type="dxa"/>
            <w:left w:w="108" w:type="dxa"/>
            <w:bottom w:w="0" w:type="dxa"/>
            <w:right w:w="108" w:type="dxa"/>
          </w:tblCellMar>
        </w:tblPrEx>
        <w:trPr>
          <w:trHeight w:val="480" w:hRule="atLeast"/>
        </w:trPr>
        <w:tc>
          <w:tcPr>
            <w:tcW w:w="304" w:type="pct"/>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0"/>
                <w:szCs w:val="20"/>
              </w:rPr>
            </w:pPr>
          </w:p>
        </w:tc>
        <w:tc>
          <w:tcPr>
            <w:tcW w:w="396"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效益</w:t>
            </w:r>
          </w:p>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指标</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（8分）</w:t>
            </w:r>
          </w:p>
        </w:tc>
        <w:tc>
          <w:tcPr>
            <w:tcW w:w="569"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社会效益指标</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（8分）</w:t>
            </w:r>
          </w:p>
        </w:tc>
        <w:tc>
          <w:tcPr>
            <w:tcW w:w="1837" w:type="pct"/>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问题整改落实率（4分）</w:t>
            </w:r>
          </w:p>
        </w:tc>
        <w:tc>
          <w:tcPr>
            <w:tcW w:w="78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c>
          <w:tcPr>
            <w:tcW w:w="67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c>
          <w:tcPr>
            <w:tcW w:w="43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4.00 </w:t>
            </w:r>
          </w:p>
        </w:tc>
      </w:tr>
      <w:tr>
        <w:tblPrEx>
          <w:tblCellMar>
            <w:top w:w="0" w:type="dxa"/>
            <w:left w:w="108" w:type="dxa"/>
            <w:bottom w:w="0" w:type="dxa"/>
            <w:right w:w="108" w:type="dxa"/>
          </w:tblCellMar>
        </w:tblPrEx>
        <w:trPr>
          <w:trHeight w:val="480" w:hRule="atLeast"/>
        </w:trPr>
        <w:tc>
          <w:tcPr>
            <w:tcW w:w="304" w:type="pct"/>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0"/>
                <w:szCs w:val="20"/>
              </w:rPr>
            </w:pPr>
          </w:p>
        </w:tc>
        <w:tc>
          <w:tcPr>
            <w:tcW w:w="396" w:type="pct"/>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kern w:val="0"/>
                <w:sz w:val="20"/>
                <w:szCs w:val="20"/>
              </w:rPr>
            </w:pPr>
          </w:p>
        </w:tc>
        <w:tc>
          <w:tcPr>
            <w:tcW w:w="569" w:type="pct"/>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kern w:val="0"/>
                <w:sz w:val="20"/>
                <w:szCs w:val="20"/>
              </w:rPr>
            </w:pPr>
          </w:p>
        </w:tc>
        <w:tc>
          <w:tcPr>
            <w:tcW w:w="1837" w:type="pct"/>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建筑业可持续发展（4分）</w:t>
            </w:r>
          </w:p>
        </w:tc>
        <w:tc>
          <w:tcPr>
            <w:tcW w:w="78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可持续</w:t>
            </w:r>
          </w:p>
        </w:tc>
        <w:tc>
          <w:tcPr>
            <w:tcW w:w="67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可持续</w:t>
            </w:r>
          </w:p>
        </w:tc>
        <w:tc>
          <w:tcPr>
            <w:tcW w:w="43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4.00 </w:t>
            </w:r>
          </w:p>
        </w:tc>
      </w:tr>
      <w:tr>
        <w:tblPrEx>
          <w:tblCellMar>
            <w:top w:w="0" w:type="dxa"/>
            <w:left w:w="108" w:type="dxa"/>
            <w:bottom w:w="0" w:type="dxa"/>
            <w:right w:w="108" w:type="dxa"/>
          </w:tblCellMar>
        </w:tblPrEx>
        <w:trPr>
          <w:trHeight w:val="540" w:hRule="atLeast"/>
        </w:trPr>
        <w:tc>
          <w:tcPr>
            <w:tcW w:w="701" w:type="pct"/>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年度目标3：</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（18分）</w:t>
            </w:r>
          </w:p>
        </w:tc>
        <w:tc>
          <w:tcPr>
            <w:tcW w:w="4299" w:type="pct"/>
            <w:gridSpan w:val="6"/>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 w:hAnsi="仿宋" w:eastAsia="仿宋" w:cs="宋体"/>
                <w:kern w:val="0"/>
                <w:sz w:val="20"/>
                <w:szCs w:val="20"/>
              </w:rPr>
            </w:pPr>
            <w:r>
              <w:rPr>
                <w:rFonts w:hint="eastAsia" w:ascii="仿宋" w:hAnsi="仿宋" w:eastAsia="仿宋" w:cs="宋体"/>
                <w:kern w:val="0"/>
                <w:sz w:val="20"/>
                <w:szCs w:val="20"/>
              </w:rPr>
              <w:t>进一步推进住房保障建设，不断完善房产管理规范化；切实加强房地产市场宏观调控工作，切实加强住宅小区物业管理工作，切实加强住房保障工作。</w:t>
            </w:r>
          </w:p>
        </w:tc>
      </w:tr>
      <w:tr>
        <w:tblPrEx>
          <w:tblCellMar>
            <w:top w:w="0" w:type="dxa"/>
            <w:left w:w="108" w:type="dxa"/>
            <w:bottom w:w="0" w:type="dxa"/>
            <w:right w:w="108" w:type="dxa"/>
          </w:tblCellMar>
        </w:tblPrEx>
        <w:trPr>
          <w:trHeight w:val="540" w:hRule="atLeast"/>
        </w:trPr>
        <w:tc>
          <w:tcPr>
            <w:tcW w:w="304"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年度绩效指标</w:t>
            </w:r>
          </w:p>
        </w:tc>
        <w:tc>
          <w:tcPr>
            <w:tcW w:w="396"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产出</w:t>
            </w:r>
          </w:p>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 xml:space="preserve">指标 </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（6分）</w:t>
            </w:r>
          </w:p>
        </w:tc>
        <w:tc>
          <w:tcPr>
            <w:tcW w:w="569"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数量指标</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（4分）</w:t>
            </w:r>
          </w:p>
        </w:tc>
        <w:tc>
          <w:tcPr>
            <w:tcW w:w="1837"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保障房目标达标率（2分）</w:t>
            </w:r>
          </w:p>
        </w:tc>
        <w:tc>
          <w:tcPr>
            <w:tcW w:w="78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c>
          <w:tcPr>
            <w:tcW w:w="67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c>
          <w:tcPr>
            <w:tcW w:w="43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2.00 </w:t>
            </w:r>
          </w:p>
        </w:tc>
      </w:tr>
      <w:tr>
        <w:tblPrEx>
          <w:tblCellMar>
            <w:top w:w="0" w:type="dxa"/>
            <w:left w:w="108" w:type="dxa"/>
            <w:bottom w:w="0" w:type="dxa"/>
            <w:right w:w="108" w:type="dxa"/>
          </w:tblCellMar>
        </w:tblPrEx>
        <w:trPr>
          <w:trHeight w:val="495" w:hRule="atLeast"/>
        </w:trPr>
        <w:tc>
          <w:tcPr>
            <w:tcW w:w="304" w:type="pct"/>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kern w:val="0"/>
                <w:sz w:val="20"/>
                <w:szCs w:val="20"/>
              </w:rPr>
            </w:pPr>
          </w:p>
        </w:tc>
        <w:tc>
          <w:tcPr>
            <w:tcW w:w="396" w:type="pct"/>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0"/>
                <w:szCs w:val="20"/>
              </w:rPr>
            </w:pPr>
          </w:p>
        </w:tc>
        <w:tc>
          <w:tcPr>
            <w:tcW w:w="569" w:type="pct"/>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kern w:val="0"/>
                <w:sz w:val="20"/>
                <w:szCs w:val="20"/>
              </w:rPr>
            </w:pPr>
          </w:p>
        </w:tc>
        <w:tc>
          <w:tcPr>
            <w:tcW w:w="1837"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“公租房保障机制”落实率（2分）</w:t>
            </w:r>
          </w:p>
        </w:tc>
        <w:tc>
          <w:tcPr>
            <w:tcW w:w="78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≥95%</w:t>
            </w:r>
          </w:p>
        </w:tc>
        <w:tc>
          <w:tcPr>
            <w:tcW w:w="67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c>
          <w:tcPr>
            <w:tcW w:w="43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2.00 </w:t>
            </w:r>
          </w:p>
        </w:tc>
      </w:tr>
      <w:tr>
        <w:tblPrEx>
          <w:tblCellMar>
            <w:top w:w="0" w:type="dxa"/>
            <w:left w:w="108" w:type="dxa"/>
            <w:bottom w:w="0" w:type="dxa"/>
            <w:right w:w="108" w:type="dxa"/>
          </w:tblCellMar>
        </w:tblPrEx>
        <w:trPr>
          <w:trHeight w:val="495" w:hRule="atLeast"/>
        </w:trPr>
        <w:tc>
          <w:tcPr>
            <w:tcW w:w="304" w:type="pct"/>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kern w:val="0"/>
                <w:sz w:val="20"/>
                <w:szCs w:val="20"/>
              </w:rPr>
            </w:pPr>
          </w:p>
        </w:tc>
        <w:tc>
          <w:tcPr>
            <w:tcW w:w="396" w:type="pct"/>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0"/>
                <w:szCs w:val="20"/>
              </w:rPr>
            </w:pPr>
          </w:p>
        </w:tc>
        <w:tc>
          <w:tcPr>
            <w:tcW w:w="569" w:type="pct"/>
            <w:tcBorders>
              <w:top w:val="nil"/>
              <w:left w:val="nil"/>
              <w:bottom w:val="nil"/>
              <w:right w:val="single" w:color="auto"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质量指标</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（2分）</w:t>
            </w:r>
          </w:p>
        </w:tc>
        <w:tc>
          <w:tcPr>
            <w:tcW w:w="1837"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房地产经纪机构备案率提升度（2分）</w:t>
            </w:r>
          </w:p>
        </w:tc>
        <w:tc>
          <w:tcPr>
            <w:tcW w:w="78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c>
          <w:tcPr>
            <w:tcW w:w="67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c>
          <w:tcPr>
            <w:tcW w:w="43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2.00 </w:t>
            </w:r>
          </w:p>
        </w:tc>
      </w:tr>
      <w:tr>
        <w:tblPrEx>
          <w:tblCellMar>
            <w:top w:w="0" w:type="dxa"/>
            <w:left w:w="108" w:type="dxa"/>
            <w:bottom w:w="0" w:type="dxa"/>
            <w:right w:w="108" w:type="dxa"/>
          </w:tblCellMar>
        </w:tblPrEx>
        <w:trPr>
          <w:trHeight w:val="480" w:hRule="atLeast"/>
        </w:trPr>
        <w:tc>
          <w:tcPr>
            <w:tcW w:w="304" w:type="pct"/>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kern w:val="0"/>
                <w:sz w:val="20"/>
                <w:szCs w:val="20"/>
              </w:rPr>
            </w:pPr>
          </w:p>
        </w:tc>
        <w:tc>
          <w:tcPr>
            <w:tcW w:w="396"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效益</w:t>
            </w:r>
          </w:p>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指标</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（12分）</w:t>
            </w:r>
          </w:p>
        </w:tc>
        <w:tc>
          <w:tcPr>
            <w:tcW w:w="569" w:type="pct"/>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社会效益指标</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（12分）</w:t>
            </w:r>
          </w:p>
        </w:tc>
        <w:tc>
          <w:tcPr>
            <w:tcW w:w="1837"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房产销售增速（3分）</w:t>
            </w:r>
          </w:p>
        </w:tc>
        <w:tc>
          <w:tcPr>
            <w:tcW w:w="78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22%</w:t>
            </w:r>
          </w:p>
        </w:tc>
        <w:tc>
          <w:tcPr>
            <w:tcW w:w="67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2%</w:t>
            </w:r>
          </w:p>
        </w:tc>
        <w:tc>
          <w:tcPr>
            <w:tcW w:w="43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0.25 </w:t>
            </w:r>
          </w:p>
        </w:tc>
      </w:tr>
      <w:tr>
        <w:tblPrEx>
          <w:tblCellMar>
            <w:top w:w="0" w:type="dxa"/>
            <w:left w:w="108" w:type="dxa"/>
            <w:bottom w:w="0" w:type="dxa"/>
            <w:right w:w="108" w:type="dxa"/>
          </w:tblCellMar>
        </w:tblPrEx>
        <w:trPr>
          <w:trHeight w:val="480" w:hRule="atLeast"/>
        </w:trPr>
        <w:tc>
          <w:tcPr>
            <w:tcW w:w="304" w:type="pct"/>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kern w:val="0"/>
                <w:sz w:val="20"/>
                <w:szCs w:val="20"/>
              </w:rPr>
            </w:pPr>
          </w:p>
        </w:tc>
        <w:tc>
          <w:tcPr>
            <w:tcW w:w="396" w:type="pct"/>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kern w:val="0"/>
                <w:sz w:val="20"/>
                <w:szCs w:val="20"/>
              </w:rPr>
            </w:pPr>
          </w:p>
        </w:tc>
        <w:tc>
          <w:tcPr>
            <w:tcW w:w="569" w:type="pct"/>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仿宋" w:hAnsi="仿宋" w:eastAsia="仿宋" w:cs="宋体"/>
                <w:kern w:val="0"/>
                <w:sz w:val="20"/>
                <w:szCs w:val="20"/>
              </w:rPr>
            </w:pPr>
          </w:p>
        </w:tc>
        <w:tc>
          <w:tcPr>
            <w:tcW w:w="1837"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房地产投资额（3分）</w:t>
            </w:r>
          </w:p>
        </w:tc>
        <w:tc>
          <w:tcPr>
            <w:tcW w:w="78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240亿元</w:t>
            </w:r>
          </w:p>
        </w:tc>
        <w:tc>
          <w:tcPr>
            <w:tcW w:w="67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323亿元</w:t>
            </w:r>
          </w:p>
        </w:tc>
        <w:tc>
          <w:tcPr>
            <w:tcW w:w="43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3.00 </w:t>
            </w:r>
          </w:p>
        </w:tc>
      </w:tr>
      <w:tr>
        <w:tblPrEx>
          <w:tblCellMar>
            <w:top w:w="0" w:type="dxa"/>
            <w:left w:w="108" w:type="dxa"/>
            <w:bottom w:w="0" w:type="dxa"/>
            <w:right w:w="108" w:type="dxa"/>
          </w:tblCellMar>
        </w:tblPrEx>
        <w:trPr>
          <w:trHeight w:val="480" w:hRule="atLeast"/>
        </w:trPr>
        <w:tc>
          <w:tcPr>
            <w:tcW w:w="304" w:type="pct"/>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kern w:val="0"/>
                <w:sz w:val="20"/>
                <w:szCs w:val="20"/>
              </w:rPr>
            </w:pPr>
          </w:p>
        </w:tc>
        <w:tc>
          <w:tcPr>
            <w:tcW w:w="396" w:type="pct"/>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kern w:val="0"/>
                <w:sz w:val="20"/>
                <w:szCs w:val="20"/>
              </w:rPr>
            </w:pPr>
          </w:p>
        </w:tc>
        <w:tc>
          <w:tcPr>
            <w:tcW w:w="569" w:type="pct"/>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仿宋" w:hAnsi="仿宋" w:eastAsia="仿宋" w:cs="宋体"/>
                <w:kern w:val="0"/>
                <w:sz w:val="20"/>
                <w:szCs w:val="20"/>
              </w:rPr>
            </w:pPr>
          </w:p>
        </w:tc>
        <w:tc>
          <w:tcPr>
            <w:tcW w:w="1837"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“红色物业”工作推进度（3分）</w:t>
            </w:r>
          </w:p>
        </w:tc>
        <w:tc>
          <w:tcPr>
            <w:tcW w:w="78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有效推进</w:t>
            </w:r>
          </w:p>
        </w:tc>
        <w:tc>
          <w:tcPr>
            <w:tcW w:w="67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有效推进</w:t>
            </w:r>
          </w:p>
        </w:tc>
        <w:tc>
          <w:tcPr>
            <w:tcW w:w="43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3.00 </w:t>
            </w:r>
          </w:p>
        </w:tc>
      </w:tr>
      <w:tr>
        <w:tblPrEx>
          <w:tblCellMar>
            <w:top w:w="0" w:type="dxa"/>
            <w:left w:w="108" w:type="dxa"/>
            <w:bottom w:w="0" w:type="dxa"/>
            <w:right w:w="108" w:type="dxa"/>
          </w:tblCellMar>
        </w:tblPrEx>
        <w:trPr>
          <w:trHeight w:val="480" w:hRule="atLeast"/>
        </w:trPr>
        <w:tc>
          <w:tcPr>
            <w:tcW w:w="304" w:type="pct"/>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kern w:val="0"/>
                <w:sz w:val="20"/>
                <w:szCs w:val="20"/>
              </w:rPr>
            </w:pPr>
          </w:p>
        </w:tc>
        <w:tc>
          <w:tcPr>
            <w:tcW w:w="396" w:type="pct"/>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kern w:val="0"/>
                <w:sz w:val="20"/>
                <w:szCs w:val="20"/>
              </w:rPr>
            </w:pPr>
          </w:p>
        </w:tc>
        <w:tc>
          <w:tcPr>
            <w:tcW w:w="569" w:type="pct"/>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仿宋" w:hAnsi="仿宋" w:eastAsia="仿宋" w:cs="宋体"/>
                <w:kern w:val="0"/>
                <w:sz w:val="20"/>
                <w:szCs w:val="20"/>
              </w:rPr>
            </w:pPr>
          </w:p>
        </w:tc>
        <w:tc>
          <w:tcPr>
            <w:tcW w:w="1837"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提升物业管理水平（3分）</w:t>
            </w:r>
          </w:p>
        </w:tc>
        <w:tc>
          <w:tcPr>
            <w:tcW w:w="78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有效提升</w:t>
            </w:r>
          </w:p>
        </w:tc>
        <w:tc>
          <w:tcPr>
            <w:tcW w:w="67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有所提升</w:t>
            </w:r>
          </w:p>
        </w:tc>
        <w:tc>
          <w:tcPr>
            <w:tcW w:w="43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2.00 </w:t>
            </w:r>
          </w:p>
        </w:tc>
      </w:tr>
      <w:tr>
        <w:tblPrEx>
          <w:tblCellMar>
            <w:top w:w="0" w:type="dxa"/>
            <w:left w:w="108" w:type="dxa"/>
            <w:bottom w:w="0" w:type="dxa"/>
            <w:right w:w="108" w:type="dxa"/>
          </w:tblCellMar>
        </w:tblPrEx>
        <w:trPr>
          <w:trHeight w:val="540" w:hRule="atLeast"/>
        </w:trPr>
        <w:tc>
          <w:tcPr>
            <w:tcW w:w="701" w:type="pct"/>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年度目标4：</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（8分）</w:t>
            </w:r>
          </w:p>
        </w:tc>
        <w:tc>
          <w:tcPr>
            <w:tcW w:w="4299" w:type="pct"/>
            <w:gridSpan w:val="6"/>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 w:hAnsi="仿宋" w:eastAsia="仿宋" w:cs="宋体"/>
                <w:kern w:val="0"/>
                <w:sz w:val="20"/>
                <w:szCs w:val="20"/>
              </w:rPr>
            </w:pPr>
            <w:r>
              <w:rPr>
                <w:rFonts w:hint="eastAsia" w:ascii="仿宋" w:hAnsi="仿宋" w:eastAsia="仿宋" w:cs="宋体"/>
                <w:kern w:val="0"/>
                <w:sz w:val="20"/>
                <w:szCs w:val="20"/>
              </w:rPr>
              <w:t>以推进公共交通全覆盖和多式联运建设为抓手，全面开创交通运输新局面。加强公路建、管、养标准化建设，加强道路运输市场监管，推进沿江岸线综合环境整治，加快综合交通多式联运体系建设。</w:t>
            </w:r>
          </w:p>
        </w:tc>
      </w:tr>
      <w:tr>
        <w:tblPrEx>
          <w:tblCellMar>
            <w:top w:w="0" w:type="dxa"/>
            <w:left w:w="108" w:type="dxa"/>
            <w:bottom w:w="0" w:type="dxa"/>
            <w:right w:w="108" w:type="dxa"/>
          </w:tblCellMar>
        </w:tblPrEx>
        <w:trPr>
          <w:trHeight w:val="540" w:hRule="atLeast"/>
        </w:trPr>
        <w:tc>
          <w:tcPr>
            <w:tcW w:w="304" w:type="pct"/>
            <w:vMerge w:val="restart"/>
            <w:tcBorders>
              <w:top w:val="nil"/>
              <w:left w:val="single" w:color="auto" w:sz="4" w:space="0"/>
              <w:bottom w:val="nil"/>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年度绩效指标</w:t>
            </w:r>
          </w:p>
        </w:tc>
        <w:tc>
          <w:tcPr>
            <w:tcW w:w="396" w:type="pct"/>
            <w:vMerge w:val="restart"/>
            <w:tcBorders>
              <w:top w:val="nil"/>
              <w:left w:val="single" w:color="auto" w:sz="4" w:space="0"/>
              <w:bottom w:val="nil"/>
              <w:right w:val="single" w:color="auto"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产出</w:t>
            </w:r>
          </w:p>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 xml:space="preserve">指标 </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（8分）</w:t>
            </w:r>
          </w:p>
        </w:tc>
        <w:tc>
          <w:tcPr>
            <w:tcW w:w="569"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数量指标</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（4分）</w:t>
            </w:r>
          </w:p>
        </w:tc>
        <w:tc>
          <w:tcPr>
            <w:tcW w:w="1837"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农村公路建养完成率（2分）</w:t>
            </w:r>
          </w:p>
        </w:tc>
        <w:tc>
          <w:tcPr>
            <w:tcW w:w="78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c>
          <w:tcPr>
            <w:tcW w:w="67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c>
          <w:tcPr>
            <w:tcW w:w="43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2.00 </w:t>
            </w:r>
          </w:p>
        </w:tc>
      </w:tr>
      <w:tr>
        <w:tblPrEx>
          <w:tblCellMar>
            <w:top w:w="0" w:type="dxa"/>
            <w:left w:w="108" w:type="dxa"/>
            <w:bottom w:w="0" w:type="dxa"/>
            <w:right w:w="108" w:type="dxa"/>
          </w:tblCellMar>
        </w:tblPrEx>
        <w:trPr>
          <w:trHeight w:val="540" w:hRule="atLeast"/>
        </w:trPr>
        <w:tc>
          <w:tcPr>
            <w:tcW w:w="304" w:type="pct"/>
            <w:vMerge w:val="continue"/>
            <w:tcBorders>
              <w:top w:val="nil"/>
              <w:left w:val="single" w:color="auto" w:sz="4" w:space="0"/>
              <w:bottom w:val="nil"/>
              <w:right w:val="single" w:color="auto" w:sz="4" w:space="0"/>
            </w:tcBorders>
            <w:vAlign w:val="center"/>
          </w:tcPr>
          <w:p>
            <w:pPr>
              <w:widowControl/>
              <w:jc w:val="left"/>
              <w:rPr>
                <w:rFonts w:ascii="仿宋" w:hAnsi="仿宋" w:eastAsia="仿宋" w:cs="宋体"/>
                <w:kern w:val="0"/>
                <w:sz w:val="20"/>
                <w:szCs w:val="20"/>
              </w:rPr>
            </w:pPr>
          </w:p>
        </w:tc>
        <w:tc>
          <w:tcPr>
            <w:tcW w:w="396" w:type="pct"/>
            <w:vMerge w:val="continue"/>
            <w:tcBorders>
              <w:top w:val="nil"/>
              <w:left w:val="single" w:color="auto" w:sz="4" w:space="0"/>
              <w:bottom w:val="nil"/>
              <w:right w:val="single" w:color="auto" w:sz="4" w:space="0"/>
            </w:tcBorders>
            <w:vAlign w:val="center"/>
          </w:tcPr>
          <w:p>
            <w:pPr>
              <w:widowControl/>
              <w:jc w:val="left"/>
              <w:rPr>
                <w:rFonts w:ascii="仿宋" w:hAnsi="仿宋" w:eastAsia="仿宋" w:cs="宋体"/>
                <w:kern w:val="0"/>
                <w:sz w:val="20"/>
                <w:szCs w:val="20"/>
              </w:rPr>
            </w:pPr>
          </w:p>
        </w:tc>
        <w:tc>
          <w:tcPr>
            <w:tcW w:w="569" w:type="pct"/>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0"/>
                <w:szCs w:val="20"/>
              </w:rPr>
            </w:pPr>
          </w:p>
        </w:tc>
        <w:tc>
          <w:tcPr>
            <w:tcW w:w="1837"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交运市场管理及专项整治工作完成率（2分）</w:t>
            </w:r>
          </w:p>
        </w:tc>
        <w:tc>
          <w:tcPr>
            <w:tcW w:w="78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c>
          <w:tcPr>
            <w:tcW w:w="67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c>
          <w:tcPr>
            <w:tcW w:w="43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2.00 </w:t>
            </w:r>
          </w:p>
        </w:tc>
      </w:tr>
      <w:tr>
        <w:tblPrEx>
          <w:tblCellMar>
            <w:top w:w="0" w:type="dxa"/>
            <w:left w:w="108" w:type="dxa"/>
            <w:bottom w:w="0" w:type="dxa"/>
            <w:right w:w="108" w:type="dxa"/>
          </w:tblCellMar>
        </w:tblPrEx>
        <w:trPr>
          <w:trHeight w:val="540" w:hRule="atLeast"/>
        </w:trPr>
        <w:tc>
          <w:tcPr>
            <w:tcW w:w="304" w:type="pct"/>
            <w:vMerge w:val="continue"/>
            <w:tcBorders>
              <w:top w:val="nil"/>
              <w:left w:val="single" w:color="auto" w:sz="4" w:space="0"/>
              <w:bottom w:val="nil"/>
              <w:right w:val="single" w:color="auto" w:sz="4" w:space="0"/>
            </w:tcBorders>
            <w:vAlign w:val="center"/>
          </w:tcPr>
          <w:p>
            <w:pPr>
              <w:widowControl/>
              <w:jc w:val="left"/>
              <w:rPr>
                <w:rFonts w:ascii="仿宋" w:hAnsi="仿宋" w:eastAsia="仿宋" w:cs="宋体"/>
                <w:kern w:val="0"/>
                <w:sz w:val="20"/>
                <w:szCs w:val="20"/>
              </w:rPr>
            </w:pPr>
          </w:p>
        </w:tc>
        <w:tc>
          <w:tcPr>
            <w:tcW w:w="396" w:type="pct"/>
            <w:vMerge w:val="continue"/>
            <w:tcBorders>
              <w:top w:val="nil"/>
              <w:left w:val="single" w:color="auto" w:sz="4" w:space="0"/>
              <w:bottom w:val="nil"/>
              <w:right w:val="single" w:color="auto" w:sz="4" w:space="0"/>
            </w:tcBorders>
            <w:vAlign w:val="center"/>
          </w:tcPr>
          <w:p>
            <w:pPr>
              <w:widowControl/>
              <w:jc w:val="left"/>
              <w:rPr>
                <w:rFonts w:ascii="仿宋" w:hAnsi="仿宋" w:eastAsia="仿宋" w:cs="宋体"/>
                <w:kern w:val="0"/>
                <w:sz w:val="20"/>
                <w:szCs w:val="20"/>
              </w:rPr>
            </w:pPr>
          </w:p>
        </w:tc>
        <w:tc>
          <w:tcPr>
            <w:tcW w:w="569"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质量指标</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（4分）</w:t>
            </w:r>
          </w:p>
        </w:tc>
        <w:tc>
          <w:tcPr>
            <w:tcW w:w="1837"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公路环境“大城管”考核管理名次（2分）</w:t>
            </w:r>
          </w:p>
        </w:tc>
        <w:tc>
          <w:tcPr>
            <w:tcW w:w="78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前三</w:t>
            </w:r>
          </w:p>
        </w:tc>
        <w:tc>
          <w:tcPr>
            <w:tcW w:w="67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前三</w:t>
            </w:r>
          </w:p>
        </w:tc>
        <w:tc>
          <w:tcPr>
            <w:tcW w:w="43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2.00 </w:t>
            </w:r>
          </w:p>
        </w:tc>
      </w:tr>
      <w:tr>
        <w:tblPrEx>
          <w:tblCellMar>
            <w:top w:w="0" w:type="dxa"/>
            <w:left w:w="108" w:type="dxa"/>
            <w:bottom w:w="0" w:type="dxa"/>
            <w:right w:w="108" w:type="dxa"/>
          </w:tblCellMar>
        </w:tblPrEx>
        <w:trPr>
          <w:trHeight w:val="495" w:hRule="atLeast"/>
        </w:trPr>
        <w:tc>
          <w:tcPr>
            <w:tcW w:w="304" w:type="pct"/>
            <w:vMerge w:val="continue"/>
            <w:tcBorders>
              <w:top w:val="nil"/>
              <w:left w:val="single" w:color="auto" w:sz="4" w:space="0"/>
              <w:bottom w:val="nil"/>
              <w:right w:val="single" w:color="auto" w:sz="4" w:space="0"/>
            </w:tcBorders>
            <w:vAlign w:val="center"/>
          </w:tcPr>
          <w:p>
            <w:pPr>
              <w:widowControl/>
              <w:jc w:val="left"/>
              <w:rPr>
                <w:rFonts w:ascii="仿宋" w:hAnsi="仿宋" w:eastAsia="仿宋" w:cs="宋体"/>
                <w:kern w:val="0"/>
                <w:sz w:val="20"/>
                <w:szCs w:val="20"/>
              </w:rPr>
            </w:pPr>
          </w:p>
        </w:tc>
        <w:tc>
          <w:tcPr>
            <w:tcW w:w="396" w:type="pct"/>
            <w:vMerge w:val="continue"/>
            <w:tcBorders>
              <w:top w:val="nil"/>
              <w:left w:val="single" w:color="auto" w:sz="4" w:space="0"/>
              <w:bottom w:val="nil"/>
              <w:right w:val="single" w:color="auto" w:sz="4" w:space="0"/>
            </w:tcBorders>
            <w:vAlign w:val="center"/>
          </w:tcPr>
          <w:p>
            <w:pPr>
              <w:widowControl/>
              <w:jc w:val="left"/>
              <w:rPr>
                <w:rFonts w:ascii="仿宋" w:hAnsi="仿宋" w:eastAsia="仿宋" w:cs="宋体"/>
                <w:kern w:val="0"/>
                <w:sz w:val="20"/>
                <w:szCs w:val="20"/>
              </w:rPr>
            </w:pPr>
          </w:p>
        </w:tc>
        <w:tc>
          <w:tcPr>
            <w:tcW w:w="569" w:type="pct"/>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0"/>
                <w:szCs w:val="20"/>
              </w:rPr>
            </w:pPr>
          </w:p>
        </w:tc>
        <w:tc>
          <w:tcPr>
            <w:tcW w:w="1837"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公交改造工作推进度（2分）</w:t>
            </w:r>
          </w:p>
        </w:tc>
        <w:tc>
          <w:tcPr>
            <w:tcW w:w="78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有效推进</w:t>
            </w:r>
          </w:p>
        </w:tc>
        <w:tc>
          <w:tcPr>
            <w:tcW w:w="67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有效推进</w:t>
            </w:r>
          </w:p>
        </w:tc>
        <w:tc>
          <w:tcPr>
            <w:tcW w:w="43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2.00 </w:t>
            </w:r>
          </w:p>
        </w:tc>
      </w:tr>
      <w:tr>
        <w:tblPrEx>
          <w:tblCellMar>
            <w:top w:w="0" w:type="dxa"/>
            <w:left w:w="108" w:type="dxa"/>
            <w:bottom w:w="0" w:type="dxa"/>
            <w:right w:w="108" w:type="dxa"/>
          </w:tblCellMar>
        </w:tblPrEx>
        <w:trPr>
          <w:trHeight w:val="945" w:hRule="atLeast"/>
        </w:trPr>
        <w:tc>
          <w:tcPr>
            <w:tcW w:w="701" w:type="pct"/>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年度目标5：</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（18分）</w:t>
            </w:r>
          </w:p>
        </w:tc>
        <w:tc>
          <w:tcPr>
            <w:tcW w:w="4299" w:type="pct"/>
            <w:gridSpan w:val="6"/>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 w:hAnsi="仿宋" w:eastAsia="仿宋" w:cs="宋体"/>
                <w:kern w:val="0"/>
                <w:sz w:val="20"/>
                <w:szCs w:val="20"/>
              </w:rPr>
            </w:pPr>
            <w:r>
              <w:rPr>
                <w:rFonts w:hint="eastAsia" w:ascii="仿宋" w:hAnsi="仿宋" w:eastAsia="仿宋" w:cs="宋体"/>
                <w:kern w:val="0"/>
                <w:sz w:val="20"/>
                <w:szCs w:val="20"/>
              </w:rPr>
              <w:t>进一步统筹推进各项职能工作，促进全局工作同步协调发展；认真推进人防建设和地震宣传工作，全面建成地下管线综合信息平台，完善施工图审查制度，加强工程备案档案管理。</w:t>
            </w:r>
          </w:p>
        </w:tc>
      </w:tr>
      <w:tr>
        <w:tblPrEx>
          <w:tblCellMar>
            <w:top w:w="0" w:type="dxa"/>
            <w:left w:w="108" w:type="dxa"/>
            <w:bottom w:w="0" w:type="dxa"/>
            <w:right w:w="108" w:type="dxa"/>
          </w:tblCellMar>
        </w:tblPrEx>
        <w:trPr>
          <w:trHeight w:val="540" w:hRule="atLeast"/>
        </w:trPr>
        <w:tc>
          <w:tcPr>
            <w:tcW w:w="304"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年度绩效指标</w:t>
            </w:r>
          </w:p>
        </w:tc>
        <w:tc>
          <w:tcPr>
            <w:tcW w:w="396"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产出</w:t>
            </w:r>
          </w:p>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 xml:space="preserve">指标 </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（8分）</w:t>
            </w:r>
          </w:p>
        </w:tc>
        <w:tc>
          <w:tcPr>
            <w:tcW w:w="569" w:type="pct"/>
            <w:vMerge w:val="restart"/>
            <w:tcBorders>
              <w:top w:val="nil"/>
              <w:left w:val="single" w:color="auto" w:sz="4" w:space="0"/>
              <w:bottom w:val="nil"/>
              <w:right w:val="single" w:color="auto"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数量指标</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（6分）</w:t>
            </w:r>
          </w:p>
        </w:tc>
        <w:tc>
          <w:tcPr>
            <w:tcW w:w="1837"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人防工程建设完成率（2分）</w:t>
            </w:r>
          </w:p>
        </w:tc>
        <w:tc>
          <w:tcPr>
            <w:tcW w:w="78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c>
          <w:tcPr>
            <w:tcW w:w="67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c>
          <w:tcPr>
            <w:tcW w:w="43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2.00 </w:t>
            </w:r>
          </w:p>
        </w:tc>
      </w:tr>
      <w:tr>
        <w:tblPrEx>
          <w:tblCellMar>
            <w:top w:w="0" w:type="dxa"/>
            <w:left w:w="108" w:type="dxa"/>
            <w:bottom w:w="0" w:type="dxa"/>
            <w:right w:w="108" w:type="dxa"/>
          </w:tblCellMar>
        </w:tblPrEx>
        <w:trPr>
          <w:trHeight w:val="540" w:hRule="atLeast"/>
        </w:trPr>
        <w:tc>
          <w:tcPr>
            <w:tcW w:w="304" w:type="pct"/>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kern w:val="0"/>
                <w:sz w:val="20"/>
                <w:szCs w:val="20"/>
              </w:rPr>
            </w:pPr>
          </w:p>
        </w:tc>
        <w:tc>
          <w:tcPr>
            <w:tcW w:w="396" w:type="pct"/>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0"/>
                <w:szCs w:val="20"/>
              </w:rPr>
            </w:pPr>
          </w:p>
        </w:tc>
        <w:tc>
          <w:tcPr>
            <w:tcW w:w="569" w:type="pct"/>
            <w:vMerge w:val="continue"/>
            <w:tcBorders>
              <w:top w:val="nil"/>
              <w:left w:val="single" w:color="auto" w:sz="4" w:space="0"/>
              <w:bottom w:val="nil"/>
              <w:right w:val="single" w:color="auto" w:sz="4" w:space="0"/>
            </w:tcBorders>
            <w:vAlign w:val="center"/>
          </w:tcPr>
          <w:p>
            <w:pPr>
              <w:widowControl/>
              <w:jc w:val="left"/>
              <w:rPr>
                <w:rFonts w:ascii="仿宋" w:hAnsi="仿宋" w:eastAsia="仿宋" w:cs="宋体"/>
                <w:kern w:val="0"/>
                <w:sz w:val="20"/>
                <w:szCs w:val="20"/>
              </w:rPr>
            </w:pPr>
          </w:p>
        </w:tc>
        <w:tc>
          <w:tcPr>
            <w:tcW w:w="1837" w:type="pct"/>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人防教育活动完成率（2分）</w:t>
            </w:r>
          </w:p>
        </w:tc>
        <w:tc>
          <w:tcPr>
            <w:tcW w:w="78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c>
          <w:tcPr>
            <w:tcW w:w="67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c>
          <w:tcPr>
            <w:tcW w:w="43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2.00 </w:t>
            </w:r>
          </w:p>
        </w:tc>
      </w:tr>
      <w:tr>
        <w:tblPrEx>
          <w:tblCellMar>
            <w:top w:w="0" w:type="dxa"/>
            <w:left w:w="108" w:type="dxa"/>
            <w:bottom w:w="0" w:type="dxa"/>
            <w:right w:w="108" w:type="dxa"/>
          </w:tblCellMar>
        </w:tblPrEx>
        <w:trPr>
          <w:trHeight w:val="540" w:hRule="atLeast"/>
        </w:trPr>
        <w:tc>
          <w:tcPr>
            <w:tcW w:w="304" w:type="pct"/>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kern w:val="0"/>
                <w:sz w:val="20"/>
                <w:szCs w:val="20"/>
              </w:rPr>
            </w:pPr>
          </w:p>
        </w:tc>
        <w:tc>
          <w:tcPr>
            <w:tcW w:w="396" w:type="pct"/>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0"/>
                <w:szCs w:val="20"/>
              </w:rPr>
            </w:pPr>
          </w:p>
        </w:tc>
        <w:tc>
          <w:tcPr>
            <w:tcW w:w="569" w:type="pct"/>
            <w:vMerge w:val="continue"/>
            <w:tcBorders>
              <w:top w:val="nil"/>
              <w:left w:val="single" w:color="auto" w:sz="4" w:space="0"/>
              <w:bottom w:val="nil"/>
              <w:right w:val="single" w:color="auto" w:sz="4" w:space="0"/>
            </w:tcBorders>
            <w:vAlign w:val="center"/>
          </w:tcPr>
          <w:p>
            <w:pPr>
              <w:widowControl/>
              <w:jc w:val="left"/>
              <w:rPr>
                <w:rFonts w:ascii="仿宋" w:hAnsi="仿宋" w:eastAsia="仿宋" w:cs="宋体"/>
                <w:kern w:val="0"/>
                <w:sz w:val="20"/>
                <w:szCs w:val="20"/>
              </w:rPr>
            </w:pPr>
          </w:p>
        </w:tc>
        <w:tc>
          <w:tcPr>
            <w:tcW w:w="1837"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地下管线信息平台建成率（2分）</w:t>
            </w:r>
          </w:p>
        </w:tc>
        <w:tc>
          <w:tcPr>
            <w:tcW w:w="78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c>
          <w:tcPr>
            <w:tcW w:w="67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c>
          <w:tcPr>
            <w:tcW w:w="43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2.00 </w:t>
            </w:r>
          </w:p>
        </w:tc>
      </w:tr>
      <w:tr>
        <w:tblPrEx>
          <w:tblCellMar>
            <w:top w:w="0" w:type="dxa"/>
            <w:left w:w="108" w:type="dxa"/>
            <w:bottom w:w="0" w:type="dxa"/>
            <w:right w:w="108" w:type="dxa"/>
          </w:tblCellMar>
        </w:tblPrEx>
        <w:trPr>
          <w:trHeight w:val="495" w:hRule="atLeast"/>
        </w:trPr>
        <w:tc>
          <w:tcPr>
            <w:tcW w:w="304" w:type="pct"/>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kern w:val="0"/>
                <w:sz w:val="20"/>
                <w:szCs w:val="20"/>
              </w:rPr>
            </w:pPr>
          </w:p>
        </w:tc>
        <w:tc>
          <w:tcPr>
            <w:tcW w:w="396" w:type="pct"/>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0"/>
                <w:szCs w:val="20"/>
              </w:rPr>
            </w:pPr>
          </w:p>
        </w:tc>
        <w:tc>
          <w:tcPr>
            <w:tcW w:w="5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质量指标</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（2分）</w:t>
            </w:r>
          </w:p>
        </w:tc>
        <w:tc>
          <w:tcPr>
            <w:tcW w:w="1837"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城建档案管理合规性（2分）</w:t>
            </w:r>
          </w:p>
        </w:tc>
        <w:tc>
          <w:tcPr>
            <w:tcW w:w="78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合规</w:t>
            </w:r>
          </w:p>
        </w:tc>
        <w:tc>
          <w:tcPr>
            <w:tcW w:w="67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合规</w:t>
            </w:r>
          </w:p>
        </w:tc>
        <w:tc>
          <w:tcPr>
            <w:tcW w:w="43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2.00 </w:t>
            </w:r>
          </w:p>
        </w:tc>
      </w:tr>
      <w:tr>
        <w:tblPrEx>
          <w:tblCellMar>
            <w:top w:w="0" w:type="dxa"/>
            <w:left w:w="108" w:type="dxa"/>
            <w:bottom w:w="0" w:type="dxa"/>
            <w:right w:w="108" w:type="dxa"/>
          </w:tblCellMar>
        </w:tblPrEx>
        <w:trPr>
          <w:trHeight w:val="480" w:hRule="atLeast"/>
        </w:trPr>
        <w:tc>
          <w:tcPr>
            <w:tcW w:w="304" w:type="pct"/>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kern w:val="0"/>
                <w:sz w:val="20"/>
                <w:szCs w:val="20"/>
              </w:rPr>
            </w:pPr>
          </w:p>
        </w:tc>
        <w:tc>
          <w:tcPr>
            <w:tcW w:w="396"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效益</w:t>
            </w:r>
          </w:p>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指标</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（10分）</w:t>
            </w:r>
          </w:p>
        </w:tc>
        <w:tc>
          <w:tcPr>
            <w:tcW w:w="569"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社会效益指标</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（10分）</w:t>
            </w:r>
          </w:p>
        </w:tc>
        <w:tc>
          <w:tcPr>
            <w:tcW w:w="1837"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施工图审查提升度（3分）</w:t>
            </w:r>
          </w:p>
        </w:tc>
        <w:tc>
          <w:tcPr>
            <w:tcW w:w="78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提升</w:t>
            </w:r>
          </w:p>
        </w:tc>
        <w:tc>
          <w:tcPr>
            <w:tcW w:w="67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提升</w:t>
            </w:r>
          </w:p>
        </w:tc>
        <w:tc>
          <w:tcPr>
            <w:tcW w:w="43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3.00 </w:t>
            </w:r>
          </w:p>
        </w:tc>
      </w:tr>
      <w:tr>
        <w:tblPrEx>
          <w:tblCellMar>
            <w:top w:w="0" w:type="dxa"/>
            <w:left w:w="108" w:type="dxa"/>
            <w:bottom w:w="0" w:type="dxa"/>
            <w:right w:w="108" w:type="dxa"/>
          </w:tblCellMar>
        </w:tblPrEx>
        <w:trPr>
          <w:trHeight w:val="480" w:hRule="atLeast"/>
        </w:trPr>
        <w:tc>
          <w:tcPr>
            <w:tcW w:w="304" w:type="pct"/>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kern w:val="0"/>
                <w:sz w:val="20"/>
                <w:szCs w:val="20"/>
              </w:rPr>
            </w:pPr>
          </w:p>
        </w:tc>
        <w:tc>
          <w:tcPr>
            <w:tcW w:w="396" w:type="pct"/>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0"/>
                <w:szCs w:val="20"/>
              </w:rPr>
            </w:pPr>
          </w:p>
        </w:tc>
        <w:tc>
          <w:tcPr>
            <w:tcW w:w="569" w:type="pct"/>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kern w:val="0"/>
                <w:sz w:val="20"/>
                <w:szCs w:val="20"/>
              </w:rPr>
            </w:pPr>
          </w:p>
        </w:tc>
        <w:tc>
          <w:tcPr>
            <w:tcW w:w="1837"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建设工程竣工验收备案率（4分）</w:t>
            </w:r>
          </w:p>
        </w:tc>
        <w:tc>
          <w:tcPr>
            <w:tcW w:w="78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c>
          <w:tcPr>
            <w:tcW w:w="67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c>
          <w:tcPr>
            <w:tcW w:w="43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4.00 </w:t>
            </w:r>
          </w:p>
        </w:tc>
      </w:tr>
      <w:tr>
        <w:tblPrEx>
          <w:tblCellMar>
            <w:top w:w="0" w:type="dxa"/>
            <w:left w:w="108" w:type="dxa"/>
            <w:bottom w:w="0" w:type="dxa"/>
            <w:right w:w="108" w:type="dxa"/>
          </w:tblCellMar>
        </w:tblPrEx>
        <w:trPr>
          <w:trHeight w:val="480" w:hRule="atLeast"/>
        </w:trPr>
        <w:tc>
          <w:tcPr>
            <w:tcW w:w="304" w:type="pct"/>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kern w:val="0"/>
                <w:sz w:val="20"/>
                <w:szCs w:val="20"/>
              </w:rPr>
            </w:pPr>
          </w:p>
        </w:tc>
        <w:tc>
          <w:tcPr>
            <w:tcW w:w="396" w:type="pct"/>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0"/>
                <w:szCs w:val="20"/>
              </w:rPr>
            </w:pPr>
          </w:p>
        </w:tc>
        <w:tc>
          <w:tcPr>
            <w:tcW w:w="569" w:type="pct"/>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kern w:val="0"/>
                <w:sz w:val="20"/>
                <w:szCs w:val="20"/>
              </w:rPr>
            </w:pPr>
          </w:p>
        </w:tc>
        <w:tc>
          <w:tcPr>
            <w:tcW w:w="1837"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人防宣传教育普及度（3分）</w:t>
            </w:r>
          </w:p>
        </w:tc>
        <w:tc>
          <w:tcPr>
            <w:tcW w:w="78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c>
          <w:tcPr>
            <w:tcW w:w="67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c>
          <w:tcPr>
            <w:tcW w:w="43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3.00 </w:t>
            </w:r>
          </w:p>
        </w:tc>
      </w:tr>
      <w:tr>
        <w:tblPrEx>
          <w:tblCellMar>
            <w:top w:w="0" w:type="dxa"/>
            <w:left w:w="108" w:type="dxa"/>
            <w:bottom w:w="0" w:type="dxa"/>
            <w:right w:w="108" w:type="dxa"/>
          </w:tblCellMar>
        </w:tblPrEx>
        <w:trPr>
          <w:trHeight w:val="540" w:hRule="atLeast"/>
        </w:trPr>
        <w:tc>
          <w:tcPr>
            <w:tcW w:w="701" w:type="pct"/>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年度目标6：</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（12分）</w:t>
            </w:r>
          </w:p>
        </w:tc>
        <w:tc>
          <w:tcPr>
            <w:tcW w:w="4299" w:type="pct"/>
            <w:gridSpan w:val="6"/>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 w:hAnsi="仿宋" w:eastAsia="仿宋" w:cs="宋体"/>
                <w:kern w:val="0"/>
                <w:sz w:val="20"/>
                <w:szCs w:val="20"/>
              </w:rPr>
            </w:pPr>
            <w:r>
              <w:rPr>
                <w:rFonts w:hint="eastAsia" w:ascii="仿宋" w:hAnsi="仿宋" w:eastAsia="仿宋" w:cs="宋体"/>
                <w:kern w:val="0"/>
                <w:sz w:val="20"/>
                <w:szCs w:val="20"/>
              </w:rPr>
              <w:t>进一步加强学习教育，迅速掀起学习宣传贯彻党的精神热潮；强化目标管理，增强创优意识，着力加强政治建设，驰而不息常态化抓正风肃纪，深入推进依法行政。</w:t>
            </w:r>
          </w:p>
        </w:tc>
      </w:tr>
      <w:tr>
        <w:tblPrEx>
          <w:tblCellMar>
            <w:top w:w="0" w:type="dxa"/>
            <w:left w:w="108" w:type="dxa"/>
            <w:bottom w:w="0" w:type="dxa"/>
            <w:right w:w="108" w:type="dxa"/>
          </w:tblCellMar>
        </w:tblPrEx>
        <w:trPr>
          <w:trHeight w:val="540" w:hRule="atLeast"/>
        </w:trPr>
        <w:tc>
          <w:tcPr>
            <w:tcW w:w="304"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年度绩效指标</w:t>
            </w:r>
          </w:p>
        </w:tc>
        <w:tc>
          <w:tcPr>
            <w:tcW w:w="396"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产出</w:t>
            </w:r>
          </w:p>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 xml:space="preserve">指标 </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（6分）</w:t>
            </w:r>
          </w:p>
        </w:tc>
        <w:tc>
          <w:tcPr>
            <w:tcW w:w="569"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数量指标</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（6分）</w:t>
            </w:r>
          </w:p>
        </w:tc>
        <w:tc>
          <w:tcPr>
            <w:tcW w:w="1837"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“两学一做”推进度（2分）</w:t>
            </w:r>
          </w:p>
        </w:tc>
        <w:tc>
          <w:tcPr>
            <w:tcW w:w="78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c>
          <w:tcPr>
            <w:tcW w:w="67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c>
          <w:tcPr>
            <w:tcW w:w="43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2.00 </w:t>
            </w:r>
          </w:p>
        </w:tc>
      </w:tr>
      <w:tr>
        <w:tblPrEx>
          <w:tblCellMar>
            <w:top w:w="0" w:type="dxa"/>
            <w:left w:w="108" w:type="dxa"/>
            <w:bottom w:w="0" w:type="dxa"/>
            <w:right w:w="108" w:type="dxa"/>
          </w:tblCellMar>
        </w:tblPrEx>
        <w:trPr>
          <w:trHeight w:val="540" w:hRule="atLeast"/>
        </w:trPr>
        <w:tc>
          <w:tcPr>
            <w:tcW w:w="304" w:type="pct"/>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kern w:val="0"/>
                <w:sz w:val="20"/>
                <w:szCs w:val="20"/>
              </w:rPr>
            </w:pPr>
          </w:p>
        </w:tc>
        <w:tc>
          <w:tcPr>
            <w:tcW w:w="396" w:type="pct"/>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0"/>
                <w:szCs w:val="20"/>
              </w:rPr>
            </w:pPr>
          </w:p>
        </w:tc>
        <w:tc>
          <w:tcPr>
            <w:tcW w:w="569" w:type="pct"/>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kern w:val="0"/>
                <w:sz w:val="20"/>
                <w:szCs w:val="20"/>
              </w:rPr>
            </w:pPr>
          </w:p>
        </w:tc>
        <w:tc>
          <w:tcPr>
            <w:tcW w:w="1837"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基层党组织建设（2分）</w:t>
            </w:r>
          </w:p>
        </w:tc>
        <w:tc>
          <w:tcPr>
            <w:tcW w:w="78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c>
          <w:tcPr>
            <w:tcW w:w="67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c>
          <w:tcPr>
            <w:tcW w:w="43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2.00 </w:t>
            </w:r>
          </w:p>
        </w:tc>
      </w:tr>
      <w:tr>
        <w:tblPrEx>
          <w:tblCellMar>
            <w:top w:w="0" w:type="dxa"/>
            <w:left w:w="108" w:type="dxa"/>
            <w:bottom w:w="0" w:type="dxa"/>
            <w:right w:w="108" w:type="dxa"/>
          </w:tblCellMar>
        </w:tblPrEx>
        <w:trPr>
          <w:trHeight w:val="495" w:hRule="atLeast"/>
        </w:trPr>
        <w:tc>
          <w:tcPr>
            <w:tcW w:w="304" w:type="pct"/>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kern w:val="0"/>
                <w:sz w:val="20"/>
                <w:szCs w:val="20"/>
              </w:rPr>
            </w:pPr>
          </w:p>
        </w:tc>
        <w:tc>
          <w:tcPr>
            <w:tcW w:w="396" w:type="pct"/>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0"/>
                <w:szCs w:val="20"/>
              </w:rPr>
            </w:pPr>
          </w:p>
        </w:tc>
        <w:tc>
          <w:tcPr>
            <w:tcW w:w="569" w:type="pct"/>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kern w:val="0"/>
                <w:sz w:val="20"/>
                <w:szCs w:val="20"/>
              </w:rPr>
            </w:pPr>
          </w:p>
        </w:tc>
        <w:tc>
          <w:tcPr>
            <w:tcW w:w="1837"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三会一课开展率（2分）</w:t>
            </w:r>
          </w:p>
        </w:tc>
        <w:tc>
          <w:tcPr>
            <w:tcW w:w="78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c>
          <w:tcPr>
            <w:tcW w:w="67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c>
          <w:tcPr>
            <w:tcW w:w="43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2.00 </w:t>
            </w:r>
          </w:p>
        </w:tc>
      </w:tr>
      <w:tr>
        <w:tblPrEx>
          <w:tblCellMar>
            <w:top w:w="0" w:type="dxa"/>
            <w:left w:w="108" w:type="dxa"/>
            <w:bottom w:w="0" w:type="dxa"/>
            <w:right w:w="108" w:type="dxa"/>
          </w:tblCellMar>
        </w:tblPrEx>
        <w:trPr>
          <w:trHeight w:val="480" w:hRule="atLeast"/>
        </w:trPr>
        <w:tc>
          <w:tcPr>
            <w:tcW w:w="304" w:type="pct"/>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kern w:val="0"/>
                <w:sz w:val="20"/>
                <w:szCs w:val="20"/>
              </w:rPr>
            </w:pPr>
          </w:p>
        </w:tc>
        <w:tc>
          <w:tcPr>
            <w:tcW w:w="396"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效益</w:t>
            </w:r>
          </w:p>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指标</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（6分）</w:t>
            </w:r>
          </w:p>
        </w:tc>
        <w:tc>
          <w:tcPr>
            <w:tcW w:w="569"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lang w:eastAsia="zh-CN"/>
              </w:rPr>
            </w:pPr>
            <w:r>
              <w:rPr>
                <w:rFonts w:hint="eastAsia" w:ascii="仿宋" w:hAnsi="仿宋" w:eastAsia="仿宋" w:cs="宋体"/>
                <w:kern w:val="0"/>
                <w:sz w:val="20"/>
                <w:szCs w:val="20"/>
              </w:rPr>
              <w:t>社会效益指标</w:t>
            </w:r>
          </w:p>
          <w:p>
            <w:pPr>
              <w:widowControl/>
              <w:jc w:val="center"/>
              <w:rPr>
                <w:rFonts w:ascii="仿宋" w:hAnsi="仿宋" w:eastAsia="仿宋" w:cs="宋体"/>
                <w:kern w:val="0"/>
                <w:sz w:val="20"/>
                <w:szCs w:val="20"/>
              </w:rPr>
            </w:pPr>
            <w:r>
              <w:rPr>
                <w:rFonts w:hint="eastAsia" w:ascii="仿宋" w:hAnsi="仿宋" w:eastAsia="仿宋" w:cs="宋体"/>
                <w:kern w:val="0"/>
                <w:sz w:val="20"/>
                <w:szCs w:val="20"/>
              </w:rPr>
              <w:t>（6分）</w:t>
            </w:r>
          </w:p>
        </w:tc>
        <w:tc>
          <w:tcPr>
            <w:tcW w:w="1837"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党风党纪问题整改到位率（3分）</w:t>
            </w:r>
          </w:p>
        </w:tc>
        <w:tc>
          <w:tcPr>
            <w:tcW w:w="78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c>
          <w:tcPr>
            <w:tcW w:w="67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c>
          <w:tcPr>
            <w:tcW w:w="43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3.00 </w:t>
            </w:r>
          </w:p>
        </w:tc>
      </w:tr>
      <w:tr>
        <w:tblPrEx>
          <w:tblCellMar>
            <w:top w:w="0" w:type="dxa"/>
            <w:left w:w="108" w:type="dxa"/>
            <w:bottom w:w="0" w:type="dxa"/>
            <w:right w:w="108" w:type="dxa"/>
          </w:tblCellMar>
        </w:tblPrEx>
        <w:trPr>
          <w:trHeight w:val="480" w:hRule="atLeast"/>
        </w:trPr>
        <w:tc>
          <w:tcPr>
            <w:tcW w:w="304" w:type="pct"/>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kern w:val="0"/>
                <w:sz w:val="20"/>
                <w:szCs w:val="20"/>
              </w:rPr>
            </w:pPr>
          </w:p>
        </w:tc>
        <w:tc>
          <w:tcPr>
            <w:tcW w:w="396" w:type="pct"/>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0"/>
                <w:szCs w:val="20"/>
              </w:rPr>
            </w:pPr>
          </w:p>
        </w:tc>
        <w:tc>
          <w:tcPr>
            <w:tcW w:w="569" w:type="pct"/>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kern w:val="0"/>
                <w:sz w:val="20"/>
                <w:szCs w:val="20"/>
              </w:rPr>
            </w:pPr>
          </w:p>
        </w:tc>
        <w:tc>
          <w:tcPr>
            <w:tcW w:w="1837"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加强社会治理，全面依法治国（3分）</w:t>
            </w:r>
          </w:p>
        </w:tc>
        <w:tc>
          <w:tcPr>
            <w:tcW w:w="78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加强</w:t>
            </w:r>
          </w:p>
        </w:tc>
        <w:tc>
          <w:tcPr>
            <w:tcW w:w="672"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加强</w:t>
            </w:r>
          </w:p>
        </w:tc>
        <w:tc>
          <w:tcPr>
            <w:tcW w:w="439" w:type="pct"/>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 xml:space="preserve">3.00 </w:t>
            </w:r>
          </w:p>
        </w:tc>
      </w:tr>
      <w:tr>
        <w:tblPrEx>
          <w:tblCellMar>
            <w:top w:w="0" w:type="dxa"/>
            <w:left w:w="108" w:type="dxa"/>
            <w:bottom w:w="0" w:type="dxa"/>
            <w:right w:w="108" w:type="dxa"/>
          </w:tblCellMar>
        </w:tblPrEx>
        <w:trPr>
          <w:trHeight w:val="450" w:hRule="atLeast"/>
        </w:trPr>
        <w:tc>
          <w:tcPr>
            <w:tcW w:w="304" w:type="pct"/>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kern w:val="0"/>
                <w:sz w:val="20"/>
                <w:szCs w:val="20"/>
              </w:rPr>
            </w:pPr>
            <w:r>
              <w:rPr>
                <w:rFonts w:hint="eastAsia" w:ascii="仿宋" w:hAnsi="仿宋" w:eastAsia="仿宋" w:cs="宋体"/>
                <w:kern w:val="0"/>
                <w:sz w:val="20"/>
                <w:szCs w:val="20"/>
              </w:rPr>
              <w:t>总分</w:t>
            </w:r>
          </w:p>
        </w:tc>
        <w:tc>
          <w:tcPr>
            <w:tcW w:w="4696" w:type="pct"/>
            <w:gridSpan w:val="7"/>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91.82分</w:t>
            </w:r>
          </w:p>
        </w:tc>
      </w:tr>
      <w:tr>
        <w:tblPrEx>
          <w:tblCellMar>
            <w:top w:w="0" w:type="dxa"/>
            <w:left w:w="108" w:type="dxa"/>
            <w:bottom w:w="0" w:type="dxa"/>
            <w:right w:w="108" w:type="dxa"/>
          </w:tblCellMar>
        </w:tblPrEx>
        <w:trPr>
          <w:trHeight w:val="3015" w:hRule="atLeast"/>
        </w:trPr>
        <w:tc>
          <w:tcPr>
            <w:tcW w:w="701" w:type="pct"/>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偏差大或目标未完成原因分析</w:t>
            </w:r>
          </w:p>
        </w:tc>
        <w:tc>
          <w:tcPr>
            <w:tcW w:w="4299" w:type="pct"/>
            <w:gridSpan w:val="6"/>
            <w:tcBorders>
              <w:top w:val="single" w:color="auto" w:sz="4" w:space="0"/>
              <w:left w:val="nil"/>
              <w:bottom w:val="single" w:color="auto" w:sz="4" w:space="0"/>
              <w:right w:val="single" w:color="000000" w:sz="4" w:space="0"/>
            </w:tcBorders>
            <w:shd w:val="clear" w:color="auto" w:fill="auto"/>
            <w:vAlign w:val="center"/>
          </w:tcPr>
          <w:p>
            <w:pPr>
              <w:widowControl/>
              <w:rPr>
                <w:rFonts w:hint="eastAsia" w:ascii="仿宋" w:hAnsi="仿宋" w:eastAsia="仿宋" w:cs="宋体"/>
                <w:kern w:val="0"/>
                <w:sz w:val="20"/>
                <w:szCs w:val="20"/>
                <w:lang w:eastAsia="zh-CN"/>
              </w:rPr>
            </w:pPr>
            <w:r>
              <w:rPr>
                <w:rFonts w:hint="eastAsia" w:ascii="仿宋" w:hAnsi="仿宋" w:eastAsia="仿宋" w:cs="宋体"/>
                <w:kern w:val="0"/>
                <w:sz w:val="20"/>
                <w:szCs w:val="20"/>
              </w:rPr>
              <w:t>1.“预算执行率”指标存在偏差的原因是：一是部分指标下达时间的影响。由于下达时间为年底，尤其是上级转移支付指标，预算单位无法及时在当年支付使用；二是工程项目按时序进度拨付的影响。由于工程项目经费根据工作时序进度付款，导致该项指标当年执行率过低；三是部分预算单位用款习惯的影响。由于部分预算单位用款习惯集中在春节前夕，导致当年实际执行率较低；</w:t>
            </w:r>
          </w:p>
          <w:p>
            <w:pPr>
              <w:widowControl/>
              <w:rPr>
                <w:rFonts w:hint="eastAsia" w:ascii="仿宋" w:hAnsi="仿宋" w:eastAsia="仿宋" w:cs="宋体"/>
                <w:kern w:val="0"/>
                <w:sz w:val="20"/>
                <w:szCs w:val="20"/>
                <w:lang w:eastAsia="zh-CN"/>
              </w:rPr>
            </w:pPr>
            <w:r>
              <w:rPr>
                <w:rFonts w:hint="eastAsia" w:ascii="仿宋" w:hAnsi="仿宋" w:eastAsia="仿宋" w:cs="宋体"/>
                <w:kern w:val="0"/>
                <w:sz w:val="20"/>
                <w:szCs w:val="20"/>
              </w:rPr>
              <w:t>2.“房产销售增速”指标存在偏差的原因是：经开区2021年销售项目地理位置较偏，公共配套设施不够完善，且受新冠肺炎疫情影响，就业岗位和收入预期不稳，带来居民购房欲望降低，导致经开区房地产销售遇冷，销售量大幅下行，市场调整压力较大；</w:t>
            </w:r>
          </w:p>
          <w:p>
            <w:pPr>
              <w:widowControl/>
              <w:rPr>
                <w:rFonts w:ascii="仿宋" w:hAnsi="仿宋" w:eastAsia="仿宋" w:cs="宋体"/>
                <w:kern w:val="0"/>
                <w:sz w:val="20"/>
                <w:szCs w:val="20"/>
              </w:rPr>
            </w:pPr>
            <w:r>
              <w:rPr>
                <w:rFonts w:hint="eastAsia" w:ascii="仿宋" w:hAnsi="仿宋" w:eastAsia="仿宋" w:cs="宋体"/>
                <w:kern w:val="0"/>
                <w:sz w:val="20"/>
                <w:szCs w:val="20"/>
              </w:rPr>
              <w:t>3.“提升物业管理水平”指标存在偏差的原因是：一是业委会及业主对物业服务认识不到位。部分小区基础设施较差，业主将问题责任全部归于物业企业，导致双方之间存在矛盾，制约着物业服务质量的提高。二是全区57家物业服务企业，88个物业管理项目，物业从业人员4260人。由于物业从业人员流动性大，从业人员业务素质参差不齐，影响物业管理水平的提升。</w:t>
            </w:r>
          </w:p>
        </w:tc>
      </w:tr>
      <w:tr>
        <w:tblPrEx>
          <w:tblCellMar>
            <w:top w:w="0" w:type="dxa"/>
            <w:left w:w="108" w:type="dxa"/>
            <w:bottom w:w="0" w:type="dxa"/>
            <w:right w:w="108" w:type="dxa"/>
          </w:tblCellMar>
        </w:tblPrEx>
        <w:trPr>
          <w:trHeight w:val="4635" w:hRule="atLeast"/>
        </w:trPr>
        <w:tc>
          <w:tcPr>
            <w:tcW w:w="701" w:type="pct"/>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改进措施及结果应用方案</w:t>
            </w:r>
          </w:p>
        </w:tc>
        <w:tc>
          <w:tcPr>
            <w:tcW w:w="4299" w:type="pct"/>
            <w:gridSpan w:val="6"/>
            <w:tcBorders>
              <w:top w:val="single" w:color="auto" w:sz="4" w:space="0"/>
              <w:left w:val="nil"/>
              <w:bottom w:val="single" w:color="auto" w:sz="4" w:space="0"/>
              <w:right w:val="single" w:color="000000" w:sz="4" w:space="0"/>
            </w:tcBorders>
            <w:shd w:val="clear" w:color="auto" w:fill="auto"/>
            <w:vAlign w:val="center"/>
          </w:tcPr>
          <w:p>
            <w:pPr>
              <w:widowControl/>
              <w:rPr>
                <w:rFonts w:hint="eastAsia" w:ascii="仿宋" w:hAnsi="仿宋" w:eastAsia="仿宋" w:cs="宋体"/>
                <w:kern w:val="0"/>
                <w:sz w:val="20"/>
                <w:szCs w:val="20"/>
                <w:lang w:eastAsia="zh-CN"/>
              </w:rPr>
            </w:pPr>
            <w:r>
              <w:rPr>
                <w:rFonts w:hint="eastAsia" w:ascii="仿宋" w:hAnsi="仿宋" w:eastAsia="仿宋" w:cs="宋体"/>
                <w:kern w:val="0"/>
                <w:sz w:val="20"/>
                <w:szCs w:val="20"/>
              </w:rPr>
              <w:t>1.“预算执行率”指标的改进措施是：提高预算编制的科学性和合理性，加强预算编制的前瞻性，按照《预算法》及其实施条例的相关规定，结合本年度预算执行和调整情况、下年度预算收支变化因素及项目支出进度，科学、合理地编制下年度预算草案，避免预算支出与实际执行出现较大偏差的情况，同时加强2022年度部门预算执行进度和绩效执行监控并及时纠偏。</w:t>
            </w:r>
          </w:p>
          <w:p>
            <w:pPr>
              <w:widowControl/>
              <w:rPr>
                <w:rFonts w:hint="eastAsia" w:ascii="仿宋" w:hAnsi="仿宋" w:eastAsia="仿宋" w:cs="宋体"/>
                <w:kern w:val="0"/>
                <w:sz w:val="20"/>
                <w:szCs w:val="20"/>
                <w:lang w:eastAsia="zh-CN"/>
              </w:rPr>
            </w:pPr>
            <w:r>
              <w:rPr>
                <w:rFonts w:hint="eastAsia" w:ascii="仿宋" w:hAnsi="仿宋" w:eastAsia="仿宋" w:cs="宋体"/>
                <w:kern w:val="0"/>
                <w:sz w:val="20"/>
                <w:szCs w:val="20"/>
              </w:rPr>
              <w:t>2.“房产销售增速”指标的改进措施是：加强政策引导，恢复房地产业发展活力。将中央经济工作会议提出的“促进房地产业良性循环和健康发展”及支持商品房市场更好满足购房者合理的多样化的住房需求做为总体目标，以指导规划部署和制定政策措施。从房地产信贷、公积金支持、优化预售资金监管、提升出让地块品质、完善住房销售政策、提升购房便利度和居住品质等六方面提出政策支持，促进经开区房地产业良性循环和健康发展，进一步满足人才和新市民的自住需求和改善性住房需求；</w:t>
            </w:r>
          </w:p>
          <w:p>
            <w:pPr>
              <w:widowControl/>
              <w:rPr>
                <w:rFonts w:ascii="仿宋" w:hAnsi="仿宋" w:eastAsia="仿宋" w:cs="宋体"/>
                <w:kern w:val="0"/>
                <w:sz w:val="20"/>
                <w:szCs w:val="20"/>
              </w:rPr>
            </w:pPr>
            <w:r>
              <w:rPr>
                <w:rFonts w:hint="eastAsia" w:ascii="仿宋" w:hAnsi="仿宋" w:eastAsia="仿宋" w:cs="宋体"/>
                <w:kern w:val="0"/>
                <w:sz w:val="20"/>
                <w:szCs w:val="20"/>
              </w:rPr>
              <w:t>3.“提升物业管理水平”指标的改进措施是：切实提升物业管理水平。一是加大辖区物业管理小区的巡查力度。对业主投诉较多的小区重点巡查，及时督促物业服务企业整改，降低关于物业管理方面的投诉率，达到群众满意的效果，提升物业管理水平。二是加大辖区物业服务企业的处罚力度。对物业服务企业不履职，不履行物业服务合同的约定，服务不到位的企业进行约谈、从重处罚，规范全区的物业服务市场。三是加强业委会培训指导。组织对参与指导和组织业委会组建换届的工作人员进行集中培训，重点学习有关法律法规和政策规定，明确工作方法，提升履职能力。四是推动物业企业服务标准化。分类制定物业服务规范，开展物业服务培训，提升物业服务水平。物业巡查常态化，督促物业企业立行立改，不断提升服务水平。五是加强物业管理宣传，提高社会对物业管理的认识。通过小区微信群、公告栏等渠道，广泛宣传物业管理政策、法规、规定，让广大居民对物业管理行业有充分的了解，进一步了解物业服务方面的知识，更好的化解物业服务企业与业主的矛盾纠纷。</w:t>
            </w:r>
          </w:p>
        </w:tc>
      </w:tr>
      <w:tr>
        <w:tblPrEx>
          <w:tblCellMar>
            <w:top w:w="0" w:type="dxa"/>
            <w:left w:w="108" w:type="dxa"/>
            <w:bottom w:w="0" w:type="dxa"/>
            <w:right w:w="108" w:type="dxa"/>
          </w:tblCellMar>
        </w:tblPrEx>
        <w:trPr>
          <w:trHeight w:val="2430" w:hRule="atLeast"/>
        </w:trPr>
        <w:tc>
          <w:tcPr>
            <w:tcW w:w="500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仿宋" w:hAnsi="仿宋" w:eastAsia="仿宋" w:cs="宋体"/>
                <w:kern w:val="0"/>
                <w:sz w:val="18"/>
                <w:szCs w:val="18"/>
                <w:lang w:eastAsia="zh-CN"/>
              </w:rPr>
            </w:pPr>
            <w:r>
              <w:rPr>
                <w:rFonts w:hint="eastAsia" w:ascii="仿宋" w:hAnsi="仿宋" w:eastAsia="仿宋" w:cs="宋体"/>
                <w:kern w:val="0"/>
                <w:sz w:val="18"/>
                <w:szCs w:val="18"/>
              </w:rPr>
              <w:t>备注:</w:t>
            </w:r>
          </w:p>
          <w:p>
            <w:pPr>
              <w:widowControl/>
              <w:jc w:val="left"/>
              <w:rPr>
                <w:rFonts w:hint="eastAsia" w:ascii="仿宋" w:hAnsi="仿宋" w:eastAsia="仿宋" w:cs="宋体"/>
                <w:kern w:val="0"/>
                <w:sz w:val="18"/>
                <w:szCs w:val="18"/>
                <w:lang w:eastAsia="zh-CN"/>
              </w:rPr>
            </w:pPr>
            <w:r>
              <w:rPr>
                <w:rFonts w:hint="eastAsia" w:ascii="仿宋" w:hAnsi="仿宋" w:eastAsia="仿宋" w:cs="宋体"/>
                <w:kern w:val="0"/>
                <w:sz w:val="18"/>
                <w:szCs w:val="18"/>
              </w:rPr>
              <w:t>1. 预算执行情况口径: 预算数为调整后财政资金总额 (包括上年结余结转 ) ，执行数为资金使用单位财政资金实际支出数。</w:t>
            </w:r>
          </w:p>
          <w:p>
            <w:pPr>
              <w:widowControl/>
              <w:jc w:val="left"/>
              <w:rPr>
                <w:rFonts w:hint="eastAsia" w:ascii="仿宋" w:hAnsi="仿宋" w:eastAsia="仿宋" w:cs="宋体"/>
                <w:kern w:val="0"/>
                <w:sz w:val="18"/>
                <w:szCs w:val="18"/>
                <w:lang w:eastAsia="zh-CN"/>
              </w:rPr>
            </w:pPr>
            <w:r>
              <w:rPr>
                <w:rFonts w:hint="eastAsia" w:ascii="仿宋" w:hAnsi="仿宋" w:eastAsia="仿宋" w:cs="宋体"/>
                <w:kern w:val="0"/>
                <w:sz w:val="18"/>
                <w:szCs w:val="18"/>
              </w:rPr>
              <w:t>2. 定量指标完成数汇总原则: 绝对值直接累加计算，相对值按照资金额度加权平均计算。定量指标计分原则: 正向指标 (即目标值为＞X, 得分=权重*B/A) ，反向指标 (即目标值为≤X，得分=权重*A/B) ，得分不得突破权重总额。定量指标先汇总完成数，再计算得分。</w:t>
            </w:r>
          </w:p>
          <w:p>
            <w:pPr>
              <w:widowControl/>
              <w:jc w:val="left"/>
              <w:rPr>
                <w:rFonts w:hint="eastAsia" w:ascii="仿宋" w:hAnsi="仿宋" w:eastAsia="仿宋" w:cs="宋体"/>
                <w:kern w:val="0"/>
                <w:sz w:val="18"/>
                <w:szCs w:val="18"/>
                <w:lang w:eastAsia="zh-CN"/>
              </w:rPr>
            </w:pPr>
            <w:r>
              <w:rPr>
                <w:rFonts w:hint="eastAsia" w:ascii="仿宋" w:hAnsi="仿宋" w:eastAsia="仿宋" w:cs="宋体"/>
                <w:kern w:val="0"/>
                <w:sz w:val="18"/>
                <w:szCs w:val="18"/>
              </w:rPr>
              <w:t xml:space="preserve">3. 定性指标计分原则: 达成预期指标、部分达成预期指标并具有一定效果、未达成预期指标且效果较差三档，分别按照该指标对应分值区间 100-80(含80%) 、80-50% (含50%) 、 50-0%合理确定分值。汇总时，以资金额度为权重，对分值进行加权平均计算。 </w:t>
            </w:r>
          </w:p>
          <w:p>
            <w:pPr>
              <w:widowControl/>
              <w:jc w:val="left"/>
              <w:rPr>
                <w:rFonts w:ascii="仿宋" w:hAnsi="仿宋" w:eastAsia="仿宋" w:cs="宋体"/>
                <w:kern w:val="0"/>
                <w:sz w:val="18"/>
                <w:szCs w:val="18"/>
              </w:rPr>
            </w:pPr>
            <w:r>
              <w:rPr>
                <w:rFonts w:hint="eastAsia" w:ascii="仿宋" w:hAnsi="仿宋" w:eastAsia="仿宋" w:cs="宋体"/>
                <w:kern w:val="0"/>
                <w:sz w:val="18"/>
                <w:szCs w:val="18"/>
              </w:rPr>
              <w:t>4. 基于经济性和必要性等因素考虑，满意度指标暂可不作为必评指标。</w:t>
            </w:r>
          </w:p>
        </w:tc>
      </w:tr>
    </w:tbl>
    <w:p>
      <w:pPr>
        <w:pStyle w:val="2"/>
        <w:sectPr>
          <w:pgSz w:w="11906" w:h="16838"/>
          <w:pgMar w:top="1440" w:right="1800" w:bottom="1440" w:left="1800" w:header="851" w:footer="992" w:gutter="0"/>
          <w:cols w:space="425" w:num="1"/>
          <w:docGrid w:type="lines" w:linePitch="312" w:charSpace="0"/>
        </w:sectPr>
      </w:pPr>
    </w:p>
    <w:p>
      <w:pPr>
        <w:widowControl/>
        <w:spacing w:line="560" w:lineRule="exact"/>
        <w:ind w:firstLine="640" w:firstLineChars="200"/>
        <w:outlineLvl w:val="0"/>
        <w:rPr>
          <w:rFonts w:eastAsia="黑体"/>
          <w:kern w:val="0"/>
          <w:sz w:val="32"/>
          <w:szCs w:val="32"/>
        </w:rPr>
      </w:pPr>
      <w:r>
        <w:rPr>
          <w:rFonts w:eastAsia="黑体"/>
          <w:kern w:val="0"/>
          <w:sz w:val="32"/>
          <w:szCs w:val="32"/>
        </w:rPr>
        <w:t>二、佐证材料</w:t>
      </w:r>
    </w:p>
    <w:p>
      <w:pPr>
        <w:widowControl/>
        <w:spacing w:line="560" w:lineRule="exact"/>
        <w:ind w:firstLine="643" w:firstLineChars="200"/>
        <w:jc w:val="left"/>
        <w:outlineLvl w:val="1"/>
        <w:rPr>
          <w:rFonts w:eastAsia="楷体"/>
          <w:b/>
          <w:bCs/>
          <w:kern w:val="0"/>
          <w:sz w:val="32"/>
          <w:szCs w:val="32"/>
        </w:rPr>
      </w:pPr>
      <w:r>
        <w:rPr>
          <w:rFonts w:eastAsia="楷体"/>
          <w:b/>
          <w:bCs/>
          <w:kern w:val="0"/>
          <w:sz w:val="32"/>
          <w:szCs w:val="32"/>
        </w:rPr>
        <w:t>（一）基本情况</w:t>
      </w:r>
    </w:p>
    <w:p>
      <w:pPr>
        <w:keepNext/>
        <w:spacing w:line="560" w:lineRule="exact"/>
        <w:ind w:firstLine="643" w:firstLineChars="200"/>
        <w:rPr>
          <w:rFonts w:eastAsia="仿宋"/>
          <w:sz w:val="32"/>
          <w:szCs w:val="32"/>
        </w:rPr>
      </w:pPr>
      <w:r>
        <w:rPr>
          <w:rFonts w:eastAsia="仿宋"/>
          <w:b/>
          <w:bCs/>
          <w:sz w:val="32"/>
          <w:szCs w:val="32"/>
        </w:rPr>
        <w:t>1.部门支出情况</w:t>
      </w:r>
    </w:p>
    <w:p>
      <w:pPr>
        <w:keepNext/>
        <w:spacing w:line="560" w:lineRule="exact"/>
        <w:ind w:firstLine="640" w:firstLineChars="200"/>
        <w:rPr>
          <w:rFonts w:eastAsia="仿宋"/>
          <w:sz w:val="32"/>
          <w:szCs w:val="32"/>
        </w:rPr>
      </w:pPr>
      <w:r>
        <w:rPr>
          <w:rFonts w:hint="eastAsia" w:eastAsia="仿宋"/>
          <w:sz w:val="32"/>
          <w:szCs w:val="32"/>
        </w:rPr>
        <w:t>2021年度武汉经济技术开发区（汉南区）住房和城乡建设局部门年初预算总额</w:t>
      </w:r>
      <w:r>
        <w:rPr>
          <w:rFonts w:eastAsia="仿宋"/>
          <w:sz w:val="32"/>
          <w:szCs w:val="32"/>
        </w:rPr>
        <w:t>78216.95</w:t>
      </w:r>
      <w:r>
        <w:rPr>
          <w:rFonts w:hint="eastAsia" w:eastAsia="仿宋"/>
          <w:sz w:val="32"/>
          <w:szCs w:val="32"/>
        </w:rPr>
        <w:t>万元，调整预算数为</w:t>
      </w:r>
      <w:r>
        <w:rPr>
          <w:rFonts w:eastAsia="仿宋"/>
          <w:sz w:val="32"/>
          <w:szCs w:val="32"/>
        </w:rPr>
        <w:t>357422.52</w:t>
      </w:r>
      <w:r>
        <w:rPr>
          <w:rFonts w:hint="eastAsia" w:eastAsia="仿宋"/>
          <w:sz w:val="32"/>
          <w:szCs w:val="32"/>
        </w:rPr>
        <w:t>万元，决算数为</w:t>
      </w:r>
      <w:r>
        <w:rPr>
          <w:rFonts w:eastAsia="仿宋"/>
          <w:sz w:val="32"/>
          <w:szCs w:val="32"/>
        </w:rPr>
        <w:t>278329</w:t>
      </w:r>
      <w:r>
        <w:rPr>
          <w:rFonts w:hint="eastAsia" w:eastAsia="仿宋"/>
          <w:sz w:val="32"/>
          <w:szCs w:val="32"/>
        </w:rPr>
        <w:t>.</w:t>
      </w:r>
      <w:r>
        <w:rPr>
          <w:rFonts w:eastAsia="仿宋"/>
          <w:sz w:val="32"/>
          <w:szCs w:val="32"/>
        </w:rPr>
        <w:t>89</w:t>
      </w:r>
      <w:r>
        <w:rPr>
          <w:rFonts w:hint="eastAsia" w:eastAsia="仿宋"/>
          <w:sz w:val="32"/>
          <w:szCs w:val="32"/>
        </w:rPr>
        <w:t>万元，其中基本支出总额</w:t>
      </w:r>
      <w:r>
        <w:rPr>
          <w:rFonts w:eastAsia="仿宋"/>
          <w:sz w:val="32"/>
          <w:szCs w:val="32"/>
        </w:rPr>
        <w:t>7422.09</w:t>
      </w:r>
      <w:r>
        <w:rPr>
          <w:rFonts w:hint="eastAsia" w:eastAsia="仿宋"/>
          <w:sz w:val="32"/>
          <w:szCs w:val="32"/>
        </w:rPr>
        <w:t>万元，项目支出总额</w:t>
      </w:r>
      <w:r>
        <w:rPr>
          <w:rFonts w:eastAsia="仿宋"/>
          <w:sz w:val="32"/>
          <w:szCs w:val="32"/>
        </w:rPr>
        <w:t>270907.80</w:t>
      </w:r>
      <w:r>
        <w:rPr>
          <w:rFonts w:hint="eastAsia" w:eastAsia="仿宋"/>
          <w:sz w:val="32"/>
          <w:szCs w:val="32"/>
        </w:rPr>
        <w:t>万元，预算执行率</w:t>
      </w:r>
      <w:r>
        <w:rPr>
          <w:rFonts w:eastAsia="仿宋"/>
          <w:sz w:val="32"/>
          <w:szCs w:val="32"/>
        </w:rPr>
        <w:t>77.87</w:t>
      </w:r>
      <w:r>
        <w:rPr>
          <w:rFonts w:hint="eastAsia" w:eastAsia="仿宋"/>
          <w:sz w:val="32"/>
          <w:szCs w:val="32"/>
        </w:rPr>
        <w:t>%。</w:t>
      </w:r>
    </w:p>
    <w:p>
      <w:pPr>
        <w:keepNext/>
        <w:spacing w:line="560" w:lineRule="exact"/>
        <w:ind w:firstLine="643" w:firstLineChars="200"/>
        <w:rPr>
          <w:rFonts w:eastAsia="仿宋"/>
          <w:b/>
          <w:bCs/>
          <w:sz w:val="32"/>
          <w:szCs w:val="32"/>
        </w:rPr>
      </w:pPr>
      <w:r>
        <w:rPr>
          <w:rFonts w:eastAsia="仿宋"/>
          <w:b/>
          <w:bCs/>
          <w:sz w:val="32"/>
          <w:szCs w:val="32"/>
        </w:rPr>
        <w:t>2.区委区政府布置的重点工作</w:t>
      </w:r>
    </w:p>
    <w:p>
      <w:pPr>
        <w:pStyle w:val="2"/>
        <w:spacing w:after="0" w:line="560" w:lineRule="exact"/>
        <w:ind w:firstLine="640" w:firstLineChars="200"/>
        <w:rPr>
          <w:rFonts w:eastAsia="仿宋"/>
          <w:sz w:val="32"/>
          <w:szCs w:val="32"/>
        </w:rPr>
      </w:pPr>
      <w:r>
        <w:rPr>
          <w:rFonts w:hint="eastAsia" w:eastAsia="仿宋"/>
          <w:sz w:val="32"/>
          <w:szCs w:val="32"/>
        </w:rPr>
        <w:t>2021年，以习近平新时代中国特色社会主义思想为指导，全面贯彻落实党的十九大和十九届二中、三中、四中、五中全会精神，围绕2021 年全面建成小康社会，深入落实促进中部地区崛起战略，围绕省委“一芯两带三区”区域发展战略，按照建设“三化”大武汉和国家中心城市的要求，奋力担当实干，狠抓工作落实，以更实的举措推进城建交通工作为武汉开发区高质量发展作出更大的贡献。</w:t>
      </w:r>
    </w:p>
    <w:p>
      <w:pPr>
        <w:pStyle w:val="2"/>
        <w:spacing w:after="0" w:line="560" w:lineRule="exact"/>
        <w:ind w:firstLine="640" w:firstLineChars="200"/>
        <w:rPr>
          <w:rFonts w:eastAsia="仿宋"/>
          <w:sz w:val="32"/>
          <w:szCs w:val="32"/>
        </w:rPr>
      </w:pPr>
      <w:r>
        <w:rPr>
          <w:rFonts w:hint="eastAsia" w:eastAsia="仿宋"/>
          <w:sz w:val="32"/>
          <w:szCs w:val="32"/>
        </w:rPr>
        <w:t>（1）围绕提升和完善城市功能品质，继续加大城建投资力度。重点加大骨干道路建设（启动左岸大道、经开—汉南一体化项目建设，推进金河北路、汉洪高速下穿通道建设），完善骨干交通路网；实施老旧小区改造项目，改善民生。</w:t>
      </w:r>
    </w:p>
    <w:p>
      <w:pPr>
        <w:pStyle w:val="2"/>
        <w:spacing w:after="0" w:line="560" w:lineRule="exact"/>
        <w:ind w:firstLine="640" w:firstLineChars="200"/>
        <w:rPr>
          <w:rFonts w:eastAsia="仿宋"/>
          <w:sz w:val="32"/>
          <w:szCs w:val="32"/>
        </w:rPr>
      </w:pPr>
      <w:r>
        <w:rPr>
          <w:rFonts w:hint="eastAsia" w:eastAsia="仿宋"/>
          <w:sz w:val="32"/>
          <w:szCs w:val="32"/>
        </w:rPr>
        <w:t>（2）围绕经济高质量发展，继续加强七大经济指标的调度力度。一是“城建投资、房地产投资”，做好稳增长工作。二是积极做好建筑企业服务工作，确保完成年度建筑业增加值，按照打造千亿建筑业产业目标推进。三是全面完成房地产业GDP 增速目标任务。力争全年完成商品房销售面积150 万平方米。四是推进物流业发展，完成道路与水上运输业营业收入增幅目标。</w:t>
      </w:r>
    </w:p>
    <w:p>
      <w:pPr>
        <w:pStyle w:val="2"/>
        <w:spacing w:after="0" w:line="560" w:lineRule="exact"/>
        <w:ind w:firstLine="640" w:firstLineChars="200"/>
        <w:rPr>
          <w:rFonts w:eastAsia="仿宋"/>
          <w:sz w:val="32"/>
          <w:szCs w:val="32"/>
        </w:rPr>
      </w:pPr>
      <w:r>
        <w:rPr>
          <w:rFonts w:hint="eastAsia" w:eastAsia="仿宋"/>
          <w:sz w:val="32"/>
          <w:szCs w:val="32"/>
        </w:rPr>
        <w:t>（3）围绕民生保障，继续创新住房保障和房产管理工作。继续加大棚户区改造工作力度，2021 年计划完成棚户区新建开工任务量不低于2020 年（1000 套），力争达到20%增速（1200套）。切实加强房地产市场宏观调控工作，加大危房监控力度。全面启动纱帽街金纱轩、银纱轩片区改造工作，完成改造规划方案编制和基础数据备案工作，制定征收安置补偿方案，力争启动还建房建设；继续开展沌阳街郭徐岭片区和沌口街汉纸生活区改造前期工作，完成改造规划方案编制和基础数据调查工作，做好还建房建设选址等前期工作。</w:t>
      </w:r>
    </w:p>
    <w:p>
      <w:pPr>
        <w:pStyle w:val="2"/>
        <w:spacing w:after="0" w:line="560" w:lineRule="exact"/>
        <w:ind w:firstLine="640" w:firstLineChars="200"/>
        <w:rPr>
          <w:rFonts w:eastAsia="仿宋"/>
          <w:sz w:val="32"/>
          <w:szCs w:val="32"/>
        </w:rPr>
      </w:pPr>
      <w:r>
        <w:rPr>
          <w:rFonts w:hint="eastAsia" w:eastAsia="仿宋"/>
          <w:sz w:val="32"/>
          <w:szCs w:val="32"/>
        </w:rPr>
        <w:t>（4）围绕加快交通事业发展，继续强化交通综合管理。加快标准式港湾公交站的规划与建设，完成改造的目标计划。提高政治站位，因地制宜，继续做好农村公路建管养工作。完成好上级下达的通湾公路新建、农村公路提档升级、养护工程任务，督导街道养护好、维护好乡村公路，将“四好农村路”向纵深推进。贯彻绿色发展理念，着力推动绿色港口建设。推广船舶污染物接收、转运和处置联单制度，推动港口船舶污染物治理联合监测、联合执法、应急联动、信息共享，切实打好港口大气和水污染防治攻坚战。切实做好码头扬尘防治工作，严格落实干散货码头防风抑尘措施，打造绿色港口发展环境。</w:t>
      </w:r>
    </w:p>
    <w:p>
      <w:pPr>
        <w:pStyle w:val="2"/>
        <w:spacing w:after="0" w:line="560" w:lineRule="exact"/>
        <w:ind w:firstLine="640" w:firstLineChars="200"/>
        <w:rPr>
          <w:rFonts w:eastAsia="仿宋"/>
          <w:sz w:val="32"/>
          <w:szCs w:val="32"/>
        </w:rPr>
      </w:pPr>
      <w:r>
        <w:rPr>
          <w:rFonts w:hint="eastAsia" w:eastAsia="仿宋"/>
          <w:sz w:val="32"/>
          <w:szCs w:val="32"/>
        </w:rPr>
        <w:t>（5）围绕推进放管服改革，继续优化营商环境。围绕工程建设程序行政审批改革，继续抓好“联合图审”、“联合验收”，抓好事中事后监管。继续抓好全区建设领域内的安全生产领域打非治违和安全生产专项整治工作。切实抓好重点重大项目安全隐患专项整治和“打非治违”，坚决遏制较大以上安全事故发生。继续加强开发区建筑工地“实名制”和“拖欠民工工资”的管理工作。</w:t>
      </w:r>
    </w:p>
    <w:p>
      <w:pPr>
        <w:pStyle w:val="2"/>
        <w:spacing w:after="0" w:line="560" w:lineRule="exact"/>
        <w:ind w:firstLine="640" w:firstLineChars="200"/>
        <w:rPr>
          <w:rFonts w:eastAsia="仿宋"/>
          <w:sz w:val="32"/>
          <w:szCs w:val="32"/>
        </w:rPr>
      </w:pPr>
      <w:r>
        <w:rPr>
          <w:rFonts w:hint="eastAsia" w:eastAsia="仿宋"/>
          <w:sz w:val="32"/>
          <w:szCs w:val="32"/>
        </w:rPr>
        <w:t>（6）围绕全面从严治党，继续加强党基层组织建设。一是深入推进“不忘初心、牢记使命”主题教育常态化、制度化，为全区城建事业健康发展筑牢政治基础。二是积极探索加强党建工作与城建工作深度融合，把党的建设贯穿城建工作全过程。三是大力改进作风，集中整治形式主义、官僚主义，持续优化营商环境，解决好群众和企业最急最难最怨的问题；加强议题案办理和精准扶贫工作，做好“双评议”工作。</w:t>
      </w:r>
      <w:bookmarkStart w:id="3" w:name="_GoBack"/>
      <w:bookmarkEnd w:id="3"/>
    </w:p>
    <w:p>
      <w:pPr>
        <w:pStyle w:val="2"/>
        <w:spacing w:after="0" w:line="560" w:lineRule="exact"/>
        <w:ind w:firstLine="643" w:firstLineChars="200"/>
        <w:rPr>
          <w:rFonts w:eastAsia="仿宋"/>
          <w:b/>
          <w:bCs/>
          <w:sz w:val="32"/>
          <w:szCs w:val="32"/>
        </w:rPr>
      </w:pPr>
      <w:bookmarkStart w:id="0" w:name="_Toc2210"/>
      <w:r>
        <w:rPr>
          <w:rFonts w:eastAsia="仿宋"/>
          <w:b/>
          <w:bCs/>
          <w:sz w:val="32"/>
          <w:szCs w:val="32"/>
        </w:rPr>
        <w:t>3.年度部门整体绩效目标</w:t>
      </w:r>
    </w:p>
    <w:bookmarkEnd w:id="0"/>
    <w:p>
      <w:pPr>
        <w:pStyle w:val="2"/>
        <w:spacing w:after="0" w:line="560" w:lineRule="exact"/>
        <w:ind w:firstLine="640" w:firstLineChars="200"/>
        <w:rPr>
          <w:rFonts w:eastAsia="仿宋"/>
          <w:sz w:val="32"/>
          <w:szCs w:val="32"/>
        </w:rPr>
      </w:pPr>
      <w:r>
        <w:rPr>
          <w:rFonts w:eastAsia="仿宋"/>
          <w:sz w:val="32"/>
          <w:szCs w:val="32"/>
        </w:rPr>
        <w:t>（1）年度目标1：</w:t>
      </w:r>
      <w:r>
        <w:rPr>
          <w:rFonts w:hint="eastAsia" w:eastAsia="仿宋"/>
          <w:sz w:val="32"/>
          <w:szCs w:val="32"/>
        </w:rPr>
        <w:t>进一步推进城建攻坚计划，全面推进城市基础设施配套建设；加强重点项目协调，全面推进路网项目建设。</w:t>
      </w:r>
    </w:p>
    <w:p>
      <w:pPr>
        <w:spacing w:line="560" w:lineRule="exact"/>
        <w:ind w:firstLine="640" w:firstLineChars="200"/>
        <w:rPr>
          <w:rFonts w:eastAsia="仿宋"/>
          <w:sz w:val="32"/>
          <w:szCs w:val="32"/>
        </w:rPr>
      </w:pPr>
      <w:r>
        <w:rPr>
          <w:rFonts w:eastAsia="仿宋"/>
          <w:sz w:val="32"/>
          <w:szCs w:val="32"/>
        </w:rPr>
        <w:t>产出指标：</w:t>
      </w:r>
    </w:p>
    <w:p>
      <w:pPr>
        <w:pStyle w:val="2"/>
        <w:spacing w:after="0" w:line="560" w:lineRule="exact"/>
        <w:ind w:firstLine="640" w:firstLineChars="200"/>
        <w:rPr>
          <w:rFonts w:eastAsia="仿宋"/>
          <w:sz w:val="32"/>
          <w:szCs w:val="32"/>
        </w:rPr>
      </w:pPr>
      <w:r>
        <w:rPr>
          <w:rFonts w:eastAsia="仿宋"/>
          <w:sz w:val="32"/>
          <w:szCs w:val="32"/>
        </w:rPr>
        <w:t>①</w:t>
      </w:r>
      <w:r>
        <w:rPr>
          <w:rFonts w:hint="eastAsia" w:eastAsia="仿宋"/>
          <w:sz w:val="32"/>
          <w:szCs w:val="32"/>
        </w:rPr>
        <w:t>照明提升改造建设推进度，</w:t>
      </w:r>
      <w:r>
        <w:rPr>
          <w:rFonts w:eastAsia="仿宋"/>
          <w:sz w:val="32"/>
          <w:szCs w:val="32"/>
        </w:rPr>
        <w:t>目标为100%</w:t>
      </w:r>
      <w:r>
        <w:rPr>
          <w:rFonts w:hint="eastAsia" w:eastAsia="仿宋"/>
          <w:sz w:val="32"/>
          <w:szCs w:val="32"/>
        </w:rPr>
        <w:t>；</w:t>
      </w:r>
    </w:p>
    <w:p>
      <w:pPr>
        <w:pStyle w:val="2"/>
        <w:spacing w:after="0" w:line="560" w:lineRule="exact"/>
        <w:ind w:firstLine="640" w:firstLineChars="200"/>
        <w:rPr>
          <w:rFonts w:ascii="仿宋" w:hAnsi="仿宋" w:eastAsia="仿宋"/>
          <w:sz w:val="32"/>
          <w:szCs w:val="32"/>
        </w:rPr>
      </w:pPr>
      <w:r>
        <w:rPr>
          <w:rFonts w:hint="eastAsia" w:ascii="仿宋" w:hAnsi="仿宋" w:eastAsia="仿宋"/>
          <w:sz w:val="32"/>
          <w:szCs w:val="32"/>
        </w:rPr>
        <w:t>②市（区）级重点项目建设推进度，</w:t>
      </w:r>
      <w:r>
        <w:rPr>
          <w:rFonts w:ascii="仿宋" w:hAnsi="仿宋" w:eastAsia="仿宋"/>
          <w:sz w:val="32"/>
          <w:szCs w:val="32"/>
        </w:rPr>
        <w:t>目标为</w:t>
      </w:r>
      <w:r>
        <w:rPr>
          <w:rFonts w:eastAsia="仿宋"/>
          <w:sz w:val="32"/>
          <w:szCs w:val="32"/>
        </w:rPr>
        <w:t>100%</w:t>
      </w:r>
      <w:r>
        <w:rPr>
          <w:rFonts w:hint="eastAsia" w:ascii="仿宋" w:hAnsi="仿宋" w:eastAsia="仿宋"/>
          <w:sz w:val="32"/>
          <w:szCs w:val="32"/>
        </w:rPr>
        <w:t>；</w:t>
      </w:r>
    </w:p>
    <w:p>
      <w:pPr>
        <w:spacing w:line="560" w:lineRule="exact"/>
        <w:ind w:firstLine="640" w:firstLineChars="200"/>
        <w:rPr>
          <w:rFonts w:eastAsia="仿宋"/>
          <w:sz w:val="32"/>
          <w:szCs w:val="32"/>
        </w:rPr>
      </w:pPr>
      <w:r>
        <w:rPr>
          <w:rFonts w:eastAsia="仿宋"/>
          <w:sz w:val="32"/>
          <w:szCs w:val="32"/>
        </w:rPr>
        <w:t>效益指标：</w:t>
      </w:r>
    </w:p>
    <w:p>
      <w:pPr>
        <w:keepNext/>
        <w:spacing w:line="560" w:lineRule="exact"/>
        <w:ind w:firstLine="640" w:firstLineChars="200"/>
        <w:rPr>
          <w:rFonts w:eastAsia="仿宋"/>
          <w:sz w:val="32"/>
          <w:szCs w:val="32"/>
        </w:rPr>
      </w:pPr>
      <w:r>
        <w:rPr>
          <w:rFonts w:eastAsia="仿宋"/>
          <w:sz w:val="32"/>
          <w:szCs w:val="32"/>
        </w:rPr>
        <w:t>①</w:t>
      </w:r>
      <w:r>
        <w:rPr>
          <w:rFonts w:hint="eastAsia" w:eastAsia="仿宋"/>
          <w:sz w:val="32"/>
          <w:szCs w:val="32"/>
        </w:rPr>
        <w:t>全区建筑业投资提升度，目标为提升。</w:t>
      </w:r>
    </w:p>
    <w:p>
      <w:pPr>
        <w:pStyle w:val="2"/>
        <w:spacing w:after="0" w:line="560" w:lineRule="exact"/>
        <w:ind w:firstLine="640" w:firstLineChars="200"/>
        <w:rPr>
          <w:rFonts w:eastAsia="仿宋"/>
          <w:sz w:val="32"/>
          <w:szCs w:val="32"/>
        </w:rPr>
      </w:pPr>
      <w:r>
        <w:rPr>
          <w:rFonts w:eastAsia="仿宋"/>
          <w:sz w:val="32"/>
          <w:szCs w:val="32"/>
        </w:rPr>
        <w:t>（2）年度目标2：</w:t>
      </w:r>
      <w:r>
        <w:rPr>
          <w:rFonts w:hint="eastAsia" w:eastAsia="仿宋"/>
          <w:sz w:val="32"/>
          <w:szCs w:val="32"/>
        </w:rPr>
        <w:t>进一步强化建设市场监管与服务，建设规范有序的建筑市场；推进智能家居之都建设，推进装配式建筑发展，推进海绵城市建设，强化建筑工程质量安全监管。</w:t>
      </w:r>
    </w:p>
    <w:p>
      <w:pPr>
        <w:spacing w:line="560" w:lineRule="exact"/>
        <w:ind w:firstLine="640" w:firstLineChars="200"/>
        <w:rPr>
          <w:rFonts w:eastAsia="仿宋"/>
          <w:sz w:val="32"/>
          <w:szCs w:val="32"/>
        </w:rPr>
      </w:pPr>
      <w:r>
        <w:rPr>
          <w:rFonts w:eastAsia="仿宋"/>
          <w:sz w:val="32"/>
          <w:szCs w:val="32"/>
        </w:rPr>
        <w:t>产出指标：</w:t>
      </w:r>
    </w:p>
    <w:p>
      <w:pPr>
        <w:pStyle w:val="2"/>
        <w:snapToGrid w:val="0"/>
        <w:spacing w:after="0" w:line="560" w:lineRule="exact"/>
        <w:ind w:firstLine="640" w:firstLineChars="200"/>
        <w:rPr>
          <w:rFonts w:eastAsia="仿宋"/>
          <w:sz w:val="32"/>
          <w:szCs w:val="32"/>
        </w:rPr>
      </w:pPr>
      <w:r>
        <w:rPr>
          <w:rFonts w:eastAsia="仿宋"/>
          <w:sz w:val="32"/>
          <w:szCs w:val="32"/>
        </w:rPr>
        <w:t>①</w:t>
      </w:r>
      <w:r>
        <w:rPr>
          <w:rFonts w:hint="eastAsia" w:eastAsia="仿宋"/>
          <w:sz w:val="32"/>
          <w:szCs w:val="32"/>
        </w:rPr>
        <w:t>工程监督抽查到位率，</w:t>
      </w:r>
      <w:r>
        <w:rPr>
          <w:rFonts w:eastAsia="仿宋"/>
          <w:sz w:val="32"/>
          <w:szCs w:val="32"/>
        </w:rPr>
        <w:t>目标为</w:t>
      </w:r>
      <w:r>
        <w:rPr>
          <w:rFonts w:hint="eastAsia" w:eastAsia="仿宋"/>
          <w:sz w:val="32"/>
          <w:szCs w:val="32"/>
        </w:rPr>
        <w:t>100%；</w:t>
      </w:r>
    </w:p>
    <w:p>
      <w:pPr>
        <w:pStyle w:val="2"/>
        <w:spacing w:after="0" w:line="560" w:lineRule="exact"/>
        <w:ind w:firstLine="640" w:firstLineChars="200"/>
        <w:rPr>
          <w:rFonts w:eastAsia="仿宋"/>
          <w:sz w:val="32"/>
          <w:szCs w:val="32"/>
        </w:rPr>
      </w:pPr>
      <w:r>
        <w:rPr>
          <w:rFonts w:eastAsia="仿宋"/>
          <w:sz w:val="32"/>
          <w:szCs w:val="32"/>
        </w:rPr>
        <w:t>②</w:t>
      </w:r>
      <w:r>
        <w:rPr>
          <w:rFonts w:hint="eastAsia" w:eastAsia="仿宋"/>
          <w:sz w:val="32"/>
          <w:szCs w:val="32"/>
        </w:rPr>
        <w:t>文明施工获奖工程数，</w:t>
      </w:r>
      <w:r>
        <w:rPr>
          <w:rFonts w:eastAsia="仿宋"/>
          <w:sz w:val="32"/>
          <w:szCs w:val="32"/>
        </w:rPr>
        <w:t>目标为</w:t>
      </w:r>
      <w:r>
        <w:rPr>
          <w:rFonts w:hint="eastAsia" w:eastAsia="仿宋"/>
          <w:sz w:val="32"/>
          <w:szCs w:val="32"/>
        </w:rPr>
        <w:t>20个；</w:t>
      </w:r>
    </w:p>
    <w:p>
      <w:pPr>
        <w:pStyle w:val="2"/>
        <w:spacing w:after="0" w:line="560" w:lineRule="exact"/>
        <w:ind w:firstLine="640" w:firstLineChars="200"/>
        <w:rPr>
          <w:rFonts w:eastAsia="仿宋"/>
          <w:sz w:val="32"/>
          <w:szCs w:val="32"/>
        </w:rPr>
      </w:pPr>
      <w:r>
        <w:rPr>
          <w:rFonts w:eastAsia="仿宋"/>
          <w:sz w:val="32"/>
          <w:szCs w:val="32"/>
        </w:rPr>
        <w:t>③</w:t>
      </w:r>
      <w:r>
        <w:rPr>
          <w:rFonts w:hint="eastAsia" w:eastAsia="仿宋"/>
          <w:sz w:val="32"/>
          <w:szCs w:val="32"/>
        </w:rPr>
        <w:t>海绵城市建设推进度，</w:t>
      </w:r>
      <w:r>
        <w:rPr>
          <w:rFonts w:eastAsia="仿宋"/>
          <w:sz w:val="32"/>
          <w:szCs w:val="32"/>
        </w:rPr>
        <w:t>目标为</w:t>
      </w:r>
      <w:r>
        <w:rPr>
          <w:rFonts w:hint="eastAsia" w:eastAsia="仿宋"/>
          <w:sz w:val="32"/>
          <w:szCs w:val="32"/>
        </w:rPr>
        <w:t>100%；</w:t>
      </w:r>
    </w:p>
    <w:p>
      <w:pPr>
        <w:widowControl/>
        <w:spacing w:line="560" w:lineRule="exact"/>
        <w:ind w:firstLine="640" w:firstLineChars="200"/>
        <w:rPr>
          <w:rFonts w:eastAsia="仿宋"/>
          <w:sz w:val="32"/>
          <w:szCs w:val="32"/>
        </w:rPr>
      </w:pPr>
      <w:r>
        <w:rPr>
          <w:rFonts w:eastAsia="仿宋"/>
          <w:sz w:val="32"/>
          <w:szCs w:val="32"/>
        </w:rPr>
        <w:t>④</w:t>
      </w:r>
      <w:r>
        <w:rPr>
          <w:rFonts w:hint="eastAsia" w:eastAsia="仿宋"/>
          <w:sz w:val="32"/>
          <w:szCs w:val="32"/>
        </w:rPr>
        <w:t>受监工程质量安全责任事故发生数，</w:t>
      </w:r>
      <w:r>
        <w:rPr>
          <w:rFonts w:eastAsia="仿宋"/>
          <w:sz w:val="32"/>
          <w:szCs w:val="32"/>
        </w:rPr>
        <w:t>目标为</w:t>
      </w:r>
      <w:r>
        <w:rPr>
          <w:rFonts w:hint="eastAsia" w:eastAsia="仿宋"/>
          <w:sz w:val="32"/>
          <w:szCs w:val="32"/>
        </w:rPr>
        <w:t>0项；</w:t>
      </w:r>
    </w:p>
    <w:p>
      <w:pPr>
        <w:spacing w:line="560" w:lineRule="exact"/>
        <w:ind w:firstLine="640" w:firstLineChars="200"/>
        <w:rPr>
          <w:rFonts w:eastAsia="仿宋"/>
          <w:sz w:val="32"/>
          <w:szCs w:val="32"/>
        </w:rPr>
      </w:pPr>
      <w:r>
        <w:rPr>
          <w:rFonts w:eastAsia="仿宋"/>
          <w:sz w:val="32"/>
          <w:szCs w:val="32"/>
        </w:rPr>
        <w:t>效益指标：</w:t>
      </w:r>
    </w:p>
    <w:p>
      <w:pPr>
        <w:spacing w:line="560" w:lineRule="exact"/>
        <w:ind w:firstLine="640" w:firstLineChars="200"/>
        <w:rPr>
          <w:rFonts w:eastAsia="仿宋"/>
          <w:sz w:val="32"/>
          <w:szCs w:val="32"/>
        </w:rPr>
      </w:pPr>
      <w:r>
        <w:rPr>
          <w:rFonts w:eastAsia="仿宋"/>
          <w:sz w:val="32"/>
          <w:szCs w:val="32"/>
        </w:rPr>
        <w:t>①</w:t>
      </w:r>
      <w:r>
        <w:rPr>
          <w:rFonts w:hint="eastAsia" w:eastAsia="仿宋"/>
          <w:sz w:val="32"/>
          <w:szCs w:val="32"/>
        </w:rPr>
        <w:t>问题整改落实率，</w:t>
      </w:r>
      <w:r>
        <w:rPr>
          <w:rFonts w:eastAsia="仿宋"/>
          <w:sz w:val="32"/>
          <w:szCs w:val="32"/>
        </w:rPr>
        <w:t>目标为</w:t>
      </w:r>
      <w:r>
        <w:rPr>
          <w:rFonts w:hint="eastAsia" w:eastAsia="仿宋"/>
          <w:sz w:val="32"/>
          <w:szCs w:val="32"/>
        </w:rPr>
        <w:t>100%；</w:t>
      </w:r>
    </w:p>
    <w:p>
      <w:pPr>
        <w:widowControl/>
        <w:spacing w:line="560" w:lineRule="exact"/>
        <w:ind w:firstLine="640" w:firstLineChars="200"/>
        <w:rPr>
          <w:rFonts w:eastAsia="仿宋"/>
          <w:sz w:val="32"/>
          <w:szCs w:val="32"/>
        </w:rPr>
      </w:pPr>
      <w:r>
        <w:rPr>
          <w:rFonts w:eastAsia="仿宋"/>
          <w:sz w:val="32"/>
          <w:szCs w:val="32"/>
        </w:rPr>
        <w:t>②</w:t>
      </w:r>
      <w:r>
        <w:rPr>
          <w:rFonts w:hint="eastAsia" w:eastAsia="仿宋"/>
          <w:sz w:val="32"/>
          <w:szCs w:val="32"/>
        </w:rPr>
        <w:t>建筑业可持续发展，</w:t>
      </w:r>
      <w:r>
        <w:rPr>
          <w:rFonts w:eastAsia="仿宋"/>
          <w:sz w:val="32"/>
          <w:szCs w:val="32"/>
        </w:rPr>
        <w:t>目标为</w:t>
      </w:r>
      <w:r>
        <w:rPr>
          <w:rFonts w:hint="eastAsia" w:eastAsia="仿宋"/>
          <w:sz w:val="32"/>
          <w:szCs w:val="32"/>
        </w:rPr>
        <w:t>可持续。</w:t>
      </w:r>
    </w:p>
    <w:p>
      <w:pPr>
        <w:pStyle w:val="2"/>
        <w:spacing w:after="0" w:line="560" w:lineRule="exact"/>
        <w:ind w:firstLine="640" w:firstLineChars="200"/>
        <w:rPr>
          <w:rFonts w:eastAsia="仿宋"/>
          <w:sz w:val="32"/>
          <w:szCs w:val="32"/>
        </w:rPr>
      </w:pPr>
      <w:r>
        <w:rPr>
          <w:rFonts w:eastAsia="仿宋"/>
          <w:sz w:val="32"/>
          <w:szCs w:val="32"/>
        </w:rPr>
        <w:t>（3）年度目标3：</w:t>
      </w:r>
      <w:r>
        <w:rPr>
          <w:rFonts w:hint="eastAsia" w:eastAsia="仿宋"/>
          <w:sz w:val="32"/>
          <w:szCs w:val="32"/>
        </w:rPr>
        <w:t>进一步推进住房保障建设，不断完善房产管理规范化；切实加强房地产市场宏观调控工作，切实加强住宅小区物业管理工作，切实加强住房保障工作。</w:t>
      </w:r>
    </w:p>
    <w:p>
      <w:pPr>
        <w:spacing w:line="560" w:lineRule="exact"/>
        <w:ind w:firstLine="640" w:firstLineChars="200"/>
        <w:rPr>
          <w:rFonts w:eastAsia="仿宋"/>
          <w:sz w:val="32"/>
          <w:szCs w:val="32"/>
        </w:rPr>
      </w:pPr>
      <w:r>
        <w:rPr>
          <w:rFonts w:eastAsia="仿宋"/>
          <w:sz w:val="32"/>
          <w:szCs w:val="32"/>
        </w:rPr>
        <w:t>产出指标：</w:t>
      </w:r>
    </w:p>
    <w:p>
      <w:pPr>
        <w:keepNext/>
        <w:spacing w:line="560" w:lineRule="exact"/>
        <w:ind w:firstLine="640" w:firstLineChars="200"/>
        <w:rPr>
          <w:rFonts w:eastAsia="仿宋"/>
          <w:sz w:val="32"/>
          <w:szCs w:val="32"/>
        </w:rPr>
      </w:pPr>
      <w:r>
        <w:rPr>
          <w:rFonts w:eastAsia="仿宋"/>
          <w:sz w:val="32"/>
          <w:szCs w:val="32"/>
        </w:rPr>
        <w:t>①</w:t>
      </w:r>
      <w:r>
        <w:rPr>
          <w:rFonts w:hint="eastAsia" w:eastAsia="仿宋"/>
          <w:sz w:val="32"/>
          <w:szCs w:val="32"/>
        </w:rPr>
        <w:t>保障房目标达标率，</w:t>
      </w:r>
      <w:r>
        <w:rPr>
          <w:rFonts w:eastAsia="仿宋"/>
          <w:sz w:val="32"/>
          <w:szCs w:val="32"/>
        </w:rPr>
        <w:t>目标为</w:t>
      </w:r>
      <w:r>
        <w:rPr>
          <w:rFonts w:hint="eastAsia" w:eastAsia="仿宋"/>
          <w:sz w:val="32"/>
          <w:szCs w:val="32"/>
        </w:rPr>
        <w:t>100%；</w:t>
      </w:r>
    </w:p>
    <w:p>
      <w:pPr>
        <w:spacing w:line="560" w:lineRule="exact"/>
        <w:ind w:firstLine="640" w:firstLineChars="200"/>
        <w:rPr>
          <w:rFonts w:eastAsia="仿宋"/>
          <w:sz w:val="32"/>
          <w:szCs w:val="32"/>
        </w:rPr>
      </w:pPr>
      <w:r>
        <w:rPr>
          <w:rFonts w:eastAsia="仿宋"/>
          <w:sz w:val="32"/>
          <w:szCs w:val="32"/>
        </w:rPr>
        <w:t>②</w:t>
      </w:r>
      <w:r>
        <w:rPr>
          <w:rFonts w:hint="eastAsia" w:eastAsia="仿宋"/>
          <w:sz w:val="32"/>
          <w:szCs w:val="32"/>
        </w:rPr>
        <w:t>“公租房保障机制”落实率，</w:t>
      </w:r>
      <w:r>
        <w:rPr>
          <w:rFonts w:eastAsia="仿宋"/>
          <w:sz w:val="32"/>
          <w:szCs w:val="32"/>
        </w:rPr>
        <w:t>目标为</w:t>
      </w:r>
      <w:r>
        <w:rPr>
          <w:rFonts w:hint="eastAsia" w:eastAsia="仿宋"/>
          <w:sz w:val="32"/>
          <w:szCs w:val="32"/>
        </w:rPr>
        <w:t>≥95%；</w:t>
      </w:r>
    </w:p>
    <w:p>
      <w:pPr>
        <w:spacing w:line="560" w:lineRule="exact"/>
        <w:ind w:firstLine="640" w:firstLineChars="200"/>
        <w:rPr>
          <w:rFonts w:eastAsia="仿宋"/>
          <w:sz w:val="32"/>
          <w:szCs w:val="32"/>
        </w:rPr>
      </w:pPr>
      <w:r>
        <w:rPr>
          <w:rFonts w:eastAsia="仿宋"/>
          <w:sz w:val="32"/>
          <w:szCs w:val="32"/>
        </w:rPr>
        <w:t>③</w:t>
      </w:r>
      <w:r>
        <w:rPr>
          <w:rFonts w:hint="eastAsia" w:eastAsia="仿宋"/>
          <w:sz w:val="32"/>
          <w:szCs w:val="32"/>
        </w:rPr>
        <w:t>房地产经纪机构备案率提升度，</w:t>
      </w:r>
      <w:r>
        <w:rPr>
          <w:rFonts w:eastAsia="仿宋"/>
          <w:sz w:val="32"/>
          <w:szCs w:val="32"/>
        </w:rPr>
        <w:t>目标为100%</w:t>
      </w:r>
      <w:r>
        <w:rPr>
          <w:rFonts w:hint="eastAsia" w:eastAsia="仿宋"/>
          <w:sz w:val="32"/>
          <w:szCs w:val="32"/>
        </w:rPr>
        <w:t>；</w:t>
      </w:r>
    </w:p>
    <w:p>
      <w:pPr>
        <w:spacing w:line="560" w:lineRule="exact"/>
        <w:ind w:firstLine="640" w:firstLineChars="200"/>
        <w:rPr>
          <w:rFonts w:eastAsia="仿宋"/>
          <w:sz w:val="32"/>
          <w:szCs w:val="32"/>
        </w:rPr>
      </w:pPr>
      <w:r>
        <w:rPr>
          <w:rFonts w:eastAsia="仿宋"/>
          <w:sz w:val="32"/>
          <w:szCs w:val="32"/>
        </w:rPr>
        <w:t>效益指标：</w:t>
      </w:r>
    </w:p>
    <w:p>
      <w:pPr>
        <w:spacing w:line="560" w:lineRule="exact"/>
        <w:ind w:firstLine="640" w:firstLineChars="200"/>
        <w:rPr>
          <w:rFonts w:eastAsia="仿宋"/>
          <w:sz w:val="32"/>
          <w:szCs w:val="32"/>
        </w:rPr>
      </w:pPr>
      <w:r>
        <w:rPr>
          <w:rFonts w:eastAsia="仿宋"/>
          <w:sz w:val="32"/>
          <w:szCs w:val="32"/>
        </w:rPr>
        <w:t>①</w:t>
      </w:r>
      <w:r>
        <w:rPr>
          <w:rFonts w:hint="eastAsia" w:eastAsia="仿宋"/>
          <w:sz w:val="32"/>
          <w:szCs w:val="32"/>
        </w:rPr>
        <w:t>房产销售增速，</w:t>
      </w:r>
      <w:r>
        <w:rPr>
          <w:rFonts w:eastAsia="仿宋"/>
          <w:sz w:val="32"/>
          <w:szCs w:val="32"/>
        </w:rPr>
        <w:t>目标为22%</w:t>
      </w:r>
      <w:r>
        <w:rPr>
          <w:rFonts w:hint="eastAsia" w:eastAsia="仿宋"/>
          <w:sz w:val="32"/>
          <w:szCs w:val="32"/>
        </w:rPr>
        <w:t>；</w:t>
      </w:r>
    </w:p>
    <w:p>
      <w:pPr>
        <w:spacing w:line="560" w:lineRule="exact"/>
        <w:ind w:firstLine="640" w:firstLineChars="200"/>
        <w:rPr>
          <w:rFonts w:eastAsia="仿宋"/>
          <w:sz w:val="32"/>
          <w:szCs w:val="32"/>
        </w:rPr>
      </w:pPr>
      <w:r>
        <w:rPr>
          <w:rFonts w:eastAsia="仿宋"/>
          <w:sz w:val="32"/>
          <w:szCs w:val="32"/>
        </w:rPr>
        <w:t>②</w:t>
      </w:r>
      <w:r>
        <w:rPr>
          <w:rFonts w:hint="eastAsia" w:eastAsia="仿宋"/>
          <w:sz w:val="32"/>
          <w:szCs w:val="32"/>
        </w:rPr>
        <w:t>房地产投资额，</w:t>
      </w:r>
      <w:r>
        <w:rPr>
          <w:rFonts w:eastAsia="仿宋"/>
          <w:sz w:val="32"/>
          <w:szCs w:val="32"/>
        </w:rPr>
        <w:t>目标为</w:t>
      </w:r>
      <w:r>
        <w:rPr>
          <w:rFonts w:hint="eastAsia" w:eastAsia="仿宋"/>
          <w:sz w:val="32"/>
          <w:szCs w:val="32"/>
        </w:rPr>
        <w:t>240亿元；</w:t>
      </w:r>
    </w:p>
    <w:p>
      <w:pPr>
        <w:widowControl/>
        <w:spacing w:line="560" w:lineRule="exact"/>
        <w:ind w:firstLine="640" w:firstLineChars="200"/>
        <w:rPr>
          <w:rFonts w:eastAsia="仿宋"/>
          <w:sz w:val="32"/>
          <w:szCs w:val="32"/>
        </w:rPr>
      </w:pPr>
      <w:r>
        <w:rPr>
          <w:rFonts w:hint="eastAsia" w:eastAsia="仿宋"/>
          <w:sz w:val="32"/>
          <w:szCs w:val="32"/>
        </w:rPr>
        <w:t>③“红色物业”工作推进度，</w:t>
      </w:r>
      <w:r>
        <w:rPr>
          <w:rFonts w:eastAsia="仿宋"/>
          <w:sz w:val="32"/>
          <w:szCs w:val="32"/>
        </w:rPr>
        <w:t>目标为</w:t>
      </w:r>
      <w:r>
        <w:rPr>
          <w:rFonts w:hint="eastAsia" w:eastAsia="仿宋"/>
          <w:sz w:val="32"/>
          <w:szCs w:val="32"/>
        </w:rPr>
        <w:t>有效推进；</w:t>
      </w:r>
    </w:p>
    <w:p>
      <w:pPr>
        <w:widowControl/>
        <w:spacing w:line="560" w:lineRule="exact"/>
        <w:ind w:firstLine="640" w:firstLineChars="200"/>
        <w:rPr>
          <w:rFonts w:eastAsia="仿宋"/>
          <w:sz w:val="32"/>
          <w:szCs w:val="32"/>
        </w:rPr>
      </w:pPr>
      <w:r>
        <w:rPr>
          <w:rFonts w:hint="eastAsia" w:ascii="宋体" w:hAnsi="宋体" w:cs="宋体"/>
          <w:sz w:val="32"/>
          <w:szCs w:val="32"/>
        </w:rPr>
        <w:t>④</w:t>
      </w:r>
      <w:r>
        <w:rPr>
          <w:rFonts w:hint="eastAsia" w:eastAsia="仿宋"/>
          <w:sz w:val="32"/>
          <w:szCs w:val="32"/>
        </w:rPr>
        <w:t>提升物业管理水平，</w:t>
      </w:r>
      <w:r>
        <w:rPr>
          <w:rFonts w:eastAsia="仿宋"/>
          <w:sz w:val="32"/>
          <w:szCs w:val="32"/>
        </w:rPr>
        <w:t>目标为</w:t>
      </w:r>
      <w:r>
        <w:rPr>
          <w:rFonts w:hint="eastAsia" w:eastAsia="仿宋"/>
          <w:sz w:val="32"/>
          <w:szCs w:val="32"/>
        </w:rPr>
        <w:t>有效提升。</w:t>
      </w:r>
    </w:p>
    <w:p>
      <w:pPr>
        <w:pStyle w:val="2"/>
        <w:spacing w:after="0" w:line="560" w:lineRule="exact"/>
        <w:ind w:firstLine="640" w:firstLineChars="200"/>
        <w:rPr>
          <w:rFonts w:eastAsia="仿宋"/>
          <w:sz w:val="32"/>
          <w:szCs w:val="32"/>
        </w:rPr>
      </w:pPr>
      <w:r>
        <w:rPr>
          <w:rFonts w:eastAsia="仿宋"/>
          <w:sz w:val="32"/>
          <w:szCs w:val="32"/>
        </w:rPr>
        <w:t>（4）年度目标4：</w:t>
      </w:r>
      <w:r>
        <w:rPr>
          <w:rFonts w:hint="eastAsia" w:eastAsia="仿宋"/>
          <w:sz w:val="32"/>
          <w:szCs w:val="32"/>
        </w:rPr>
        <w:t>以推进公共交通全覆盖和多式联运建设为抓手，全面开创交通运输新局面。加强公路建、管、养标准化建设，加强道路运输市场监管，推进沿江岸线综合环境整治，加快综合交通多式联运体系建设。</w:t>
      </w:r>
    </w:p>
    <w:p>
      <w:pPr>
        <w:spacing w:line="560" w:lineRule="exact"/>
        <w:ind w:firstLine="640" w:firstLineChars="200"/>
        <w:rPr>
          <w:rFonts w:eastAsia="仿宋"/>
          <w:sz w:val="32"/>
          <w:szCs w:val="32"/>
        </w:rPr>
      </w:pPr>
      <w:r>
        <w:rPr>
          <w:rFonts w:eastAsia="仿宋"/>
          <w:sz w:val="32"/>
          <w:szCs w:val="32"/>
        </w:rPr>
        <w:t>产出指标：</w:t>
      </w:r>
    </w:p>
    <w:p>
      <w:pPr>
        <w:pStyle w:val="15"/>
        <w:keepNext/>
        <w:numPr>
          <w:ilvl w:val="0"/>
          <w:numId w:val="1"/>
        </w:numPr>
        <w:spacing w:line="560" w:lineRule="exact"/>
        <w:ind w:firstLineChars="0"/>
        <w:rPr>
          <w:rFonts w:eastAsia="仿宋"/>
          <w:sz w:val="32"/>
          <w:szCs w:val="32"/>
        </w:rPr>
      </w:pPr>
      <w:r>
        <w:rPr>
          <w:rFonts w:hint="eastAsia" w:eastAsia="仿宋"/>
          <w:sz w:val="32"/>
          <w:szCs w:val="32"/>
        </w:rPr>
        <w:t>农村公路建养完成率，</w:t>
      </w:r>
      <w:r>
        <w:rPr>
          <w:rFonts w:eastAsia="仿宋"/>
          <w:sz w:val="32"/>
          <w:szCs w:val="32"/>
        </w:rPr>
        <w:t>目标为</w:t>
      </w:r>
      <w:r>
        <w:rPr>
          <w:rFonts w:hint="eastAsia" w:eastAsia="仿宋"/>
          <w:sz w:val="32"/>
          <w:szCs w:val="32"/>
        </w:rPr>
        <w:t>100%；</w:t>
      </w:r>
    </w:p>
    <w:p>
      <w:pPr>
        <w:pStyle w:val="15"/>
        <w:numPr>
          <w:ilvl w:val="0"/>
          <w:numId w:val="1"/>
        </w:numPr>
        <w:spacing w:line="560" w:lineRule="exact"/>
        <w:ind w:firstLineChars="0"/>
        <w:rPr>
          <w:rFonts w:eastAsia="仿宋"/>
          <w:sz w:val="32"/>
          <w:szCs w:val="32"/>
        </w:rPr>
      </w:pPr>
      <w:r>
        <w:rPr>
          <w:rFonts w:hint="eastAsia" w:eastAsia="仿宋"/>
          <w:sz w:val="32"/>
          <w:szCs w:val="32"/>
        </w:rPr>
        <w:t>交运市场管理及专项整治工作完成率，</w:t>
      </w:r>
      <w:r>
        <w:rPr>
          <w:rFonts w:eastAsia="仿宋"/>
          <w:sz w:val="32"/>
          <w:szCs w:val="32"/>
        </w:rPr>
        <w:t>目标为</w:t>
      </w:r>
      <w:r>
        <w:rPr>
          <w:rFonts w:hint="eastAsia" w:eastAsia="仿宋"/>
          <w:sz w:val="32"/>
          <w:szCs w:val="32"/>
        </w:rPr>
        <w:t>100%；</w:t>
      </w:r>
    </w:p>
    <w:p>
      <w:pPr>
        <w:pStyle w:val="15"/>
        <w:numPr>
          <w:ilvl w:val="0"/>
          <w:numId w:val="1"/>
        </w:numPr>
        <w:spacing w:line="560" w:lineRule="exact"/>
        <w:ind w:firstLineChars="0"/>
        <w:rPr>
          <w:rFonts w:eastAsia="仿宋"/>
          <w:sz w:val="32"/>
          <w:szCs w:val="32"/>
        </w:rPr>
      </w:pPr>
      <w:r>
        <w:rPr>
          <w:rFonts w:hint="eastAsia" w:eastAsia="仿宋"/>
          <w:sz w:val="32"/>
          <w:szCs w:val="32"/>
        </w:rPr>
        <w:t>公路环境“大城管”考核管理名次，</w:t>
      </w:r>
      <w:r>
        <w:rPr>
          <w:rFonts w:eastAsia="仿宋"/>
          <w:sz w:val="32"/>
          <w:szCs w:val="32"/>
        </w:rPr>
        <w:t>目标为</w:t>
      </w:r>
      <w:r>
        <w:rPr>
          <w:rFonts w:hint="eastAsia" w:eastAsia="仿宋"/>
          <w:sz w:val="32"/>
          <w:szCs w:val="32"/>
        </w:rPr>
        <w:t>前三；</w:t>
      </w:r>
    </w:p>
    <w:p>
      <w:pPr>
        <w:pStyle w:val="15"/>
        <w:numPr>
          <w:ilvl w:val="0"/>
          <w:numId w:val="1"/>
        </w:numPr>
        <w:spacing w:line="560" w:lineRule="exact"/>
        <w:ind w:firstLineChars="0"/>
        <w:rPr>
          <w:rFonts w:eastAsia="仿宋"/>
          <w:sz w:val="32"/>
          <w:szCs w:val="32"/>
        </w:rPr>
      </w:pPr>
      <w:r>
        <w:rPr>
          <w:rFonts w:hint="eastAsia" w:eastAsia="仿宋"/>
          <w:sz w:val="32"/>
          <w:szCs w:val="32"/>
        </w:rPr>
        <w:t>公交改造工作推进度，</w:t>
      </w:r>
      <w:r>
        <w:rPr>
          <w:rFonts w:eastAsia="仿宋"/>
          <w:sz w:val="32"/>
          <w:szCs w:val="32"/>
        </w:rPr>
        <w:t>目标为</w:t>
      </w:r>
      <w:r>
        <w:rPr>
          <w:rFonts w:hint="eastAsia" w:eastAsia="仿宋"/>
          <w:sz w:val="32"/>
          <w:szCs w:val="32"/>
        </w:rPr>
        <w:t>有效推进。</w:t>
      </w:r>
    </w:p>
    <w:p>
      <w:pPr>
        <w:spacing w:line="560" w:lineRule="exact"/>
        <w:ind w:firstLine="640" w:firstLineChars="200"/>
        <w:rPr>
          <w:rFonts w:eastAsia="仿宋"/>
          <w:sz w:val="32"/>
          <w:szCs w:val="32"/>
        </w:rPr>
      </w:pPr>
      <w:r>
        <w:rPr>
          <w:rFonts w:hint="eastAsia" w:eastAsia="仿宋"/>
          <w:sz w:val="32"/>
          <w:szCs w:val="32"/>
        </w:rPr>
        <w:t>（</w:t>
      </w:r>
      <w:r>
        <w:rPr>
          <w:rFonts w:eastAsia="仿宋"/>
          <w:sz w:val="32"/>
          <w:szCs w:val="32"/>
        </w:rPr>
        <w:t>5</w:t>
      </w:r>
      <w:r>
        <w:rPr>
          <w:rFonts w:hint="eastAsia" w:eastAsia="仿宋"/>
          <w:sz w:val="32"/>
          <w:szCs w:val="32"/>
        </w:rPr>
        <w:t>）年度目标</w:t>
      </w:r>
      <w:r>
        <w:rPr>
          <w:rFonts w:eastAsia="仿宋"/>
          <w:sz w:val="32"/>
          <w:szCs w:val="32"/>
        </w:rPr>
        <w:t>5</w:t>
      </w:r>
      <w:r>
        <w:rPr>
          <w:rFonts w:hint="eastAsia" w:eastAsia="仿宋"/>
          <w:sz w:val="32"/>
          <w:szCs w:val="32"/>
        </w:rPr>
        <w:t>：进一步统筹推进各项职能工作，促进全局工作同步协调发展；认真推进人防建设和地震宣传工作，全面建成地下管线综合信息平台，完善施工图审查制度，加强工程备案档案管理。</w:t>
      </w:r>
    </w:p>
    <w:p>
      <w:pPr>
        <w:spacing w:line="560" w:lineRule="exact"/>
        <w:ind w:firstLine="640" w:firstLineChars="200"/>
        <w:rPr>
          <w:rFonts w:eastAsia="仿宋"/>
          <w:sz w:val="32"/>
          <w:szCs w:val="32"/>
        </w:rPr>
      </w:pPr>
      <w:r>
        <w:rPr>
          <w:rFonts w:hint="eastAsia" w:eastAsia="仿宋"/>
          <w:sz w:val="32"/>
          <w:szCs w:val="32"/>
        </w:rPr>
        <w:t>产出指标：</w:t>
      </w:r>
    </w:p>
    <w:p>
      <w:pPr>
        <w:pStyle w:val="15"/>
        <w:numPr>
          <w:ilvl w:val="0"/>
          <w:numId w:val="2"/>
        </w:numPr>
        <w:spacing w:line="560" w:lineRule="exact"/>
        <w:ind w:firstLineChars="0"/>
        <w:rPr>
          <w:rFonts w:eastAsia="仿宋"/>
          <w:sz w:val="32"/>
          <w:szCs w:val="32"/>
        </w:rPr>
      </w:pPr>
      <w:r>
        <w:rPr>
          <w:rFonts w:hint="eastAsia" w:eastAsia="仿宋"/>
          <w:sz w:val="32"/>
          <w:szCs w:val="32"/>
        </w:rPr>
        <w:t>人防工程建设完成率，目标为100%；</w:t>
      </w:r>
    </w:p>
    <w:p>
      <w:pPr>
        <w:pStyle w:val="15"/>
        <w:numPr>
          <w:ilvl w:val="0"/>
          <w:numId w:val="2"/>
        </w:numPr>
        <w:spacing w:line="560" w:lineRule="exact"/>
        <w:ind w:firstLineChars="0"/>
        <w:rPr>
          <w:rFonts w:eastAsia="仿宋"/>
          <w:sz w:val="32"/>
          <w:szCs w:val="32"/>
        </w:rPr>
      </w:pPr>
      <w:r>
        <w:rPr>
          <w:rFonts w:hint="eastAsia" w:eastAsia="仿宋"/>
          <w:sz w:val="32"/>
          <w:szCs w:val="32"/>
        </w:rPr>
        <w:t>人防教育活动完成率，目标为100%；</w:t>
      </w:r>
    </w:p>
    <w:p>
      <w:pPr>
        <w:pStyle w:val="15"/>
        <w:numPr>
          <w:ilvl w:val="0"/>
          <w:numId w:val="2"/>
        </w:numPr>
        <w:spacing w:line="560" w:lineRule="exact"/>
        <w:ind w:firstLineChars="0"/>
        <w:rPr>
          <w:rFonts w:eastAsia="仿宋"/>
          <w:sz w:val="32"/>
          <w:szCs w:val="32"/>
        </w:rPr>
      </w:pPr>
      <w:r>
        <w:rPr>
          <w:rFonts w:hint="eastAsia" w:eastAsia="仿宋"/>
          <w:sz w:val="32"/>
          <w:szCs w:val="32"/>
        </w:rPr>
        <w:t>地下管线信息平台建成率，目标为100%；</w:t>
      </w:r>
    </w:p>
    <w:p>
      <w:pPr>
        <w:pStyle w:val="15"/>
        <w:numPr>
          <w:ilvl w:val="0"/>
          <w:numId w:val="2"/>
        </w:numPr>
        <w:spacing w:line="560" w:lineRule="exact"/>
        <w:ind w:firstLineChars="0"/>
        <w:rPr>
          <w:rFonts w:eastAsia="仿宋"/>
          <w:sz w:val="32"/>
          <w:szCs w:val="32"/>
        </w:rPr>
      </w:pPr>
      <w:r>
        <w:rPr>
          <w:rFonts w:hint="eastAsia" w:eastAsia="仿宋"/>
          <w:sz w:val="32"/>
          <w:szCs w:val="32"/>
        </w:rPr>
        <w:t>城建档案管理合规性，目标为100%；</w:t>
      </w:r>
    </w:p>
    <w:p>
      <w:pPr>
        <w:spacing w:line="560" w:lineRule="exact"/>
        <w:ind w:firstLine="640" w:firstLineChars="200"/>
        <w:rPr>
          <w:rFonts w:eastAsia="仿宋"/>
          <w:sz w:val="32"/>
          <w:szCs w:val="32"/>
        </w:rPr>
      </w:pPr>
      <w:r>
        <w:rPr>
          <w:rFonts w:hint="eastAsia" w:eastAsia="仿宋"/>
          <w:sz w:val="32"/>
          <w:szCs w:val="32"/>
        </w:rPr>
        <w:t>效益指标：</w:t>
      </w:r>
    </w:p>
    <w:p>
      <w:pPr>
        <w:pStyle w:val="15"/>
        <w:numPr>
          <w:ilvl w:val="0"/>
          <w:numId w:val="3"/>
        </w:numPr>
        <w:spacing w:line="560" w:lineRule="exact"/>
        <w:ind w:firstLineChars="0"/>
        <w:rPr>
          <w:rFonts w:eastAsia="仿宋"/>
          <w:sz w:val="32"/>
          <w:szCs w:val="32"/>
        </w:rPr>
      </w:pPr>
      <w:r>
        <w:rPr>
          <w:rFonts w:hint="eastAsia" w:eastAsia="仿宋"/>
          <w:sz w:val="32"/>
          <w:szCs w:val="32"/>
        </w:rPr>
        <w:t>施工图审查提升度，目标为提升；</w:t>
      </w:r>
    </w:p>
    <w:p>
      <w:pPr>
        <w:pStyle w:val="15"/>
        <w:numPr>
          <w:ilvl w:val="0"/>
          <w:numId w:val="3"/>
        </w:numPr>
        <w:spacing w:line="560" w:lineRule="exact"/>
        <w:ind w:firstLineChars="0"/>
        <w:rPr>
          <w:rFonts w:eastAsia="仿宋"/>
          <w:sz w:val="32"/>
          <w:szCs w:val="32"/>
        </w:rPr>
      </w:pPr>
      <w:r>
        <w:rPr>
          <w:rFonts w:hint="eastAsia" w:eastAsia="仿宋"/>
          <w:sz w:val="32"/>
          <w:szCs w:val="32"/>
        </w:rPr>
        <w:t>建设工程竣工验收备案率，目标为</w:t>
      </w:r>
      <w:r>
        <w:rPr>
          <w:rFonts w:eastAsia="仿宋"/>
          <w:sz w:val="32"/>
          <w:szCs w:val="32"/>
        </w:rPr>
        <w:t>100</w:t>
      </w:r>
      <w:r>
        <w:rPr>
          <w:rFonts w:hint="eastAsia" w:eastAsia="仿宋"/>
          <w:sz w:val="32"/>
          <w:szCs w:val="32"/>
        </w:rPr>
        <w:t>%；</w:t>
      </w:r>
    </w:p>
    <w:p>
      <w:pPr>
        <w:pStyle w:val="15"/>
        <w:numPr>
          <w:ilvl w:val="0"/>
          <w:numId w:val="3"/>
        </w:numPr>
        <w:spacing w:line="560" w:lineRule="exact"/>
        <w:ind w:firstLineChars="0"/>
        <w:rPr>
          <w:rFonts w:eastAsia="仿宋"/>
          <w:sz w:val="32"/>
          <w:szCs w:val="32"/>
        </w:rPr>
      </w:pPr>
      <w:r>
        <w:rPr>
          <w:rFonts w:hint="eastAsia" w:eastAsia="仿宋"/>
          <w:sz w:val="32"/>
          <w:szCs w:val="32"/>
        </w:rPr>
        <w:t>人防宣传教育普及度，目标为</w:t>
      </w:r>
      <w:r>
        <w:rPr>
          <w:rFonts w:eastAsia="仿宋"/>
          <w:sz w:val="32"/>
          <w:szCs w:val="32"/>
        </w:rPr>
        <w:t>100</w:t>
      </w:r>
      <w:r>
        <w:rPr>
          <w:rFonts w:hint="eastAsia" w:eastAsia="仿宋"/>
          <w:sz w:val="32"/>
          <w:szCs w:val="32"/>
        </w:rPr>
        <w:t>%。</w:t>
      </w:r>
    </w:p>
    <w:p>
      <w:pPr>
        <w:spacing w:line="560" w:lineRule="exact"/>
        <w:ind w:firstLine="420"/>
        <w:rPr>
          <w:rFonts w:eastAsia="仿宋"/>
          <w:sz w:val="32"/>
          <w:szCs w:val="32"/>
        </w:rPr>
      </w:pPr>
      <w:r>
        <w:rPr>
          <w:rFonts w:hint="eastAsia" w:eastAsia="仿宋"/>
          <w:sz w:val="32"/>
          <w:szCs w:val="32"/>
        </w:rPr>
        <w:t>（</w:t>
      </w:r>
      <w:r>
        <w:rPr>
          <w:rFonts w:eastAsia="仿宋"/>
          <w:sz w:val="32"/>
          <w:szCs w:val="32"/>
        </w:rPr>
        <w:t>6</w:t>
      </w:r>
      <w:r>
        <w:rPr>
          <w:rFonts w:hint="eastAsia" w:eastAsia="仿宋"/>
          <w:sz w:val="32"/>
          <w:szCs w:val="32"/>
        </w:rPr>
        <w:t>）年度目标</w:t>
      </w:r>
      <w:r>
        <w:rPr>
          <w:rFonts w:eastAsia="仿宋"/>
          <w:sz w:val="32"/>
          <w:szCs w:val="32"/>
        </w:rPr>
        <w:t>6</w:t>
      </w:r>
      <w:r>
        <w:rPr>
          <w:rFonts w:hint="eastAsia" w:eastAsia="仿宋"/>
          <w:sz w:val="32"/>
          <w:szCs w:val="32"/>
        </w:rPr>
        <w:t>：进一步加强学习教育，迅速掀起学习宣传贯彻党的精神热潮；强化目标管理，增强创优意识，着力加强政治建设，驰而不息常态化抓正风肃纪，深入推进依法行政。</w:t>
      </w:r>
    </w:p>
    <w:p>
      <w:pPr>
        <w:spacing w:line="560" w:lineRule="exact"/>
        <w:ind w:left="640"/>
        <w:rPr>
          <w:rFonts w:eastAsia="仿宋"/>
          <w:sz w:val="32"/>
          <w:szCs w:val="32"/>
        </w:rPr>
      </w:pPr>
      <w:r>
        <w:rPr>
          <w:rFonts w:hint="eastAsia" w:eastAsia="仿宋"/>
          <w:sz w:val="32"/>
          <w:szCs w:val="32"/>
        </w:rPr>
        <w:t>产出指标：</w:t>
      </w:r>
    </w:p>
    <w:p>
      <w:pPr>
        <w:pStyle w:val="15"/>
        <w:numPr>
          <w:ilvl w:val="0"/>
          <w:numId w:val="4"/>
        </w:numPr>
        <w:spacing w:line="560" w:lineRule="exact"/>
        <w:ind w:firstLineChars="0"/>
        <w:rPr>
          <w:rFonts w:eastAsia="仿宋"/>
          <w:sz w:val="32"/>
          <w:szCs w:val="32"/>
        </w:rPr>
      </w:pPr>
      <w:r>
        <w:rPr>
          <w:rFonts w:hint="eastAsia" w:eastAsia="仿宋"/>
          <w:sz w:val="32"/>
          <w:szCs w:val="32"/>
        </w:rPr>
        <w:t>“两学一做”推进度，目标为100%；</w:t>
      </w:r>
    </w:p>
    <w:p>
      <w:pPr>
        <w:pStyle w:val="15"/>
        <w:numPr>
          <w:ilvl w:val="0"/>
          <w:numId w:val="4"/>
        </w:numPr>
        <w:spacing w:line="560" w:lineRule="exact"/>
        <w:ind w:firstLineChars="0"/>
        <w:rPr>
          <w:rFonts w:eastAsia="仿宋"/>
          <w:sz w:val="32"/>
          <w:szCs w:val="32"/>
        </w:rPr>
      </w:pPr>
      <w:r>
        <w:rPr>
          <w:rFonts w:hint="eastAsia" w:eastAsia="仿宋"/>
          <w:sz w:val="32"/>
          <w:szCs w:val="32"/>
        </w:rPr>
        <w:t>基层党组织建设，目标为100%；</w:t>
      </w:r>
    </w:p>
    <w:p>
      <w:pPr>
        <w:pStyle w:val="15"/>
        <w:numPr>
          <w:ilvl w:val="0"/>
          <w:numId w:val="4"/>
        </w:numPr>
        <w:spacing w:line="560" w:lineRule="exact"/>
        <w:ind w:firstLineChars="0"/>
        <w:rPr>
          <w:rFonts w:eastAsia="仿宋"/>
          <w:sz w:val="32"/>
          <w:szCs w:val="32"/>
        </w:rPr>
      </w:pPr>
      <w:r>
        <w:rPr>
          <w:rFonts w:hint="eastAsia" w:eastAsia="仿宋"/>
          <w:sz w:val="32"/>
          <w:szCs w:val="32"/>
        </w:rPr>
        <w:t>三会一课开展率，目标为100%；</w:t>
      </w:r>
    </w:p>
    <w:p>
      <w:pPr>
        <w:spacing w:line="560" w:lineRule="exact"/>
        <w:ind w:left="640"/>
        <w:rPr>
          <w:rFonts w:eastAsia="仿宋"/>
          <w:sz w:val="32"/>
          <w:szCs w:val="32"/>
        </w:rPr>
      </w:pPr>
      <w:r>
        <w:rPr>
          <w:rFonts w:hint="eastAsia" w:eastAsia="仿宋"/>
          <w:sz w:val="32"/>
          <w:szCs w:val="32"/>
        </w:rPr>
        <w:t>效益指标：</w:t>
      </w:r>
    </w:p>
    <w:p>
      <w:pPr>
        <w:pStyle w:val="15"/>
        <w:numPr>
          <w:ilvl w:val="0"/>
          <w:numId w:val="5"/>
        </w:numPr>
        <w:spacing w:line="560" w:lineRule="exact"/>
        <w:ind w:firstLineChars="0"/>
        <w:rPr>
          <w:rFonts w:eastAsia="仿宋"/>
          <w:sz w:val="32"/>
          <w:szCs w:val="32"/>
        </w:rPr>
      </w:pPr>
      <w:r>
        <w:rPr>
          <w:rFonts w:hint="eastAsia" w:eastAsia="仿宋"/>
          <w:sz w:val="32"/>
          <w:szCs w:val="32"/>
        </w:rPr>
        <w:t>党风党纪问题整改到位率，目标为100%；</w:t>
      </w:r>
    </w:p>
    <w:p>
      <w:pPr>
        <w:pStyle w:val="15"/>
        <w:numPr>
          <w:ilvl w:val="0"/>
          <w:numId w:val="5"/>
        </w:numPr>
        <w:spacing w:line="560" w:lineRule="exact"/>
        <w:ind w:firstLineChars="0"/>
        <w:rPr>
          <w:rFonts w:eastAsia="仿宋"/>
          <w:sz w:val="32"/>
          <w:szCs w:val="32"/>
        </w:rPr>
      </w:pPr>
      <w:r>
        <w:rPr>
          <w:rFonts w:hint="eastAsia" w:eastAsia="仿宋"/>
          <w:sz w:val="32"/>
          <w:szCs w:val="32"/>
        </w:rPr>
        <w:t>加强社会治理，全面依法治国，目标为加强。</w:t>
      </w:r>
    </w:p>
    <w:p>
      <w:pPr>
        <w:widowControl/>
        <w:spacing w:line="560" w:lineRule="exact"/>
        <w:ind w:firstLine="643" w:firstLineChars="200"/>
        <w:jc w:val="left"/>
        <w:outlineLvl w:val="1"/>
        <w:rPr>
          <w:rFonts w:eastAsia="楷体"/>
          <w:b/>
          <w:bCs/>
          <w:kern w:val="0"/>
          <w:sz w:val="32"/>
          <w:szCs w:val="32"/>
        </w:rPr>
      </w:pPr>
      <w:r>
        <w:rPr>
          <w:rFonts w:eastAsia="楷体"/>
          <w:b/>
          <w:bCs/>
          <w:kern w:val="0"/>
          <w:sz w:val="32"/>
          <w:szCs w:val="32"/>
        </w:rPr>
        <w:t>（二）部门自评工作开展情况</w:t>
      </w:r>
    </w:p>
    <w:p>
      <w:pPr>
        <w:widowControl/>
        <w:spacing w:line="560" w:lineRule="exact"/>
        <w:ind w:firstLine="640" w:firstLineChars="200"/>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本次自评时间从202</w:t>
      </w:r>
      <w:r>
        <w:rPr>
          <w:rFonts w:eastAsia="仿宋"/>
          <w:color w:val="000000" w:themeColor="text1"/>
          <w:sz w:val="32"/>
          <w:szCs w:val="32"/>
          <w14:textFill>
            <w14:solidFill>
              <w14:schemeClr w14:val="tx1"/>
            </w14:solidFill>
          </w14:textFill>
        </w:rPr>
        <w:t>2</w:t>
      </w:r>
      <w:r>
        <w:rPr>
          <w:rFonts w:hint="eastAsia" w:eastAsia="仿宋"/>
          <w:color w:val="000000" w:themeColor="text1"/>
          <w:sz w:val="32"/>
          <w:szCs w:val="32"/>
          <w14:textFill>
            <w14:solidFill>
              <w14:schemeClr w14:val="tx1"/>
            </w14:solidFill>
          </w14:textFill>
        </w:rPr>
        <w:t>年</w:t>
      </w:r>
      <w:r>
        <w:rPr>
          <w:rFonts w:eastAsia="仿宋"/>
          <w:color w:val="000000" w:themeColor="text1"/>
          <w:sz w:val="32"/>
          <w:szCs w:val="32"/>
          <w14:textFill>
            <w14:solidFill>
              <w14:schemeClr w14:val="tx1"/>
            </w14:solidFill>
          </w14:textFill>
        </w:rPr>
        <w:t>5</w:t>
      </w:r>
      <w:r>
        <w:rPr>
          <w:rFonts w:hint="eastAsia" w:eastAsia="仿宋"/>
          <w:color w:val="000000" w:themeColor="text1"/>
          <w:sz w:val="32"/>
          <w:szCs w:val="32"/>
          <w14:textFill>
            <w14:solidFill>
              <w14:schemeClr w14:val="tx1"/>
            </w14:solidFill>
          </w14:textFill>
        </w:rPr>
        <w:t>月</w:t>
      </w:r>
      <w:r>
        <w:rPr>
          <w:rFonts w:eastAsia="仿宋"/>
          <w:color w:val="000000" w:themeColor="text1"/>
          <w:sz w:val="32"/>
          <w:szCs w:val="32"/>
          <w14:textFill>
            <w14:solidFill>
              <w14:schemeClr w14:val="tx1"/>
            </w14:solidFill>
          </w14:textFill>
        </w:rPr>
        <w:t>15</w:t>
      </w:r>
      <w:r>
        <w:rPr>
          <w:rFonts w:hint="eastAsia" w:eastAsia="仿宋"/>
          <w:color w:val="000000" w:themeColor="text1"/>
          <w:sz w:val="32"/>
          <w:szCs w:val="32"/>
          <w14:textFill>
            <w14:solidFill>
              <w14:schemeClr w14:val="tx1"/>
            </w14:solidFill>
          </w14:textFill>
        </w:rPr>
        <w:t>日至202</w:t>
      </w:r>
      <w:r>
        <w:rPr>
          <w:rFonts w:eastAsia="仿宋"/>
          <w:color w:val="000000" w:themeColor="text1"/>
          <w:sz w:val="32"/>
          <w:szCs w:val="32"/>
          <w14:textFill>
            <w14:solidFill>
              <w14:schemeClr w14:val="tx1"/>
            </w14:solidFill>
          </w14:textFill>
        </w:rPr>
        <w:t>2</w:t>
      </w:r>
      <w:r>
        <w:rPr>
          <w:rFonts w:hint="eastAsia" w:eastAsia="仿宋"/>
          <w:color w:val="000000" w:themeColor="text1"/>
          <w:sz w:val="32"/>
          <w:szCs w:val="32"/>
          <w14:textFill>
            <w14:solidFill>
              <w14:schemeClr w14:val="tx1"/>
            </w14:solidFill>
          </w14:textFill>
        </w:rPr>
        <w:t>年</w:t>
      </w:r>
      <w:r>
        <w:rPr>
          <w:rFonts w:eastAsia="仿宋"/>
          <w:color w:val="000000" w:themeColor="text1"/>
          <w:sz w:val="32"/>
          <w:szCs w:val="32"/>
          <w14:textFill>
            <w14:solidFill>
              <w14:schemeClr w14:val="tx1"/>
            </w14:solidFill>
          </w14:textFill>
        </w:rPr>
        <w:t>5</w:t>
      </w:r>
      <w:r>
        <w:rPr>
          <w:rFonts w:hint="eastAsia" w:eastAsia="仿宋"/>
          <w:color w:val="000000" w:themeColor="text1"/>
          <w:sz w:val="32"/>
          <w:szCs w:val="32"/>
          <w14:textFill>
            <w14:solidFill>
              <w14:schemeClr w14:val="tx1"/>
            </w14:solidFill>
          </w14:textFill>
        </w:rPr>
        <w:t>月</w:t>
      </w:r>
      <w:r>
        <w:rPr>
          <w:rFonts w:eastAsia="仿宋"/>
          <w:color w:val="000000" w:themeColor="text1"/>
          <w:sz w:val="32"/>
          <w:szCs w:val="32"/>
          <w14:textFill>
            <w14:solidFill>
              <w14:schemeClr w14:val="tx1"/>
            </w14:solidFill>
          </w14:textFill>
        </w:rPr>
        <w:t>25</w:t>
      </w:r>
      <w:r>
        <w:rPr>
          <w:rFonts w:hint="eastAsia" w:eastAsia="仿宋"/>
          <w:color w:val="000000" w:themeColor="text1"/>
          <w:sz w:val="32"/>
          <w:szCs w:val="32"/>
          <w14:textFill>
            <w14:solidFill>
              <w14:schemeClr w14:val="tx1"/>
            </w14:solidFill>
          </w14:textFill>
        </w:rPr>
        <w:t>日，历时</w:t>
      </w:r>
      <w:r>
        <w:rPr>
          <w:rFonts w:eastAsia="仿宋"/>
          <w:color w:val="000000" w:themeColor="text1"/>
          <w:sz w:val="32"/>
          <w:szCs w:val="32"/>
          <w14:textFill>
            <w14:solidFill>
              <w14:schemeClr w14:val="tx1"/>
            </w14:solidFill>
          </w14:textFill>
        </w:rPr>
        <w:t>11</w:t>
      </w:r>
      <w:r>
        <w:rPr>
          <w:rFonts w:hint="eastAsia" w:eastAsia="仿宋"/>
          <w:color w:val="000000" w:themeColor="text1"/>
          <w:sz w:val="32"/>
          <w:szCs w:val="32"/>
          <w14:textFill>
            <w14:solidFill>
              <w14:schemeClr w14:val="tx1"/>
            </w14:solidFill>
          </w14:textFill>
        </w:rPr>
        <w:t>天。自评工作程序如下：</w:t>
      </w:r>
    </w:p>
    <w:p>
      <w:pPr>
        <w:widowControl/>
        <w:spacing w:line="560" w:lineRule="exact"/>
        <w:ind w:firstLine="643" w:firstLineChars="200"/>
        <w:rPr>
          <w:rFonts w:eastAsia="仿宋"/>
          <w:b/>
          <w:bCs/>
          <w:sz w:val="32"/>
          <w:szCs w:val="32"/>
        </w:rPr>
      </w:pPr>
      <w:r>
        <w:rPr>
          <w:rFonts w:hint="eastAsia" w:eastAsia="仿宋"/>
          <w:b/>
          <w:bCs/>
          <w:sz w:val="32"/>
          <w:szCs w:val="32"/>
        </w:rPr>
        <w:t>1.</w:t>
      </w:r>
      <w:r>
        <w:rPr>
          <w:rFonts w:eastAsia="仿宋"/>
          <w:b/>
          <w:bCs/>
          <w:sz w:val="32"/>
          <w:szCs w:val="32"/>
        </w:rPr>
        <w:t>制定工作方案</w:t>
      </w:r>
    </w:p>
    <w:p>
      <w:pPr>
        <w:widowControl/>
        <w:spacing w:line="560" w:lineRule="exact"/>
        <w:ind w:firstLine="640" w:firstLineChars="200"/>
        <w:rPr>
          <w:rFonts w:eastAsia="仿宋"/>
          <w:sz w:val="32"/>
          <w:szCs w:val="32"/>
        </w:rPr>
      </w:pPr>
      <w:r>
        <w:rPr>
          <w:rFonts w:eastAsia="仿宋"/>
          <w:sz w:val="32"/>
          <w:szCs w:val="32"/>
        </w:rPr>
        <w:t>部门自评工作方案由财务部门会同第三方机构共同研究制订。根据部门主要负责同志要求和武汉</w:t>
      </w:r>
      <w:r>
        <w:rPr>
          <w:rFonts w:hint="eastAsia" w:eastAsia="仿宋"/>
          <w:sz w:val="32"/>
          <w:szCs w:val="32"/>
        </w:rPr>
        <w:t>经济技术开发区（汉南区）财政局</w:t>
      </w:r>
      <w:r>
        <w:rPr>
          <w:rFonts w:eastAsia="仿宋"/>
          <w:sz w:val="32"/>
          <w:szCs w:val="32"/>
        </w:rPr>
        <w:t>发布的</w:t>
      </w:r>
      <w:r>
        <w:rPr>
          <w:rFonts w:hint="eastAsia" w:eastAsia="仿宋"/>
          <w:sz w:val="32"/>
          <w:szCs w:val="32"/>
        </w:rPr>
        <w:t>《关于开展2022年预算绩效评价及项目支出绩效运行监控的通知》（武经开〔202</w:t>
      </w:r>
      <w:r>
        <w:rPr>
          <w:rFonts w:eastAsia="仿宋"/>
          <w:sz w:val="32"/>
          <w:szCs w:val="32"/>
        </w:rPr>
        <w:t>2</w:t>
      </w:r>
      <w:r>
        <w:rPr>
          <w:rFonts w:hint="eastAsia" w:eastAsia="仿宋"/>
          <w:sz w:val="32"/>
          <w:szCs w:val="32"/>
        </w:rPr>
        <w:t>〕</w:t>
      </w:r>
      <w:r>
        <w:rPr>
          <w:rFonts w:eastAsia="仿宋"/>
          <w:sz w:val="32"/>
          <w:szCs w:val="32"/>
        </w:rPr>
        <w:t>8</w:t>
      </w:r>
      <w:r>
        <w:rPr>
          <w:rFonts w:hint="eastAsia" w:eastAsia="仿宋"/>
          <w:sz w:val="32"/>
          <w:szCs w:val="32"/>
        </w:rPr>
        <w:t>号）</w:t>
      </w:r>
      <w:r>
        <w:rPr>
          <w:rFonts w:eastAsia="仿宋"/>
          <w:sz w:val="32"/>
          <w:szCs w:val="32"/>
        </w:rPr>
        <w:t>启动部门自评工作。</w:t>
      </w:r>
    </w:p>
    <w:p>
      <w:pPr>
        <w:widowControl/>
        <w:spacing w:line="560" w:lineRule="exact"/>
        <w:ind w:firstLine="643" w:firstLineChars="200"/>
        <w:rPr>
          <w:rFonts w:eastAsia="仿宋"/>
          <w:b/>
          <w:bCs/>
          <w:sz w:val="32"/>
          <w:szCs w:val="32"/>
        </w:rPr>
      </w:pPr>
      <w:r>
        <w:rPr>
          <w:rFonts w:hint="eastAsia" w:eastAsia="仿宋"/>
          <w:b/>
          <w:bCs/>
          <w:sz w:val="32"/>
          <w:szCs w:val="32"/>
        </w:rPr>
        <w:t>2.组织实施自评</w:t>
      </w:r>
    </w:p>
    <w:p>
      <w:pPr>
        <w:widowControl/>
        <w:spacing w:line="560" w:lineRule="exact"/>
        <w:ind w:firstLine="640" w:firstLineChars="200"/>
        <w:rPr>
          <w:rFonts w:eastAsia="仿宋"/>
          <w:sz w:val="32"/>
          <w:szCs w:val="32"/>
        </w:rPr>
      </w:pPr>
      <w:r>
        <w:rPr>
          <w:rFonts w:eastAsia="仿宋"/>
          <w:sz w:val="32"/>
          <w:szCs w:val="32"/>
        </w:rPr>
        <w:t>财务部门会同第三方机构及时成立工作组，通过调研访谈、</w:t>
      </w:r>
      <w:r>
        <w:rPr>
          <w:rFonts w:hint="eastAsia" w:eastAsia="仿宋"/>
          <w:sz w:val="32"/>
          <w:szCs w:val="32"/>
        </w:rPr>
        <w:t>电话访谈</w:t>
      </w:r>
      <w:r>
        <w:rPr>
          <w:rFonts w:eastAsia="仿宋"/>
          <w:sz w:val="32"/>
          <w:szCs w:val="32"/>
        </w:rPr>
        <w:t>等方式收集、核实数据和信息，并对这些数据和信息进行整理分析。</w:t>
      </w:r>
    </w:p>
    <w:p>
      <w:pPr>
        <w:widowControl/>
        <w:spacing w:line="560" w:lineRule="exact"/>
        <w:ind w:firstLine="643" w:firstLineChars="200"/>
        <w:rPr>
          <w:rFonts w:eastAsia="仿宋"/>
          <w:b/>
          <w:bCs/>
          <w:sz w:val="32"/>
          <w:szCs w:val="32"/>
        </w:rPr>
      </w:pPr>
      <w:r>
        <w:rPr>
          <w:rFonts w:hint="eastAsia" w:eastAsia="仿宋"/>
          <w:b/>
          <w:bCs/>
          <w:sz w:val="32"/>
          <w:szCs w:val="32"/>
        </w:rPr>
        <w:t>3.撰写部门自评结果</w:t>
      </w:r>
    </w:p>
    <w:p>
      <w:pPr>
        <w:widowControl/>
        <w:spacing w:line="560" w:lineRule="exact"/>
        <w:ind w:firstLine="640" w:firstLineChars="200"/>
        <w:rPr>
          <w:rFonts w:eastAsia="仿宋"/>
          <w:sz w:val="32"/>
          <w:szCs w:val="32"/>
        </w:rPr>
      </w:pPr>
      <w:r>
        <w:rPr>
          <w:rFonts w:eastAsia="仿宋"/>
          <w:sz w:val="32"/>
          <w:szCs w:val="32"/>
        </w:rPr>
        <w:t>在整理分析基础上，形成部门</w:t>
      </w:r>
      <w:r>
        <w:rPr>
          <w:rFonts w:hint="eastAsia" w:eastAsia="仿宋"/>
          <w:sz w:val="32"/>
          <w:szCs w:val="32"/>
        </w:rPr>
        <w:t>整体</w:t>
      </w:r>
      <w:r>
        <w:rPr>
          <w:rFonts w:eastAsia="仿宋"/>
          <w:sz w:val="32"/>
          <w:szCs w:val="32"/>
        </w:rPr>
        <w:t>自评结果。</w:t>
      </w:r>
    </w:p>
    <w:p>
      <w:pPr>
        <w:widowControl/>
        <w:spacing w:line="560" w:lineRule="exact"/>
        <w:ind w:firstLine="643" w:firstLineChars="200"/>
        <w:rPr>
          <w:rFonts w:eastAsia="仿宋"/>
          <w:b/>
          <w:bCs/>
          <w:sz w:val="32"/>
          <w:szCs w:val="32"/>
        </w:rPr>
      </w:pPr>
      <w:r>
        <w:rPr>
          <w:rFonts w:hint="eastAsia" w:eastAsia="仿宋"/>
          <w:b/>
          <w:bCs/>
          <w:sz w:val="32"/>
          <w:szCs w:val="32"/>
        </w:rPr>
        <w:t>4.建立部门自评档案</w:t>
      </w:r>
    </w:p>
    <w:p>
      <w:pPr>
        <w:widowControl/>
        <w:spacing w:line="560" w:lineRule="exact"/>
        <w:ind w:firstLine="640" w:firstLineChars="200"/>
        <w:rPr>
          <w:rFonts w:eastAsia="仿宋"/>
          <w:sz w:val="32"/>
          <w:szCs w:val="32"/>
        </w:rPr>
      </w:pPr>
      <w:r>
        <w:rPr>
          <w:rFonts w:eastAsia="仿宋"/>
          <w:sz w:val="32"/>
          <w:szCs w:val="32"/>
        </w:rPr>
        <w:t>部门</w:t>
      </w:r>
      <w:r>
        <w:rPr>
          <w:rFonts w:hint="eastAsia" w:eastAsia="仿宋"/>
          <w:sz w:val="32"/>
          <w:szCs w:val="32"/>
        </w:rPr>
        <w:t>整体</w:t>
      </w:r>
      <w:r>
        <w:rPr>
          <w:rFonts w:eastAsia="仿宋"/>
          <w:sz w:val="32"/>
          <w:szCs w:val="32"/>
        </w:rPr>
        <w:t>自评结果按时报送财政部门备案并及时归档备查。</w:t>
      </w:r>
    </w:p>
    <w:p>
      <w:pPr>
        <w:widowControl/>
        <w:spacing w:line="560" w:lineRule="exact"/>
        <w:ind w:firstLine="643" w:firstLineChars="200"/>
        <w:jc w:val="left"/>
        <w:outlineLvl w:val="1"/>
        <w:rPr>
          <w:kern w:val="0"/>
          <w:sz w:val="24"/>
        </w:rPr>
      </w:pPr>
      <w:r>
        <w:rPr>
          <w:rFonts w:eastAsia="楷体"/>
          <w:b/>
          <w:bCs/>
          <w:kern w:val="0"/>
          <w:sz w:val="32"/>
          <w:szCs w:val="32"/>
        </w:rPr>
        <w:t>（三）绩效目标完成情况分析</w:t>
      </w:r>
    </w:p>
    <w:p>
      <w:pPr>
        <w:widowControl/>
        <w:spacing w:line="560" w:lineRule="exact"/>
        <w:ind w:firstLine="643" w:firstLineChars="200"/>
        <w:rPr>
          <w:rFonts w:eastAsia="楷体"/>
          <w:kern w:val="0"/>
          <w:sz w:val="32"/>
          <w:szCs w:val="32"/>
        </w:rPr>
      </w:pPr>
      <w:r>
        <w:rPr>
          <w:rFonts w:eastAsia="仿宋"/>
          <w:b/>
          <w:bCs/>
          <w:kern w:val="0"/>
          <w:sz w:val="32"/>
          <w:szCs w:val="32"/>
        </w:rPr>
        <w:t>1.预算执行情况分析（满分20分，得分15</w:t>
      </w:r>
      <w:r>
        <w:rPr>
          <w:rFonts w:hint="eastAsia" w:eastAsia="仿宋"/>
          <w:b/>
          <w:bCs/>
          <w:kern w:val="0"/>
          <w:sz w:val="32"/>
          <w:szCs w:val="32"/>
        </w:rPr>
        <w:t>.</w:t>
      </w:r>
      <w:r>
        <w:rPr>
          <w:rFonts w:eastAsia="仿宋"/>
          <w:b/>
          <w:bCs/>
          <w:kern w:val="0"/>
          <w:sz w:val="32"/>
          <w:szCs w:val="32"/>
        </w:rPr>
        <w:t>57分）</w:t>
      </w:r>
    </w:p>
    <w:p>
      <w:pPr>
        <w:keepNext/>
        <w:spacing w:line="560" w:lineRule="exact"/>
        <w:ind w:firstLine="640" w:firstLineChars="200"/>
        <w:rPr>
          <w:rFonts w:eastAsia="仿宋"/>
          <w:sz w:val="32"/>
          <w:szCs w:val="32"/>
        </w:rPr>
      </w:pPr>
      <w:r>
        <w:rPr>
          <w:rFonts w:hint="eastAsia" w:eastAsia="仿宋"/>
          <w:sz w:val="32"/>
          <w:szCs w:val="32"/>
        </w:rPr>
        <w:t>2021年度武汉经济技术开发区（汉南区）住房和城乡建设局部门年初预算总额</w:t>
      </w:r>
      <w:r>
        <w:rPr>
          <w:rFonts w:eastAsia="仿宋"/>
          <w:sz w:val="32"/>
          <w:szCs w:val="32"/>
        </w:rPr>
        <w:t>78216.95</w:t>
      </w:r>
      <w:r>
        <w:rPr>
          <w:rFonts w:hint="eastAsia" w:eastAsia="仿宋"/>
          <w:sz w:val="32"/>
          <w:szCs w:val="32"/>
        </w:rPr>
        <w:t>万元，调整预算数为</w:t>
      </w:r>
      <w:r>
        <w:rPr>
          <w:rFonts w:eastAsia="仿宋"/>
          <w:sz w:val="32"/>
          <w:szCs w:val="32"/>
        </w:rPr>
        <w:t>357422.52</w:t>
      </w:r>
      <w:r>
        <w:rPr>
          <w:rFonts w:hint="eastAsia" w:eastAsia="仿宋"/>
          <w:sz w:val="32"/>
          <w:szCs w:val="32"/>
        </w:rPr>
        <w:t>万元，决算数为</w:t>
      </w:r>
      <w:r>
        <w:rPr>
          <w:rFonts w:eastAsia="仿宋"/>
          <w:sz w:val="32"/>
          <w:szCs w:val="32"/>
        </w:rPr>
        <w:t>278329</w:t>
      </w:r>
      <w:r>
        <w:rPr>
          <w:rFonts w:hint="eastAsia" w:eastAsia="仿宋"/>
          <w:sz w:val="32"/>
          <w:szCs w:val="32"/>
        </w:rPr>
        <w:t>.</w:t>
      </w:r>
      <w:r>
        <w:rPr>
          <w:rFonts w:eastAsia="仿宋"/>
          <w:sz w:val="32"/>
          <w:szCs w:val="32"/>
        </w:rPr>
        <w:t>89</w:t>
      </w:r>
      <w:r>
        <w:rPr>
          <w:rFonts w:hint="eastAsia" w:eastAsia="仿宋"/>
          <w:sz w:val="32"/>
          <w:szCs w:val="32"/>
        </w:rPr>
        <w:t>万元，其中基本支出总额</w:t>
      </w:r>
      <w:r>
        <w:rPr>
          <w:rFonts w:eastAsia="仿宋"/>
          <w:sz w:val="32"/>
          <w:szCs w:val="32"/>
        </w:rPr>
        <w:t>7422.09</w:t>
      </w:r>
      <w:r>
        <w:rPr>
          <w:rFonts w:hint="eastAsia" w:eastAsia="仿宋"/>
          <w:sz w:val="32"/>
          <w:szCs w:val="32"/>
        </w:rPr>
        <w:t>万元，项目支出总额</w:t>
      </w:r>
      <w:r>
        <w:rPr>
          <w:rFonts w:eastAsia="仿宋"/>
          <w:sz w:val="32"/>
          <w:szCs w:val="32"/>
        </w:rPr>
        <w:t>270907.80</w:t>
      </w:r>
      <w:r>
        <w:rPr>
          <w:rFonts w:hint="eastAsia" w:eastAsia="仿宋"/>
          <w:sz w:val="32"/>
          <w:szCs w:val="32"/>
        </w:rPr>
        <w:t>万元，预算执行率</w:t>
      </w:r>
      <w:r>
        <w:rPr>
          <w:rFonts w:eastAsia="仿宋"/>
          <w:sz w:val="32"/>
          <w:szCs w:val="32"/>
        </w:rPr>
        <w:t>77.87</w:t>
      </w:r>
      <w:r>
        <w:rPr>
          <w:rFonts w:hint="eastAsia" w:eastAsia="仿宋"/>
          <w:sz w:val="32"/>
          <w:szCs w:val="32"/>
        </w:rPr>
        <w:t>%。</w:t>
      </w:r>
    </w:p>
    <w:p>
      <w:pPr>
        <w:widowControl/>
        <w:spacing w:line="560" w:lineRule="exact"/>
        <w:ind w:firstLine="643" w:firstLineChars="200"/>
        <w:rPr>
          <w:rFonts w:eastAsia="仿宋"/>
          <w:kern w:val="0"/>
          <w:sz w:val="32"/>
          <w:szCs w:val="32"/>
        </w:rPr>
      </w:pPr>
      <w:r>
        <w:rPr>
          <w:rFonts w:eastAsia="仿宋"/>
          <w:b/>
          <w:bCs/>
          <w:kern w:val="0"/>
          <w:sz w:val="32"/>
          <w:szCs w:val="32"/>
        </w:rPr>
        <w:t>2.绩效目标完成情况分析（满分80分，得分</w:t>
      </w:r>
      <w:r>
        <w:rPr>
          <w:rFonts w:hint="eastAsia" w:eastAsia="仿宋"/>
          <w:b/>
          <w:bCs/>
          <w:kern w:val="0"/>
          <w:sz w:val="32"/>
          <w:szCs w:val="32"/>
        </w:rPr>
        <w:t>7</w:t>
      </w:r>
      <w:r>
        <w:rPr>
          <w:rFonts w:eastAsia="仿宋"/>
          <w:b/>
          <w:bCs/>
          <w:kern w:val="0"/>
          <w:sz w:val="32"/>
          <w:szCs w:val="32"/>
        </w:rPr>
        <w:t>6.25分）</w:t>
      </w:r>
    </w:p>
    <w:p>
      <w:pPr>
        <w:pStyle w:val="2"/>
        <w:spacing w:after="0" w:line="560" w:lineRule="exact"/>
        <w:ind w:firstLine="640" w:firstLineChars="200"/>
        <w:rPr>
          <w:rFonts w:eastAsia="仿宋"/>
          <w:sz w:val="32"/>
          <w:szCs w:val="32"/>
        </w:rPr>
      </w:pPr>
      <w:r>
        <w:rPr>
          <w:rFonts w:eastAsia="仿宋"/>
          <w:sz w:val="32"/>
          <w:szCs w:val="32"/>
        </w:rPr>
        <w:t>（1）年度目标1：</w:t>
      </w:r>
      <w:r>
        <w:rPr>
          <w:rFonts w:hint="eastAsia" w:eastAsia="仿宋"/>
          <w:sz w:val="32"/>
          <w:szCs w:val="32"/>
        </w:rPr>
        <w:t>进一步推进城建攻坚计划，全面推进城市基础设施配套建设；加强重点项目协调，全面推进路网项目建设。</w:t>
      </w:r>
      <w:r>
        <w:rPr>
          <w:rFonts w:eastAsia="仿宋"/>
          <w:sz w:val="32"/>
          <w:szCs w:val="32"/>
        </w:rPr>
        <w:t>（满分8分，得分8分）</w:t>
      </w:r>
    </w:p>
    <w:p>
      <w:pPr>
        <w:spacing w:line="560" w:lineRule="exact"/>
        <w:ind w:firstLine="640" w:firstLineChars="200"/>
        <w:rPr>
          <w:rFonts w:eastAsia="仿宋"/>
          <w:sz w:val="32"/>
          <w:szCs w:val="32"/>
        </w:rPr>
      </w:pPr>
      <w:r>
        <w:rPr>
          <w:rFonts w:eastAsia="仿宋"/>
          <w:sz w:val="32"/>
          <w:szCs w:val="32"/>
        </w:rPr>
        <w:t>产出指标完成情况分析：满分4分，得分4分</w:t>
      </w:r>
    </w:p>
    <w:p>
      <w:pPr>
        <w:spacing w:line="560" w:lineRule="exact"/>
        <w:ind w:firstLine="640" w:firstLineChars="200"/>
        <w:rPr>
          <w:rFonts w:eastAsia="仿宋"/>
          <w:sz w:val="32"/>
          <w:szCs w:val="32"/>
        </w:rPr>
      </w:pPr>
      <w:r>
        <w:rPr>
          <w:rFonts w:eastAsia="仿宋"/>
          <w:sz w:val="32"/>
          <w:szCs w:val="32"/>
        </w:rPr>
        <w:t>①</w:t>
      </w:r>
      <w:r>
        <w:rPr>
          <w:rFonts w:hint="eastAsia" w:eastAsia="仿宋"/>
          <w:sz w:val="32"/>
          <w:szCs w:val="32"/>
        </w:rPr>
        <w:t>照明提升改造建设推进度</w:t>
      </w:r>
      <w:r>
        <w:rPr>
          <w:rFonts w:eastAsia="仿宋"/>
          <w:sz w:val="32"/>
          <w:szCs w:val="32"/>
        </w:rPr>
        <w:t>：满分2分，得分2分</w:t>
      </w:r>
    </w:p>
    <w:p>
      <w:pPr>
        <w:spacing w:line="560" w:lineRule="exact"/>
        <w:ind w:firstLine="640" w:firstLineChars="200"/>
        <w:rPr>
          <w:rFonts w:eastAsia="仿宋"/>
          <w:sz w:val="32"/>
          <w:szCs w:val="32"/>
        </w:rPr>
      </w:pPr>
      <w:r>
        <w:rPr>
          <w:rFonts w:hint="eastAsia" w:eastAsia="仿宋"/>
          <w:sz w:val="32"/>
          <w:szCs w:val="32"/>
        </w:rPr>
        <w:t>目标为照明提升改造建设推进度</w:t>
      </w:r>
      <w:r>
        <w:rPr>
          <w:rFonts w:eastAsia="仿宋"/>
          <w:sz w:val="32"/>
          <w:szCs w:val="32"/>
        </w:rPr>
        <w:t>100%</w:t>
      </w:r>
      <w:r>
        <w:rPr>
          <w:rFonts w:hint="eastAsia" w:eastAsia="仿宋"/>
          <w:sz w:val="32"/>
          <w:szCs w:val="32"/>
        </w:rPr>
        <w:t>，202</w:t>
      </w:r>
      <w:r>
        <w:rPr>
          <w:rFonts w:eastAsia="仿宋"/>
          <w:sz w:val="32"/>
          <w:szCs w:val="32"/>
        </w:rPr>
        <w:t>1</w:t>
      </w:r>
      <w:r>
        <w:rPr>
          <w:rFonts w:hint="eastAsia" w:eastAsia="仿宋"/>
          <w:sz w:val="32"/>
          <w:szCs w:val="32"/>
        </w:rPr>
        <w:t>年东风大道高架（车城北路-四环线）、芳草路（三环线-太子湖路）6.7公里照明提升改造顺利完工；经开实验小学、江汉大学4.8公里周边道路照明设施全面升级</w:t>
      </w:r>
      <w:r>
        <w:rPr>
          <w:rFonts w:eastAsia="仿宋"/>
          <w:color w:val="000000" w:themeColor="text1"/>
          <w:sz w:val="32"/>
          <w:szCs w:val="32"/>
          <w14:textFill>
            <w14:solidFill>
              <w14:schemeClr w14:val="tx1"/>
            </w14:solidFill>
          </w14:textFill>
        </w:rPr>
        <w:t>，完成目标</w:t>
      </w:r>
      <w:r>
        <w:rPr>
          <w:rFonts w:eastAsia="仿宋"/>
          <w:sz w:val="32"/>
          <w:szCs w:val="32"/>
        </w:rPr>
        <w:t>。</w:t>
      </w:r>
    </w:p>
    <w:p>
      <w:pPr>
        <w:pStyle w:val="15"/>
        <w:numPr>
          <w:ilvl w:val="0"/>
          <w:numId w:val="5"/>
        </w:numPr>
        <w:spacing w:line="560" w:lineRule="exact"/>
        <w:ind w:firstLineChars="0"/>
        <w:rPr>
          <w:rFonts w:eastAsia="仿宋"/>
          <w:sz w:val="32"/>
          <w:szCs w:val="32"/>
        </w:rPr>
      </w:pPr>
      <w:r>
        <w:rPr>
          <w:rFonts w:hint="eastAsia" w:eastAsia="仿宋"/>
          <w:sz w:val="32"/>
          <w:szCs w:val="32"/>
        </w:rPr>
        <w:t>市（区）级重点项目建设推进度</w:t>
      </w:r>
      <w:r>
        <w:rPr>
          <w:rFonts w:eastAsia="仿宋"/>
          <w:sz w:val="32"/>
          <w:szCs w:val="32"/>
        </w:rPr>
        <w:t>：满分2分，得分2分</w:t>
      </w:r>
    </w:p>
    <w:p>
      <w:pPr>
        <w:pStyle w:val="2"/>
        <w:spacing w:after="0" w:line="560" w:lineRule="exact"/>
        <w:ind w:firstLine="640" w:firstLineChars="200"/>
        <w:rPr>
          <w:rFonts w:eastAsia="仿宋"/>
          <w:sz w:val="32"/>
          <w:szCs w:val="32"/>
        </w:rPr>
      </w:pPr>
      <w:r>
        <w:rPr>
          <w:rFonts w:hint="eastAsia" w:eastAsia="仿宋"/>
          <w:sz w:val="32"/>
          <w:szCs w:val="32"/>
        </w:rPr>
        <w:t>目标为市（区）级重点项目建设推进度</w:t>
      </w:r>
      <w:r>
        <w:rPr>
          <w:rFonts w:eastAsia="仿宋"/>
          <w:sz w:val="32"/>
          <w:szCs w:val="32"/>
        </w:rPr>
        <w:t>100%</w:t>
      </w:r>
      <w:r>
        <w:rPr>
          <w:rFonts w:hint="eastAsia" w:eastAsia="仿宋"/>
          <w:sz w:val="32"/>
          <w:szCs w:val="32"/>
        </w:rPr>
        <w:t>，202</w:t>
      </w:r>
      <w:r>
        <w:rPr>
          <w:rFonts w:eastAsia="仿宋"/>
          <w:sz w:val="32"/>
          <w:szCs w:val="32"/>
        </w:rPr>
        <w:t>1</w:t>
      </w:r>
      <w:r>
        <w:rPr>
          <w:rFonts w:hint="eastAsia" w:eastAsia="仿宋"/>
          <w:sz w:val="32"/>
          <w:szCs w:val="32"/>
        </w:rPr>
        <w:t>年区住房和城乡建设局强化统筹协调，城建重点项目全面推进。完成城建投资90.93亿元，超年度目标0.3%。墨竹路开发区段、大沌路、三角湖北路改造完成竣工验收。金河北路、兴七路即将完工。经开至汉南一体化（一期）、长江路延长线、左岸大道长河段等项目产值过半。1MA地块市政配套工程、汤山南路、新华园三路等开工在即，购买武监高速公路使用权为全区居民免费通行</w:t>
      </w:r>
      <w:r>
        <w:rPr>
          <w:rFonts w:eastAsia="仿宋"/>
          <w:color w:val="000000" w:themeColor="text1"/>
          <w:sz w:val="32"/>
          <w:szCs w:val="32"/>
          <w14:textFill>
            <w14:solidFill>
              <w14:schemeClr w14:val="tx1"/>
            </w14:solidFill>
          </w14:textFill>
        </w:rPr>
        <w:t>，完成目标</w:t>
      </w:r>
      <w:r>
        <w:rPr>
          <w:rFonts w:eastAsia="仿宋"/>
          <w:sz w:val="32"/>
          <w:szCs w:val="32"/>
        </w:rPr>
        <w:t>。</w:t>
      </w:r>
    </w:p>
    <w:p>
      <w:pPr>
        <w:spacing w:line="560" w:lineRule="exact"/>
        <w:ind w:firstLine="640" w:firstLineChars="200"/>
        <w:rPr>
          <w:rFonts w:eastAsia="仿宋"/>
          <w:sz w:val="32"/>
          <w:szCs w:val="32"/>
        </w:rPr>
      </w:pPr>
      <w:r>
        <w:rPr>
          <w:rFonts w:eastAsia="仿宋"/>
          <w:sz w:val="32"/>
          <w:szCs w:val="32"/>
        </w:rPr>
        <w:t>效益指标完成情况分析：满分4分，得分4分</w:t>
      </w:r>
    </w:p>
    <w:p>
      <w:pPr>
        <w:pStyle w:val="2"/>
        <w:spacing w:after="0" w:line="560" w:lineRule="exact"/>
        <w:ind w:firstLine="640" w:firstLineChars="200"/>
        <w:rPr>
          <w:rFonts w:eastAsia="仿宋"/>
          <w:sz w:val="32"/>
          <w:szCs w:val="32"/>
        </w:rPr>
      </w:pPr>
      <w:r>
        <w:rPr>
          <w:rFonts w:eastAsia="仿宋"/>
          <w:sz w:val="32"/>
          <w:szCs w:val="32"/>
        </w:rPr>
        <w:t>①</w:t>
      </w:r>
      <w:r>
        <w:rPr>
          <w:rFonts w:hint="eastAsia" w:eastAsia="仿宋"/>
          <w:sz w:val="32"/>
          <w:szCs w:val="32"/>
        </w:rPr>
        <w:t>全区建筑业投资提升度</w:t>
      </w:r>
      <w:r>
        <w:rPr>
          <w:rFonts w:eastAsia="仿宋"/>
          <w:sz w:val="32"/>
          <w:szCs w:val="32"/>
        </w:rPr>
        <w:t>：满分4分，得分4分</w:t>
      </w:r>
    </w:p>
    <w:p>
      <w:pPr>
        <w:adjustRightInd w:val="0"/>
        <w:snapToGrid w:val="0"/>
        <w:spacing w:line="540" w:lineRule="exact"/>
        <w:ind w:firstLine="640" w:firstLineChars="200"/>
        <w:rPr>
          <w:rFonts w:ascii="仿宋" w:hAnsi="仿宋" w:eastAsia="仿宋"/>
          <w:sz w:val="32"/>
          <w:szCs w:val="32"/>
        </w:rPr>
      </w:pPr>
      <w:r>
        <w:rPr>
          <w:rFonts w:hint="eastAsia" w:eastAsia="仿宋"/>
          <w:sz w:val="32"/>
          <w:szCs w:val="32"/>
        </w:rPr>
        <w:t>目标为全区建筑业投资提升，202</w:t>
      </w:r>
      <w:r>
        <w:rPr>
          <w:rFonts w:eastAsia="仿宋"/>
          <w:sz w:val="32"/>
          <w:szCs w:val="32"/>
        </w:rPr>
        <w:t>1</w:t>
      </w:r>
      <w:r>
        <w:rPr>
          <w:rFonts w:hint="eastAsia" w:eastAsia="仿宋"/>
          <w:sz w:val="32"/>
          <w:szCs w:val="32"/>
        </w:rPr>
        <w:t>年区住房和城乡建设局跟踪企业所上报相关问题及困难为导向，密切跟踪项目投资进度，发挥职能优势，着力解决区内项目开发中存在的问题，当好服务企业的“店小二”，做到有求必应、无事不扰，掌握企业销售动态，帮助企业稳预期、强信心、快发展，着力协调解决开发企业难题。要求企业迅速搭建投资统计平台，提高报表质量，确保完成房地产开发投资。2021年房地产开发投资目标任务240亿元，增幅15%。2021年1-11月，房地产开发项目完成投资292.81亿元，是全年目标任务的122%，已超额完成全年目标，同比增长62.4%，完成目标。</w:t>
      </w:r>
    </w:p>
    <w:p>
      <w:pPr>
        <w:pStyle w:val="2"/>
        <w:spacing w:after="0" w:line="560" w:lineRule="exact"/>
        <w:ind w:firstLine="640" w:firstLineChars="200"/>
        <w:rPr>
          <w:rFonts w:eastAsia="仿宋"/>
          <w:sz w:val="32"/>
          <w:szCs w:val="32"/>
        </w:rPr>
      </w:pPr>
      <w:r>
        <w:rPr>
          <w:rFonts w:eastAsia="仿宋"/>
          <w:sz w:val="32"/>
          <w:szCs w:val="32"/>
        </w:rPr>
        <w:t>（2）年度目标2：</w:t>
      </w:r>
      <w:r>
        <w:rPr>
          <w:rFonts w:hint="eastAsia" w:eastAsia="仿宋"/>
          <w:sz w:val="32"/>
          <w:szCs w:val="32"/>
        </w:rPr>
        <w:t>进一步强化建设市场监管与服务，建设规范有序的建筑市场；推进智能家居之都建设，推进装配式建筑发展，推进海绵城市建设，强化建筑工程质量安全监管。</w:t>
      </w:r>
      <w:r>
        <w:rPr>
          <w:rFonts w:eastAsia="仿宋"/>
          <w:sz w:val="32"/>
          <w:szCs w:val="32"/>
        </w:rPr>
        <w:t>（满分16分，得分16分）</w:t>
      </w:r>
    </w:p>
    <w:p>
      <w:pPr>
        <w:spacing w:line="560" w:lineRule="exact"/>
        <w:ind w:firstLine="640" w:firstLineChars="200"/>
        <w:rPr>
          <w:rFonts w:eastAsia="仿宋"/>
          <w:sz w:val="32"/>
          <w:szCs w:val="32"/>
        </w:rPr>
      </w:pPr>
      <w:r>
        <w:rPr>
          <w:rFonts w:eastAsia="仿宋"/>
          <w:sz w:val="32"/>
          <w:szCs w:val="32"/>
        </w:rPr>
        <w:t>产出指标完成情况分析：满分8分，得分8分</w:t>
      </w:r>
    </w:p>
    <w:p>
      <w:pPr>
        <w:pStyle w:val="2"/>
        <w:spacing w:after="0" w:line="560" w:lineRule="exact"/>
        <w:ind w:firstLine="640" w:firstLineChars="200"/>
        <w:rPr>
          <w:rFonts w:eastAsia="仿宋"/>
          <w:sz w:val="32"/>
          <w:szCs w:val="32"/>
        </w:rPr>
      </w:pPr>
      <w:r>
        <w:rPr>
          <w:rFonts w:eastAsia="仿宋"/>
          <w:sz w:val="32"/>
          <w:szCs w:val="32"/>
        </w:rPr>
        <w:t>①</w:t>
      </w:r>
      <w:r>
        <w:rPr>
          <w:rFonts w:hint="eastAsia" w:eastAsia="仿宋"/>
          <w:sz w:val="32"/>
          <w:szCs w:val="32"/>
        </w:rPr>
        <w:t>工程监督抽查到位率</w:t>
      </w:r>
      <w:r>
        <w:rPr>
          <w:rFonts w:eastAsia="仿宋"/>
          <w:sz w:val="32"/>
          <w:szCs w:val="32"/>
        </w:rPr>
        <w:t>：满分2分，得分2分</w:t>
      </w:r>
    </w:p>
    <w:p>
      <w:pPr>
        <w:shd w:val="clear" w:color="auto" w:fill="FFFFFF" w:themeFill="background1"/>
        <w:spacing w:line="560" w:lineRule="exact"/>
        <w:ind w:firstLine="640" w:firstLineChars="200"/>
        <w:rPr>
          <w:rFonts w:eastAsia="仿宋"/>
          <w:kern w:val="0"/>
          <w:sz w:val="32"/>
          <w:szCs w:val="32"/>
        </w:rPr>
      </w:pPr>
      <w:r>
        <w:rPr>
          <w:rFonts w:eastAsia="仿宋"/>
          <w:sz w:val="32"/>
          <w:szCs w:val="32"/>
        </w:rPr>
        <w:t>目标为</w:t>
      </w:r>
      <w:r>
        <w:rPr>
          <w:rFonts w:hint="eastAsia" w:eastAsia="仿宋"/>
          <w:sz w:val="32"/>
          <w:szCs w:val="32"/>
        </w:rPr>
        <w:t>工程监督抽查到位率</w:t>
      </w:r>
      <w:r>
        <w:rPr>
          <w:rFonts w:eastAsia="仿宋"/>
          <w:sz w:val="32"/>
          <w:szCs w:val="32"/>
        </w:rPr>
        <w:t>100%，2021年</w:t>
      </w:r>
      <w:r>
        <w:rPr>
          <w:rFonts w:hint="eastAsia" w:eastAsia="仿宋"/>
          <w:sz w:val="32"/>
          <w:szCs w:val="32"/>
        </w:rPr>
        <w:t>区住房和城乡建设局监督房屋建筑工程320项2199.68万㎡，工程造价565.24亿元，行政处罚39件</w:t>
      </w:r>
      <w:r>
        <w:rPr>
          <w:rFonts w:hint="eastAsia" w:eastAsia="仿宋"/>
          <w:kern w:val="0"/>
          <w:sz w:val="32"/>
          <w:szCs w:val="32"/>
        </w:rPr>
        <w:t>，工程监督抽查到位率达100%，</w:t>
      </w:r>
      <w:r>
        <w:rPr>
          <w:rFonts w:eastAsia="仿宋"/>
          <w:sz w:val="32"/>
          <w:szCs w:val="32"/>
        </w:rPr>
        <w:t>完成目标。</w:t>
      </w:r>
    </w:p>
    <w:p>
      <w:pPr>
        <w:pStyle w:val="2"/>
        <w:spacing w:after="0" w:line="560" w:lineRule="exact"/>
        <w:ind w:left="640"/>
        <w:rPr>
          <w:rFonts w:eastAsia="仿宋"/>
          <w:sz w:val="32"/>
          <w:szCs w:val="32"/>
        </w:rPr>
      </w:pPr>
      <w:r>
        <w:rPr>
          <w:rFonts w:hint="eastAsia" w:ascii="仿宋" w:hAnsi="仿宋" w:eastAsia="仿宋"/>
          <w:sz w:val="32"/>
          <w:szCs w:val="32"/>
        </w:rPr>
        <w:t>②</w:t>
      </w:r>
      <w:r>
        <w:rPr>
          <w:rFonts w:hint="eastAsia" w:eastAsia="仿宋"/>
          <w:sz w:val="32"/>
          <w:szCs w:val="32"/>
        </w:rPr>
        <w:t>文明施工获奖工程数</w:t>
      </w:r>
      <w:r>
        <w:rPr>
          <w:rFonts w:eastAsia="仿宋"/>
          <w:sz w:val="32"/>
          <w:szCs w:val="32"/>
        </w:rPr>
        <w:t>：满分2分，得分2分</w:t>
      </w:r>
    </w:p>
    <w:p>
      <w:pPr>
        <w:shd w:val="clear" w:color="auto" w:fill="FFFFFF" w:themeFill="background1"/>
        <w:spacing w:line="560" w:lineRule="exact"/>
        <w:ind w:firstLine="640" w:firstLineChars="200"/>
        <w:rPr>
          <w:rFonts w:eastAsia="仿宋"/>
          <w:kern w:val="0"/>
          <w:sz w:val="32"/>
          <w:szCs w:val="32"/>
        </w:rPr>
      </w:pPr>
      <w:r>
        <w:rPr>
          <w:rFonts w:eastAsia="仿宋"/>
          <w:sz w:val="32"/>
          <w:szCs w:val="32"/>
        </w:rPr>
        <w:t>目标为</w:t>
      </w:r>
      <w:r>
        <w:rPr>
          <w:rFonts w:hint="eastAsia" w:eastAsia="仿宋"/>
          <w:sz w:val="32"/>
          <w:szCs w:val="32"/>
        </w:rPr>
        <w:t>文明施工获奖工程数2</w:t>
      </w:r>
      <w:r>
        <w:rPr>
          <w:rFonts w:eastAsia="仿宋"/>
          <w:sz w:val="32"/>
          <w:szCs w:val="32"/>
        </w:rPr>
        <w:t>0</w:t>
      </w:r>
      <w:r>
        <w:rPr>
          <w:rFonts w:hint="eastAsia" w:eastAsia="仿宋"/>
          <w:sz w:val="32"/>
          <w:szCs w:val="32"/>
        </w:rPr>
        <w:t>个，</w:t>
      </w:r>
      <w:r>
        <w:rPr>
          <w:rFonts w:eastAsia="仿宋"/>
          <w:sz w:val="32"/>
          <w:szCs w:val="32"/>
        </w:rPr>
        <w:t>2021年</w:t>
      </w:r>
      <w:r>
        <w:rPr>
          <w:rFonts w:hint="eastAsia" w:eastAsia="仿宋"/>
          <w:sz w:val="32"/>
          <w:szCs w:val="32"/>
        </w:rPr>
        <w:t>区住房和城乡建设局</w:t>
      </w:r>
      <w:r>
        <w:rPr>
          <w:rFonts w:hint="eastAsia" w:eastAsia="仿宋"/>
          <w:kern w:val="0"/>
          <w:sz w:val="32"/>
          <w:szCs w:val="32"/>
        </w:rPr>
        <w:t>常态从严巡查工地安全文明施工，获评省优质工程6个、国优1个，市政金杯奖1个，省级安全文明示范工地12个、市级8个</w:t>
      </w:r>
      <w:r>
        <w:rPr>
          <w:rFonts w:hint="eastAsia" w:eastAsia="仿宋"/>
          <w:sz w:val="32"/>
          <w:szCs w:val="32"/>
        </w:rPr>
        <w:t>，共计2</w:t>
      </w:r>
      <w:r>
        <w:rPr>
          <w:rFonts w:eastAsia="仿宋"/>
          <w:sz w:val="32"/>
          <w:szCs w:val="32"/>
        </w:rPr>
        <w:t>8</w:t>
      </w:r>
      <w:r>
        <w:rPr>
          <w:rFonts w:hint="eastAsia" w:eastAsia="仿宋"/>
          <w:sz w:val="32"/>
          <w:szCs w:val="32"/>
        </w:rPr>
        <w:t>个，</w:t>
      </w:r>
      <w:r>
        <w:rPr>
          <w:rFonts w:eastAsia="仿宋"/>
          <w:sz w:val="32"/>
          <w:szCs w:val="32"/>
        </w:rPr>
        <w:t>完成目标。</w:t>
      </w:r>
    </w:p>
    <w:p>
      <w:pPr>
        <w:pStyle w:val="2"/>
        <w:spacing w:after="0" w:line="560" w:lineRule="exact"/>
        <w:ind w:left="640"/>
        <w:rPr>
          <w:rFonts w:eastAsia="仿宋"/>
          <w:sz w:val="32"/>
          <w:szCs w:val="32"/>
        </w:rPr>
      </w:pPr>
      <w:r>
        <w:rPr>
          <w:rFonts w:hint="eastAsia" w:ascii="仿宋" w:hAnsi="仿宋" w:eastAsia="仿宋"/>
          <w:sz w:val="32"/>
          <w:szCs w:val="32"/>
        </w:rPr>
        <w:t>③</w:t>
      </w:r>
      <w:r>
        <w:rPr>
          <w:rFonts w:hint="eastAsia" w:eastAsia="仿宋"/>
          <w:sz w:val="32"/>
          <w:szCs w:val="32"/>
        </w:rPr>
        <w:t>推进海绵城市建设</w:t>
      </w:r>
      <w:r>
        <w:rPr>
          <w:rFonts w:eastAsia="仿宋"/>
          <w:sz w:val="32"/>
          <w:szCs w:val="32"/>
        </w:rPr>
        <w:t>：满分2分，得分2分</w:t>
      </w:r>
    </w:p>
    <w:p>
      <w:pPr>
        <w:pStyle w:val="2"/>
        <w:spacing w:after="0" w:line="560" w:lineRule="exact"/>
        <w:ind w:firstLine="640" w:firstLineChars="200"/>
        <w:rPr>
          <w:rFonts w:eastAsia="仿宋"/>
          <w:sz w:val="32"/>
          <w:szCs w:val="32"/>
        </w:rPr>
      </w:pPr>
      <w:r>
        <w:rPr>
          <w:rFonts w:eastAsia="仿宋"/>
          <w:sz w:val="32"/>
          <w:szCs w:val="32"/>
        </w:rPr>
        <w:t>目标为</w:t>
      </w:r>
      <w:r>
        <w:rPr>
          <w:rFonts w:hint="eastAsia" w:eastAsia="仿宋"/>
          <w:sz w:val="32"/>
          <w:szCs w:val="32"/>
        </w:rPr>
        <w:t>海绵城市建设推进度100%</w:t>
      </w:r>
      <w:r>
        <w:rPr>
          <w:rFonts w:eastAsia="仿宋"/>
          <w:sz w:val="32"/>
          <w:szCs w:val="32"/>
        </w:rPr>
        <w:t>，2021年</w:t>
      </w:r>
      <w:r>
        <w:rPr>
          <w:rFonts w:hint="eastAsia" w:eastAsia="仿宋"/>
          <w:sz w:val="32"/>
          <w:szCs w:val="32"/>
        </w:rPr>
        <w:t>“十四五”海绵城市建设规划通过专家评审，完成川江池公园、枫林一路、二路雨污排水工程，坛山岛人工湿地项目完成进度98%，综合管廊主体建设5公里，</w:t>
      </w:r>
      <w:r>
        <w:rPr>
          <w:rFonts w:eastAsia="仿宋"/>
          <w:sz w:val="32"/>
          <w:szCs w:val="32"/>
        </w:rPr>
        <w:t>完成目标。</w:t>
      </w:r>
    </w:p>
    <w:p>
      <w:pPr>
        <w:pStyle w:val="2"/>
        <w:spacing w:after="0" w:line="560" w:lineRule="exact"/>
        <w:ind w:firstLine="640" w:firstLineChars="200"/>
        <w:rPr>
          <w:rFonts w:eastAsia="仿宋"/>
          <w:sz w:val="32"/>
          <w:szCs w:val="32"/>
        </w:rPr>
      </w:pPr>
      <w:r>
        <w:rPr>
          <w:rFonts w:eastAsia="仿宋"/>
          <w:sz w:val="32"/>
          <w:szCs w:val="32"/>
        </w:rPr>
        <w:t>④</w:t>
      </w:r>
      <w:r>
        <w:rPr>
          <w:rFonts w:hint="eastAsia" w:eastAsia="仿宋"/>
          <w:sz w:val="32"/>
          <w:szCs w:val="32"/>
        </w:rPr>
        <w:t>受监工程质量安全责任事故发生数</w:t>
      </w:r>
      <w:r>
        <w:rPr>
          <w:rFonts w:eastAsia="仿宋"/>
          <w:sz w:val="32"/>
          <w:szCs w:val="32"/>
        </w:rPr>
        <w:t>：满分2分，得分2分</w:t>
      </w:r>
    </w:p>
    <w:p>
      <w:pPr>
        <w:shd w:val="clear" w:color="auto" w:fill="FFFFFF" w:themeFill="background1"/>
        <w:spacing w:line="560" w:lineRule="exact"/>
        <w:ind w:firstLine="640" w:firstLineChars="200"/>
        <w:rPr>
          <w:rFonts w:eastAsia="仿宋"/>
          <w:kern w:val="0"/>
          <w:sz w:val="32"/>
          <w:szCs w:val="32"/>
        </w:rPr>
      </w:pPr>
      <w:r>
        <w:rPr>
          <w:rFonts w:eastAsia="仿宋"/>
          <w:sz w:val="32"/>
          <w:szCs w:val="32"/>
        </w:rPr>
        <w:t>目标为</w:t>
      </w:r>
      <w:r>
        <w:rPr>
          <w:rFonts w:hint="eastAsia" w:eastAsia="仿宋"/>
          <w:sz w:val="32"/>
          <w:szCs w:val="32"/>
        </w:rPr>
        <w:t>受监工程质量安全责任事故发生数0项</w:t>
      </w:r>
      <w:r>
        <w:rPr>
          <w:rFonts w:eastAsia="仿宋"/>
          <w:sz w:val="32"/>
          <w:szCs w:val="32"/>
        </w:rPr>
        <w:t>，2021年</w:t>
      </w:r>
      <w:r>
        <w:rPr>
          <w:rFonts w:hint="eastAsia" w:eastAsia="仿宋"/>
          <w:sz w:val="32"/>
          <w:szCs w:val="32"/>
        </w:rPr>
        <w:t>区住房和城乡建设局</w:t>
      </w:r>
      <w:r>
        <w:rPr>
          <w:rFonts w:hint="eastAsia" w:eastAsia="仿宋"/>
          <w:kern w:val="0"/>
          <w:sz w:val="32"/>
          <w:szCs w:val="32"/>
        </w:rPr>
        <w:t>受监工程未发生质量安全责任事故</w:t>
      </w:r>
      <w:r>
        <w:rPr>
          <w:rFonts w:hint="eastAsia" w:eastAsia="仿宋"/>
          <w:sz w:val="32"/>
          <w:szCs w:val="32"/>
        </w:rPr>
        <w:t>，</w:t>
      </w:r>
      <w:r>
        <w:rPr>
          <w:rFonts w:eastAsia="仿宋"/>
          <w:sz w:val="32"/>
          <w:szCs w:val="32"/>
        </w:rPr>
        <w:t>完成目标。</w:t>
      </w:r>
    </w:p>
    <w:p>
      <w:pPr>
        <w:spacing w:line="560" w:lineRule="exact"/>
        <w:ind w:firstLine="640" w:firstLineChars="200"/>
        <w:rPr>
          <w:rFonts w:eastAsia="仿宋"/>
          <w:sz w:val="32"/>
          <w:szCs w:val="32"/>
        </w:rPr>
      </w:pPr>
      <w:r>
        <w:rPr>
          <w:rFonts w:eastAsia="仿宋"/>
          <w:sz w:val="32"/>
          <w:szCs w:val="32"/>
        </w:rPr>
        <w:t>效益指标完成情况分析：满分8分，得分8分</w:t>
      </w:r>
    </w:p>
    <w:p>
      <w:pPr>
        <w:spacing w:line="560" w:lineRule="exact"/>
        <w:ind w:firstLine="640" w:firstLineChars="200"/>
        <w:rPr>
          <w:rFonts w:eastAsia="仿宋"/>
          <w:sz w:val="32"/>
          <w:szCs w:val="32"/>
        </w:rPr>
      </w:pPr>
      <w:r>
        <w:rPr>
          <w:rFonts w:eastAsia="仿宋"/>
          <w:sz w:val="32"/>
          <w:szCs w:val="32"/>
        </w:rPr>
        <w:t>①</w:t>
      </w:r>
      <w:r>
        <w:rPr>
          <w:rFonts w:hint="eastAsia" w:eastAsia="仿宋"/>
          <w:sz w:val="32"/>
          <w:szCs w:val="32"/>
        </w:rPr>
        <w:t>问题整改落实率</w:t>
      </w:r>
      <w:r>
        <w:rPr>
          <w:rFonts w:eastAsia="仿宋"/>
          <w:sz w:val="32"/>
          <w:szCs w:val="32"/>
        </w:rPr>
        <w:t>：满分4分，得分4分</w:t>
      </w:r>
    </w:p>
    <w:p>
      <w:pPr>
        <w:shd w:val="clear" w:color="auto" w:fill="FFFFFF" w:themeFill="background1"/>
        <w:spacing w:line="560" w:lineRule="exact"/>
        <w:ind w:firstLine="640" w:firstLineChars="200"/>
        <w:rPr>
          <w:rFonts w:eastAsia="仿宋"/>
          <w:kern w:val="0"/>
          <w:sz w:val="32"/>
          <w:szCs w:val="32"/>
        </w:rPr>
      </w:pPr>
      <w:r>
        <w:rPr>
          <w:rFonts w:eastAsia="仿宋"/>
          <w:sz w:val="32"/>
          <w:szCs w:val="32"/>
        </w:rPr>
        <w:t>目标为</w:t>
      </w:r>
      <w:r>
        <w:rPr>
          <w:rFonts w:hint="eastAsia" w:eastAsia="仿宋"/>
          <w:sz w:val="32"/>
          <w:szCs w:val="32"/>
        </w:rPr>
        <w:t>问题整改落实率1</w:t>
      </w:r>
      <w:r>
        <w:rPr>
          <w:rFonts w:eastAsia="仿宋"/>
          <w:sz w:val="32"/>
          <w:szCs w:val="32"/>
        </w:rPr>
        <w:t>0</w:t>
      </w:r>
      <w:r>
        <w:rPr>
          <w:rFonts w:hint="eastAsia" w:eastAsia="仿宋"/>
          <w:sz w:val="32"/>
          <w:szCs w:val="32"/>
        </w:rPr>
        <w:t>0%</w:t>
      </w:r>
      <w:r>
        <w:rPr>
          <w:rFonts w:eastAsia="仿宋"/>
          <w:sz w:val="32"/>
          <w:szCs w:val="32"/>
        </w:rPr>
        <w:t>，</w:t>
      </w:r>
      <w:r>
        <w:rPr>
          <w:rFonts w:hint="eastAsia" w:eastAsia="仿宋"/>
          <w:sz w:val="32"/>
          <w:szCs w:val="32"/>
        </w:rPr>
        <w:t>2021年区住房和城乡建设局</w:t>
      </w:r>
      <w:r>
        <w:rPr>
          <w:rFonts w:hint="eastAsia" w:eastAsia="仿宋"/>
          <w:kern w:val="0"/>
          <w:sz w:val="32"/>
          <w:szCs w:val="32"/>
        </w:rPr>
        <w:t>对查办的各类违法案件及时办结，问题整改落实率达100%</w:t>
      </w:r>
      <w:r>
        <w:rPr>
          <w:rFonts w:hint="eastAsia" w:eastAsia="仿宋"/>
          <w:sz w:val="32"/>
          <w:szCs w:val="32"/>
        </w:rPr>
        <w:t>，</w:t>
      </w:r>
      <w:r>
        <w:rPr>
          <w:rFonts w:hint="eastAsia" w:ascii="仿宋" w:hAnsi="仿宋" w:eastAsia="仿宋" w:cs="仿宋"/>
          <w:sz w:val="32"/>
          <w:szCs w:val="32"/>
        </w:rPr>
        <w:t>完成目标。</w:t>
      </w:r>
    </w:p>
    <w:p>
      <w:pPr>
        <w:spacing w:line="560" w:lineRule="exact"/>
        <w:ind w:firstLine="640" w:firstLineChars="200"/>
        <w:rPr>
          <w:rFonts w:eastAsia="仿宋"/>
          <w:sz w:val="32"/>
          <w:szCs w:val="32"/>
        </w:rPr>
      </w:pPr>
      <w:r>
        <w:rPr>
          <w:rFonts w:eastAsia="仿宋"/>
          <w:sz w:val="32"/>
          <w:szCs w:val="32"/>
        </w:rPr>
        <w:t>②</w:t>
      </w:r>
      <w:r>
        <w:rPr>
          <w:rFonts w:hint="eastAsia" w:eastAsia="仿宋"/>
          <w:sz w:val="32"/>
          <w:szCs w:val="32"/>
        </w:rPr>
        <w:t>建筑业可持续发展</w:t>
      </w:r>
      <w:r>
        <w:rPr>
          <w:rFonts w:eastAsia="仿宋"/>
          <w:sz w:val="32"/>
          <w:szCs w:val="32"/>
        </w:rPr>
        <w:t>：满分4分，得分4分</w:t>
      </w:r>
    </w:p>
    <w:p>
      <w:pPr>
        <w:spacing w:line="560" w:lineRule="exact"/>
        <w:ind w:firstLine="640" w:firstLineChars="200"/>
        <w:rPr>
          <w:rFonts w:ascii="仿宋" w:hAnsi="仿宋" w:eastAsia="仿宋" w:cs="仿宋"/>
          <w:sz w:val="32"/>
          <w:szCs w:val="32"/>
        </w:rPr>
      </w:pPr>
      <w:r>
        <w:rPr>
          <w:rFonts w:eastAsia="仿宋"/>
          <w:sz w:val="32"/>
          <w:szCs w:val="32"/>
        </w:rPr>
        <w:t>目标为</w:t>
      </w:r>
      <w:r>
        <w:rPr>
          <w:rFonts w:hint="eastAsia" w:eastAsia="仿宋"/>
          <w:sz w:val="32"/>
          <w:szCs w:val="32"/>
        </w:rPr>
        <w:t>建筑业可持续发展，</w:t>
      </w:r>
      <w:r>
        <w:rPr>
          <w:rFonts w:eastAsia="仿宋"/>
          <w:sz w:val="32"/>
          <w:szCs w:val="32"/>
        </w:rPr>
        <w:t>2021年</w:t>
      </w:r>
      <w:r>
        <w:rPr>
          <w:rFonts w:hint="eastAsia" w:eastAsia="仿宋"/>
          <w:sz w:val="32"/>
          <w:szCs w:val="32"/>
        </w:rPr>
        <w:t>区住房和城乡建设局</w:t>
      </w:r>
      <w:r>
        <w:rPr>
          <w:rFonts w:hint="eastAsia" w:eastAsia="仿宋"/>
          <w:kern w:val="0"/>
          <w:sz w:val="32"/>
          <w:szCs w:val="32"/>
        </w:rPr>
        <w:t>通过抓住辖区重点企业、稳住辖区建筑业产值方面良性发展；区住建局大力推动装配式建筑产业发展，协调推进三大装配式建筑产业园建设，扶持建筑业发展壮大，推动绿色装配式建筑快速发展，符合建筑业发展趋势，有效保障辖区促进建筑业可持续发展</w:t>
      </w:r>
      <w:r>
        <w:rPr>
          <w:rFonts w:hint="eastAsia" w:eastAsia="仿宋"/>
          <w:sz w:val="32"/>
          <w:szCs w:val="32"/>
        </w:rPr>
        <w:t>，</w:t>
      </w:r>
      <w:r>
        <w:rPr>
          <w:rFonts w:hint="eastAsia" w:ascii="仿宋" w:hAnsi="仿宋" w:eastAsia="仿宋" w:cs="仿宋"/>
          <w:sz w:val="32"/>
          <w:szCs w:val="32"/>
        </w:rPr>
        <w:t>完成目标。</w:t>
      </w:r>
    </w:p>
    <w:p>
      <w:pPr>
        <w:pStyle w:val="2"/>
        <w:spacing w:after="0" w:line="560" w:lineRule="exact"/>
        <w:ind w:firstLine="640" w:firstLineChars="200"/>
        <w:rPr>
          <w:rFonts w:eastAsia="仿宋"/>
          <w:sz w:val="32"/>
          <w:szCs w:val="32"/>
        </w:rPr>
      </w:pPr>
      <w:r>
        <w:rPr>
          <w:rFonts w:eastAsia="仿宋"/>
          <w:sz w:val="32"/>
          <w:szCs w:val="32"/>
        </w:rPr>
        <w:t>（3）年度目标3：</w:t>
      </w:r>
      <w:r>
        <w:rPr>
          <w:rFonts w:hint="eastAsia" w:eastAsia="仿宋"/>
          <w:sz w:val="32"/>
          <w:szCs w:val="32"/>
        </w:rPr>
        <w:t>进一步推进住房保障建设，不断完善房产管理规范化；切实加强房地产市场宏观调控工作，切实加强住宅小区物业管理工作，切实加强住房保障工作。</w:t>
      </w:r>
      <w:r>
        <w:rPr>
          <w:rFonts w:eastAsia="仿宋"/>
          <w:sz w:val="32"/>
          <w:szCs w:val="32"/>
        </w:rPr>
        <w:t>（满分</w:t>
      </w:r>
      <w:r>
        <w:rPr>
          <w:rFonts w:hint="eastAsia" w:eastAsia="仿宋"/>
          <w:sz w:val="32"/>
          <w:szCs w:val="32"/>
        </w:rPr>
        <w:t>1</w:t>
      </w:r>
      <w:r>
        <w:rPr>
          <w:rFonts w:eastAsia="仿宋"/>
          <w:sz w:val="32"/>
          <w:szCs w:val="32"/>
        </w:rPr>
        <w:t>8分，得分14.25分）</w:t>
      </w:r>
    </w:p>
    <w:p>
      <w:pPr>
        <w:spacing w:line="560" w:lineRule="exact"/>
        <w:ind w:firstLine="640" w:firstLineChars="200"/>
        <w:rPr>
          <w:rFonts w:eastAsia="仿宋"/>
          <w:sz w:val="32"/>
          <w:szCs w:val="32"/>
        </w:rPr>
      </w:pPr>
      <w:r>
        <w:rPr>
          <w:rFonts w:eastAsia="仿宋"/>
          <w:sz w:val="32"/>
          <w:szCs w:val="32"/>
        </w:rPr>
        <w:t>产出指标完成情况分析：满分6分，得分6分</w:t>
      </w:r>
    </w:p>
    <w:p>
      <w:pPr>
        <w:keepNext/>
        <w:spacing w:line="560" w:lineRule="exact"/>
        <w:ind w:firstLine="640" w:firstLineChars="200"/>
        <w:rPr>
          <w:rFonts w:eastAsia="仿宋"/>
          <w:sz w:val="32"/>
          <w:szCs w:val="32"/>
        </w:rPr>
      </w:pPr>
      <w:r>
        <w:rPr>
          <w:rFonts w:eastAsia="仿宋"/>
          <w:sz w:val="32"/>
          <w:szCs w:val="32"/>
        </w:rPr>
        <w:t>①</w:t>
      </w:r>
      <w:r>
        <w:rPr>
          <w:rFonts w:hint="eastAsia" w:eastAsia="仿宋"/>
          <w:sz w:val="32"/>
          <w:szCs w:val="32"/>
        </w:rPr>
        <w:t>保障房目标达标率</w:t>
      </w:r>
      <w:r>
        <w:rPr>
          <w:rFonts w:eastAsia="仿宋"/>
          <w:sz w:val="32"/>
          <w:szCs w:val="32"/>
        </w:rPr>
        <w:t>：满分2分，得分2分</w:t>
      </w:r>
    </w:p>
    <w:p>
      <w:pPr>
        <w:keepNext/>
        <w:spacing w:line="560" w:lineRule="exact"/>
        <w:ind w:firstLine="640" w:firstLineChars="200"/>
        <w:rPr>
          <w:rFonts w:eastAsia="仿宋"/>
          <w:sz w:val="32"/>
          <w:szCs w:val="32"/>
        </w:rPr>
      </w:pPr>
      <w:r>
        <w:rPr>
          <w:rFonts w:hint="eastAsia" w:eastAsia="仿宋"/>
          <w:sz w:val="32"/>
          <w:szCs w:val="32"/>
        </w:rPr>
        <w:t>目标为保障房目标达标率</w:t>
      </w:r>
      <w:r>
        <w:rPr>
          <w:rFonts w:eastAsia="仿宋"/>
          <w:sz w:val="32"/>
          <w:szCs w:val="32"/>
        </w:rPr>
        <w:tab/>
      </w:r>
      <w:r>
        <w:rPr>
          <w:rFonts w:eastAsia="仿宋"/>
          <w:sz w:val="32"/>
          <w:szCs w:val="32"/>
        </w:rPr>
        <w:t>100%</w:t>
      </w:r>
      <w:r>
        <w:rPr>
          <w:rFonts w:hint="eastAsia" w:eastAsia="仿宋"/>
          <w:sz w:val="32"/>
          <w:szCs w:val="32"/>
        </w:rPr>
        <w:t>。依据市房管局下达经开区“十四五”13400套保障性租赁房目标任务，2021年分解落实1900套，现已全部落实。保障所采取多形式多渠道积极建设筹集房源。利用国资平台新建园区企业社区方式筹集房源，主要有经开公司投资建设的通航和卫星产业园区配套企业社区宿舍，项目总建筑面积为11万方，保障性租赁房源1560套。商品住宅项目配套建设保障性租赁房，主要项目有汉南区东荆街“华发中城水岸”项目建设单位自持用于对外租赁的340套小户型，总建筑面积1.82万平方米、车都集团建设的智慧车都青年城286套60平米小户型租赁房</w:t>
      </w:r>
      <w:r>
        <w:rPr>
          <w:rFonts w:eastAsia="仿宋"/>
          <w:sz w:val="32"/>
          <w:szCs w:val="32"/>
        </w:rPr>
        <w:t>，完成目标。</w:t>
      </w:r>
    </w:p>
    <w:p>
      <w:pPr>
        <w:keepNext/>
        <w:spacing w:line="560" w:lineRule="exact"/>
        <w:ind w:firstLine="640" w:firstLineChars="200"/>
        <w:rPr>
          <w:rFonts w:eastAsia="仿宋"/>
          <w:sz w:val="32"/>
          <w:szCs w:val="32"/>
        </w:rPr>
      </w:pPr>
      <w:r>
        <w:rPr>
          <w:rFonts w:eastAsia="仿宋"/>
          <w:sz w:val="32"/>
          <w:szCs w:val="32"/>
        </w:rPr>
        <w:t>②</w:t>
      </w:r>
      <w:r>
        <w:rPr>
          <w:rFonts w:hint="eastAsia" w:eastAsia="仿宋"/>
          <w:sz w:val="32"/>
          <w:szCs w:val="32"/>
        </w:rPr>
        <w:t>“公租房保障机制”落实率</w:t>
      </w:r>
      <w:r>
        <w:rPr>
          <w:rFonts w:eastAsia="仿宋"/>
          <w:sz w:val="32"/>
          <w:szCs w:val="32"/>
        </w:rPr>
        <w:t>：满分2分，得分2分</w:t>
      </w:r>
    </w:p>
    <w:p>
      <w:pPr>
        <w:spacing w:line="560" w:lineRule="exact"/>
        <w:ind w:firstLine="640" w:firstLineChars="200"/>
        <w:rPr>
          <w:rFonts w:eastAsia="仿宋"/>
          <w:sz w:val="32"/>
          <w:szCs w:val="32"/>
        </w:rPr>
      </w:pPr>
      <w:r>
        <w:rPr>
          <w:rFonts w:hint="eastAsia" w:eastAsia="仿宋"/>
          <w:sz w:val="32"/>
          <w:szCs w:val="32"/>
        </w:rPr>
        <w:t>目标为“公租房保障机制”落实率≥95%，</w:t>
      </w:r>
      <w:r>
        <w:rPr>
          <w:rFonts w:eastAsia="仿宋"/>
          <w:sz w:val="32"/>
          <w:szCs w:val="32"/>
        </w:rPr>
        <w:t>2021年</w:t>
      </w:r>
      <w:r>
        <w:rPr>
          <w:rFonts w:hint="eastAsia" w:eastAsia="仿宋"/>
          <w:sz w:val="32"/>
          <w:szCs w:val="32"/>
        </w:rPr>
        <w:t>区住房和城乡建设局积极落实住房困难家庭公租房保障服务工作，负责经开区城镇中低收入住房困难家庭公租房保障资格证申请受理、审核审批、回溯复核等工作，建立动态化管理机制。2021年上半年，审核保障低收入住房困难家庭57户，补贴资金为19.65万元。下半年，审核保障低收入住房困难家庭63户，补贴资金为21.77万元，全年共计保障家庭120户，发放补贴41.42万元</w:t>
      </w:r>
      <w:r>
        <w:rPr>
          <w:rFonts w:eastAsia="仿宋"/>
          <w:sz w:val="32"/>
          <w:szCs w:val="32"/>
        </w:rPr>
        <w:t>，</w:t>
      </w:r>
      <w:r>
        <w:rPr>
          <w:rFonts w:hint="eastAsia" w:eastAsia="仿宋"/>
          <w:sz w:val="32"/>
          <w:szCs w:val="32"/>
        </w:rPr>
        <w:t>“公租房保障机制”落实率</w:t>
      </w:r>
      <w:r>
        <w:rPr>
          <w:rFonts w:eastAsia="仿宋"/>
          <w:sz w:val="32"/>
          <w:szCs w:val="32"/>
        </w:rPr>
        <w:tab/>
      </w:r>
      <w:r>
        <w:rPr>
          <w:rFonts w:eastAsia="仿宋"/>
          <w:sz w:val="32"/>
          <w:szCs w:val="32"/>
        </w:rPr>
        <w:t>100%</w:t>
      </w:r>
      <w:r>
        <w:rPr>
          <w:rFonts w:hint="eastAsia" w:eastAsia="仿宋"/>
          <w:sz w:val="32"/>
          <w:szCs w:val="32"/>
        </w:rPr>
        <w:t>，</w:t>
      </w:r>
      <w:r>
        <w:rPr>
          <w:rFonts w:eastAsia="仿宋"/>
          <w:sz w:val="32"/>
          <w:szCs w:val="32"/>
        </w:rPr>
        <w:t>完成目标。</w:t>
      </w:r>
    </w:p>
    <w:p>
      <w:pPr>
        <w:spacing w:line="560" w:lineRule="exact"/>
        <w:ind w:firstLine="640" w:firstLineChars="200"/>
        <w:rPr>
          <w:rFonts w:eastAsia="仿宋"/>
          <w:sz w:val="32"/>
          <w:szCs w:val="32"/>
        </w:rPr>
      </w:pPr>
      <w:r>
        <w:rPr>
          <w:rFonts w:eastAsia="仿宋"/>
          <w:sz w:val="32"/>
          <w:szCs w:val="32"/>
        </w:rPr>
        <w:t>③</w:t>
      </w:r>
      <w:r>
        <w:rPr>
          <w:rFonts w:hint="eastAsia" w:eastAsia="仿宋"/>
          <w:sz w:val="32"/>
          <w:szCs w:val="32"/>
        </w:rPr>
        <w:t>房地产经纪机构备案率提升度</w:t>
      </w:r>
      <w:r>
        <w:rPr>
          <w:rFonts w:eastAsia="仿宋"/>
          <w:sz w:val="32"/>
          <w:szCs w:val="32"/>
        </w:rPr>
        <w:t>：满分2分，得分2分</w:t>
      </w:r>
    </w:p>
    <w:p>
      <w:pPr>
        <w:keepNext/>
        <w:spacing w:line="560" w:lineRule="exact"/>
        <w:ind w:firstLine="640" w:firstLineChars="200"/>
        <w:rPr>
          <w:rFonts w:eastAsia="仿宋"/>
          <w:sz w:val="32"/>
          <w:szCs w:val="32"/>
        </w:rPr>
      </w:pPr>
      <w:r>
        <w:rPr>
          <w:rFonts w:eastAsia="仿宋"/>
          <w:sz w:val="32"/>
          <w:szCs w:val="32"/>
        </w:rPr>
        <w:t>目标为</w:t>
      </w:r>
      <w:r>
        <w:rPr>
          <w:rFonts w:hint="eastAsia" w:eastAsia="仿宋"/>
          <w:sz w:val="32"/>
          <w:szCs w:val="32"/>
        </w:rPr>
        <w:t>房地产经纪机构备案率提升度</w:t>
      </w:r>
      <w:r>
        <w:rPr>
          <w:rFonts w:eastAsia="仿宋"/>
          <w:sz w:val="32"/>
          <w:szCs w:val="32"/>
        </w:rPr>
        <w:t>100%</w:t>
      </w:r>
      <w:r>
        <w:rPr>
          <w:rFonts w:hint="eastAsia" w:eastAsia="仿宋"/>
          <w:sz w:val="32"/>
          <w:szCs w:val="32"/>
        </w:rPr>
        <w:t>，</w:t>
      </w:r>
      <w:r>
        <w:rPr>
          <w:rFonts w:eastAsia="仿宋"/>
          <w:sz w:val="32"/>
          <w:szCs w:val="32"/>
        </w:rPr>
        <w:t>2021年</w:t>
      </w:r>
      <w:r>
        <w:rPr>
          <w:rFonts w:hint="eastAsia" w:eastAsia="仿宋"/>
          <w:sz w:val="32"/>
          <w:szCs w:val="32"/>
        </w:rPr>
        <w:t>区住房和城乡建设局持续提高房地产经纪机构备案率，办理房地产经纪机构备案30家，组织开展存量房交易网签功能培训，要求每家经纪机构用存量房交易网签系统来办理房屋交易手续，</w:t>
      </w:r>
      <w:r>
        <w:rPr>
          <w:rFonts w:eastAsia="仿宋"/>
          <w:sz w:val="32"/>
          <w:szCs w:val="32"/>
        </w:rPr>
        <w:t>完成目标。</w:t>
      </w:r>
    </w:p>
    <w:p>
      <w:pPr>
        <w:spacing w:line="560" w:lineRule="exact"/>
        <w:ind w:firstLine="640" w:firstLineChars="200"/>
        <w:rPr>
          <w:rFonts w:eastAsia="仿宋"/>
          <w:sz w:val="32"/>
          <w:szCs w:val="32"/>
        </w:rPr>
      </w:pPr>
      <w:r>
        <w:rPr>
          <w:rFonts w:eastAsia="仿宋"/>
          <w:sz w:val="32"/>
          <w:szCs w:val="32"/>
        </w:rPr>
        <w:t>效益指标完成情况分析：满分12分，得分8.25分</w:t>
      </w:r>
    </w:p>
    <w:p>
      <w:pPr>
        <w:keepNext/>
        <w:spacing w:line="560" w:lineRule="exact"/>
        <w:ind w:firstLine="640" w:firstLineChars="200"/>
        <w:rPr>
          <w:rFonts w:eastAsia="仿宋"/>
          <w:sz w:val="32"/>
          <w:szCs w:val="32"/>
        </w:rPr>
      </w:pPr>
      <w:r>
        <w:rPr>
          <w:rFonts w:eastAsia="仿宋"/>
          <w:sz w:val="32"/>
          <w:szCs w:val="32"/>
        </w:rPr>
        <w:t>①</w:t>
      </w:r>
      <w:r>
        <w:rPr>
          <w:rFonts w:hint="eastAsia" w:eastAsia="仿宋"/>
          <w:sz w:val="32"/>
          <w:szCs w:val="32"/>
        </w:rPr>
        <w:t>房产销售增速</w:t>
      </w:r>
      <w:r>
        <w:rPr>
          <w:rFonts w:eastAsia="仿宋"/>
          <w:sz w:val="32"/>
          <w:szCs w:val="32"/>
        </w:rPr>
        <w:t>：满分3分，得分0.25分</w:t>
      </w:r>
    </w:p>
    <w:p>
      <w:pPr>
        <w:spacing w:line="560" w:lineRule="exact"/>
        <w:ind w:firstLine="640" w:firstLineChars="200"/>
        <w:rPr>
          <w:rFonts w:eastAsia="仿宋"/>
          <w:sz w:val="32"/>
          <w:szCs w:val="32"/>
        </w:rPr>
      </w:pPr>
      <w:r>
        <w:rPr>
          <w:rFonts w:eastAsia="仿宋"/>
          <w:sz w:val="32"/>
          <w:szCs w:val="32"/>
        </w:rPr>
        <w:t>目标为</w:t>
      </w:r>
      <w:r>
        <w:rPr>
          <w:rFonts w:hint="eastAsia" w:eastAsia="仿宋"/>
          <w:sz w:val="32"/>
          <w:szCs w:val="32"/>
        </w:rPr>
        <w:t>房产销售增速</w:t>
      </w:r>
      <w:r>
        <w:rPr>
          <w:rFonts w:eastAsia="仿宋"/>
          <w:sz w:val="32"/>
          <w:szCs w:val="32"/>
        </w:rPr>
        <w:t>22%</w:t>
      </w:r>
      <w:r>
        <w:rPr>
          <w:rFonts w:hint="eastAsia" w:eastAsia="仿宋"/>
          <w:sz w:val="32"/>
          <w:szCs w:val="32"/>
        </w:rPr>
        <w:t>，</w:t>
      </w:r>
      <w:r>
        <w:rPr>
          <w:rFonts w:eastAsia="仿宋"/>
          <w:sz w:val="32"/>
          <w:szCs w:val="32"/>
        </w:rPr>
        <w:t>2021年</w:t>
      </w:r>
      <w:r>
        <w:rPr>
          <w:rFonts w:hint="eastAsia" w:eastAsia="仿宋"/>
          <w:sz w:val="32"/>
          <w:szCs w:val="32"/>
        </w:rPr>
        <w:t>区住房和城乡建设局实现销售商品房160万</w:t>
      </w:r>
      <w:r>
        <w:rPr>
          <w:rFonts w:hint="eastAsia" w:eastAsia="仿宋"/>
          <w:sz w:val="32"/>
          <w:szCs w:val="32"/>
          <w:highlight w:val="none"/>
        </w:rPr>
        <w:t>㎡</w:t>
      </w:r>
      <w:r>
        <w:rPr>
          <w:rFonts w:hint="eastAsia" w:eastAsia="仿宋"/>
          <w:sz w:val="32"/>
          <w:szCs w:val="32"/>
        </w:rPr>
        <w:t>，同比增长1.8%</w:t>
      </w:r>
      <w:r>
        <w:rPr>
          <w:rFonts w:eastAsia="仿宋"/>
          <w:sz w:val="32"/>
          <w:szCs w:val="32"/>
        </w:rPr>
        <w:t>，</w:t>
      </w:r>
      <w:r>
        <w:rPr>
          <w:rFonts w:hint="eastAsia" w:eastAsia="仿宋"/>
          <w:sz w:val="32"/>
          <w:szCs w:val="32"/>
        </w:rPr>
        <w:t>未</w:t>
      </w:r>
      <w:r>
        <w:rPr>
          <w:rFonts w:eastAsia="仿宋"/>
          <w:sz w:val="32"/>
          <w:szCs w:val="32"/>
        </w:rPr>
        <w:t>完成目标。</w:t>
      </w:r>
    </w:p>
    <w:p>
      <w:pPr>
        <w:keepNext/>
        <w:spacing w:line="560" w:lineRule="exact"/>
        <w:ind w:firstLine="640" w:firstLineChars="200"/>
        <w:rPr>
          <w:rFonts w:eastAsia="仿宋"/>
          <w:sz w:val="32"/>
          <w:szCs w:val="32"/>
        </w:rPr>
      </w:pPr>
      <w:r>
        <w:rPr>
          <w:rFonts w:eastAsia="仿宋"/>
          <w:sz w:val="32"/>
          <w:szCs w:val="32"/>
        </w:rPr>
        <w:t>②</w:t>
      </w:r>
      <w:r>
        <w:rPr>
          <w:rFonts w:hint="eastAsia" w:eastAsia="仿宋"/>
          <w:sz w:val="32"/>
          <w:szCs w:val="32"/>
        </w:rPr>
        <w:t>房地产投资额</w:t>
      </w:r>
      <w:r>
        <w:rPr>
          <w:rFonts w:eastAsia="仿宋"/>
          <w:sz w:val="32"/>
          <w:szCs w:val="32"/>
        </w:rPr>
        <w:t>：满分3分，得分3分</w:t>
      </w:r>
    </w:p>
    <w:p>
      <w:pPr>
        <w:spacing w:line="560" w:lineRule="exact"/>
        <w:ind w:firstLine="640" w:firstLineChars="200"/>
        <w:rPr>
          <w:rFonts w:eastAsia="仿宋"/>
          <w:sz w:val="32"/>
          <w:szCs w:val="32"/>
        </w:rPr>
      </w:pPr>
      <w:r>
        <w:rPr>
          <w:rFonts w:eastAsia="仿宋"/>
          <w:sz w:val="32"/>
          <w:szCs w:val="32"/>
        </w:rPr>
        <w:t>目标为</w:t>
      </w:r>
      <w:r>
        <w:rPr>
          <w:rFonts w:hint="eastAsia" w:eastAsia="仿宋"/>
          <w:sz w:val="32"/>
          <w:szCs w:val="32"/>
        </w:rPr>
        <w:t>房地产投资额2</w:t>
      </w:r>
      <w:r>
        <w:rPr>
          <w:rFonts w:eastAsia="仿宋"/>
          <w:sz w:val="32"/>
          <w:szCs w:val="32"/>
        </w:rPr>
        <w:t>40</w:t>
      </w:r>
      <w:r>
        <w:rPr>
          <w:rFonts w:hint="eastAsia" w:eastAsia="仿宋"/>
          <w:sz w:val="32"/>
          <w:szCs w:val="32"/>
        </w:rPr>
        <w:t>亿元，</w:t>
      </w:r>
      <w:r>
        <w:rPr>
          <w:rFonts w:eastAsia="仿宋"/>
          <w:sz w:val="32"/>
          <w:szCs w:val="32"/>
        </w:rPr>
        <w:t>2021年</w:t>
      </w:r>
      <w:r>
        <w:rPr>
          <w:rFonts w:hint="eastAsia" w:eastAsia="仿宋"/>
          <w:sz w:val="32"/>
          <w:szCs w:val="32"/>
        </w:rPr>
        <w:t>区住房和城乡建设局地产市场宏观调控适当，完成房地产投资323亿元，超年度目标34.5%，同比增长55%</w:t>
      </w:r>
      <w:r>
        <w:rPr>
          <w:rFonts w:eastAsia="仿宋"/>
          <w:sz w:val="32"/>
          <w:szCs w:val="32"/>
        </w:rPr>
        <w:t>，完成目标。</w:t>
      </w:r>
    </w:p>
    <w:p>
      <w:pPr>
        <w:spacing w:line="560" w:lineRule="exact"/>
        <w:ind w:left="640"/>
        <w:rPr>
          <w:rFonts w:eastAsia="仿宋"/>
          <w:sz w:val="32"/>
          <w:szCs w:val="32"/>
        </w:rPr>
      </w:pPr>
      <w:r>
        <w:rPr>
          <w:rFonts w:hint="eastAsia" w:ascii="仿宋" w:hAnsi="仿宋" w:eastAsia="仿宋"/>
          <w:sz w:val="32"/>
          <w:szCs w:val="32"/>
        </w:rPr>
        <w:t>③</w:t>
      </w:r>
      <w:r>
        <w:rPr>
          <w:rFonts w:hint="eastAsia" w:eastAsia="仿宋"/>
          <w:sz w:val="32"/>
          <w:szCs w:val="32"/>
        </w:rPr>
        <w:t>“红色物业”工作推进度</w:t>
      </w:r>
      <w:r>
        <w:rPr>
          <w:rFonts w:eastAsia="仿宋"/>
          <w:sz w:val="32"/>
          <w:szCs w:val="32"/>
        </w:rPr>
        <w:t>：满分3分，得分3分</w:t>
      </w:r>
    </w:p>
    <w:p>
      <w:pPr>
        <w:widowControl/>
        <w:spacing w:line="560" w:lineRule="exact"/>
        <w:ind w:firstLine="640" w:firstLineChars="200"/>
        <w:rPr>
          <w:rFonts w:eastAsia="仿宋"/>
          <w:sz w:val="32"/>
          <w:szCs w:val="32"/>
        </w:rPr>
      </w:pPr>
      <w:r>
        <w:rPr>
          <w:rFonts w:eastAsia="仿宋"/>
          <w:sz w:val="32"/>
          <w:szCs w:val="32"/>
        </w:rPr>
        <w:t>目标为</w:t>
      </w:r>
      <w:r>
        <w:rPr>
          <w:rFonts w:hint="eastAsia" w:eastAsia="仿宋"/>
          <w:sz w:val="32"/>
          <w:szCs w:val="32"/>
        </w:rPr>
        <w:t>“红色物业”工作推进度有效推进，202</w:t>
      </w:r>
      <w:r>
        <w:rPr>
          <w:rFonts w:eastAsia="仿宋"/>
          <w:sz w:val="32"/>
          <w:szCs w:val="32"/>
        </w:rPr>
        <w:t>1</w:t>
      </w:r>
      <w:r>
        <w:rPr>
          <w:rFonts w:hint="eastAsia" w:eastAsia="仿宋"/>
          <w:sz w:val="32"/>
          <w:szCs w:val="32"/>
        </w:rPr>
        <w:t>年区住建局一是坚持党建引领推动，由武汉开发区（汉南区）物业行业党委，负责指导全区物业行业党的建设工作。街道和社区党组织积极整合社区工作人员、物业服务人员、小区党员干部等有效力量开展便民惠民活动，截至目前共开展了26余次活动，提高了党组织凝聚群众、宣传群众、团结群众的能力。二是开展应急维修抢险服务。经开、汉南两个应急维修平台作用明显，应急中心制定了应急维修队伍训练计划、雨雪冰冻灾害及火灾应急预案，建立抢修队伍，2021年开展了应急维修抢险服务80余次，切实保障了辖区居民的安居乐业，完成目标。</w:t>
      </w:r>
    </w:p>
    <w:p>
      <w:pPr>
        <w:pStyle w:val="15"/>
        <w:numPr>
          <w:ilvl w:val="0"/>
          <w:numId w:val="5"/>
        </w:numPr>
        <w:spacing w:line="560" w:lineRule="exact"/>
        <w:ind w:firstLineChars="0"/>
        <w:rPr>
          <w:rFonts w:eastAsia="仿宋"/>
          <w:sz w:val="32"/>
          <w:szCs w:val="32"/>
        </w:rPr>
      </w:pPr>
      <w:r>
        <w:rPr>
          <w:rFonts w:hint="eastAsia" w:eastAsia="仿宋"/>
          <w:sz w:val="32"/>
          <w:szCs w:val="32"/>
        </w:rPr>
        <w:t>提升物业管理水平</w:t>
      </w:r>
      <w:r>
        <w:rPr>
          <w:rFonts w:eastAsia="仿宋"/>
          <w:sz w:val="32"/>
          <w:szCs w:val="32"/>
        </w:rPr>
        <w:t>：满分3分，得分2分</w:t>
      </w:r>
    </w:p>
    <w:p>
      <w:pPr>
        <w:pStyle w:val="2"/>
        <w:spacing w:after="0" w:line="560" w:lineRule="exact"/>
        <w:ind w:firstLine="640" w:firstLineChars="200"/>
        <w:rPr>
          <w:rFonts w:eastAsia="仿宋"/>
          <w:sz w:val="32"/>
          <w:szCs w:val="32"/>
        </w:rPr>
      </w:pPr>
      <w:r>
        <w:rPr>
          <w:rFonts w:eastAsia="仿宋"/>
          <w:sz w:val="32"/>
          <w:szCs w:val="32"/>
        </w:rPr>
        <w:t>目标为</w:t>
      </w:r>
      <w:r>
        <w:rPr>
          <w:rFonts w:hint="eastAsia" w:eastAsia="仿宋"/>
          <w:sz w:val="32"/>
          <w:szCs w:val="32"/>
        </w:rPr>
        <w:t>有效提升物业管理水平，</w:t>
      </w:r>
      <w:r>
        <w:rPr>
          <w:rFonts w:eastAsia="仿宋"/>
          <w:sz w:val="32"/>
          <w:szCs w:val="32"/>
        </w:rPr>
        <w:t>2021年</w:t>
      </w:r>
      <w:r>
        <w:rPr>
          <w:rFonts w:hint="eastAsia" w:eastAsia="仿宋"/>
          <w:sz w:val="32"/>
          <w:szCs w:val="32"/>
        </w:rPr>
        <w:t>区住房和城乡建设局加大了对物业企业的监督和考核力度，积极推动及参与街道组织的联席会议制度，着力解决物业管理矛盾纠纷问题，强化违法管理企业从业人员文明、礼貌服务意识</w:t>
      </w:r>
      <w:r>
        <w:rPr>
          <w:rFonts w:eastAsia="仿宋"/>
          <w:sz w:val="32"/>
          <w:szCs w:val="32"/>
        </w:rPr>
        <w:t>。</w:t>
      </w:r>
      <w:r>
        <w:rPr>
          <w:rFonts w:hint="eastAsia" w:eastAsia="仿宋"/>
          <w:sz w:val="32"/>
          <w:szCs w:val="32"/>
        </w:rPr>
        <w:t>但物业服务治理有待提高，一是业委会及业主对物业服务认识不到位。部分小区基础设施较差，业主将问题责任全部归于物业企业，导致双方之间存在矛盾，制约着物业服务质量的提高。二是全区57家物业服务企业，88个物业管理项目，物业从业人员4260人。由于物业从业人员流动性大，从业人员业务素质参差不齐，影响物业管理水平的提升。</w:t>
      </w:r>
    </w:p>
    <w:p>
      <w:pPr>
        <w:pStyle w:val="2"/>
        <w:spacing w:after="0" w:line="560" w:lineRule="exact"/>
        <w:ind w:firstLine="640" w:firstLineChars="200"/>
        <w:rPr>
          <w:rFonts w:eastAsia="仿宋"/>
          <w:sz w:val="32"/>
          <w:szCs w:val="32"/>
        </w:rPr>
      </w:pPr>
      <w:r>
        <w:rPr>
          <w:rFonts w:eastAsia="仿宋"/>
          <w:sz w:val="32"/>
          <w:szCs w:val="32"/>
        </w:rPr>
        <w:t>（4）年度目标4：</w:t>
      </w:r>
      <w:r>
        <w:rPr>
          <w:rFonts w:hint="eastAsia" w:eastAsia="仿宋"/>
          <w:sz w:val="32"/>
          <w:szCs w:val="32"/>
        </w:rPr>
        <w:t>以推进公共交通全覆盖和多式联运建设为抓手，全面开创交通运输新局面。加强公路建、管、养标准化建设，加强道路运输市场监管，推进沿江岸线综合环境整治，加快综合交通多式联运体系建设。</w:t>
      </w:r>
      <w:r>
        <w:rPr>
          <w:rFonts w:eastAsia="仿宋"/>
          <w:sz w:val="32"/>
          <w:szCs w:val="32"/>
        </w:rPr>
        <w:t>（满分8分，得分8分）</w:t>
      </w:r>
    </w:p>
    <w:p>
      <w:pPr>
        <w:spacing w:line="560" w:lineRule="exact"/>
        <w:ind w:firstLine="640" w:firstLineChars="200"/>
        <w:rPr>
          <w:rFonts w:eastAsia="仿宋"/>
          <w:sz w:val="32"/>
          <w:szCs w:val="32"/>
        </w:rPr>
      </w:pPr>
      <w:r>
        <w:rPr>
          <w:rFonts w:eastAsia="仿宋"/>
          <w:sz w:val="32"/>
          <w:szCs w:val="32"/>
        </w:rPr>
        <w:t>产出指标完成情况分析：满分4分，得分4分</w:t>
      </w:r>
    </w:p>
    <w:p>
      <w:pPr>
        <w:keepNext/>
        <w:spacing w:line="560" w:lineRule="exact"/>
        <w:ind w:firstLine="640" w:firstLineChars="200"/>
        <w:rPr>
          <w:rFonts w:eastAsia="仿宋"/>
          <w:sz w:val="32"/>
          <w:szCs w:val="32"/>
        </w:rPr>
      </w:pPr>
      <w:r>
        <w:rPr>
          <w:rFonts w:eastAsia="仿宋"/>
          <w:sz w:val="32"/>
          <w:szCs w:val="32"/>
        </w:rPr>
        <w:t>①</w:t>
      </w:r>
      <w:r>
        <w:rPr>
          <w:rFonts w:hint="eastAsia" w:eastAsia="仿宋"/>
          <w:sz w:val="32"/>
          <w:szCs w:val="32"/>
        </w:rPr>
        <w:t>农村公路建养完成率</w:t>
      </w:r>
      <w:r>
        <w:rPr>
          <w:rFonts w:eastAsia="仿宋"/>
          <w:sz w:val="32"/>
          <w:szCs w:val="32"/>
        </w:rPr>
        <w:t>：满分2分，得分2分</w:t>
      </w:r>
    </w:p>
    <w:p>
      <w:pPr>
        <w:keepNext/>
        <w:spacing w:line="560" w:lineRule="exact"/>
        <w:ind w:firstLine="640" w:firstLineChars="200"/>
        <w:rPr>
          <w:rFonts w:eastAsia="仿宋"/>
          <w:sz w:val="32"/>
          <w:szCs w:val="32"/>
        </w:rPr>
      </w:pPr>
      <w:r>
        <w:rPr>
          <w:rFonts w:hint="eastAsia" w:eastAsia="仿宋"/>
          <w:sz w:val="32"/>
          <w:szCs w:val="32"/>
        </w:rPr>
        <w:t>目标为农村公路建养完成率</w:t>
      </w:r>
      <w:r>
        <w:rPr>
          <w:rFonts w:eastAsia="仿宋"/>
          <w:sz w:val="32"/>
          <w:szCs w:val="32"/>
        </w:rPr>
        <w:tab/>
      </w:r>
      <w:r>
        <w:rPr>
          <w:rFonts w:eastAsia="仿宋"/>
          <w:sz w:val="32"/>
          <w:szCs w:val="32"/>
        </w:rPr>
        <w:t>100%，2021年</w:t>
      </w:r>
      <w:r>
        <w:rPr>
          <w:rFonts w:hint="eastAsia" w:eastAsia="仿宋"/>
          <w:sz w:val="32"/>
          <w:szCs w:val="32"/>
        </w:rPr>
        <w:t>区住房和城乡建设局完成“四好农村公路”5.97km养护大修工程、1.6公里县乡道改造，5座农村公路危桥改造完成四座柱基施工，两座桥台施工和1座箱涵主体工程。日常养护整修路肩93公里，</w:t>
      </w:r>
      <w:r>
        <w:rPr>
          <w:rFonts w:eastAsia="仿宋"/>
          <w:sz w:val="32"/>
          <w:szCs w:val="32"/>
        </w:rPr>
        <w:t>完成目标。</w:t>
      </w:r>
    </w:p>
    <w:p>
      <w:pPr>
        <w:keepNext/>
        <w:spacing w:line="560" w:lineRule="exact"/>
        <w:ind w:firstLine="640" w:firstLineChars="200"/>
        <w:rPr>
          <w:rFonts w:eastAsia="仿宋"/>
          <w:sz w:val="32"/>
          <w:szCs w:val="32"/>
        </w:rPr>
      </w:pPr>
      <w:r>
        <w:rPr>
          <w:rFonts w:eastAsia="仿宋"/>
          <w:sz w:val="32"/>
          <w:szCs w:val="32"/>
        </w:rPr>
        <w:t>②</w:t>
      </w:r>
      <w:r>
        <w:rPr>
          <w:rFonts w:hint="eastAsia" w:eastAsia="仿宋"/>
          <w:sz w:val="32"/>
          <w:szCs w:val="32"/>
        </w:rPr>
        <w:t>交运市场管理及专项整治工作完成率</w:t>
      </w:r>
      <w:r>
        <w:rPr>
          <w:rFonts w:eastAsia="仿宋"/>
          <w:sz w:val="32"/>
          <w:szCs w:val="32"/>
        </w:rPr>
        <w:t>：满分2分，得分2分</w:t>
      </w:r>
    </w:p>
    <w:p>
      <w:pPr>
        <w:spacing w:line="560" w:lineRule="exact"/>
        <w:ind w:firstLine="640" w:firstLineChars="200"/>
        <w:rPr>
          <w:rFonts w:eastAsia="仿宋"/>
          <w:sz w:val="32"/>
          <w:szCs w:val="32"/>
        </w:rPr>
      </w:pPr>
      <w:r>
        <w:rPr>
          <w:rFonts w:hint="eastAsia" w:eastAsia="仿宋"/>
          <w:sz w:val="32"/>
          <w:szCs w:val="32"/>
        </w:rPr>
        <w:t>目标为交运市场管理及专项整治工作完成率</w:t>
      </w:r>
      <w:r>
        <w:rPr>
          <w:rFonts w:eastAsia="仿宋"/>
          <w:sz w:val="32"/>
          <w:szCs w:val="32"/>
        </w:rPr>
        <w:t>100%，2021年</w:t>
      </w:r>
      <w:r>
        <w:rPr>
          <w:rFonts w:hint="eastAsia" w:eastAsia="仿宋"/>
          <w:sz w:val="32"/>
          <w:szCs w:val="32"/>
        </w:rPr>
        <w:t>区住房和城乡建设局加大对交运市场的综合治理整顿，加强黑车整治、加强网约车管理，通过整治和建立有效的长效机制，辖区不安全因素和隐患得到控制，运输市场经营环境得到净化，较好维护交运市场经营秩序，</w:t>
      </w:r>
      <w:r>
        <w:rPr>
          <w:rFonts w:hint="eastAsia" w:eastAsia="仿宋"/>
          <w:kern w:val="0"/>
          <w:sz w:val="32"/>
          <w:szCs w:val="32"/>
        </w:rPr>
        <w:t>交运市场管理及专项整治工作基本完成，</w:t>
      </w:r>
      <w:r>
        <w:rPr>
          <w:rFonts w:eastAsia="仿宋"/>
          <w:sz w:val="32"/>
          <w:szCs w:val="32"/>
        </w:rPr>
        <w:t>完成目标。</w:t>
      </w:r>
    </w:p>
    <w:p>
      <w:pPr>
        <w:spacing w:line="560" w:lineRule="exact"/>
        <w:ind w:firstLine="640" w:firstLineChars="200"/>
        <w:rPr>
          <w:rFonts w:eastAsia="仿宋"/>
          <w:sz w:val="32"/>
          <w:szCs w:val="32"/>
        </w:rPr>
      </w:pPr>
      <w:r>
        <w:rPr>
          <w:rFonts w:eastAsia="仿宋"/>
          <w:sz w:val="32"/>
          <w:szCs w:val="32"/>
        </w:rPr>
        <w:t>③</w:t>
      </w:r>
      <w:r>
        <w:rPr>
          <w:rFonts w:hint="eastAsia" w:eastAsia="仿宋"/>
          <w:sz w:val="32"/>
          <w:szCs w:val="32"/>
        </w:rPr>
        <w:t>公路环境“大城管”考核管理名次</w:t>
      </w:r>
      <w:r>
        <w:rPr>
          <w:rFonts w:eastAsia="仿宋"/>
          <w:sz w:val="32"/>
          <w:szCs w:val="32"/>
        </w:rPr>
        <w:t>：满分2分，得分2分</w:t>
      </w:r>
    </w:p>
    <w:p>
      <w:pPr>
        <w:spacing w:line="560" w:lineRule="exact"/>
        <w:ind w:firstLine="640" w:firstLineChars="200"/>
        <w:rPr>
          <w:rFonts w:eastAsia="仿宋"/>
          <w:sz w:val="32"/>
          <w:szCs w:val="32"/>
        </w:rPr>
      </w:pPr>
      <w:r>
        <w:rPr>
          <w:rFonts w:eastAsia="仿宋"/>
          <w:sz w:val="32"/>
          <w:szCs w:val="32"/>
        </w:rPr>
        <w:t>目标为</w:t>
      </w:r>
      <w:r>
        <w:rPr>
          <w:rFonts w:hint="eastAsia" w:eastAsia="仿宋"/>
          <w:sz w:val="32"/>
          <w:szCs w:val="32"/>
        </w:rPr>
        <w:t>公路环境“大城管”考核管理名次前三，</w:t>
      </w:r>
      <w:r>
        <w:rPr>
          <w:rFonts w:eastAsia="仿宋"/>
          <w:sz w:val="32"/>
          <w:szCs w:val="32"/>
        </w:rPr>
        <w:t>2021年</w:t>
      </w:r>
      <w:r>
        <w:rPr>
          <w:rFonts w:hint="eastAsia" w:eastAsia="仿宋"/>
          <w:sz w:val="32"/>
          <w:szCs w:val="32"/>
        </w:rPr>
        <w:t>区住房和城乡建设局严格落实运政巡查管控2次/日制度，及时处理违法占道经营、打场晒粮等情况，经开区“大城管”公路环境全市考核中心城区（功能区）综合排名保持前三，</w:t>
      </w:r>
      <w:r>
        <w:rPr>
          <w:rFonts w:eastAsia="仿宋"/>
          <w:sz w:val="32"/>
          <w:szCs w:val="32"/>
        </w:rPr>
        <w:t>完成目标。</w:t>
      </w:r>
    </w:p>
    <w:p>
      <w:pPr>
        <w:spacing w:line="560" w:lineRule="exact"/>
        <w:ind w:left="640"/>
        <w:rPr>
          <w:rFonts w:eastAsia="仿宋"/>
          <w:sz w:val="32"/>
          <w:szCs w:val="32"/>
        </w:rPr>
      </w:pPr>
      <w:r>
        <w:rPr>
          <w:rFonts w:hint="eastAsia" w:ascii="仿宋" w:hAnsi="仿宋" w:eastAsia="仿宋"/>
          <w:sz w:val="32"/>
          <w:szCs w:val="32"/>
        </w:rPr>
        <w:t>④</w:t>
      </w:r>
      <w:r>
        <w:rPr>
          <w:rFonts w:hint="eastAsia" w:eastAsia="仿宋"/>
          <w:sz w:val="32"/>
          <w:szCs w:val="32"/>
        </w:rPr>
        <w:t>公交改造工作推进度</w:t>
      </w:r>
      <w:r>
        <w:rPr>
          <w:rFonts w:eastAsia="仿宋"/>
          <w:sz w:val="32"/>
          <w:szCs w:val="32"/>
        </w:rPr>
        <w:t>：满分2分，得分2分</w:t>
      </w:r>
    </w:p>
    <w:p>
      <w:pPr>
        <w:keepNext/>
        <w:spacing w:line="560" w:lineRule="exact"/>
        <w:ind w:firstLine="640" w:firstLineChars="200"/>
        <w:rPr>
          <w:rFonts w:eastAsia="仿宋"/>
          <w:sz w:val="32"/>
          <w:szCs w:val="32"/>
        </w:rPr>
      </w:pPr>
      <w:r>
        <w:rPr>
          <w:rFonts w:eastAsia="仿宋"/>
          <w:sz w:val="32"/>
          <w:szCs w:val="32"/>
        </w:rPr>
        <w:t>目标为</w:t>
      </w:r>
      <w:r>
        <w:rPr>
          <w:rFonts w:hint="eastAsia" w:eastAsia="仿宋"/>
          <w:sz w:val="32"/>
          <w:szCs w:val="32"/>
        </w:rPr>
        <w:t>公交改造工作推进度有效推进，</w:t>
      </w:r>
      <w:r>
        <w:rPr>
          <w:rFonts w:eastAsia="仿宋"/>
          <w:sz w:val="32"/>
          <w:szCs w:val="32"/>
        </w:rPr>
        <w:t>2021年</w:t>
      </w:r>
      <w:r>
        <w:rPr>
          <w:rFonts w:hint="eastAsia" w:eastAsia="仿宋"/>
          <w:sz w:val="32"/>
          <w:szCs w:val="32"/>
        </w:rPr>
        <w:t>区住房和城乡建设局通过对240路、246路公交线路区四新南路沿线等公交站站台站棚进行改造提升，加强了对公交候车亭等站务设施的维修管护，有效推动辖区公交化改造进度，</w:t>
      </w:r>
      <w:r>
        <w:rPr>
          <w:rFonts w:eastAsia="仿宋"/>
          <w:sz w:val="32"/>
          <w:szCs w:val="32"/>
        </w:rPr>
        <w:t>完成目标。</w:t>
      </w:r>
    </w:p>
    <w:p>
      <w:pPr>
        <w:pStyle w:val="2"/>
        <w:spacing w:after="0" w:line="560" w:lineRule="exact"/>
        <w:ind w:firstLine="640" w:firstLineChars="200"/>
        <w:rPr>
          <w:rFonts w:eastAsia="仿宋"/>
          <w:sz w:val="32"/>
          <w:szCs w:val="32"/>
        </w:rPr>
      </w:pPr>
      <w:r>
        <w:rPr>
          <w:rFonts w:eastAsia="仿宋"/>
          <w:sz w:val="32"/>
          <w:szCs w:val="32"/>
        </w:rPr>
        <w:t>（5）年度目标5：</w:t>
      </w:r>
      <w:r>
        <w:rPr>
          <w:rFonts w:hint="eastAsia" w:eastAsia="仿宋"/>
          <w:sz w:val="32"/>
          <w:szCs w:val="32"/>
        </w:rPr>
        <w:t>进一步统筹推进各项职能工作，促进全局工作同步协调发展；认真推进人防建设和地震宣传工作，全面建成地下管线综合信息平台，完善施工图审查制度，加强工程备案档案管理。</w:t>
      </w:r>
      <w:r>
        <w:rPr>
          <w:rFonts w:eastAsia="仿宋"/>
          <w:sz w:val="32"/>
          <w:szCs w:val="32"/>
        </w:rPr>
        <w:t>（满分</w:t>
      </w:r>
      <w:r>
        <w:rPr>
          <w:rFonts w:hint="eastAsia" w:eastAsia="仿宋"/>
          <w:sz w:val="32"/>
          <w:szCs w:val="32"/>
        </w:rPr>
        <w:t>1</w:t>
      </w:r>
      <w:r>
        <w:rPr>
          <w:rFonts w:eastAsia="仿宋"/>
          <w:sz w:val="32"/>
          <w:szCs w:val="32"/>
        </w:rPr>
        <w:t>8分，得分18分）</w:t>
      </w:r>
    </w:p>
    <w:p>
      <w:pPr>
        <w:spacing w:line="560" w:lineRule="exact"/>
        <w:ind w:firstLine="640" w:firstLineChars="200"/>
        <w:rPr>
          <w:rFonts w:eastAsia="仿宋"/>
          <w:sz w:val="32"/>
          <w:szCs w:val="32"/>
        </w:rPr>
      </w:pPr>
      <w:r>
        <w:rPr>
          <w:rFonts w:eastAsia="仿宋"/>
          <w:sz w:val="32"/>
          <w:szCs w:val="32"/>
        </w:rPr>
        <w:t>产出指标完成情况分析：满分8分，得分8分</w:t>
      </w:r>
    </w:p>
    <w:p>
      <w:pPr>
        <w:keepNext/>
        <w:spacing w:line="560" w:lineRule="exact"/>
        <w:ind w:firstLine="640" w:firstLineChars="200"/>
        <w:rPr>
          <w:rFonts w:eastAsia="仿宋"/>
          <w:sz w:val="32"/>
          <w:szCs w:val="32"/>
        </w:rPr>
      </w:pPr>
      <w:r>
        <w:rPr>
          <w:rFonts w:eastAsia="仿宋"/>
          <w:sz w:val="32"/>
          <w:szCs w:val="32"/>
        </w:rPr>
        <w:t>①</w:t>
      </w:r>
      <w:r>
        <w:rPr>
          <w:rFonts w:hint="eastAsia" w:eastAsia="仿宋"/>
          <w:sz w:val="32"/>
          <w:szCs w:val="32"/>
        </w:rPr>
        <w:t>人防工程建设完成率</w:t>
      </w:r>
      <w:r>
        <w:rPr>
          <w:rFonts w:eastAsia="仿宋"/>
          <w:sz w:val="32"/>
          <w:szCs w:val="32"/>
        </w:rPr>
        <w:t>：满分2分，得分2分</w:t>
      </w:r>
    </w:p>
    <w:p>
      <w:pPr>
        <w:keepNext/>
        <w:spacing w:line="560" w:lineRule="exact"/>
        <w:ind w:firstLine="640" w:firstLineChars="200"/>
        <w:rPr>
          <w:rFonts w:eastAsia="仿宋"/>
          <w:sz w:val="32"/>
          <w:szCs w:val="32"/>
        </w:rPr>
      </w:pPr>
      <w:r>
        <w:rPr>
          <w:rFonts w:hint="eastAsia" w:eastAsia="仿宋"/>
          <w:sz w:val="32"/>
          <w:szCs w:val="32"/>
        </w:rPr>
        <w:t>目标为人防工程建设完成率</w:t>
      </w:r>
      <w:r>
        <w:rPr>
          <w:rFonts w:eastAsia="仿宋"/>
          <w:sz w:val="32"/>
          <w:szCs w:val="32"/>
        </w:rPr>
        <w:tab/>
      </w:r>
      <w:r>
        <w:rPr>
          <w:rFonts w:eastAsia="仿宋"/>
          <w:sz w:val="32"/>
          <w:szCs w:val="32"/>
        </w:rPr>
        <w:t>100%，2021年</w:t>
      </w:r>
      <w:r>
        <w:rPr>
          <w:rFonts w:hint="eastAsia" w:eastAsia="仿宋"/>
          <w:sz w:val="32"/>
          <w:szCs w:val="32"/>
        </w:rPr>
        <w:t>区住房和城乡建设局完成市办下达的人防地下室工程管理相关工作，完成人防指挥通信工作，</w:t>
      </w:r>
      <w:r>
        <w:rPr>
          <w:rFonts w:eastAsia="仿宋"/>
          <w:sz w:val="32"/>
          <w:szCs w:val="32"/>
        </w:rPr>
        <w:t>完成目标。</w:t>
      </w:r>
    </w:p>
    <w:p>
      <w:pPr>
        <w:keepNext/>
        <w:spacing w:line="560" w:lineRule="exact"/>
        <w:ind w:firstLine="640" w:firstLineChars="200"/>
        <w:rPr>
          <w:rFonts w:eastAsia="仿宋"/>
          <w:sz w:val="32"/>
          <w:szCs w:val="32"/>
        </w:rPr>
      </w:pPr>
      <w:r>
        <w:rPr>
          <w:rFonts w:eastAsia="仿宋"/>
          <w:sz w:val="32"/>
          <w:szCs w:val="32"/>
        </w:rPr>
        <w:t>②</w:t>
      </w:r>
      <w:r>
        <w:rPr>
          <w:rFonts w:hint="eastAsia" w:eastAsia="仿宋"/>
          <w:sz w:val="32"/>
          <w:szCs w:val="32"/>
        </w:rPr>
        <w:t>人防教育活动完成率</w:t>
      </w:r>
      <w:r>
        <w:rPr>
          <w:rFonts w:eastAsia="仿宋"/>
          <w:sz w:val="32"/>
          <w:szCs w:val="32"/>
        </w:rPr>
        <w:t>：满分2分，得分2分</w:t>
      </w:r>
    </w:p>
    <w:p>
      <w:pPr>
        <w:spacing w:line="560" w:lineRule="exact"/>
        <w:ind w:firstLine="640" w:firstLineChars="200"/>
        <w:rPr>
          <w:rFonts w:eastAsia="仿宋"/>
          <w:sz w:val="32"/>
          <w:szCs w:val="32"/>
        </w:rPr>
      </w:pPr>
      <w:r>
        <w:rPr>
          <w:rFonts w:hint="eastAsia" w:eastAsia="仿宋"/>
          <w:sz w:val="32"/>
          <w:szCs w:val="32"/>
        </w:rPr>
        <w:t>目标为人防教育活动完成率</w:t>
      </w:r>
      <w:r>
        <w:rPr>
          <w:rFonts w:eastAsia="仿宋"/>
          <w:sz w:val="32"/>
          <w:szCs w:val="32"/>
        </w:rPr>
        <w:tab/>
      </w:r>
      <w:r>
        <w:rPr>
          <w:rFonts w:eastAsia="仿宋"/>
          <w:sz w:val="32"/>
          <w:szCs w:val="32"/>
        </w:rPr>
        <w:t>100%</w:t>
      </w:r>
      <w:r>
        <w:rPr>
          <w:rFonts w:hint="eastAsia" w:eastAsia="仿宋"/>
          <w:sz w:val="32"/>
          <w:szCs w:val="32"/>
        </w:rPr>
        <w:t>，</w:t>
      </w:r>
      <w:r>
        <w:rPr>
          <w:rFonts w:eastAsia="仿宋"/>
          <w:sz w:val="32"/>
          <w:szCs w:val="32"/>
        </w:rPr>
        <w:t>2021年</w:t>
      </w:r>
      <w:r>
        <w:rPr>
          <w:rFonts w:hint="eastAsia" w:eastAsia="仿宋"/>
          <w:sz w:val="32"/>
          <w:szCs w:val="32"/>
        </w:rPr>
        <w:t>区住房和城乡建设局完成人防法制宣传工作，全区初中八年级学生应急包发放全覆盖，</w:t>
      </w:r>
      <w:r>
        <w:rPr>
          <w:rFonts w:eastAsia="仿宋"/>
          <w:sz w:val="32"/>
          <w:szCs w:val="32"/>
        </w:rPr>
        <w:t>完成目标。</w:t>
      </w:r>
    </w:p>
    <w:p>
      <w:pPr>
        <w:spacing w:line="560" w:lineRule="exact"/>
        <w:ind w:firstLine="640" w:firstLineChars="200"/>
        <w:rPr>
          <w:rFonts w:eastAsia="仿宋"/>
          <w:sz w:val="32"/>
          <w:szCs w:val="32"/>
        </w:rPr>
      </w:pPr>
      <w:r>
        <w:rPr>
          <w:rFonts w:eastAsia="仿宋"/>
          <w:sz w:val="32"/>
          <w:szCs w:val="32"/>
        </w:rPr>
        <w:t>③</w:t>
      </w:r>
      <w:r>
        <w:rPr>
          <w:rFonts w:hint="eastAsia" w:eastAsia="仿宋"/>
          <w:sz w:val="32"/>
          <w:szCs w:val="32"/>
        </w:rPr>
        <w:t>地下管线信息平台建成率</w:t>
      </w:r>
      <w:r>
        <w:rPr>
          <w:rFonts w:eastAsia="仿宋"/>
          <w:sz w:val="32"/>
          <w:szCs w:val="32"/>
        </w:rPr>
        <w:t>：满分2分，得分2分</w:t>
      </w:r>
    </w:p>
    <w:p>
      <w:pPr>
        <w:keepNext/>
        <w:spacing w:line="560" w:lineRule="exact"/>
        <w:ind w:firstLine="640" w:firstLineChars="200"/>
        <w:rPr>
          <w:rFonts w:eastAsia="仿宋"/>
          <w:sz w:val="32"/>
          <w:szCs w:val="32"/>
        </w:rPr>
      </w:pPr>
      <w:r>
        <w:rPr>
          <w:rFonts w:eastAsia="仿宋"/>
          <w:sz w:val="32"/>
          <w:szCs w:val="32"/>
        </w:rPr>
        <w:t>目标为</w:t>
      </w:r>
      <w:r>
        <w:rPr>
          <w:rFonts w:hint="eastAsia" w:eastAsia="仿宋"/>
          <w:sz w:val="32"/>
          <w:szCs w:val="32"/>
        </w:rPr>
        <w:t>地下管线信息平台建成率</w:t>
      </w:r>
      <w:r>
        <w:rPr>
          <w:rFonts w:eastAsia="仿宋"/>
          <w:sz w:val="32"/>
          <w:szCs w:val="32"/>
        </w:rPr>
        <w:t>100%</w:t>
      </w:r>
      <w:r>
        <w:rPr>
          <w:rFonts w:hint="eastAsia" w:eastAsia="仿宋"/>
          <w:sz w:val="32"/>
          <w:szCs w:val="32"/>
        </w:rPr>
        <w:t>，</w:t>
      </w:r>
      <w:r>
        <w:rPr>
          <w:rFonts w:eastAsia="仿宋"/>
          <w:sz w:val="32"/>
          <w:szCs w:val="32"/>
        </w:rPr>
        <w:t>2021年</w:t>
      </w:r>
      <w:r>
        <w:rPr>
          <w:rFonts w:hint="eastAsia" w:eastAsia="仿宋"/>
          <w:sz w:val="32"/>
          <w:szCs w:val="32"/>
        </w:rPr>
        <w:t>区住房和城乡建设局完成年度道路、管线数据库更新里程760公里；补测管线数据入库检查满足平台入库标准；管线平台运维可以保障平台正常运行，</w:t>
      </w:r>
      <w:r>
        <w:rPr>
          <w:rFonts w:eastAsia="仿宋"/>
          <w:sz w:val="32"/>
          <w:szCs w:val="32"/>
        </w:rPr>
        <w:t>完成目标。</w:t>
      </w:r>
    </w:p>
    <w:p>
      <w:pPr>
        <w:spacing w:line="560" w:lineRule="exact"/>
        <w:ind w:firstLine="640" w:firstLineChars="200"/>
        <w:rPr>
          <w:rFonts w:eastAsia="仿宋"/>
          <w:sz w:val="32"/>
          <w:szCs w:val="32"/>
        </w:rPr>
      </w:pPr>
      <w:r>
        <w:rPr>
          <w:rFonts w:hint="eastAsia" w:eastAsia="仿宋"/>
          <w:sz w:val="32"/>
          <w:szCs w:val="32"/>
        </w:rPr>
        <w:t>④城建档案管理合规性：满分2分，得分2分</w:t>
      </w:r>
    </w:p>
    <w:p>
      <w:pPr>
        <w:keepNext/>
        <w:spacing w:line="560" w:lineRule="exact"/>
        <w:ind w:firstLine="640" w:firstLineChars="200"/>
        <w:rPr>
          <w:rFonts w:eastAsia="仿宋"/>
          <w:sz w:val="32"/>
          <w:szCs w:val="32"/>
        </w:rPr>
      </w:pPr>
      <w:r>
        <w:rPr>
          <w:rFonts w:hint="eastAsia" w:eastAsia="仿宋"/>
          <w:sz w:val="32"/>
          <w:szCs w:val="32"/>
        </w:rPr>
        <w:t>目标为城建档案管理合规，2021年区住房和城乡建设局每季度进行一次档案核查与整理，档案资料保存完整，完成目标。</w:t>
      </w:r>
    </w:p>
    <w:p>
      <w:pPr>
        <w:spacing w:line="560" w:lineRule="exact"/>
        <w:ind w:firstLine="640" w:firstLineChars="200"/>
        <w:rPr>
          <w:rFonts w:eastAsia="仿宋"/>
          <w:sz w:val="32"/>
          <w:szCs w:val="32"/>
        </w:rPr>
      </w:pPr>
      <w:r>
        <w:rPr>
          <w:rFonts w:eastAsia="仿宋"/>
          <w:sz w:val="32"/>
          <w:szCs w:val="32"/>
        </w:rPr>
        <w:t>效益指标完成情况分析：满分10分，得分10分</w:t>
      </w:r>
    </w:p>
    <w:p>
      <w:pPr>
        <w:keepNext/>
        <w:spacing w:line="560" w:lineRule="exact"/>
        <w:ind w:firstLine="640" w:firstLineChars="200"/>
        <w:rPr>
          <w:rFonts w:eastAsia="仿宋"/>
          <w:sz w:val="32"/>
          <w:szCs w:val="32"/>
        </w:rPr>
      </w:pPr>
      <w:r>
        <w:rPr>
          <w:rFonts w:eastAsia="仿宋"/>
          <w:sz w:val="32"/>
          <w:szCs w:val="32"/>
        </w:rPr>
        <w:t>①</w:t>
      </w:r>
      <w:bookmarkStart w:id="1" w:name="_Hlk104362256"/>
      <w:r>
        <w:rPr>
          <w:rFonts w:hint="eastAsia" w:eastAsia="仿宋"/>
          <w:sz w:val="32"/>
          <w:szCs w:val="32"/>
        </w:rPr>
        <w:t>施工图审查提升</w:t>
      </w:r>
      <w:bookmarkEnd w:id="1"/>
      <w:r>
        <w:rPr>
          <w:rFonts w:hint="eastAsia" w:eastAsia="仿宋"/>
          <w:sz w:val="32"/>
          <w:szCs w:val="32"/>
        </w:rPr>
        <w:t>度</w:t>
      </w:r>
      <w:r>
        <w:rPr>
          <w:rFonts w:eastAsia="仿宋"/>
          <w:sz w:val="32"/>
          <w:szCs w:val="32"/>
        </w:rPr>
        <w:t>：满分3分，得分3分</w:t>
      </w:r>
    </w:p>
    <w:p>
      <w:pPr>
        <w:spacing w:line="560" w:lineRule="exact"/>
        <w:ind w:firstLine="640" w:firstLineChars="200"/>
        <w:rPr>
          <w:rFonts w:eastAsia="仿宋"/>
          <w:sz w:val="32"/>
          <w:szCs w:val="32"/>
        </w:rPr>
      </w:pPr>
      <w:r>
        <w:rPr>
          <w:rFonts w:eastAsia="仿宋"/>
          <w:sz w:val="32"/>
          <w:szCs w:val="32"/>
        </w:rPr>
        <w:t>目标为</w:t>
      </w:r>
      <w:r>
        <w:rPr>
          <w:rFonts w:hint="eastAsia" w:eastAsia="仿宋"/>
          <w:sz w:val="32"/>
          <w:szCs w:val="32"/>
        </w:rPr>
        <w:t>施工图审查提升，</w:t>
      </w:r>
      <w:r>
        <w:rPr>
          <w:rFonts w:eastAsia="仿宋"/>
          <w:sz w:val="32"/>
          <w:szCs w:val="32"/>
        </w:rPr>
        <w:t>2021年</w:t>
      </w:r>
      <w:r>
        <w:rPr>
          <w:rFonts w:hint="eastAsia" w:eastAsia="仿宋"/>
          <w:sz w:val="32"/>
          <w:szCs w:val="32"/>
        </w:rPr>
        <w:t>区住房和城乡建设局</w:t>
      </w:r>
      <w:bookmarkStart w:id="2" w:name="_Hlk104362283"/>
      <w:r>
        <w:rPr>
          <w:rFonts w:hint="eastAsia" w:eastAsia="仿宋"/>
          <w:sz w:val="32"/>
          <w:szCs w:val="32"/>
        </w:rPr>
        <w:t>全面实行数字化审图，实行全程网办。图审合格书不再作为施工许可的前置条件，由建设单位承诺在施工前完成审查。同时在联合图审时限上做出规定并严格执行，进一步缩减审查时限，大型工程时限由22个工作日缩减到10个工作日，中小型工程时限由15个工作日缩减到6个工作日，大幅提升了图审工作效率</w:t>
      </w:r>
      <w:bookmarkEnd w:id="2"/>
      <w:r>
        <w:rPr>
          <w:rFonts w:hint="eastAsia" w:eastAsia="仿宋"/>
          <w:sz w:val="32"/>
          <w:szCs w:val="32"/>
        </w:rPr>
        <w:t>，完成目标。</w:t>
      </w:r>
    </w:p>
    <w:p>
      <w:pPr>
        <w:keepNext/>
        <w:spacing w:line="560" w:lineRule="exact"/>
        <w:ind w:firstLine="640" w:firstLineChars="200"/>
        <w:rPr>
          <w:rFonts w:eastAsia="仿宋"/>
          <w:sz w:val="32"/>
          <w:szCs w:val="32"/>
        </w:rPr>
      </w:pPr>
      <w:r>
        <w:rPr>
          <w:rFonts w:eastAsia="仿宋"/>
          <w:sz w:val="32"/>
          <w:szCs w:val="32"/>
        </w:rPr>
        <w:t>②</w:t>
      </w:r>
      <w:r>
        <w:rPr>
          <w:rFonts w:hint="eastAsia" w:eastAsia="仿宋"/>
          <w:sz w:val="32"/>
          <w:szCs w:val="32"/>
        </w:rPr>
        <w:t>建设工程竣工验收备案率</w:t>
      </w:r>
      <w:r>
        <w:rPr>
          <w:rFonts w:eastAsia="仿宋"/>
          <w:sz w:val="32"/>
          <w:szCs w:val="32"/>
        </w:rPr>
        <w:t>：满分4分，得分4分</w:t>
      </w:r>
    </w:p>
    <w:p>
      <w:pPr>
        <w:spacing w:line="560" w:lineRule="exact"/>
        <w:ind w:firstLine="640" w:firstLineChars="200"/>
        <w:rPr>
          <w:rFonts w:eastAsia="仿宋"/>
          <w:sz w:val="32"/>
          <w:szCs w:val="32"/>
        </w:rPr>
      </w:pPr>
      <w:r>
        <w:rPr>
          <w:rFonts w:eastAsia="仿宋"/>
          <w:sz w:val="32"/>
          <w:szCs w:val="32"/>
        </w:rPr>
        <w:t>目标为</w:t>
      </w:r>
      <w:r>
        <w:rPr>
          <w:rFonts w:hint="eastAsia" w:eastAsia="仿宋"/>
          <w:sz w:val="32"/>
          <w:szCs w:val="32"/>
        </w:rPr>
        <w:t>建设工程竣工验收备案率1</w:t>
      </w:r>
      <w:r>
        <w:rPr>
          <w:rFonts w:eastAsia="仿宋"/>
          <w:sz w:val="32"/>
          <w:szCs w:val="32"/>
        </w:rPr>
        <w:t>00%</w:t>
      </w:r>
      <w:r>
        <w:rPr>
          <w:rFonts w:hint="eastAsia" w:eastAsia="仿宋"/>
          <w:sz w:val="32"/>
          <w:szCs w:val="32"/>
        </w:rPr>
        <w:t>，</w:t>
      </w:r>
      <w:r>
        <w:rPr>
          <w:rFonts w:eastAsia="仿宋"/>
          <w:sz w:val="32"/>
          <w:szCs w:val="32"/>
        </w:rPr>
        <w:t>2021年</w:t>
      </w:r>
      <w:r>
        <w:rPr>
          <w:rFonts w:hint="eastAsia" w:eastAsia="仿宋"/>
          <w:sz w:val="32"/>
          <w:szCs w:val="32"/>
        </w:rPr>
        <w:t>区住房和城乡建设局达到验收备案条件的项目全部验收备案，并出具备案回执单，</w:t>
      </w:r>
      <w:r>
        <w:rPr>
          <w:rFonts w:eastAsia="仿宋"/>
          <w:sz w:val="32"/>
          <w:szCs w:val="32"/>
        </w:rPr>
        <w:t>完成目标。</w:t>
      </w:r>
    </w:p>
    <w:p>
      <w:pPr>
        <w:spacing w:line="560" w:lineRule="exact"/>
        <w:ind w:left="640"/>
        <w:rPr>
          <w:rFonts w:eastAsia="仿宋"/>
          <w:sz w:val="32"/>
          <w:szCs w:val="32"/>
        </w:rPr>
      </w:pPr>
      <w:r>
        <w:rPr>
          <w:rFonts w:hint="eastAsia" w:ascii="仿宋" w:hAnsi="仿宋" w:eastAsia="仿宋"/>
          <w:sz w:val="32"/>
          <w:szCs w:val="32"/>
        </w:rPr>
        <w:t>③</w:t>
      </w:r>
      <w:r>
        <w:rPr>
          <w:rFonts w:hint="eastAsia" w:eastAsia="仿宋"/>
          <w:sz w:val="32"/>
          <w:szCs w:val="32"/>
        </w:rPr>
        <w:t>人防宣传教育普及度</w:t>
      </w:r>
      <w:r>
        <w:rPr>
          <w:rFonts w:eastAsia="仿宋"/>
          <w:sz w:val="32"/>
          <w:szCs w:val="32"/>
        </w:rPr>
        <w:t>：满分3分，得分3分</w:t>
      </w:r>
    </w:p>
    <w:p>
      <w:pPr>
        <w:widowControl/>
        <w:spacing w:line="560" w:lineRule="exact"/>
        <w:ind w:firstLine="640" w:firstLineChars="200"/>
        <w:rPr>
          <w:rFonts w:eastAsia="仿宋"/>
          <w:sz w:val="32"/>
          <w:szCs w:val="32"/>
        </w:rPr>
      </w:pPr>
      <w:r>
        <w:rPr>
          <w:rFonts w:eastAsia="仿宋"/>
          <w:sz w:val="32"/>
          <w:szCs w:val="32"/>
        </w:rPr>
        <w:t>目标为</w:t>
      </w:r>
      <w:r>
        <w:rPr>
          <w:rFonts w:hint="eastAsia" w:eastAsia="仿宋"/>
          <w:sz w:val="32"/>
          <w:szCs w:val="32"/>
        </w:rPr>
        <w:t>人防宣传教育普及度1</w:t>
      </w:r>
      <w:r>
        <w:rPr>
          <w:rFonts w:eastAsia="仿宋"/>
          <w:sz w:val="32"/>
          <w:szCs w:val="32"/>
        </w:rPr>
        <w:t>00%</w:t>
      </w:r>
      <w:r>
        <w:rPr>
          <w:rFonts w:hint="eastAsia" w:eastAsia="仿宋"/>
          <w:sz w:val="32"/>
          <w:szCs w:val="32"/>
        </w:rPr>
        <w:t>，202</w:t>
      </w:r>
      <w:r>
        <w:rPr>
          <w:rFonts w:eastAsia="仿宋"/>
          <w:sz w:val="32"/>
          <w:szCs w:val="32"/>
        </w:rPr>
        <w:t>1</w:t>
      </w:r>
      <w:r>
        <w:rPr>
          <w:rFonts w:hint="eastAsia" w:eastAsia="仿宋"/>
          <w:sz w:val="32"/>
          <w:szCs w:val="32"/>
        </w:rPr>
        <w:t>年区住房和城乡建设局开展人防宣传活动和知识讲座活动，让经开区全体居民更全面了解人防相关知识，完成目标。</w:t>
      </w:r>
    </w:p>
    <w:p>
      <w:pPr>
        <w:pStyle w:val="2"/>
        <w:spacing w:after="0" w:line="560" w:lineRule="exact"/>
        <w:ind w:firstLine="640" w:firstLineChars="200"/>
        <w:rPr>
          <w:rFonts w:eastAsia="仿宋"/>
          <w:sz w:val="32"/>
          <w:szCs w:val="32"/>
        </w:rPr>
      </w:pPr>
      <w:r>
        <w:rPr>
          <w:rFonts w:eastAsia="仿宋"/>
          <w:sz w:val="32"/>
          <w:szCs w:val="32"/>
        </w:rPr>
        <w:t>（6）年度目标6：</w:t>
      </w:r>
      <w:r>
        <w:rPr>
          <w:rFonts w:hint="eastAsia" w:eastAsia="仿宋"/>
          <w:sz w:val="32"/>
          <w:szCs w:val="32"/>
        </w:rPr>
        <w:t>进一步加强学习教育，迅速掀起学习宣传贯彻党的精神热潮；强化目标管理，增强创优意识，着力加强政治建设，驰而不息常态化抓正风肃纪，深入推进依法行政。</w:t>
      </w:r>
      <w:r>
        <w:rPr>
          <w:rFonts w:eastAsia="仿宋"/>
          <w:sz w:val="32"/>
          <w:szCs w:val="32"/>
        </w:rPr>
        <w:t>（满分12分，得分12分）</w:t>
      </w:r>
    </w:p>
    <w:p>
      <w:pPr>
        <w:spacing w:line="560" w:lineRule="exact"/>
        <w:ind w:firstLine="640" w:firstLineChars="200"/>
        <w:rPr>
          <w:rFonts w:eastAsia="仿宋"/>
          <w:sz w:val="32"/>
          <w:szCs w:val="32"/>
        </w:rPr>
      </w:pPr>
      <w:r>
        <w:rPr>
          <w:rFonts w:eastAsia="仿宋"/>
          <w:sz w:val="32"/>
          <w:szCs w:val="32"/>
        </w:rPr>
        <w:t>产出指标完成情况分析：满分6分，得分6分</w:t>
      </w:r>
    </w:p>
    <w:p>
      <w:pPr>
        <w:keepNext/>
        <w:spacing w:line="560" w:lineRule="exact"/>
        <w:ind w:firstLine="640" w:firstLineChars="200"/>
        <w:rPr>
          <w:rFonts w:eastAsia="仿宋"/>
          <w:sz w:val="32"/>
          <w:szCs w:val="32"/>
        </w:rPr>
      </w:pPr>
      <w:r>
        <w:rPr>
          <w:rFonts w:eastAsia="仿宋"/>
          <w:sz w:val="32"/>
          <w:szCs w:val="32"/>
        </w:rPr>
        <w:t>①</w:t>
      </w:r>
      <w:r>
        <w:rPr>
          <w:rFonts w:hint="eastAsia" w:eastAsia="仿宋"/>
          <w:sz w:val="32"/>
          <w:szCs w:val="32"/>
        </w:rPr>
        <w:t>“两学一做”推进度</w:t>
      </w:r>
      <w:r>
        <w:rPr>
          <w:rFonts w:eastAsia="仿宋"/>
          <w:sz w:val="32"/>
          <w:szCs w:val="32"/>
        </w:rPr>
        <w:t>：满分2分，得分2分</w:t>
      </w:r>
    </w:p>
    <w:p>
      <w:pPr>
        <w:keepNext/>
        <w:spacing w:line="560" w:lineRule="exact"/>
        <w:ind w:firstLine="640" w:firstLineChars="200"/>
        <w:rPr>
          <w:rFonts w:eastAsia="仿宋"/>
          <w:sz w:val="32"/>
          <w:szCs w:val="32"/>
        </w:rPr>
      </w:pPr>
      <w:r>
        <w:rPr>
          <w:rFonts w:hint="eastAsia" w:eastAsia="仿宋"/>
          <w:sz w:val="32"/>
          <w:szCs w:val="32"/>
        </w:rPr>
        <w:t>目标为“两学一做”推进度100%</w:t>
      </w:r>
      <w:r>
        <w:rPr>
          <w:rFonts w:eastAsia="仿宋"/>
          <w:sz w:val="32"/>
          <w:szCs w:val="32"/>
        </w:rPr>
        <w:t>，2021年</w:t>
      </w:r>
      <w:r>
        <w:rPr>
          <w:rFonts w:hint="eastAsia" w:eastAsia="仿宋"/>
          <w:sz w:val="32"/>
          <w:szCs w:val="32"/>
        </w:rPr>
        <w:t>区住房和城乡建设局大力开展党史学习教育，抓实理论武装，制定党组中心组理论学习方案，列定27个主题开展集中研学14次，在回望火红历史征程中，深化对党的创新理论，特别是习近平新时代中国特色社会主义思想学习贯彻，</w:t>
      </w:r>
      <w:r>
        <w:rPr>
          <w:rFonts w:eastAsia="仿宋"/>
          <w:sz w:val="32"/>
          <w:szCs w:val="32"/>
        </w:rPr>
        <w:t>完成目标。</w:t>
      </w:r>
    </w:p>
    <w:p>
      <w:pPr>
        <w:keepNext/>
        <w:spacing w:line="560" w:lineRule="exact"/>
        <w:ind w:firstLine="640" w:firstLineChars="200"/>
        <w:rPr>
          <w:rFonts w:eastAsia="仿宋"/>
          <w:sz w:val="32"/>
          <w:szCs w:val="32"/>
        </w:rPr>
      </w:pPr>
      <w:r>
        <w:rPr>
          <w:rFonts w:eastAsia="仿宋"/>
          <w:sz w:val="32"/>
          <w:szCs w:val="32"/>
        </w:rPr>
        <w:t>②</w:t>
      </w:r>
      <w:r>
        <w:rPr>
          <w:rFonts w:hint="eastAsia" w:eastAsia="仿宋"/>
          <w:sz w:val="32"/>
          <w:szCs w:val="32"/>
        </w:rPr>
        <w:t>基层党组织建设</w:t>
      </w:r>
      <w:r>
        <w:rPr>
          <w:rFonts w:eastAsia="仿宋"/>
          <w:sz w:val="32"/>
          <w:szCs w:val="32"/>
        </w:rPr>
        <w:t>：满分2分，得分2分</w:t>
      </w:r>
    </w:p>
    <w:p>
      <w:pPr>
        <w:spacing w:line="560" w:lineRule="exact"/>
        <w:ind w:firstLine="640" w:firstLineChars="200"/>
        <w:rPr>
          <w:rFonts w:eastAsia="仿宋"/>
          <w:sz w:val="32"/>
          <w:szCs w:val="32"/>
        </w:rPr>
      </w:pPr>
      <w:r>
        <w:rPr>
          <w:rFonts w:hint="eastAsia" w:eastAsia="仿宋"/>
          <w:sz w:val="32"/>
          <w:szCs w:val="32"/>
        </w:rPr>
        <w:t>目标为基层党组织建设1</w:t>
      </w:r>
      <w:r>
        <w:rPr>
          <w:rFonts w:eastAsia="仿宋"/>
          <w:sz w:val="32"/>
          <w:szCs w:val="32"/>
        </w:rPr>
        <w:t>00</w:t>
      </w:r>
      <w:r>
        <w:rPr>
          <w:rFonts w:hint="eastAsia" w:eastAsia="仿宋"/>
          <w:sz w:val="32"/>
          <w:szCs w:val="32"/>
        </w:rPr>
        <w:t>%，</w:t>
      </w:r>
      <w:r>
        <w:rPr>
          <w:rFonts w:eastAsia="仿宋"/>
          <w:sz w:val="32"/>
          <w:szCs w:val="32"/>
        </w:rPr>
        <w:t>2021年</w:t>
      </w:r>
      <w:r>
        <w:rPr>
          <w:rFonts w:hint="eastAsia" w:eastAsia="仿宋"/>
          <w:sz w:val="32"/>
          <w:szCs w:val="32"/>
        </w:rPr>
        <w:t>区住房和城乡建设局持续加强组织建设，新建党支部（党总支）10个，严格程序标准选举党代表、召开党代会，正在开展局机关党委换届选举和机关纪委委员增补工作。大力推进作风转变，常态化抓好党员下沉社区工作，慰问生活困难党员群众27人次，5个“我为群众办实事”项目全部完成，联动社会爱心企业向社区援助、捐赠物资2次，</w:t>
      </w:r>
      <w:r>
        <w:rPr>
          <w:rFonts w:eastAsia="仿宋"/>
          <w:sz w:val="32"/>
          <w:szCs w:val="32"/>
        </w:rPr>
        <w:t>完成目标。</w:t>
      </w:r>
    </w:p>
    <w:p>
      <w:pPr>
        <w:spacing w:line="560" w:lineRule="exact"/>
        <w:ind w:firstLine="640" w:firstLineChars="200"/>
        <w:rPr>
          <w:rFonts w:eastAsia="仿宋"/>
          <w:sz w:val="32"/>
          <w:szCs w:val="32"/>
        </w:rPr>
      </w:pPr>
      <w:r>
        <w:rPr>
          <w:rFonts w:eastAsia="仿宋"/>
          <w:sz w:val="32"/>
          <w:szCs w:val="32"/>
        </w:rPr>
        <w:t>③</w:t>
      </w:r>
      <w:r>
        <w:rPr>
          <w:rFonts w:hint="eastAsia" w:eastAsia="仿宋"/>
          <w:sz w:val="32"/>
          <w:szCs w:val="32"/>
        </w:rPr>
        <w:t>三会一课开展率</w:t>
      </w:r>
      <w:r>
        <w:rPr>
          <w:rFonts w:eastAsia="仿宋"/>
          <w:sz w:val="32"/>
          <w:szCs w:val="32"/>
        </w:rPr>
        <w:t>：满分2分，得分2分</w:t>
      </w:r>
    </w:p>
    <w:p>
      <w:pPr>
        <w:keepNext/>
        <w:spacing w:line="560" w:lineRule="exact"/>
        <w:ind w:firstLine="640" w:firstLineChars="200"/>
        <w:rPr>
          <w:rFonts w:eastAsia="仿宋"/>
          <w:sz w:val="32"/>
          <w:szCs w:val="32"/>
        </w:rPr>
      </w:pPr>
      <w:r>
        <w:rPr>
          <w:rFonts w:eastAsia="仿宋"/>
          <w:sz w:val="32"/>
          <w:szCs w:val="32"/>
        </w:rPr>
        <w:t>目标为</w:t>
      </w:r>
      <w:r>
        <w:rPr>
          <w:rFonts w:hint="eastAsia" w:eastAsia="仿宋"/>
          <w:sz w:val="32"/>
          <w:szCs w:val="32"/>
        </w:rPr>
        <w:t>三会一课开展率1</w:t>
      </w:r>
      <w:r>
        <w:rPr>
          <w:rFonts w:eastAsia="仿宋"/>
          <w:sz w:val="32"/>
          <w:szCs w:val="32"/>
        </w:rPr>
        <w:t>00</w:t>
      </w:r>
      <w:r>
        <w:rPr>
          <w:rFonts w:hint="eastAsia" w:eastAsia="仿宋"/>
          <w:sz w:val="32"/>
          <w:szCs w:val="32"/>
        </w:rPr>
        <w:t>%，</w:t>
      </w:r>
      <w:r>
        <w:rPr>
          <w:rFonts w:eastAsia="仿宋"/>
          <w:sz w:val="32"/>
          <w:szCs w:val="32"/>
        </w:rPr>
        <w:t>2021年</w:t>
      </w:r>
      <w:r>
        <w:rPr>
          <w:rFonts w:hint="eastAsia" w:eastAsia="仿宋"/>
          <w:sz w:val="32"/>
          <w:szCs w:val="32"/>
        </w:rPr>
        <w:t>区住房和城乡建设局开展党课集中宣讲5次，各支部“百年党史·红色传承”主题党课宣讲17场次，先后组织到武汉及周边红色革命旧址参观见学、参加“永远跟党走”合唱比赛，向8名老党员颁发“光荣在党50年”纪念章，2名同志分别获评区优秀党务工作者和优秀党员，</w:t>
      </w:r>
      <w:r>
        <w:rPr>
          <w:rFonts w:eastAsia="仿宋"/>
          <w:sz w:val="32"/>
          <w:szCs w:val="32"/>
        </w:rPr>
        <w:t>完成目标。</w:t>
      </w:r>
    </w:p>
    <w:p>
      <w:pPr>
        <w:spacing w:line="560" w:lineRule="exact"/>
        <w:ind w:firstLine="640" w:firstLineChars="200"/>
        <w:rPr>
          <w:rFonts w:eastAsia="仿宋"/>
          <w:sz w:val="32"/>
          <w:szCs w:val="32"/>
        </w:rPr>
      </w:pPr>
      <w:r>
        <w:rPr>
          <w:rFonts w:eastAsia="仿宋"/>
          <w:sz w:val="32"/>
          <w:szCs w:val="32"/>
        </w:rPr>
        <w:t>效益指标完成情况分析：满分6分，得分6分</w:t>
      </w:r>
    </w:p>
    <w:p>
      <w:pPr>
        <w:keepNext/>
        <w:spacing w:line="560" w:lineRule="exact"/>
        <w:ind w:firstLine="640" w:firstLineChars="200"/>
        <w:rPr>
          <w:rFonts w:eastAsia="仿宋"/>
          <w:sz w:val="32"/>
          <w:szCs w:val="32"/>
        </w:rPr>
      </w:pPr>
      <w:r>
        <w:rPr>
          <w:rFonts w:eastAsia="仿宋"/>
          <w:sz w:val="32"/>
          <w:szCs w:val="32"/>
        </w:rPr>
        <w:t>①</w:t>
      </w:r>
      <w:r>
        <w:rPr>
          <w:rFonts w:hint="eastAsia" w:eastAsia="仿宋"/>
          <w:sz w:val="32"/>
          <w:szCs w:val="32"/>
        </w:rPr>
        <w:t>党风党纪问题整改到位率</w:t>
      </w:r>
      <w:r>
        <w:rPr>
          <w:rFonts w:eastAsia="仿宋"/>
          <w:sz w:val="32"/>
          <w:szCs w:val="32"/>
        </w:rPr>
        <w:t>：满分3分，得分3分</w:t>
      </w:r>
    </w:p>
    <w:p>
      <w:pPr>
        <w:spacing w:line="560" w:lineRule="exact"/>
        <w:ind w:firstLine="640" w:firstLineChars="200"/>
        <w:rPr>
          <w:rFonts w:eastAsia="仿宋"/>
          <w:sz w:val="32"/>
          <w:szCs w:val="32"/>
        </w:rPr>
      </w:pPr>
      <w:r>
        <w:rPr>
          <w:rFonts w:eastAsia="仿宋"/>
          <w:sz w:val="32"/>
          <w:szCs w:val="32"/>
        </w:rPr>
        <w:t>目标为</w:t>
      </w:r>
      <w:r>
        <w:rPr>
          <w:rFonts w:hint="eastAsia" w:eastAsia="仿宋"/>
          <w:sz w:val="32"/>
          <w:szCs w:val="32"/>
        </w:rPr>
        <w:t>党风党纪问题整改到位率1</w:t>
      </w:r>
      <w:r>
        <w:rPr>
          <w:rFonts w:eastAsia="仿宋"/>
          <w:sz w:val="32"/>
          <w:szCs w:val="32"/>
        </w:rPr>
        <w:t>00</w:t>
      </w:r>
      <w:r>
        <w:rPr>
          <w:rFonts w:hint="eastAsia" w:eastAsia="仿宋"/>
          <w:sz w:val="32"/>
          <w:szCs w:val="32"/>
        </w:rPr>
        <w:t>%，</w:t>
      </w:r>
      <w:r>
        <w:rPr>
          <w:rFonts w:eastAsia="仿宋"/>
          <w:sz w:val="32"/>
          <w:szCs w:val="32"/>
        </w:rPr>
        <w:t>2021年</w:t>
      </w:r>
      <w:r>
        <w:rPr>
          <w:rFonts w:hint="eastAsia" w:eastAsia="仿宋"/>
          <w:sz w:val="32"/>
          <w:szCs w:val="32"/>
        </w:rPr>
        <w:t>区住房和城乡建设局严格落实党风廉政建设和意识形态工作责任，坚持挺纪在前，常态开展警示性案例学习和讨论，对7名违法违纪干部给予党纪和行政处分，始终绷紧纪律红线</w:t>
      </w:r>
      <w:r>
        <w:rPr>
          <w:rFonts w:eastAsia="仿宋"/>
          <w:sz w:val="32"/>
          <w:szCs w:val="32"/>
        </w:rPr>
        <w:t>，完成目标。</w:t>
      </w:r>
    </w:p>
    <w:p>
      <w:pPr>
        <w:keepNext/>
        <w:spacing w:line="560" w:lineRule="exact"/>
        <w:ind w:firstLine="640" w:firstLineChars="200"/>
        <w:rPr>
          <w:rFonts w:eastAsia="仿宋"/>
          <w:sz w:val="32"/>
          <w:szCs w:val="32"/>
        </w:rPr>
      </w:pPr>
      <w:r>
        <w:rPr>
          <w:rFonts w:eastAsia="仿宋"/>
          <w:sz w:val="32"/>
          <w:szCs w:val="32"/>
        </w:rPr>
        <w:t>②</w:t>
      </w:r>
      <w:r>
        <w:rPr>
          <w:rFonts w:hint="eastAsia" w:eastAsia="仿宋"/>
          <w:sz w:val="32"/>
          <w:szCs w:val="32"/>
        </w:rPr>
        <w:t>加强社会治理，全面依法治国</w:t>
      </w:r>
      <w:r>
        <w:rPr>
          <w:rFonts w:eastAsia="仿宋"/>
          <w:sz w:val="32"/>
          <w:szCs w:val="32"/>
        </w:rPr>
        <w:t>：满分3分，得分3分</w:t>
      </w:r>
    </w:p>
    <w:p>
      <w:pPr>
        <w:spacing w:line="560" w:lineRule="exact"/>
        <w:ind w:firstLine="640" w:firstLineChars="200"/>
        <w:rPr>
          <w:rFonts w:eastAsia="仿宋"/>
          <w:sz w:val="32"/>
          <w:szCs w:val="32"/>
        </w:rPr>
      </w:pPr>
      <w:r>
        <w:rPr>
          <w:rFonts w:eastAsia="仿宋"/>
          <w:sz w:val="32"/>
          <w:szCs w:val="32"/>
        </w:rPr>
        <w:t>目标为</w:t>
      </w:r>
      <w:r>
        <w:rPr>
          <w:rFonts w:hint="eastAsia" w:eastAsia="仿宋"/>
          <w:sz w:val="32"/>
          <w:szCs w:val="32"/>
        </w:rPr>
        <w:t>加强社会治理，全面依法治国，</w:t>
      </w:r>
      <w:r>
        <w:rPr>
          <w:rFonts w:eastAsia="仿宋"/>
          <w:sz w:val="32"/>
          <w:szCs w:val="32"/>
        </w:rPr>
        <w:t>2021年</w:t>
      </w:r>
      <w:r>
        <w:rPr>
          <w:rFonts w:hint="eastAsia" w:eastAsia="仿宋"/>
          <w:sz w:val="32"/>
          <w:szCs w:val="32"/>
        </w:rPr>
        <w:t>区住房和城乡建设局始终把学法、用法、守法高度统一起来，成立局法治建设领导小组，超额完成年度法宣在线2400积分学习。加强法制培训教育，开展法律进企业、法律进机关活动32次，发放宣传手册挂图3000余份，完成15个执法单位102名执法人员换证工作和考核。持续推行法律顾问制度，提供法律咨询80人次，代理行政诉讼3起、民事诉讼4件。检查企业和项目180家次、运输车辆7680台次，查处违法违章和违规操作292起，立案处罚146起。监督房屋建筑工程320项2199.68万㎡，工程造价565.24亿元，行政处罚39件，整顿规范中介机构6家，管理行业市场秩序治理彰显新成效。整改稳妥处理农民工工资拖欠、延期交房、网约车等投诉咨询，群访人员稳控到位，办理各渠道群众诉求34379件，实现“三率”均100%。防范处理邪教、国家安全防控工作积极有效，扫黑除恶专项斗争行动深入开展，持续落实全国文明城市、未成年思想道德测评，推动文明创建与履职尽责、业务工作、作风建设有机统一</w:t>
      </w:r>
      <w:r>
        <w:rPr>
          <w:rFonts w:eastAsia="仿宋"/>
          <w:sz w:val="32"/>
          <w:szCs w:val="32"/>
        </w:rPr>
        <w:t>，完成目标。</w:t>
      </w:r>
    </w:p>
    <w:p>
      <w:pPr>
        <w:widowControl/>
        <w:numPr>
          <w:ilvl w:val="0"/>
          <w:numId w:val="6"/>
        </w:numPr>
        <w:spacing w:line="560" w:lineRule="exact"/>
        <w:ind w:firstLine="643" w:firstLineChars="200"/>
        <w:jc w:val="left"/>
        <w:outlineLvl w:val="1"/>
        <w:rPr>
          <w:rFonts w:eastAsia="楷体"/>
          <w:b/>
          <w:bCs/>
          <w:kern w:val="0"/>
          <w:sz w:val="32"/>
          <w:szCs w:val="32"/>
        </w:rPr>
      </w:pPr>
      <w:r>
        <w:rPr>
          <w:rFonts w:hint="eastAsia" w:eastAsia="楷体"/>
          <w:b/>
          <w:bCs/>
          <w:kern w:val="0"/>
          <w:sz w:val="32"/>
          <w:szCs w:val="32"/>
        </w:rPr>
        <w:t>上年度部门整体部门自评结果应用情况</w:t>
      </w:r>
    </w:p>
    <w:p>
      <w:pPr>
        <w:pStyle w:val="15"/>
        <w:keepNext/>
        <w:spacing w:line="560" w:lineRule="exact"/>
        <w:ind w:firstLine="640"/>
        <w:rPr>
          <w:rFonts w:eastAsia="仿宋"/>
          <w:sz w:val="32"/>
          <w:szCs w:val="32"/>
        </w:rPr>
      </w:pPr>
      <w:r>
        <w:rPr>
          <w:rFonts w:hint="eastAsia" w:eastAsia="仿宋"/>
          <w:sz w:val="32"/>
          <w:szCs w:val="32"/>
        </w:rPr>
        <w:t>武汉经济技术开发区（汉南区）住房和城乡建设局上年度实施了部门整体绩效自评并形成了部门整体自评表及部门整体自评报告，本年度较好地应用了上年度绩效自评结果。在上年评价的基础上优化了绩效评价指标体系，如根据部门职责和工作重点新增了绩效评价指标如“两学一做推进度”等，使得绩效评价指标体系与部门职能和工作重点紧密结合，有效督促各项重点工作保质保量按时完成，实现绩效管理工作目标。</w:t>
      </w:r>
    </w:p>
    <w:p>
      <w:pPr>
        <w:widowControl/>
        <w:spacing w:line="560" w:lineRule="exact"/>
        <w:ind w:firstLine="643" w:firstLineChars="200"/>
        <w:jc w:val="left"/>
        <w:outlineLvl w:val="1"/>
        <w:rPr>
          <w:rFonts w:eastAsia="楷体"/>
          <w:b/>
          <w:bCs/>
          <w:kern w:val="0"/>
          <w:sz w:val="32"/>
          <w:szCs w:val="32"/>
        </w:rPr>
      </w:pPr>
      <w:r>
        <w:rPr>
          <w:rFonts w:eastAsia="楷体"/>
          <w:b/>
          <w:bCs/>
          <w:kern w:val="0"/>
          <w:sz w:val="32"/>
          <w:szCs w:val="32"/>
        </w:rPr>
        <w:t>（</w:t>
      </w:r>
      <w:r>
        <w:rPr>
          <w:rFonts w:hint="eastAsia" w:eastAsia="楷体"/>
          <w:b/>
          <w:bCs/>
          <w:kern w:val="0"/>
          <w:sz w:val="32"/>
          <w:szCs w:val="32"/>
        </w:rPr>
        <w:t>五</w:t>
      </w:r>
      <w:r>
        <w:rPr>
          <w:rFonts w:eastAsia="楷体"/>
          <w:b/>
          <w:bCs/>
          <w:kern w:val="0"/>
          <w:sz w:val="32"/>
          <w:szCs w:val="32"/>
        </w:rPr>
        <w:t>）其他佐证材料</w:t>
      </w:r>
    </w:p>
    <w:p>
      <w:pPr>
        <w:keepNext/>
        <w:spacing w:line="560" w:lineRule="exact"/>
        <w:ind w:firstLine="640" w:firstLineChars="200"/>
        <w:rPr>
          <w:rFonts w:eastAsia="仿宋"/>
          <w:sz w:val="32"/>
          <w:szCs w:val="32"/>
        </w:rPr>
      </w:pPr>
      <w:r>
        <w:rPr>
          <w:rFonts w:eastAsia="仿宋"/>
          <w:sz w:val="32"/>
          <w:szCs w:val="32"/>
        </w:rPr>
        <w:t>无。</w:t>
      </w:r>
    </w:p>
    <w:p>
      <w:pPr>
        <w:pStyle w:val="2"/>
      </w:pPr>
    </w:p>
    <w:p>
      <w:pPr>
        <w:widowControl/>
        <w:spacing w:line="560" w:lineRule="exact"/>
        <w:ind w:firstLine="480"/>
        <w:jc w:val="right"/>
        <w:rPr>
          <w:rFonts w:eastAsia="仿宋"/>
          <w:sz w:val="32"/>
          <w:szCs w:val="32"/>
        </w:rPr>
      </w:pPr>
      <w:r>
        <w:rPr>
          <w:rFonts w:hint="eastAsia" w:eastAsia="仿宋"/>
          <w:sz w:val="32"/>
          <w:szCs w:val="32"/>
        </w:rPr>
        <w:t>武汉经济技术开发区（汉南区）住房和城乡建设局</w:t>
      </w:r>
    </w:p>
    <w:p>
      <w:pPr>
        <w:shd w:val="clear" w:color="auto" w:fill="FFFFFF" w:themeFill="background1"/>
        <w:spacing w:line="560" w:lineRule="exact"/>
        <w:ind w:firstLine="5760" w:firstLineChars="1800"/>
        <w:jc w:val="left"/>
        <w:rPr>
          <w:rFonts w:eastAsia="仿宋"/>
          <w:sz w:val="32"/>
          <w:szCs w:val="32"/>
        </w:rPr>
      </w:pPr>
      <w:r>
        <w:rPr>
          <w:rFonts w:hint="eastAsia" w:eastAsia="仿宋"/>
          <w:sz w:val="32"/>
          <w:szCs w:val="32"/>
        </w:rPr>
        <w:t>2</w:t>
      </w:r>
      <w:r>
        <w:rPr>
          <w:rFonts w:eastAsia="仿宋"/>
          <w:sz w:val="32"/>
          <w:szCs w:val="32"/>
        </w:rPr>
        <w:t>022年5月25日</w:t>
      </w:r>
    </w:p>
    <w:p>
      <w:pPr>
        <w:widowControl/>
        <w:spacing w:after="240" w:line="432" w:lineRule="atLeast"/>
        <w:jc w:val="left"/>
        <w:rPr>
          <w:kern w:val="0"/>
          <w:sz w:val="24"/>
        </w:rPr>
      </w:pPr>
    </w:p>
    <w:p>
      <w:pPr>
        <w:widowControl/>
        <w:spacing w:after="240" w:line="432" w:lineRule="atLeast"/>
        <w:jc w:val="left"/>
        <w:rPr>
          <w:kern w:val="0"/>
          <w:sz w:val="24"/>
        </w:rPr>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18370717"/>
      <w:docPartObj>
        <w:docPartGallery w:val="autotext"/>
      </w:docPartObj>
    </w:sdtPr>
    <w:sdtContent>
      <w:p>
        <w:pPr>
          <w:pStyle w:val="6"/>
          <w:jc w:val="center"/>
        </w:pPr>
        <w:r>
          <w:fldChar w:fldCharType="begin"/>
        </w:r>
        <w:r>
          <w:instrText xml:space="preserve">PAGE   \* MERGEFORMAT</w:instrText>
        </w:r>
        <w:r>
          <w:fldChar w:fldCharType="separate"/>
        </w:r>
        <w:r>
          <w:rPr>
            <w:lang w:val="zh-CN"/>
          </w:rPr>
          <w:t>2</w:t>
        </w:r>
        <w:r>
          <w:fldChar w:fldCharType="end"/>
        </w:r>
      </w:p>
    </w:sdtContent>
  </w:sdt>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9E0815"/>
    <w:multiLevelType w:val="singleLevel"/>
    <w:tmpl w:val="BA9E0815"/>
    <w:lvl w:ilvl="0" w:tentative="0">
      <w:start w:val="4"/>
      <w:numFmt w:val="chineseCounting"/>
      <w:suff w:val="nothing"/>
      <w:lvlText w:val="（%1）"/>
      <w:lvlJc w:val="left"/>
      <w:rPr>
        <w:rFonts w:hint="eastAsia"/>
      </w:rPr>
    </w:lvl>
  </w:abstractNum>
  <w:abstractNum w:abstractNumId="1">
    <w:nsid w:val="0A1E5561"/>
    <w:multiLevelType w:val="multilevel"/>
    <w:tmpl w:val="0A1E5561"/>
    <w:lvl w:ilvl="0" w:tentative="0">
      <w:start w:val="1"/>
      <w:numFmt w:val="decimalEnclosedCircle"/>
      <w:lvlText w:val="%1"/>
      <w:lvlJc w:val="left"/>
      <w:pPr>
        <w:ind w:left="1000" w:hanging="36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1AC64B43"/>
    <w:multiLevelType w:val="multilevel"/>
    <w:tmpl w:val="1AC64B43"/>
    <w:lvl w:ilvl="0" w:tentative="0">
      <w:start w:val="1"/>
      <w:numFmt w:val="decimalEnclosedCircle"/>
      <w:lvlText w:val="%1"/>
      <w:lvlJc w:val="left"/>
      <w:pPr>
        <w:ind w:left="1000" w:hanging="36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1F05411E"/>
    <w:multiLevelType w:val="multilevel"/>
    <w:tmpl w:val="1F05411E"/>
    <w:lvl w:ilvl="0" w:tentative="0">
      <w:start w:val="1"/>
      <w:numFmt w:val="decimalEnclosedCircle"/>
      <w:lvlText w:val="%1"/>
      <w:lvlJc w:val="left"/>
      <w:pPr>
        <w:ind w:left="1000" w:hanging="36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24917C85"/>
    <w:multiLevelType w:val="multilevel"/>
    <w:tmpl w:val="24917C85"/>
    <w:lvl w:ilvl="0" w:tentative="0">
      <w:start w:val="1"/>
      <w:numFmt w:val="decimalEnclosedCircle"/>
      <w:lvlText w:val="%1"/>
      <w:lvlJc w:val="left"/>
      <w:pPr>
        <w:ind w:left="1000" w:hanging="360"/>
      </w:pPr>
      <w:rPr>
        <w:rFonts w:hint="default" w:ascii="宋体" w:hAnsi="宋体" w:eastAsia="宋体" w:cs="宋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5">
    <w:nsid w:val="43694B2A"/>
    <w:multiLevelType w:val="multilevel"/>
    <w:tmpl w:val="43694B2A"/>
    <w:lvl w:ilvl="0" w:tentative="0">
      <w:start w:val="1"/>
      <w:numFmt w:val="decimalEnclosedCircle"/>
      <w:lvlText w:val="%1"/>
      <w:lvlJc w:val="left"/>
      <w:pPr>
        <w:ind w:left="1000" w:hanging="36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4"/>
  </w:num>
  <w:num w:numId="2">
    <w:abstractNumId w:val="5"/>
  </w:num>
  <w:num w:numId="3">
    <w:abstractNumId w:val="1"/>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4YmI0OTE1YTE2MGJlNjY4YmQ1MTgwYzIxYTM1N2YifQ=="/>
    <w:docVar w:name="KSO_WPS_MARK_KEY" w:val="85ae1e15-15de-4543-be13-c07687430bc8"/>
  </w:docVars>
  <w:rsids>
    <w:rsidRoot w:val="60D7382F"/>
    <w:rsid w:val="00004070"/>
    <w:rsid w:val="0001388C"/>
    <w:rsid w:val="00027E62"/>
    <w:rsid w:val="00032CA3"/>
    <w:rsid w:val="00047EBA"/>
    <w:rsid w:val="000530C4"/>
    <w:rsid w:val="000A4640"/>
    <w:rsid w:val="000B1512"/>
    <w:rsid w:val="000B46BF"/>
    <w:rsid w:val="000C4B5B"/>
    <w:rsid w:val="000F4D24"/>
    <w:rsid w:val="001168F8"/>
    <w:rsid w:val="00126EBB"/>
    <w:rsid w:val="00137148"/>
    <w:rsid w:val="001476D2"/>
    <w:rsid w:val="00152D60"/>
    <w:rsid w:val="00164AED"/>
    <w:rsid w:val="00171CBA"/>
    <w:rsid w:val="001767E7"/>
    <w:rsid w:val="001905AB"/>
    <w:rsid w:val="00193931"/>
    <w:rsid w:val="001C1345"/>
    <w:rsid w:val="001D1EF7"/>
    <w:rsid w:val="001D65C0"/>
    <w:rsid w:val="00200F7A"/>
    <w:rsid w:val="0020372F"/>
    <w:rsid w:val="002316D2"/>
    <w:rsid w:val="002340DE"/>
    <w:rsid w:val="00250CD2"/>
    <w:rsid w:val="00255695"/>
    <w:rsid w:val="002722C3"/>
    <w:rsid w:val="00280AA5"/>
    <w:rsid w:val="002B44B8"/>
    <w:rsid w:val="002B5BA2"/>
    <w:rsid w:val="003008B3"/>
    <w:rsid w:val="00300FBB"/>
    <w:rsid w:val="00357072"/>
    <w:rsid w:val="003775D2"/>
    <w:rsid w:val="00393C74"/>
    <w:rsid w:val="003C0DBD"/>
    <w:rsid w:val="003D20A2"/>
    <w:rsid w:val="003E7694"/>
    <w:rsid w:val="003F0DBB"/>
    <w:rsid w:val="00401439"/>
    <w:rsid w:val="004026D9"/>
    <w:rsid w:val="004037E5"/>
    <w:rsid w:val="00413CB8"/>
    <w:rsid w:val="00414D79"/>
    <w:rsid w:val="004202AF"/>
    <w:rsid w:val="00430C9F"/>
    <w:rsid w:val="00431B5E"/>
    <w:rsid w:val="004430F7"/>
    <w:rsid w:val="00456F69"/>
    <w:rsid w:val="004710F0"/>
    <w:rsid w:val="00480BA9"/>
    <w:rsid w:val="00491C70"/>
    <w:rsid w:val="004A3917"/>
    <w:rsid w:val="004D740A"/>
    <w:rsid w:val="004E536F"/>
    <w:rsid w:val="004E65EF"/>
    <w:rsid w:val="00502532"/>
    <w:rsid w:val="005134A8"/>
    <w:rsid w:val="00530EC5"/>
    <w:rsid w:val="005448EB"/>
    <w:rsid w:val="00547DE6"/>
    <w:rsid w:val="00562AF7"/>
    <w:rsid w:val="00562FBD"/>
    <w:rsid w:val="0058684F"/>
    <w:rsid w:val="00591727"/>
    <w:rsid w:val="005A76B9"/>
    <w:rsid w:val="005D6B95"/>
    <w:rsid w:val="005E2630"/>
    <w:rsid w:val="005E6362"/>
    <w:rsid w:val="005E6D97"/>
    <w:rsid w:val="00600121"/>
    <w:rsid w:val="0065087C"/>
    <w:rsid w:val="006610B6"/>
    <w:rsid w:val="00670D1B"/>
    <w:rsid w:val="006A691F"/>
    <w:rsid w:val="006B4325"/>
    <w:rsid w:val="006E6B4C"/>
    <w:rsid w:val="006F0DB9"/>
    <w:rsid w:val="006F61D3"/>
    <w:rsid w:val="0070250A"/>
    <w:rsid w:val="00733B73"/>
    <w:rsid w:val="007530B0"/>
    <w:rsid w:val="00784D10"/>
    <w:rsid w:val="00794201"/>
    <w:rsid w:val="00794FD1"/>
    <w:rsid w:val="00796957"/>
    <w:rsid w:val="007B16D0"/>
    <w:rsid w:val="007C262B"/>
    <w:rsid w:val="007E41C2"/>
    <w:rsid w:val="007E44D1"/>
    <w:rsid w:val="007F13A0"/>
    <w:rsid w:val="00817E8E"/>
    <w:rsid w:val="0082432C"/>
    <w:rsid w:val="00830457"/>
    <w:rsid w:val="00840A22"/>
    <w:rsid w:val="0084193C"/>
    <w:rsid w:val="00846D3F"/>
    <w:rsid w:val="008471DA"/>
    <w:rsid w:val="0087498F"/>
    <w:rsid w:val="008770E8"/>
    <w:rsid w:val="00884072"/>
    <w:rsid w:val="00885761"/>
    <w:rsid w:val="008877D0"/>
    <w:rsid w:val="008A31AD"/>
    <w:rsid w:val="008A4D16"/>
    <w:rsid w:val="008A7BAD"/>
    <w:rsid w:val="008B7A3E"/>
    <w:rsid w:val="008D7E7C"/>
    <w:rsid w:val="008E54C1"/>
    <w:rsid w:val="008F6280"/>
    <w:rsid w:val="00934361"/>
    <w:rsid w:val="00936501"/>
    <w:rsid w:val="00940909"/>
    <w:rsid w:val="00961A8A"/>
    <w:rsid w:val="00965138"/>
    <w:rsid w:val="009837A1"/>
    <w:rsid w:val="00983A1C"/>
    <w:rsid w:val="0098775D"/>
    <w:rsid w:val="009B0615"/>
    <w:rsid w:val="009B53EC"/>
    <w:rsid w:val="009C1E3C"/>
    <w:rsid w:val="009D6F22"/>
    <w:rsid w:val="009E7406"/>
    <w:rsid w:val="009F432B"/>
    <w:rsid w:val="009F47F9"/>
    <w:rsid w:val="00A0074D"/>
    <w:rsid w:val="00A039EB"/>
    <w:rsid w:val="00A24703"/>
    <w:rsid w:val="00A91AF8"/>
    <w:rsid w:val="00AB31BF"/>
    <w:rsid w:val="00AC6071"/>
    <w:rsid w:val="00AD7E32"/>
    <w:rsid w:val="00AE1CBE"/>
    <w:rsid w:val="00AF474A"/>
    <w:rsid w:val="00B042C1"/>
    <w:rsid w:val="00B15B96"/>
    <w:rsid w:val="00B37E8F"/>
    <w:rsid w:val="00B50DAD"/>
    <w:rsid w:val="00B545AE"/>
    <w:rsid w:val="00BA068D"/>
    <w:rsid w:val="00BA4C54"/>
    <w:rsid w:val="00BA7DB7"/>
    <w:rsid w:val="00BD04F2"/>
    <w:rsid w:val="00BE1F73"/>
    <w:rsid w:val="00BE492C"/>
    <w:rsid w:val="00BE58B0"/>
    <w:rsid w:val="00BF1B36"/>
    <w:rsid w:val="00BF35A8"/>
    <w:rsid w:val="00C064F3"/>
    <w:rsid w:val="00C128FF"/>
    <w:rsid w:val="00C15AFF"/>
    <w:rsid w:val="00C167AC"/>
    <w:rsid w:val="00C31C56"/>
    <w:rsid w:val="00C43108"/>
    <w:rsid w:val="00C50FEF"/>
    <w:rsid w:val="00C55824"/>
    <w:rsid w:val="00C84C23"/>
    <w:rsid w:val="00C926C9"/>
    <w:rsid w:val="00CA1C20"/>
    <w:rsid w:val="00CB1502"/>
    <w:rsid w:val="00CB6E39"/>
    <w:rsid w:val="00CD2BC3"/>
    <w:rsid w:val="00CE10AF"/>
    <w:rsid w:val="00CE19E3"/>
    <w:rsid w:val="00D01BE3"/>
    <w:rsid w:val="00D2079E"/>
    <w:rsid w:val="00D31FD7"/>
    <w:rsid w:val="00D50123"/>
    <w:rsid w:val="00D51D57"/>
    <w:rsid w:val="00D75667"/>
    <w:rsid w:val="00D75FBF"/>
    <w:rsid w:val="00D93D0D"/>
    <w:rsid w:val="00DD533D"/>
    <w:rsid w:val="00DF404A"/>
    <w:rsid w:val="00DF43B4"/>
    <w:rsid w:val="00E11241"/>
    <w:rsid w:val="00E33439"/>
    <w:rsid w:val="00E40CB4"/>
    <w:rsid w:val="00E434D7"/>
    <w:rsid w:val="00E67F00"/>
    <w:rsid w:val="00E80A9C"/>
    <w:rsid w:val="00EC2C3C"/>
    <w:rsid w:val="00EC5153"/>
    <w:rsid w:val="00ED142B"/>
    <w:rsid w:val="00EE7F87"/>
    <w:rsid w:val="00F05B5F"/>
    <w:rsid w:val="00F23BAD"/>
    <w:rsid w:val="00F24C3F"/>
    <w:rsid w:val="00F25B25"/>
    <w:rsid w:val="00F37C22"/>
    <w:rsid w:val="00F41923"/>
    <w:rsid w:val="00F5045A"/>
    <w:rsid w:val="00F537CB"/>
    <w:rsid w:val="00F640FC"/>
    <w:rsid w:val="00F835E0"/>
    <w:rsid w:val="00F93A7A"/>
    <w:rsid w:val="00FB4C4E"/>
    <w:rsid w:val="00FC65B2"/>
    <w:rsid w:val="00FD7C4F"/>
    <w:rsid w:val="00FE7F42"/>
    <w:rsid w:val="00FF3910"/>
    <w:rsid w:val="022D2B9E"/>
    <w:rsid w:val="02A709B0"/>
    <w:rsid w:val="02CC7A93"/>
    <w:rsid w:val="03184F4D"/>
    <w:rsid w:val="03B654C8"/>
    <w:rsid w:val="05783BA5"/>
    <w:rsid w:val="05F40F41"/>
    <w:rsid w:val="06516FF2"/>
    <w:rsid w:val="06EF4D95"/>
    <w:rsid w:val="082F3B79"/>
    <w:rsid w:val="083555F2"/>
    <w:rsid w:val="08CB1C97"/>
    <w:rsid w:val="0C001E6A"/>
    <w:rsid w:val="0C402565"/>
    <w:rsid w:val="10C00516"/>
    <w:rsid w:val="11DA2BB0"/>
    <w:rsid w:val="15271590"/>
    <w:rsid w:val="15DE3880"/>
    <w:rsid w:val="162954A8"/>
    <w:rsid w:val="16915CF2"/>
    <w:rsid w:val="178500BF"/>
    <w:rsid w:val="18026AD3"/>
    <w:rsid w:val="18361CFF"/>
    <w:rsid w:val="185C4F07"/>
    <w:rsid w:val="185F0057"/>
    <w:rsid w:val="18D93126"/>
    <w:rsid w:val="19D00B4C"/>
    <w:rsid w:val="19F244B5"/>
    <w:rsid w:val="1A7478D7"/>
    <w:rsid w:val="1A766584"/>
    <w:rsid w:val="1AD61764"/>
    <w:rsid w:val="1B06587B"/>
    <w:rsid w:val="1BC80EEF"/>
    <w:rsid w:val="1D180E0F"/>
    <w:rsid w:val="1D946F47"/>
    <w:rsid w:val="2018322A"/>
    <w:rsid w:val="20EF7852"/>
    <w:rsid w:val="21216853"/>
    <w:rsid w:val="21416787"/>
    <w:rsid w:val="219E2510"/>
    <w:rsid w:val="21D7632C"/>
    <w:rsid w:val="224103EC"/>
    <w:rsid w:val="225D4A16"/>
    <w:rsid w:val="22C6668D"/>
    <w:rsid w:val="22CF65A5"/>
    <w:rsid w:val="22DE5604"/>
    <w:rsid w:val="23287064"/>
    <w:rsid w:val="23CF1219"/>
    <w:rsid w:val="23D802E2"/>
    <w:rsid w:val="23DC43AC"/>
    <w:rsid w:val="24385CBB"/>
    <w:rsid w:val="25186FD6"/>
    <w:rsid w:val="25331893"/>
    <w:rsid w:val="26466B5E"/>
    <w:rsid w:val="27700425"/>
    <w:rsid w:val="28D25368"/>
    <w:rsid w:val="290919C4"/>
    <w:rsid w:val="294211E8"/>
    <w:rsid w:val="29D0196A"/>
    <w:rsid w:val="29D772FF"/>
    <w:rsid w:val="29E02901"/>
    <w:rsid w:val="2A404D6E"/>
    <w:rsid w:val="2A981ECC"/>
    <w:rsid w:val="2C6D730F"/>
    <w:rsid w:val="2D585EE2"/>
    <w:rsid w:val="2D5D03CA"/>
    <w:rsid w:val="2E0F3027"/>
    <w:rsid w:val="2E9D5D96"/>
    <w:rsid w:val="2F5742DD"/>
    <w:rsid w:val="30753451"/>
    <w:rsid w:val="310266B9"/>
    <w:rsid w:val="313D29E6"/>
    <w:rsid w:val="31B96B0A"/>
    <w:rsid w:val="330A3B42"/>
    <w:rsid w:val="330D21EF"/>
    <w:rsid w:val="33D00EDE"/>
    <w:rsid w:val="34FF6A57"/>
    <w:rsid w:val="35B315DD"/>
    <w:rsid w:val="35BC569D"/>
    <w:rsid w:val="36E23692"/>
    <w:rsid w:val="37241DF8"/>
    <w:rsid w:val="37664296"/>
    <w:rsid w:val="377842FB"/>
    <w:rsid w:val="37F93666"/>
    <w:rsid w:val="38CB0748"/>
    <w:rsid w:val="38DF09E8"/>
    <w:rsid w:val="39CC366F"/>
    <w:rsid w:val="39D4304F"/>
    <w:rsid w:val="39EC58C0"/>
    <w:rsid w:val="3B2C06A2"/>
    <w:rsid w:val="3B5F11B0"/>
    <w:rsid w:val="3BAF4F36"/>
    <w:rsid w:val="3CF41D50"/>
    <w:rsid w:val="3E0A523D"/>
    <w:rsid w:val="3ECD3D2E"/>
    <w:rsid w:val="3F957CBB"/>
    <w:rsid w:val="422627F8"/>
    <w:rsid w:val="43341793"/>
    <w:rsid w:val="44D7475D"/>
    <w:rsid w:val="456E2424"/>
    <w:rsid w:val="46731446"/>
    <w:rsid w:val="46FB66C3"/>
    <w:rsid w:val="481A62F5"/>
    <w:rsid w:val="486B24D1"/>
    <w:rsid w:val="48AF7A57"/>
    <w:rsid w:val="49315F14"/>
    <w:rsid w:val="497E1A8B"/>
    <w:rsid w:val="49DF7360"/>
    <w:rsid w:val="4ABB447D"/>
    <w:rsid w:val="4C6206B0"/>
    <w:rsid w:val="4D3C15E2"/>
    <w:rsid w:val="4EDF3700"/>
    <w:rsid w:val="50744E30"/>
    <w:rsid w:val="50A56CFA"/>
    <w:rsid w:val="50D62980"/>
    <w:rsid w:val="51B06F6D"/>
    <w:rsid w:val="52BE7684"/>
    <w:rsid w:val="53C0183E"/>
    <w:rsid w:val="54203744"/>
    <w:rsid w:val="54211A9F"/>
    <w:rsid w:val="54E34E49"/>
    <w:rsid w:val="55F103D3"/>
    <w:rsid w:val="5630690A"/>
    <w:rsid w:val="574A3B5A"/>
    <w:rsid w:val="57AF0C5E"/>
    <w:rsid w:val="57DF6A44"/>
    <w:rsid w:val="58162447"/>
    <w:rsid w:val="58241887"/>
    <w:rsid w:val="585A0F6C"/>
    <w:rsid w:val="58AD2D56"/>
    <w:rsid w:val="5A64366C"/>
    <w:rsid w:val="5A781C22"/>
    <w:rsid w:val="5BB65C6B"/>
    <w:rsid w:val="5C553AF5"/>
    <w:rsid w:val="5C7B7AC4"/>
    <w:rsid w:val="5DAC61D9"/>
    <w:rsid w:val="5E6E03D6"/>
    <w:rsid w:val="603E7A01"/>
    <w:rsid w:val="60D7382F"/>
    <w:rsid w:val="60E422D3"/>
    <w:rsid w:val="648A6329"/>
    <w:rsid w:val="662508D1"/>
    <w:rsid w:val="66412746"/>
    <w:rsid w:val="665B1DE3"/>
    <w:rsid w:val="66C87FCD"/>
    <w:rsid w:val="67026D8A"/>
    <w:rsid w:val="671A0BF2"/>
    <w:rsid w:val="671F3030"/>
    <w:rsid w:val="688A6D40"/>
    <w:rsid w:val="69651DE9"/>
    <w:rsid w:val="6A666083"/>
    <w:rsid w:val="6A68040A"/>
    <w:rsid w:val="6C3C4DF3"/>
    <w:rsid w:val="6CA1395A"/>
    <w:rsid w:val="6D142681"/>
    <w:rsid w:val="6D37058F"/>
    <w:rsid w:val="6DB07BF0"/>
    <w:rsid w:val="6DEF2A95"/>
    <w:rsid w:val="6EA30BB1"/>
    <w:rsid w:val="713B524E"/>
    <w:rsid w:val="73F56385"/>
    <w:rsid w:val="75852D6D"/>
    <w:rsid w:val="75B244C2"/>
    <w:rsid w:val="762314B7"/>
    <w:rsid w:val="76A27B39"/>
    <w:rsid w:val="77515CA7"/>
    <w:rsid w:val="7A226062"/>
    <w:rsid w:val="7A8F76F3"/>
    <w:rsid w:val="7AD702A1"/>
    <w:rsid w:val="7B2A66D9"/>
    <w:rsid w:val="7B8568AA"/>
    <w:rsid w:val="7C1374F9"/>
    <w:rsid w:val="7C2578E9"/>
    <w:rsid w:val="7C7D728A"/>
    <w:rsid w:val="7C8B50A5"/>
    <w:rsid w:val="7DFD18A3"/>
    <w:rsid w:val="7E3A7D16"/>
    <w:rsid w:val="7EDE496A"/>
    <w:rsid w:val="7F337F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after="260" w:line="416" w:lineRule="auto"/>
      <w:outlineLvl w:val="2"/>
    </w:pPr>
    <w:rPr>
      <w:b/>
      <w:bCs/>
      <w:sz w:val="32"/>
      <w:szCs w:val="32"/>
    </w:rPr>
  </w:style>
  <w:style w:type="paragraph" w:styleId="5">
    <w:name w:val="heading 5"/>
    <w:basedOn w:val="1"/>
    <w:next w:val="1"/>
    <w:qFormat/>
    <w:uiPriority w:val="0"/>
    <w:pPr>
      <w:keepNext/>
      <w:outlineLvl w:val="4"/>
    </w:pPr>
    <w:rPr>
      <w:rFonts w:ascii="宋体" w:hAnsi="宋体" w:cs="宋体"/>
      <w:b/>
      <w:bCs/>
      <w:sz w:val="24"/>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6"/>
    <w:unhideWhenUsed/>
    <w:qFormat/>
    <w:uiPriority w:val="99"/>
    <w:pPr>
      <w:spacing w:after="120"/>
    </w:pPr>
  </w:style>
  <w:style w:type="paragraph" w:styleId="6">
    <w:name w:val="footer"/>
    <w:basedOn w:val="1"/>
    <w:link w:val="18"/>
    <w:qFormat/>
    <w:uiPriority w:val="99"/>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Title"/>
    <w:basedOn w:val="1"/>
    <w:next w:val="1"/>
    <w:qFormat/>
    <w:uiPriority w:val="10"/>
    <w:pPr>
      <w:spacing w:line="360" w:lineRule="auto"/>
      <w:ind w:firstLine="200" w:firstLineChars="200"/>
      <w:jc w:val="left"/>
      <w:outlineLvl w:val="3"/>
    </w:pPr>
    <w:rPr>
      <w:rFonts w:ascii="Cambria" w:hAnsi="Cambria" w:eastAsia="仿宋_GB2312"/>
      <w:bCs/>
      <w:sz w:val="24"/>
      <w:szCs w:val="32"/>
    </w:rPr>
  </w:style>
  <w:style w:type="paragraph" w:styleId="9">
    <w:name w:val="Body Text First Indent"/>
    <w:basedOn w:val="2"/>
    <w:link w:val="17"/>
    <w:qFormat/>
    <w:uiPriority w:val="0"/>
    <w:pPr>
      <w:ind w:firstLine="420" w:firstLineChars="100"/>
    </w:pPr>
  </w:style>
  <w:style w:type="paragraph" w:customStyle="1" w:styleId="12">
    <w:name w:val="Header or footer|2"/>
    <w:basedOn w:val="1"/>
    <w:qFormat/>
    <w:uiPriority w:val="0"/>
    <w:rPr>
      <w:sz w:val="20"/>
      <w:szCs w:val="20"/>
      <w:lang w:val="zh-TW" w:eastAsia="zh-TW" w:bidi="zh-TW"/>
    </w:rPr>
  </w:style>
  <w:style w:type="character" w:customStyle="1" w:styleId="13">
    <w:name w:val="font31"/>
    <w:basedOn w:val="11"/>
    <w:qFormat/>
    <w:uiPriority w:val="0"/>
    <w:rPr>
      <w:rFonts w:hint="eastAsia" w:ascii="仿宋" w:hAnsi="仿宋" w:eastAsia="仿宋" w:cs="仿宋"/>
      <w:color w:val="000000"/>
      <w:sz w:val="20"/>
      <w:szCs w:val="20"/>
      <w:u w:val="none"/>
    </w:rPr>
  </w:style>
  <w:style w:type="character" w:customStyle="1" w:styleId="14">
    <w:name w:val="font41"/>
    <w:basedOn w:val="11"/>
    <w:qFormat/>
    <w:uiPriority w:val="0"/>
    <w:rPr>
      <w:rFonts w:hint="eastAsia" w:ascii="仿宋" w:hAnsi="仿宋" w:eastAsia="仿宋" w:cs="仿宋"/>
      <w:color w:val="000000"/>
      <w:sz w:val="20"/>
      <w:szCs w:val="20"/>
      <w:u w:val="none"/>
    </w:rPr>
  </w:style>
  <w:style w:type="paragraph" w:styleId="15">
    <w:name w:val="List Paragraph"/>
    <w:basedOn w:val="1"/>
    <w:uiPriority w:val="99"/>
    <w:pPr>
      <w:ind w:firstLine="420" w:firstLineChars="200"/>
    </w:pPr>
  </w:style>
  <w:style w:type="character" w:customStyle="1" w:styleId="16">
    <w:name w:val="正文文本 字符"/>
    <w:basedOn w:val="11"/>
    <w:link w:val="2"/>
    <w:qFormat/>
    <w:uiPriority w:val="99"/>
    <w:rPr>
      <w:kern w:val="2"/>
      <w:sz w:val="21"/>
      <w:szCs w:val="24"/>
    </w:rPr>
  </w:style>
  <w:style w:type="character" w:customStyle="1" w:styleId="17">
    <w:name w:val="正文文本首行缩进 字符"/>
    <w:basedOn w:val="16"/>
    <w:link w:val="9"/>
    <w:qFormat/>
    <w:uiPriority w:val="0"/>
    <w:rPr>
      <w:kern w:val="2"/>
      <w:sz w:val="21"/>
      <w:szCs w:val="24"/>
    </w:rPr>
  </w:style>
  <w:style w:type="character" w:customStyle="1" w:styleId="18">
    <w:name w:val="页脚 字符"/>
    <w:basedOn w:val="11"/>
    <w:link w:val="6"/>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9F255-3390-4610-A7E0-0872681D03D3}">
  <ds:schemaRefs/>
</ds:datastoreItem>
</file>

<file path=docProps/app.xml><?xml version="1.0" encoding="utf-8"?>
<Properties xmlns="http://schemas.openxmlformats.org/officeDocument/2006/extended-properties" xmlns:vt="http://schemas.openxmlformats.org/officeDocument/2006/docPropsVTypes">
  <Template>Normal</Template>
  <Pages>27</Pages>
  <Words>13697</Words>
  <Characters>14696</Characters>
  <Lines>109</Lines>
  <Paragraphs>30</Paragraphs>
  <TotalTime>632</TotalTime>
  <ScaleCrop>false</ScaleCrop>
  <LinksUpToDate>false</LinksUpToDate>
  <CharactersWithSpaces>14795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2020-12-04T02:29:00Z</dcterms:created>
  <dc:creator>Julia</dc:creator>
  <cp:lastModifiedBy>徐茫茫</cp:lastModifiedBy>
  <cp:lastPrinted>2021-04-29T11:49:00Z</cp:lastPrinted>
  <dcterms:modified xsi:type="dcterms:W3CDTF">2025-02-14T02:55:35Z</dcterms:modified>
  <cp:revision>157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ABF7CB33DD6E4705B9C3B65432E4E89A</vt:lpwstr>
  </property>
</Properties>
</file>