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 w:themeFill="background1"/>
        <w:spacing w:line="560" w:lineRule="exact"/>
        <w:jc w:val="center"/>
        <w:rPr>
          <w:rFonts w:eastAsia="宋体"/>
          <w:b/>
          <w:sz w:val="36"/>
          <w:szCs w:val="36"/>
        </w:rPr>
      </w:pPr>
      <w:r>
        <w:rPr>
          <w:rFonts w:hint="eastAsia" w:eastAsia="宋体"/>
          <w:b/>
          <w:sz w:val="36"/>
          <w:szCs w:val="36"/>
        </w:rPr>
        <w:t>农村公路安防工程、危桥改造工程项目</w:t>
      </w:r>
    </w:p>
    <w:p>
      <w:pPr>
        <w:shd w:val="clear" w:color="auto" w:fill="FFFFFF" w:themeFill="background1"/>
        <w:spacing w:line="560" w:lineRule="exact"/>
        <w:jc w:val="center"/>
        <w:rPr>
          <w:rFonts w:eastAsia="宋体"/>
          <w:b/>
          <w:sz w:val="36"/>
          <w:szCs w:val="36"/>
        </w:rPr>
      </w:pPr>
      <w:r>
        <w:rPr>
          <w:rFonts w:hint="eastAsia" w:eastAsia="宋体"/>
          <w:b/>
          <w:sz w:val="36"/>
          <w:szCs w:val="36"/>
        </w:rPr>
        <w:t>自评结果</w:t>
      </w:r>
    </w:p>
    <w:p>
      <w:pPr>
        <w:pStyle w:val="6"/>
        <w:shd w:val="clear" w:color="auto" w:fill="FFFFFF" w:themeFill="background1"/>
        <w:spacing w:line="560" w:lineRule="exact"/>
        <w:ind w:firstLine="0" w:firstLineChars="0"/>
        <w:jc w:val="center"/>
        <w:outlineLvl w:val="9"/>
        <w:rPr>
          <w:rFonts w:ascii="楷体" w:hAnsi="楷体" w:eastAsia="楷体" w:cs="楷体"/>
          <w:b/>
          <w:sz w:val="32"/>
        </w:rPr>
      </w:pPr>
      <w:r>
        <w:rPr>
          <w:rFonts w:hint="eastAsia" w:ascii="楷体" w:hAnsi="楷体" w:eastAsia="楷体" w:cs="楷体"/>
          <w:b/>
          <w:sz w:val="32"/>
        </w:rPr>
        <w:t>（缩略版）</w:t>
      </w:r>
    </w:p>
    <w:p>
      <w:pPr>
        <w:pStyle w:val="6"/>
        <w:shd w:val="clear" w:color="auto" w:fill="FFFFFF" w:themeFill="background1"/>
        <w:spacing w:line="560" w:lineRule="exact"/>
        <w:ind w:firstLine="643"/>
        <w:jc w:val="both"/>
        <w:outlineLvl w:val="0"/>
        <w:rPr>
          <w:rFonts w:ascii="Times New Roman" w:hAnsi="Times New Roman" w:eastAsia="黑体"/>
          <w:b/>
          <w:sz w:val="32"/>
        </w:rPr>
      </w:pPr>
      <w:r>
        <w:rPr>
          <w:rFonts w:hint="eastAsia" w:ascii="Times New Roman" w:hAnsi="Times New Roman" w:eastAsia="黑体"/>
          <w:b/>
          <w:sz w:val="32"/>
        </w:rPr>
        <w:t>一、自评结论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（一）自评得分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农村公路安防工程、危桥改造工程项目</w:t>
      </w:r>
      <w:r>
        <w:rPr>
          <w:rFonts w:eastAsia="仿宋"/>
          <w:sz w:val="32"/>
          <w:szCs w:val="32"/>
        </w:rPr>
        <w:t>绩效评价综合得分为</w:t>
      </w:r>
      <w:r>
        <w:rPr>
          <w:rFonts w:hint="eastAsia" w:eastAsia="仿宋"/>
          <w:sz w:val="32"/>
          <w:szCs w:val="32"/>
        </w:rPr>
        <w:t>79.1</w:t>
      </w:r>
      <w:r>
        <w:rPr>
          <w:rFonts w:hint="eastAsia" w:eastAsia="仿宋"/>
          <w:sz w:val="32"/>
          <w:szCs w:val="32"/>
          <w:lang w:val="en-US" w:eastAsia="zh-CN"/>
        </w:rPr>
        <w:t>0</w:t>
      </w:r>
      <w:r>
        <w:rPr>
          <w:rFonts w:hint="eastAsia" w:eastAsia="仿宋"/>
          <w:sz w:val="32"/>
          <w:szCs w:val="32"/>
        </w:rPr>
        <w:t>分</w:t>
      </w:r>
      <w:r>
        <w:rPr>
          <w:rFonts w:eastAsia="仿宋"/>
          <w:sz w:val="32"/>
          <w:szCs w:val="32"/>
        </w:rPr>
        <w:t>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（二）绩效目标完成情况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>执行率情况。</w:t>
      </w:r>
      <w:r>
        <w:rPr>
          <w:rFonts w:hint="eastAsia" w:eastAsia="仿宋"/>
          <w:sz w:val="32"/>
          <w:szCs w:val="32"/>
        </w:rPr>
        <w:t>本项目</w:t>
      </w:r>
      <w:r>
        <w:rPr>
          <w:rFonts w:eastAsia="仿宋"/>
          <w:sz w:val="32"/>
          <w:szCs w:val="32"/>
        </w:rPr>
        <w:t>预算总额</w:t>
      </w:r>
      <w:r>
        <w:rPr>
          <w:rFonts w:hint="eastAsia" w:eastAsia="仿宋"/>
          <w:sz w:val="32"/>
          <w:szCs w:val="32"/>
        </w:rPr>
        <w:t>617.12</w:t>
      </w:r>
      <w:r>
        <w:rPr>
          <w:rFonts w:eastAsia="仿宋"/>
          <w:sz w:val="32"/>
          <w:szCs w:val="32"/>
        </w:rPr>
        <w:t>万元，执行数</w:t>
      </w:r>
      <w:r>
        <w:rPr>
          <w:rFonts w:hint="eastAsia" w:eastAsia="仿宋"/>
          <w:sz w:val="32"/>
          <w:szCs w:val="32"/>
        </w:rPr>
        <w:t>251.30</w:t>
      </w:r>
      <w:r>
        <w:rPr>
          <w:rFonts w:eastAsia="仿宋"/>
          <w:sz w:val="32"/>
          <w:szCs w:val="32"/>
        </w:rPr>
        <w:t>万元，预算执行率</w:t>
      </w:r>
      <w:r>
        <w:rPr>
          <w:rFonts w:hint="eastAsia" w:eastAsia="仿宋"/>
          <w:sz w:val="32"/>
          <w:szCs w:val="32"/>
        </w:rPr>
        <w:t>40.72%</w:t>
      </w:r>
      <w:r>
        <w:rPr>
          <w:rFonts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>完成的绩效目标。项目共设置</w:t>
      </w:r>
      <w:r>
        <w:rPr>
          <w:rFonts w:hint="eastAsia" w:eastAsia="仿宋"/>
          <w:sz w:val="32"/>
          <w:szCs w:val="32"/>
        </w:rPr>
        <w:t>13</w:t>
      </w:r>
      <w:r>
        <w:rPr>
          <w:rFonts w:eastAsia="仿宋"/>
          <w:sz w:val="32"/>
          <w:szCs w:val="32"/>
        </w:rPr>
        <w:t>个绩效指标，完成了</w:t>
      </w:r>
      <w:r>
        <w:rPr>
          <w:rFonts w:hint="eastAsia" w:eastAsia="仿宋"/>
          <w:sz w:val="32"/>
          <w:szCs w:val="32"/>
        </w:rPr>
        <w:t>11</w:t>
      </w:r>
      <w:r>
        <w:rPr>
          <w:rFonts w:eastAsia="仿宋"/>
          <w:sz w:val="32"/>
          <w:szCs w:val="32"/>
        </w:rPr>
        <w:t>个。资金使用规范，项目产出较好，并取得了较好的社会效益</w:t>
      </w:r>
      <w:r>
        <w:rPr>
          <w:rFonts w:hint="eastAsia"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>未完成的绩效目标。</w:t>
      </w:r>
      <w:r>
        <w:rPr>
          <w:rFonts w:hint="eastAsia" w:eastAsia="仿宋"/>
          <w:sz w:val="32"/>
          <w:szCs w:val="32"/>
        </w:rPr>
        <w:t>“危桥改造工程完成率”年度目标值为“≥95%”，实际完成值为“60%”；“消除危桥安全隐患，提升安全畅通保障度”年度目标值为“提升”，实际完成值为“部分提升”。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（三）存在的问题和原因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1. 上年度绩效评价结果应用情况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本项目上年度未进行绩效评价。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 xml:space="preserve">2. 本年度绩效存在的问题和原因                                                                                                                               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项目管理不到位。本项目资金涉及农村公路安防工程和农村公路危桥改造工程2个工程项目，其中农村公路安防工程项目完成较好，农村公路危桥改造工程性项目工期滞后，2021年只完成3座危桥的改造工程，另有2座危桥改造工程尚未完工，未能及时支付项目资金，预算执行率较低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（四）下一步拟改进措施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1. 下一步拟改进措施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进一步完善财务拨付、业务流程管理。提前开展招投标等前期项目流程，合理安排项目时间节点，保障项目完工后有充足时间完成资金拨付手续，避免资金拨付流程出现跨年情况。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2. 拟与预算安排相结合情况。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本项目预算申报准确，但没有进行良好的项目管理，农村公路危桥改造工程完工不及时，应加强项目管理，及时完成资金拨付</w:t>
      </w:r>
      <w:r>
        <w:rPr>
          <w:rFonts w:eastAsia="仿宋"/>
          <w:sz w:val="32"/>
          <w:szCs w:val="32"/>
        </w:rPr>
        <w:t>。</w:t>
      </w:r>
    </w:p>
    <w:p>
      <w:pPr>
        <w:pStyle w:val="2"/>
      </w:pPr>
    </w:p>
    <w:p>
      <w:pPr>
        <w:keepNext/>
        <w:keepLines/>
        <w:shd w:val="clear" w:color="auto" w:fill="FFFFFF" w:themeFill="background1"/>
        <w:spacing w:line="560" w:lineRule="exact"/>
        <w:ind w:firstLine="640" w:firstLineChars="200"/>
        <w:contextualSpacing/>
        <w:jc w:val="left"/>
        <w:rPr>
          <w:rFonts w:eastAsia="楷体"/>
          <w:sz w:val="32"/>
          <w:szCs w:val="32"/>
        </w:rPr>
      </w:pPr>
      <w:r>
        <w:rPr>
          <w:rFonts w:hint="eastAsia" w:eastAsia="楷体"/>
          <w:sz w:val="32"/>
          <w:szCs w:val="32"/>
        </w:rPr>
        <w:t>附件：农村公路安防工程、危桥改造工程项目项目自评表</w:t>
      </w:r>
    </w:p>
    <w:p>
      <w:pPr>
        <w:rPr>
          <w:rFonts w:eastAsia="楷体"/>
          <w:sz w:val="32"/>
          <w:szCs w:val="32"/>
        </w:rPr>
      </w:pPr>
      <w:r>
        <w:rPr>
          <w:rFonts w:hint="eastAsia" w:eastAsia="楷体"/>
          <w:sz w:val="32"/>
          <w:szCs w:val="32"/>
        </w:rPr>
        <w:br w:type="page"/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</w:pPr>
      <w:bookmarkStart w:id="0" w:name="_Toc28163"/>
      <w:r>
        <w:rPr>
          <w:rFonts w:hint="eastAsia" w:ascii="Times New Roman" w:hAnsi="Times New Roman" w:eastAsia="楷体" w:cs="Times New Roman"/>
        </w:rPr>
        <w:t xml:space="preserve">附件： </w:t>
      </w:r>
      <w:bookmarkEnd w:id="0"/>
    </w:p>
    <w:p>
      <w:pPr>
        <w:pStyle w:val="2"/>
        <w:jc w:val="center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农村公路安防工程、危桥改造工程项目自评表</w:t>
      </w:r>
    </w:p>
    <w:tbl>
      <w:tblPr>
        <w:tblStyle w:val="7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616"/>
        <w:gridCol w:w="983"/>
        <w:gridCol w:w="1797"/>
        <w:gridCol w:w="1820"/>
        <w:gridCol w:w="1212"/>
        <w:gridCol w:w="1190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4318" w:type="pct"/>
            <w:gridSpan w:val="6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农村公路安防工程、危桥改造工程项目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1534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武汉经济技术开发区（汉南区）住房和城乡建设局</w:t>
            </w:r>
          </w:p>
        </w:tc>
        <w:tc>
          <w:tcPr>
            <w:tcW w:w="1004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项目实施单位</w:t>
            </w:r>
          </w:p>
        </w:tc>
        <w:tc>
          <w:tcPr>
            <w:tcW w:w="1778" w:type="pct"/>
            <w:gridSpan w:val="3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武汉经济技术开发区（汉南区）住房和城乡建设局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项目类别</w:t>
            </w:r>
          </w:p>
        </w:tc>
        <w:tc>
          <w:tcPr>
            <w:tcW w:w="4318" w:type="pct"/>
            <w:gridSpan w:val="6"/>
            <w:shd w:val="clear" w:color="auto" w:fill="FFFFFF" w:themeFill="background1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1.部门预算项目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t>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             2.财政专项资金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t>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项目属性</w:t>
            </w:r>
          </w:p>
        </w:tc>
        <w:tc>
          <w:tcPr>
            <w:tcW w:w="4318" w:type="pct"/>
            <w:gridSpan w:val="6"/>
            <w:shd w:val="clear" w:color="auto" w:fill="FFFFFF" w:themeFill="background1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1.持续性项目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sym w:font="Wingdings" w:char="00A8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               2.新增性项目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项目类型</w:t>
            </w:r>
          </w:p>
        </w:tc>
        <w:tc>
          <w:tcPr>
            <w:tcW w:w="4318" w:type="pct"/>
            <w:gridSpan w:val="6"/>
            <w:shd w:val="clear" w:color="auto" w:fill="FFFFFF" w:themeFill="background1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1.常年性项目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sym w:font="Wingdings" w:char="00A8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               2.延续性项目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t>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             3.一次性项目</w:t>
            </w:r>
            <w:r>
              <w:rPr>
                <w:rFonts w:ascii="Wingdings" w:hAnsi="Wingdings" w:eastAsia="仿宋" w:cs="Wingdings"/>
                <w:kern w:val="0"/>
                <w:sz w:val="20"/>
                <w:szCs w:val="20"/>
                <w:lang w:bidi="ar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预算执行情况（万元）(20分）</w:t>
            </w: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预算数（A）</w:t>
            </w:r>
          </w:p>
        </w:tc>
        <w:tc>
          <w:tcPr>
            <w:tcW w:w="1004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执行数（B）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执行率（B/A）</w:t>
            </w:r>
          </w:p>
        </w:tc>
        <w:tc>
          <w:tcPr>
            <w:tcW w:w="1109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得分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pct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年度财政资金总额</w:t>
            </w:r>
          </w:p>
        </w:tc>
        <w:tc>
          <w:tcPr>
            <w:tcW w:w="99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617.12</w:t>
            </w:r>
          </w:p>
        </w:tc>
        <w:tc>
          <w:tcPr>
            <w:tcW w:w="1004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251.30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40.72%</w:t>
            </w:r>
          </w:p>
        </w:tc>
        <w:tc>
          <w:tcPr>
            <w:tcW w:w="1109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8.1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年度绩效目标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（80分） 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一级      指标</w:t>
            </w: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年初目标值（A）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实际完成值（B）</w:t>
            </w:r>
          </w:p>
        </w:tc>
        <w:tc>
          <w:tcPr>
            <w:tcW w:w="452" w:type="pct"/>
            <w:shd w:val="clear" w:color="auto" w:fill="FFFFFF" w:themeFill="background1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产出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指标（40分） </w:t>
            </w:r>
          </w:p>
        </w:tc>
        <w:tc>
          <w:tcPr>
            <w:tcW w:w="542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数量指标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（25分）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安设波形护栏里程数   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7.57公里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7.67公里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道口标注设置根数（5分）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248根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248根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铸铁减速带设置数（5分）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61处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65处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单柱式标注标牌设置个数（5分）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75个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75个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危桥改造工程完成率（5分）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60%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质量指标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（10分）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安防工程检评达标率（5分）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危桥改造工程检评达标率（5分）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时效指标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（5分）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安防工程完工及时率（5分）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效益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指标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（40分）</w:t>
            </w:r>
          </w:p>
        </w:tc>
        <w:tc>
          <w:tcPr>
            <w:tcW w:w="542" w:type="pct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社会效益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（40分）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无重大事故发生（8分）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无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无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有利于消除辖区农村道路安全隐患（8分）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有利于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有利于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消除危桥安全隐患，提升安全畅通保障度(8分）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部分提升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经济效益（8分）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促进区域经济快速发展（8分）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促进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促进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40" w:type="pct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可持续影响（8分）</w:t>
            </w:r>
          </w:p>
        </w:tc>
        <w:tc>
          <w:tcPr>
            <w:tcW w:w="1997" w:type="pct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项目具有可持续性（8分）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项目可持续</w:t>
            </w:r>
          </w:p>
        </w:tc>
        <w:tc>
          <w:tcPr>
            <w:tcW w:w="657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项目具有场地支持、人员支持、经费支持</w:t>
            </w:r>
          </w:p>
        </w:tc>
        <w:tc>
          <w:tcPr>
            <w:tcW w:w="452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.00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" w:type="pct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4658" w:type="pct"/>
            <w:gridSpan w:val="7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79.1分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224" w:type="pct"/>
            <w:gridSpan w:val="3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偏差大或目标未完成原因分析</w:t>
            </w:r>
          </w:p>
        </w:tc>
        <w:tc>
          <w:tcPr>
            <w:tcW w:w="3775" w:type="pct"/>
            <w:gridSpan w:val="5"/>
            <w:shd w:val="clear" w:color="auto" w:fill="FFFFFF" w:themeFill="background1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1.预算执行率较低，主要原因是因为危桥改造工程尚未完工，款项未支付。2.危桥改造完成率指标未完成，五座危桥只有三座危桥完成了改造工程，工期滞后，未完成目标。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224" w:type="pct"/>
            <w:gridSpan w:val="3"/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改进措施及结果应用方案</w:t>
            </w:r>
          </w:p>
        </w:tc>
        <w:tc>
          <w:tcPr>
            <w:tcW w:w="3775" w:type="pct"/>
            <w:gridSpan w:val="5"/>
            <w:shd w:val="clear" w:color="auto" w:fill="FFFFFF" w:themeFill="background1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1.年中做好项目绩效监控，对照绩效目标检查项目工作完成情况，加快资金支付进度，针对尚未完成的工作，及时进行项目预算资金调整申请手续，避免出现当年预算资金出现大量结余。2.加强项目管理，确保工程项目如期完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注</w:t>
            </w:r>
            <w:r>
              <w:rPr>
                <w:rStyle w:val="9"/>
                <w:rFonts w:hint="default"/>
                <w:color w:val="auto"/>
                <w:lang w:bidi="ar"/>
              </w:rPr>
              <w:t>: 1.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预算执行情况口径</w:t>
            </w:r>
            <w:r>
              <w:rPr>
                <w:rStyle w:val="9"/>
                <w:rFonts w:hint="default"/>
                <w:color w:val="auto"/>
                <w:lang w:bidi="ar"/>
              </w:rPr>
              <w:t xml:space="preserve">: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预算数为调整后财政资金总额（包括上年结余结转</w:t>
            </w:r>
            <w:r>
              <w:rPr>
                <w:rStyle w:val="9"/>
                <w:rFonts w:hint="default"/>
                <w:color w:val="auto"/>
                <w:lang w:bidi="ar"/>
              </w:rPr>
              <w:t>），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执行数为资金使用单位财政资金实际支出数。</w:t>
            </w:r>
          </w:p>
          <w:p>
            <w:pPr>
              <w:widowControl/>
              <w:jc w:val="left"/>
              <w:textAlignment w:val="center"/>
              <w:rPr>
                <w:rStyle w:val="9"/>
                <w:rFonts w:hint="default"/>
                <w:color w:val="auto"/>
                <w:lang w:bidi="ar"/>
              </w:rPr>
            </w:pPr>
            <w:r>
              <w:rPr>
                <w:rStyle w:val="9"/>
                <w:rFonts w:hint="default"/>
                <w:color w:val="auto"/>
                <w:lang w:bidi="ar"/>
              </w:rPr>
              <w:t xml:space="preserve">    2.定量指标完成数汇总原则：绝对值直接累加计算，相对值按照资金额度加权平均计算。定量指标计分原则：正向指标（即目标值≥X，得分=权重*B/A），反向指标（即目标值≤X，得分=权重*A/B），得分不得突破权重总额，定量指标先汇总完成数，再计算得分。</w:t>
            </w:r>
          </w:p>
          <w:p>
            <w:pPr>
              <w:widowControl/>
              <w:jc w:val="left"/>
              <w:textAlignment w:val="center"/>
              <w:rPr>
                <w:rStyle w:val="9"/>
                <w:rFonts w:hint="default"/>
                <w:color w:val="auto"/>
                <w:lang w:bidi="ar"/>
              </w:rPr>
            </w:pPr>
            <w:r>
              <w:rPr>
                <w:rStyle w:val="9"/>
                <w:rFonts w:hint="default"/>
                <w:color w:val="auto"/>
                <w:lang w:bidi="ar"/>
              </w:rPr>
              <w:t xml:space="preserve">    3.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定性指标分档原则</w:t>
            </w:r>
            <w:r>
              <w:rPr>
                <w:rStyle w:val="9"/>
                <w:rFonts w:hint="default"/>
                <w:color w:val="auto"/>
                <w:lang w:bidi="ar"/>
              </w:rPr>
              <w:t>: 分成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达成预期指标、部分达成预期指标并具有一定效果、未达成预期指标且效果较差三档，分别按照该指标对应分值区间100-80%（含80%）、80-50%</w:t>
            </w:r>
            <w:r>
              <w:rPr>
                <w:rStyle w:val="9"/>
                <w:rFonts w:hint="default"/>
                <w:color w:val="auto"/>
                <w:lang w:bidi="ar"/>
              </w:rPr>
              <w:t xml:space="preserve"> （含50%）、50-0% 合理确定分值。汇总时，以资金额度为权重，对分值进行加权平均计算。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Style w:val="9"/>
                <w:rFonts w:hint="default"/>
                <w:color w:val="auto"/>
                <w:lang w:bidi="ar"/>
              </w:rPr>
              <w:t xml:space="preserve">    4.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bidi="ar"/>
              </w:rPr>
              <w:t>基于经济性和必要性等因素考虑，满意度指标暂可不作为必评指标。</w:t>
            </w:r>
          </w:p>
        </w:tc>
      </w:tr>
    </w:tbl>
    <w:p>
      <w:pPr>
        <w:pStyle w:val="2"/>
        <w:jc w:val="center"/>
        <w:rPr>
          <w:rFonts w:eastAsia="仿宋"/>
          <w:color w:val="000000"/>
          <w:kern w:val="0"/>
          <w:sz w:val="32"/>
          <w:szCs w:val="32"/>
        </w:rPr>
      </w:pPr>
    </w:p>
    <w:p>
      <w:pPr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br w:type="page"/>
      </w:r>
    </w:p>
    <w:p>
      <w:pPr>
        <w:pStyle w:val="6"/>
        <w:numPr>
          <w:ilvl w:val="0"/>
          <w:numId w:val="1"/>
        </w:numPr>
        <w:shd w:val="clear" w:color="auto" w:fill="FFFFFF" w:themeFill="background1"/>
        <w:spacing w:line="560" w:lineRule="exact"/>
        <w:ind w:firstLine="643"/>
        <w:jc w:val="both"/>
        <w:outlineLvl w:val="0"/>
        <w:rPr>
          <w:rFonts w:ascii="Times New Roman" w:hAnsi="Times New Roman" w:eastAsia="黑体"/>
          <w:b/>
          <w:sz w:val="32"/>
        </w:rPr>
      </w:pPr>
      <w:r>
        <w:rPr>
          <w:rFonts w:hint="eastAsia" w:ascii="Times New Roman" w:hAnsi="Times New Roman" w:eastAsia="黑体"/>
          <w:b/>
          <w:sz w:val="32"/>
        </w:rPr>
        <w:t>佐证材料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（一）基本情况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1. 项目立项目的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  <w:lang w:val="zh-CN"/>
        </w:rPr>
        <w:t>根据</w:t>
      </w:r>
      <w:r>
        <w:rPr>
          <w:rFonts w:hint="eastAsia" w:eastAsia="仿宋"/>
          <w:sz w:val="32"/>
          <w:szCs w:val="32"/>
          <w:lang w:val="zh-CN"/>
        </w:rPr>
        <w:t>《</w:t>
      </w:r>
      <w:r>
        <w:rPr>
          <w:rFonts w:hint="eastAsia" w:eastAsia="仿宋"/>
          <w:sz w:val="32"/>
          <w:szCs w:val="32"/>
        </w:rPr>
        <w:t>省交通运输厅关于下达2020年交通基础设施建养普通公路、客货运站场第二批补助投资计划的通知</w:t>
      </w:r>
      <w:r>
        <w:rPr>
          <w:rFonts w:hint="eastAsia" w:eastAsia="仿宋"/>
          <w:sz w:val="32"/>
          <w:szCs w:val="32"/>
          <w:lang w:val="zh-CN"/>
        </w:rPr>
        <w:t>》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（鄂交</w:t>
      </w:r>
      <w:r>
        <w:rPr>
          <w:rFonts w:hint="eastAsia" w:ascii="仿宋" w:hAnsi="仿宋" w:eastAsia="仿宋" w:cs="仿宋"/>
          <w:sz w:val="32"/>
          <w:szCs w:val="32"/>
        </w:rPr>
        <w:t>发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〔20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〕</w:t>
      </w:r>
      <w:r>
        <w:rPr>
          <w:rFonts w:hint="eastAsia" w:ascii="仿宋" w:hAnsi="仿宋" w:eastAsia="仿宋" w:cs="仿宋"/>
          <w:sz w:val="32"/>
          <w:szCs w:val="32"/>
        </w:rPr>
        <w:t>48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号）、《</w:t>
      </w:r>
      <w:r>
        <w:rPr>
          <w:rFonts w:hint="eastAsia" w:ascii="仿宋" w:hAnsi="仿宋" w:eastAsia="仿宋" w:cs="仿宋"/>
          <w:sz w:val="32"/>
          <w:szCs w:val="32"/>
        </w:rPr>
        <w:t>省财政厅关于下达2020年普通公路建养和“三年消危行动”补助资金的通知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》（鄂</w:t>
      </w:r>
      <w:r>
        <w:rPr>
          <w:rFonts w:hint="eastAsia" w:ascii="仿宋" w:hAnsi="仿宋" w:eastAsia="仿宋" w:cs="仿宋"/>
          <w:sz w:val="32"/>
          <w:szCs w:val="32"/>
        </w:rPr>
        <w:t>财建发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〔20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〕</w:t>
      </w:r>
      <w:r>
        <w:rPr>
          <w:rFonts w:hint="eastAsia" w:ascii="仿宋" w:hAnsi="仿宋" w:eastAsia="仿宋" w:cs="仿宋"/>
          <w:sz w:val="32"/>
          <w:szCs w:val="32"/>
        </w:rPr>
        <w:t>83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号）、《</w:t>
      </w:r>
      <w:r>
        <w:rPr>
          <w:rFonts w:hint="eastAsia" w:ascii="仿宋" w:hAnsi="仿宋" w:eastAsia="仿宋" w:cs="仿宋"/>
          <w:sz w:val="32"/>
          <w:szCs w:val="32"/>
        </w:rPr>
        <w:t>省交通运输厅关于下达2020年公路基础设施建养第三批补助投资计划的通知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》（鄂</w:t>
      </w:r>
      <w:r>
        <w:rPr>
          <w:rFonts w:hint="eastAsia" w:ascii="仿宋" w:hAnsi="仿宋" w:eastAsia="仿宋" w:cs="仿宋"/>
          <w:sz w:val="32"/>
          <w:szCs w:val="32"/>
        </w:rPr>
        <w:t>交发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〔20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〕</w:t>
      </w:r>
      <w:r>
        <w:rPr>
          <w:rFonts w:hint="eastAsia" w:ascii="仿宋" w:hAnsi="仿宋" w:eastAsia="仿宋" w:cs="仿宋"/>
          <w:sz w:val="32"/>
          <w:szCs w:val="32"/>
        </w:rPr>
        <w:t>54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号）</w:t>
      </w:r>
      <w:r>
        <w:rPr>
          <w:rFonts w:hint="eastAsia" w:ascii="仿宋" w:hAnsi="仿宋" w:eastAsia="仿宋" w:cs="仿宋"/>
          <w:sz w:val="32"/>
          <w:szCs w:val="32"/>
        </w:rPr>
        <w:t>等文件精神，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省厅下达我区</w:t>
      </w:r>
      <w:r>
        <w:rPr>
          <w:rFonts w:hint="eastAsia" w:ascii="仿宋" w:hAnsi="仿宋" w:eastAsia="仿宋" w:cs="仿宋"/>
          <w:sz w:val="32"/>
          <w:szCs w:val="32"/>
        </w:rPr>
        <w:t>农村公路危桥改造资金499.12万元、农村公路安防工程资金118万元，共计617.12万元，</w:t>
      </w:r>
      <w:r>
        <w:rPr>
          <w:rFonts w:hint="eastAsia" w:eastAsia="仿宋"/>
          <w:sz w:val="32"/>
          <w:szCs w:val="32"/>
        </w:rPr>
        <w:t>为加快预算执行进度、加强资金监管，我单位设立农村公路安防工程、危桥改造工程项目。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 xml:space="preserve">2. </w:t>
      </w:r>
      <w:r>
        <w:rPr>
          <w:rFonts w:hint="eastAsia" w:eastAsia="仿宋"/>
          <w:b/>
          <w:bCs/>
          <w:sz w:val="32"/>
          <w:szCs w:val="32"/>
        </w:rPr>
        <w:t>年度绩效目标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本项目已填报绩效目标，部分绩效指标设置不规范，不能全面反应项目的产出和效果，根据项目主要工作任务，将本项目绩效目标调整如下：安设波形护栏里程数7.57公里，道口标注设置根数248根，铸铁减速带设置数61处，单柱式标注标牌设置个数75个，危桥改造工程完成率≥95%，安防工程检评达标率100%，危桥改造工程检评达标率≥95%，安防工程完工及时率100%，无重大事故发生，有利于消除辖区农村道路安全隐患，消除危桥安全隐患，提升安全畅通保障度，促进区域经济快速发展，项目具有可持续性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3. 项目资金情况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本项目</w:t>
      </w:r>
      <w:r>
        <w:rPr>
          <w:rFonts w:hint="eastAsia" w:eastAsia="仿宋"/>
          <w:sz w:val="32"/>
          <w:szCs w:val="32"/>
        </w:rPr>
        <w:t>为新增一次性项目，当年项目预算</w:t>
      </w:r>
      <w:r>
        <w:rPr>
          <w:rFonts w:eastAsia="仿宋"/>
          <w:sz w:val="32"/>
          <w:szCs w:val="32"/>
        </w:rPr>
        <w:t>资金</w:t>
      </w:r>
      <w:r>
        <w:rPr>
          <w:rFonts w:hint="eastAsia" w:eastAsia="仿宋"/>
          <w:sz w:val="32"/>
          <w:szCs w:val="32"/>
        </w:rPr>
        <w:t>共计617.12</w:t>
      </w:r>
      <w:r>
        <w:rPr>
          <w:rFonts w:eastAsia="仿宋"/>
          <w:sz w:val="32"/>
          <w:szCs w:val="32"/>
        </w:rPr>
        <w:t>万元</w:t>
      </w:r>
      <w:r>
        <w:rPr>
          <w:rFonts w:hint="eastAsia" w:eastAsia="仿宋"/>
          <w:sz w:val="32"/>
          <w:szCs w:val="32"/>
        </w:rPr>
        <w:t>。本项目实际到位资金617.12</w:t>
      </w:r>
      <w:r>
        <w:rPr>
          <w:rFonts w:eastAsia="仿宋"/>
          <w:sz w:val="32"/>
          <w:szCs w:val="32"/>
        </w:rPr>
        <w:t>万元</w:t>
      </w:r>
      <w:r>
        <w:rPr>
          <w:rFonts w:hint="eastAsia" w:eastAsia="仿宋"/>
          <w:sz w:val="32"/>
          <w:szCs w:val="32"/>
        </w:rPr>
        <w:t>，实际使用资金251.30万元，主要用于支付农村公路安防工程费用， 东荆街安乐桥、北支四桥、湘口街总干沟桥、龙沟路桥、水潘路桥五座危桥的改造工程费用。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（二）部门自评工作开展情况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本次自评时间从202</w:t>
      </w:r>
      <w:r>
        <w:rPr>
          <w:rFonts w:hint="eastAsia"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</w:rPr>
        <w:t>15</w:t>
      </w:r>
      <w:r>
        <w:rPr>
          <w:rFonts w:eastAsia="仿宋"/>
          <w:sz w:val="32"/>
          <w:szCs w:val="32"/>
        </w:rPr>
        <w:t>日至202</w:t>
      </w:r>
      <w:r>
        <w:rPr>
          <w:rFonts w:hint="eastAsia"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</w:rPr>
        <w:t>58</w:t>
      </w:r>
      <w:r>
        <w:rPr>
          <w:rFonts w:eastAsia="仿宋"/>
          <w:sz w:val="32"/>
          <w:szCs w:val="32"/>
        </w:rPr>
        <w:t>日，历时</w:t>
      </w:r>
      <w:r>
        <w:rPr>
          <w:rFonts w:hint="eastAsia" w:eastAsia="仿宋"/>
          <w:sz w:val="32"/>
          <w:szCs w:val="32"/>
        </w:rPr>
        <w:t>11</w:t>
      </w:r>
      <w:r>
        <w:rPr>
          <w:rFonts w:eastAsia="仿宋"/>
          <w:sz w:val="32"/>
          <w:szCs w:val="32"/>
        </w:rPr>
        <w:t>个</w:t>
      </w:r>
      <w:r>
        <w:rPr>
          <w:rFonts w:hint="eastAsia" w:eastAsia="仿宋"/>
          <w:sz w:val="32"/>
          <w:szCs w:val="32"/>
        </w:rPr>
        <w:t>工作日</w:t>
      </w:r>
      <w:r>
        <w:rPr>
          <w:rFonts w:eastAsia="仿宋"/>
          <w:sz w:val="32"/>
          <w:szCs w:val="32"/>
        </w:rPr>
        <w:t>。自评工作程序如下：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1. 制定工作方案</w:t>
      </w:r>
    </w:p>
    <w:p>
      <w:pPr>
        <w:widowControl/>
        <w:spacing w:line="560" w:lineRule="exact"/>
        <w:ind w:firstLine="640" w:firstLineChars="200"/>
        <w:outlineLvl w:val="2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项目自评工作方案由区住建局会同第三方机构共同研究制订，根据部门主要负责同志要求和武汉经济技术开发区（汉南区）财政局发布的《关于开展</w:t>
      </w:r>
      <w:r>
        <w:rPr>
          <w:rFonts w:eastAsia="仿宋"/>
          <w:sz w:val="32"/>
          <w:szCs w:val="32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年预算绩效评价及项目支出绩效运行监控的通知》（武经开财〔</w:t>
      </w:r>
      <w:r>
        <w:rPr>
          <w:rFonts w:eastAsia="仿宋"/>
          <w:sz w:val="32"/>
          <w:szCs w:val="32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eastAsia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号）启动部门自评工作。启动项目自评工作。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2. 组织实施自评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财务部门会同第三方机构及时成立工作组，通过调研访谈、</w:t>
      </w:r>
      <w:r>
        <w:rPr>
          <w:rFonts w:hint="eastAsia" w:eastAsia="仿宋"/>
          <w:sz w:val="32"/>
          <w:szCs w:val="32"/>
        </w:rPr>
        <w:t>电话沟通</w:t>
      </w:r>
      <w:r>
        <w:rPr>
          <w:rFonts w:eastAsia="仿宋"/>
          <w:sz w:val="32"/>
          <w:szCs w:val="32"/>
        </w:rPr>
        <w:t>等方式收集、核实数据和信息，并对这些数据和信息进行整理分析。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3. 撰写部门自评结果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在整理分析基础上，形成部门自评结果。</w:t>
      </w:r>
    </w:p>
    <w:p>
      <w:pPr>
        <w:widowControl/>
        <w:spacing w:line="560" w:lineRule="exact"/>
        <w:ind w:firstLine="643" w:firstLineChars="200"/>
        <w:outlineLvl w:val="2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4. 建立部门自评档案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项目自评结果按时报送相应资金管理科室并及时归档备查。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（三）绩效目标完成情况分析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bCs/>
          <w:kern w:val="0"/>
          <w:sz w:val="32"/>
          <w:szCs w:val="32"/>
        </w:rPr>
      </w:pPr>
      <w:r>
        <w:rPr>
          <w:rFonts w:eastAsia="仿宋"/>
          <w:b/>
          <w:bCs/>
          <w:kern w:val="0"/>
          <w:sz w:val="32"/>
          <w:szCs w:val="32"/>
        </w:rPr>
        <w:t>1. 预算执行情况分析（满分20分，得分</w:t>
      </w:r>
      <w:r>
        <w:rPr>
          <w:rFonts w:hint="eastAsia" w:eastAsia="仿宋"/>
          <w:b/>
          <w:bCs/>
          <w:kern w:val="0"/>
          <w:sz w:val="32"/>
          <w:szCs w:val="32"/>
        </w:rPr>
        <w:t>8.1</w:t>
      </w:r>
      <w:r>
        <w:rPr>
          <w:rFonts w:eastAsia="仿宋"/>
          <w:b/>
          <w:bCs/>
          <w:kern w:val="0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本项目202</w:t>
      </w:r>
      <w:r>
        <w:rPr>
          <w:rFonts w:hint="eastAsia" w:eastAsia="仿宋"/>
          <w:sz w:val="32"/>
          <w:szCs w:val="32"/>
        </w:rPr>
        <w:t>1</w:t>
      </w:r>
      <w:r>
        <w:rPr>
          <w:rFonts w:eastAsia="仿宋"/>
          <w:sz w:val="32"/>
          <w:szCs w:val="32"/>
        </w:rPr>
        <w:t>年实际到位资金</w:t>
      </w:r>
      <w:r>
        <w:rPr>
          <w:rFonts w:hint="eastAsia" w:eastAsia="仿宋"/>
          <w:sz w:val="32"/>
          <w:szCs w:val="32"/>
        </w:rPr>
        <w:t>617.12</w:t>
      </w:r>
      <w:r>
        <w:rPr>
          <w:rFonts w:eastAsia="仿宋"/>
          <w:sz w:val="32"/>
          <w:szCs w:val="32"/>
        </w:rPr>
        <w:t>万元，资金到位率</w:t>
      </w:r>
      <w:r>
        <w:rPr>
          <w:rFonts w:hint="eastAsia" w:eastAsia="仿宋"/>
          <w:sz w:val="32"/>
          <w:szCs w:val="32"/>
        </w:rPr>
        <w:t>100</w:t>
      </w:r>
      <w:r>
        <w:rPr>
          <w:rFonts w:eastAsia="仿宋"/>
          <w:sz w:val="32"/>
          <w:szCs w:val="32"/>
        </w:rPr>
        <w:t>%。实际支出资金</w:t>
      </w:r>
      <w:r>
        <w:rPr>
          <w:rFonts w:hint="eastAsia" w:eastAsia="仿宋"/>
          <w:sz w:val="32"/>
          <w:szCs w:val="32"/>
        </w:rPr>
        <w:t>251.30</w:t>
      </w:r>
      <w:r>
        <w:rPr>
          <w:rFonts w:eastAsia="仿宋"/>
          <w:sz w:val="32"/>
          <w:szCs w:val="32"/>
        </w:rPr>
        <w:t>万元，预算执行率为</w:t>
      </w:r>
      <w:r>
        <w:rPr>
          <w:rFonts w:hint="eastAsia" w:eastAsia="仿宋"/>
          <w:sz w:val="32"/>
          <w:szCs w:val="32"/>
        </w:rPr>
        <w:t>40.72%</w:t>
      </w:r>
      <w:r>
        <w:rPr>
          <w:rFonts w:eastAsia="仿宋"/>
          <w:sz w:val="32"/>
          <w:szCs w:val="32"/>
        </w:rPr>
        <w:t>。</w:t>
      </w:r>
      <w:r>
        <w:rPr>
          <w:rFonts w:hint="eastAsia" w:eastAsia="仿宋"/>
          <w:sz w:val="32"/>
          <w:szCs w:val="32"/>
        </w:rPr>
        <w:t>预算执行情况较差。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bCs/>
          <w:kern w:val="0"/>
          <w:sz w:val="32"/>
          <w:szCs w:val="32"/>
        </w:rPr>
      </w:pPr>
      <w:r>
        <w:rPr>
          <w:rFonts w:hint="eastAsia" w:eastAsia="仿宋"/>
          <w:b/>
          <w:bCs/>
          <w:kern w:val="0"/>
          <w:sz w:val="32"/>
          <w:szCs w:val="32"/>
        </w:rPr>
        <w:t>2. 绩效目标完成情况分析（满分80分，得分71分）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</w:rPr>
        <w:t>产出指标</w:t>
      </w:r>
      <w:r>
        <w:rPr>
          <w:rFonts w:eastAsia="仿宋"/>
          <w:sz w:val="32"/>
          <w:szCs w:val="32"/>
        </w:rPr>
        <w:t>完成情况分析</w:t>
      </w:r>
      <w:r>
        <w:rPr>
          <w:rFonts w:hint="eastAsia"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满分</w:t>
      </w:r>
      <w:r>
        <w:rPr>
          <w:rFonts w:hint="eastAsia" w:eastAsia="仿宋"/>
          <w:sz w:val="32"/>
          <w:szCs w:val="32"/>
        </w:rPr>
        <w:t>40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35</w:t>
      </w:r>
      <w:r>
        <w:rPr>
          <w:rFonts w:eastAsia="仿宋"/>
          <w:sz w:val="32"/>
          <w:szCs w:val="32"/>
        </w:rPr>
        <w:t>分</w:t>
      </w:r>
      <w:r>
        <w:rPr>
          <w:rFonts w:hint="eastAsia" w:eastAsia="仿宋"/>
          <w:sz w:val="32"/>
          <w:szCs w:val="32"/>
        </w:rPr>
        <w:t>）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①安设波形护栏里程数：满分5分，得分5分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目标为安设波形护栏里程数达7.57公里。2021年在纱张路、纱前路、滩公线、汉郭路、汉通路、汉塘路、双桥路、水种路8条隐患路段安设波形护栏7.67公里，工程已完工并通过验收，完成目标。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②道口标注设置根数：满分5分，得分5分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目标为道口标注设置根数248根。2021年在纱张路、纱前路、滩公线、汉郭路、汉通路、汉塘路、双桥路、水种路8条隐患路段设置道口标注248根，工程已完工并通过验收，完成目标。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③铸铁减速带设置数：满分5分，得分5分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目标为设置铸铁减速带61处。2021年在纱张路、纱前路、滩公线、汉郭路、汉通路、汉塘路、双桥路、水种路8条隐患路段设置铸铁减速带65处，工程已完工并通过验收，完成目标。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④单柱式标注标牌设置个数：满分5分，得分5分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目标为设置单柱式标注标牌75个。2021年在纱张路、纱前路、滩公线、汉郭路、汉通路、汉塘路、双桥路、水种路8条隐患路段设置单柱式标注标牌75个，工程已完工并通过验收，完成目标。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  <w:highlight w:val="yellow"/>
        </w:rPr>
      </w:pPr>
      <w:r>
        <w:rPr>
          <w:rFonts w:hint="eastAsia" w:eastAsia="仿宋"/>
          <w:sz w:val="32"/>
          <w:szCs w:val="32"/>
        </w:rPr>
        <w:t>⑤</w:t>
      </w:r>
      <w:r>
        <w:rPr>
          <w:rFonts w:hint="eastAsia" w:eastAsia="仿宋"/>
          <w:sz w:val="32"/>
          <w:szCs w:val="32"/>
          <w:highlight w:val="yellow"/>
        </w:rPr>
        <w:t>危桥改造工程完成率：满分5分，得分</w:t>
      </w:r>
      <w:r>
        <w:rPr>
          <w:rFonts w:hint="eastAsia" w:eastAsia="仿宋"/>
          <w:sz w:val="32"/>
          <w:szCs w:val="32"/>
          <w:highlight w:val="yellow"/>
          <w:lang w:val="en-US" w:eastAsia="zh-CN"/>
        </w:rPr>
        <w:t>0</w:t>
      </w:r>
      <w:r>
        <w:rPr>
          <w:rFonts w:hint="eastAsia" w:eastAsia="仿宋"/>
          <w:sz w:val="32"/>
          <w:szCs w:val="32"/>
          <w:highlight w:val="yellow"/>
        </w:rPr>
        <w:t>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highlight w:val="yellow"/>
        </w:rPr>
        <w:t>目标为危桥改造工程完成率≥95%。2021年东荆街安乐桥、北支四桥、湘口街总干沟桥、龙沟路桥、水潘路桥五座危桥的改造工程只完成了三座，危桥改造工程完成率为60%，未完成目标。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⑥安防工程检评达标率：满分5分，得分5分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安防工程检评达标率100%。农村公路安防工程2021年2月已完工验收，共安设波形护栏7.67公里，设置道口标注248根，设置铸铁减速带65处，设置单柱式标注标牌75个，全部验收合格，安防工程检评达标率100%，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⑦危桥改造工程检评达标率：满分5分，得分5分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目标为危桥改造工程检评达标率≥95%。已完成的危桥改造工程均验收合格，危桥改造工程检评达标率100%，完成目标。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⑧安防工程完工及时率</w:t>
      </w:r>
      <w:r>
        <w:rPr>
          <w:rFonts w:hint="eastAsia" w:eastAsia="仿宋"/>
          <w:sz w:val="32"/>
          <w:szCs w:val="32"/>
        </w:rPr>
        <w:t>：满分5分，得分5分</w:t>
      </w:r>
    </w:p>
    <w:p>
      <w:pPr>
        <w:pStyle w:val="2"/>
        <w:spacing w:after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</w:t>
      </w:r>
      <w:r>
        <w:rPr>
          <w:rFonts w:hint="eastAsia" w:ascii="仿宋" w:hAnsi="仿宋" w:eastAsia="仿宋" w:cs="仿宋"/>
          <w:sz w:val="32"/>
          <w:szCs w:val="32"/>
        </w:rPr>
        <w:t>安防工程完工及时率100%。2021年农村公路安防工程在合同规定时间内完工，并通过验收，安防工程完工及时率100%，完成目标。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</w:t>
      </w:r>
      <w:r>
        <w:rPr>
          <w:rFonts w:hint="eastAsia" w:eastAsia="仿宋"/>
          <w:sz w:val="32"/>
          <w:szCs w:val="32"/>
        </w:rPr>
        <w:t>效益</w:t>
      </w:r>
      <w:r>
        <w:rPr>
          <w:rFonts w:eastAsia="仿宋"/>
          <w:sz w:val="32"/>
          <w:szCs w:val="32"/>
        </w:rPr>
        <w:t>指标完成情况分析</w:t>
      </w:r>
      <w:r>
        <w:rPr>
          <w:rFonts w:eastAsia="仿宋"/>
          <w:sz w:val="32"/>
          <w:szCs w:val="32"/>
          <w:highlight w:val="yellow"/>
        </w:rPr>
        <w:t>（满分</w:t>
      </w:r>
      <w:r>
        <w:rPr>
          <w:rFonts w:hint="eastAsia" w:eastAsia="仿宋"/>
          <w:sz w:val="32"/>
          <w:szCs w:val="32"/>
          <w:highlight w:val="yellow"/>
        </w:rPr>
        <w:t>40</w:t>
      </w:r>
      <w:r>
        <w:rPr>
          <w:rFonts w:eastAsia="仿宋"/>
          <w:sz w:val="32"/>
          <w:szCs w:val="32"/>
          <w:highlight w:val="yellow"/>
        </w:rPr>
        <w:t>分，得分</w:t>
      </w:r>
      <w:r>
        <w:rPr>
          <w:rFonts w:hint="eastAsia" w:eastAsia="仿宋"/>
          <w:sz w:val="32"/>
          <w:szCs w:val="32"/>
          <w:highlight w:val="yellow"/>
          <w:lang w:val="en-US" w:eastAsia="zh-CN"/>
        </w:rPr>
        <w:t>36</w:t>
      </w:r>
      <w:r>
        <w:rPr>
          <w:rFonts w:eastAsia="仿宋"/>
          <w:sz w:val="32"/>
          <w:szCs w:val="32"/>
          <w:highlight w:val="yellow"/>
        </w:rPr>
        <w:t>分）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①</w:t>
      </w:r>
      <w:r>
        <w:rPr>
          <w:rFonts w:ascii="仿宋" w:hAnsi="仿宋" w:eastAsia="仿宋" w:cs="仿宋"/>
          <w:sz w:val="32"/>
          <w:szCs w:val="32"/>
        </w:rPr>
        <w:t>无重大事故发生</w:t>
      </w:r>
      <w:r>
        <w:rPr>
          <w:rFonts w:hint="eastAsia" w:eastAsia="仿宋"/>
          <w:sz w:val="32"/>
          <w:szCs w:val="32"/>
        </w:rPr>
        <w:t>：</w:t>
      </w:r>
      <w:r>
        <w:rPr>
          <w:rFonts w:eastAsia="仿宋"/>
          <w:sz w:val="32"/>
          <w:szCs w:val="32"/>
        </w:rPr>
        <w:t>满分</w:t>
      </w:r>
      <w:r>
        <w:rPr>
          <w:rFonts w:hint="eastAsia" w:eastAsia="仿宋"/>
          <w:sz w:val="32"/>
          <w:szCs w:val="32"/>
        </w:rPr>
        <w:t>8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8</w:t>
      </w:r>
      <w:r>
        <w:rPr>
          <w:rFonts w:eastAsia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yellow"/>
        </w:rPr>
        <w:t>目标为全年</w:t>
      </w: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无重大事故发生</w:t>
      </w:r>
      <w:r>
        <w:rPr>
          <w:rFonts w:hint="eastAsia" w:ascii="仿宋" w:hAnsi="仿宋" w:eastAsia="仿宋" w:cs="仿宋"/>
          <w:sz w:val="32"/>
          <w:szCs w:val="32"/>
          <w:highlight w:val="yellow"/>
        </w:rPr>
        <w:t>。</w:t>
      </w:r>
      <w:r>
        <w:rPr>
          <w:rFonts w:hint="eastAsia" w:eastAsia="仿宋"/>
          <w:sz w:val="32"/>
          <w:szCs w:val="32"/>
        </w:rPr>
        <w:t>2021年本项目涉及的工程施工期间均未发生安全事故，完成目标。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②有利于消除辖区农村道路安全隐患：满分8分，得分8分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有利于消除辖区农村道路安全隐患。区住建局2021年继续推进农村公路安防工程，完善公路安全防护设施，全面整治农村公路通行安全隐患，开展公路标志标牌等安保设施维护工作，切实改善公路安保设施面貌，提升道路安全通行能力，有利于消除辖区农村道路安全隐患，保障农村群众生产生活出行安全通畅，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③消除危桥安全隐患，提升安全畅通保障度：满分8分，得分4分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目标为消除危桥安全隐患，提升安全畅通保障度。因危桥改造工程部分完工，对消除危桥安全隐患，提升安全畅通保障度的作用不明显，只能部分提升安全畅通保障度，未完成目标。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④促进区域经济快速发展：满分8分，得分8分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目标为促进区域经济快速发展。通过农村公路安防工程，保障了农村公路安全通畅，更好的服务农村经济建设和人民群众生产生活出行，促进了区域经济的快速发展，完成目标。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⑤项目具有可持续性：满分8分，得分8分</w:t>
      </w:r>
    </w:p>
    <w:p>
      <w:pPr>
        <w:pStyle w:val="2"/>
        <w:spacing w:after="0"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目标为项目具有可持续性。本项目有场地支持、人员支持、经费支持，可保障项目可持续，完成目标。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（四）上年度部门自评结果应用情况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  <w:highlight w:val="none"/>
        </w:rPr>
      </w:pPr>
      <w:r>
        <w:rPr>
          <w:rFonts w:hint="eastAsia" w:eastAsia="仿宋"/>
          <w:sz w:val="32"/>
          <w:szCs w:val="32"/>
          <w:highlight w:val="none"/>
        </w:rPr>
        <w:t>本项目上年度未</w:t>
      </w:r>
      <w:r>
        <w:rPr>
          <w:rFonts w:hint="eastAsia" w:eastAsia="仿宋"/>
          <w:sz w:val="32"/>
          <w:szCs w:val="32"/>
          <w:highlight w:val="none"/>
          <w:lang w:val="en-US" w:eastAsia="zh-CN"/>
        </w:rPr>
        <w:t>进行</w:t>
      </w:r>
      <w:r>
        <w:rPr>
          <w:rFonts w:hint="eastAsia" w:eastAsia="仿宋"/>
          <w:sz w:val="32"/>
          <w:szCs w:val="32"/>
          <w:highlight w:val="none"/>
        </w:rPr>
        <w:t>绩效评价。</w:t>
      </w:r>
    </w:p>
    <w:p>
      <w:pPr>
        <w:pStyle w:val="3"/>
        <w:shd w:val="clear" w:color="auto" w:fill="FFFFFF" w:themeFill="background1"/>
        <w:spacing w:before="0" w:after="0" w:line="560" w:lineRule="exact"/>
        <w:ind w:firstLine="643" w:firstLineChars="200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（五）其他佐证材料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无。</w:t>
      </w:r>
    </w:p>
    <w:p>
      <w:pPr>
        <w:pStyle w:val="4"/>
        <w:rPr>
          <w:rFonts w:eastAsia="仿宋"/>
          <w:sz w:val="32"/>
          <w:szCs w:val="32"/>
        </w:rPr>
      </w:pPr>
    </w:p>
    <w:p/>
    <w:p>
      <w:pPr>
        <w:widowControl/>
        <w:spacing w:line="560" w:lineRule="exact"/>
        <w:ind w:firstLine="480" w:firstLineChars="200"/>
        <w:jc w:val="right"/>
        <w:rPr>
          <w:rFonts w:eastAsia="仿宋"/>
          <w:sz w:val="32"/>
          <w:szCs w:val="32"/>
        </w:rPr>
      </w:pPr>
      <w:r>
        <w:rPr>
          <w:rFonts w:eastAsia="宋体"/>
          <w:color w:val="000000"/>
          <w:kern w:val="0"/>
          <w:sz w:val="24"/>
        </w:rPr>
        <w:t xml:space="preserve">　          </w:t>
      </w:r>
      <w:r>
        <w:rPr>
          <w:rFonts w:hint="eastAsia" w:eastAsia="仿宋"/>
          <w:sz w:val="32"/>
          <w:szCs w:val="32"/>
        </w:rPr>
        <w:t>武汉经济技术开发区（汉南区）住房和城乡建设局</w:t>
      </w:r>
    </w:p>
    <w:p>
      <w:pPr>
        <w:widowControl/>
        <w:wordWrap w:val="0"/>
        <w:spacing w:line="560" w:lineRule="exact"/>
        <w:ind w:firstLine="5120" w:firstLineChars="1600"/>
        <w:jc w:val="righ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202</w:t>
      </w:r>
      <w:r>
        <w:rPr>
          <w:rFonts w:hint="eastAsia"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</w:rPr>
        <w:t>25</w:t>
      </w:r>
      <w:r>
        <w:rPr>
          <w:rFonts w:eastAsia="仿宋"/>
          <w:sz w:val="32"/>
          <w:szCs w:val="32"/>
        </w:rPr>
        <w:t>日</w:t>
      </w:r>
      <w:r>
        <w:rPr>
          <w:rFonts w:hint="eastAsia" w:eastAsia="仿宋"/>
          <w:sz w:val="32"/>
          <w:szCs w:val="32"/>
        </w:rPr>
        <w:t xml:space="preserve">            </w:t>
      </w:r>
    </w:p>
    <w:p>
      <w:pPr>
        <w:widowControl/>
        <w:spacing w:after="240" w:line="432" w:lineRule="atLeast"/>
        <w:jc w:val="left"/>
        <w:rPr>
          <w:rFonts w:eastAsia="宋体"/>
          <w:color w:val="000000"/>
          <w:kern w:val="0"/>
          <w:sz w:val="24"/>
        </w:rPr>
      </w:pPr>
    </w:p>
    <w:p>
      <w:pPr>
        <w:widowControl/>
        <w:spacing w:after="240" w:line="432" w:lineRule="atLeast"/>
        <w:jc w:val="left"/>
      </w:pPr>
    </w:p>
    <w:p/>
    <w:sectPr>
      <w:footerReference r:id="rId3" w:type="default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E0E357"/>
    <w:multiLevelType w:val="singleLevel"/>
    <w:tmpl w:val="DEE0E35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lMWY2NTQ2NDIyMWY5YTUxZDk4NzYwNTFiZDllMTAifQ=="/>
  </w:docVars>
  <w:rsids>
    <w:rsidRoot w:val="54DE4FFA"/>
    <w:rsid w:val="00373973"/>
    <w:rsid w:val="008A713B"/>
    <w:rsid w:val="00FC57E9"/>
    <w:rsid w:val="01D90B32"/>
    <w:rsid w:val="17045E48"/>
    <w:rsid w:val="244B12C6"/>
    <w:rsid w:val="541179D2"/>
    <w:rsid w:val="54DE4FFA"/>
    <w:rsid w:val="7F7D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5"/>
    <w:basedOn w:val="1"/>
    <w:next w:val="1"/>
    <w:qFormat/>
    <w:uiPriority w:val="0"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itle"/>
    <w:basedOn w:val="1"/>
    <w:next w:val="1"/>
    <w:qFormat/>
    <w:uiPriority w:val="10"/>
    <w:pPr>
      <w:spacing w:line="360" w:lineRule="auto"/>
      <w:ind w:firstLine="200" w:firstLineChars="200"/>
      <w:jc w:val="left"/>
      <w:outlineLvl w:val="3"/>
    </w:pPr>
    <w:rPr>
      <w:rFonts w:ascii="Cambria" w:hAnsi="Cambria"/>
      <w:bCs/>
      <w:sz w:val="24"/>
      <w:szCs w:val="32"/>
    </w:rPr>
  </w:style>
  <w:style w:type="character" w:customStyle="1" w:styleId="9">
    <w:name w:val="font91"/>
    <w:basedOn w:val="8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4112</Words>
  <Characters>4445</Characters>
  <Lines>35</Lines>
  <Paragraphs>9</Paragraphs>
  <TotalTime>0</TotalTime>
  <ScaleCrop>false</ScaleCrop>
  <LinksUpToDate>false</LinksUpToDate>
  <CharactersWithSpaces>4704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2022-05-23T08:57:00Z</dcterms:created>
  <dc:creator>咸鱼粥</dc:creator>
  <cp:lastModifiedBy>咸鱼粥</cp:lastModifiedBy>
  <dcterms:modified xsi:type="dcterms:W3CDTF">2022-05-27T08:41:05Z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82E2EC2FAFB54F79B8A7FCF7EEDCEEC0</vt:lpwstr>
  </property>
</Properties>
</file>