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spacing w:line="560" w:lineRule="exact"/>
        <w:jc w:val="center"/>
        <w:rPr>
          <w:rFonts w:eastAsia="宋体"/>
          <w:b/>
          <w:sz w:val="36"/>
          <w:szCs w:val="36"/>
        </w:rPr>
      </w:pPr>
      <w:r>
        <w:rPr>
          <w:rFonts w:hint="eastAsia" w:eastAsia="宋体"/>
          <w:b/>
          <w:sz w:val="36"/>
          <w:szCs w:val="36"/>
        </w:rPr>
        <w:t>农村公路建养专项经费及补助资金项目</w:t>
      </w:r>
    </w:p>
    <w:p>
      <w:pPr>
        <w:shd w:val="clear" w:color="auto" w:fill="FFFFFF" w:themeFill="background1"/>
        <w:spacing w:line="560" w:lineRule="exact"/>
        <w:jc w:val="center"/>
        <w:rPr>
          <w:rFonts w:eastAsia="宋体"/>
          <w:b/>
          <w:sz w:val="36"/>
          <w:szCs w:val="36"/>
        </w:rPr>
      </w:pPr>
      <w:r>
        <w:rPr>
          <w:rFonts w:hint="eastAsia" w:eastAsia="宋体"/>
          <w:b/>
          <w:sz w:val="36"/>
          <w:szCs w:val="36"/>
        </w:rPr>
        <w:t>自评结果</w:t>
      </w:r>
    </w:p>
    <w:p>
      <w:pPr>
        <w:pStyle w:val="8"/>
        <w:shd w:val="clear" w:color="auto" w:fill="FFFFFF" w:themeFill="background1"/>
        <w:spacing w:line="560" w:lineRule="exact"/>
        <w:ind w:firstLine="0" w:firstLineChars="0"/>
        <w:jc w:val="center"/>
        <w:outlineLvl w:val="9"/>
        <w:rPr>
          <w:rFonts w:ascii="楷体" w:hAnsi="楷体" w:eastAsia="楷体" w:cs="楷体"/>
          <w:b/>
          <w:sz w:val="32"/>
        </w:rPr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pStyle w:val="8"/>
        <w:shd w:val="clear" w:color="auto" w:fill="FFFFFF" w:themeFill="background1"/>
        <w:spacing w:line="560" w:lineRule="exact"/>
        <w:ind w:firstLine="643"/>
        <w:jc w:val="both"/>
        <w:outlineLvl w:val="0"/>
        <w:rPr>
          <w:rFonts w:ascii="Times New Roman" w:hAnsi="Times New Roman" w:eastAsia="黑体"/>
          <w:b/>
          <w:sz w:val="32"/>
        </w:rPr>
      </w:pPr>
      <w:r>
        <w:rPr>
          <w:rFonts w:hint="eastAsia" w:ascii="Times New Roman" w:hAnsi="Times New Roman" w:eastAsia="黑体"/>
          <w:b/>
          <w:sz w:val="32"/>
        </w:rPr>
        <w:t>一、自评结论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2021年农村公路建养专项经费及补助资金项目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</w:rPr>
        <w:t>99</w:t>
      </w:r>
      <w:r>
        <w:rPr>
          <w:rFonts w:hint="eastAsia" w:eastAsia="仿宋"/>
          <w:sz w:val="32"/>
          <w:szCs w:val="32"/>
          <w:lang w:val="en-US" w:eastAsia="zh-CN"/>
        </w:rPr>
        <w:t>.00</w:t>
      </w:r>
      <w:r>
        <w:rPr>
          <w:rFonts w:hint="eastAsia" w:eastAsia="仿宋"/>
          <w:sz w:val="32"/>
          <w:szCs w:val="32"/>
        </w:rPr>
        <w:t>分</w:t>
      </w:r>
      <w:r>
        <w:rPr>
          <w:rFonts w:eastAsia="仿宋"/>
          <w:sz w:val="32"/>
          <w:szCs w:val="32"/>
        </w:rPr>
        <w:t>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执行率情况。</w:t>
      </w:r>
      <w:r>
        <w:rPr>
          <w:rFonts w:hint="eastAsia" w:eastAsia="仿宋"/>
          <w:sz w:val="32"/>
          <w:szCs w:val="32"/>
        </w:rPr>
        <w:t>本项目</w:t>
      </w:r>
      <w:r>
        <w:rPr>
          <w:rFonts w:eastAsia="仿宋"/>
          <w:sz w:val="32"/>
          <w:szCs w:val="32"/>
        </w:rPr>
        <w:t>预算总额</w:t>
      </w:r>
      <w:r>
        <w:rPr>
          <w:rFonts w:hint="eastAsia" w:eastAsia="仿宋"/>
          <w:sz w:val="32"/>
          <w:szCs w:val="32"/>
        </w:rPr>
        <w:t>772.86</w:t>
      </w:r>
      <w:r>
        <w:rPr>
          <w:rFonts w:eastAsia="仿宋"/>
          <w:sz w:val="32"/>
          <w:szCs w:val="32"/>
        </w:rPr>
        <w:t>万元，执行数</w:t>
      </w:r>
      <w:r>
        <w:rPr>
          <w:rFonts w:hint="eastAsia" w:eastAsia="仿宋"/>
          <w:sz w:val="32"/>
          <w:szCs w:val="32"/>
        </w:rPr>
        <w:t>735.20</w:t>
      </w:r>
      <w:r>
        <w:rPr>
          <w:rFonts w:eastAsia="仿宋"/>
          <w:sz w:val="32"/>
          <w:szCs w:val="32"/>
        </w:rPr>
        <w:t>万元，预算执行率</w:t>
      </w:r>
      <w:r>
        <w:rPr>
          <w:rFonts w:hint="eastAsia" w:eastAsia="仿宋"/>
          <w:sz w:val="32"/>
          <w:szCs w:val="32"/>
        </w:rPr>
        <w:t>95.13%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完成的绩效目标。项目共设置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个绩效指标，完成了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个。资金使用规范，项目产出较好，并取得了较好的社会效益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未完成的绩效目标。</w:t>
      </w:r>
      <w:r>
        <w:rPr>
          <w:rFonts w:hint="eastAsia" w:eastAsia="仿宋"/>
          <w:sz w:val="32"/>
          <w:szCs w:val="32"/>
        </w:rPr>
        <w:t>本项目没有未完成的绩效目标。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上年度绩效评价结果应用情况</w:t>
      </w:r>
    </w:p>
    <w:p>
      <w:pPr>
        <w:widowControl/>
        <w:spacing w:line="560" w:lineRule="exact"/>
        <w:ind w:firstLine="640" w:firstLineChars="200"/>
        <w:rPr>
          <w:rFonts w:eastAsia="仿宋"/>
          <w:b/>
          <w:bCs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上年度实施了绩效自评并形成了项目自评表。对上年度绩效评价结果的具体应用体现在对绩效指标进行了补充，新增了数量指标“县乡道日常巡视次数”、可持续影响指标“促进农村公路建养可持续”，更直观的反应了项目的产出效果和可持续性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 xml:space="preserve">2. 本年度绩效存在的问题和原因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年度绩效目标设置不合理。本项目2021年项目申报表中项目年度绩效指标的“指标内容”和“指标值”填写不规范。例如，社会效益指标的指标内容表述为“改善路面环境与各街道投诉反馈率，安全隐患整改率。确保全区农村公路日常养护覆盖率及安全畅通保障度”，指标内容过于繁杂，应进行简化。笼统地将时效指标和效益指标的指标值设置为不低于95%，如时效指标“日常养护按季完成目标任务”指标值设置为“≥95%”、经济效益指标“促进各街道区域经济快速发展”指标值设置为“≥95%”，这些指标值未与指标内容相结合，不能体现指标的实际工作目标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下一步拟改进措施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  <w:highlight w:val="none"/>
        </w:rPr>
      </w:pPr>
      <w:r>
        <w:rPr>
          <w:rFonts w:hint="eastAsia" w:eastAsia="仿宋"/>
          <w:sz w:val="32"/>
          <w:szCs w:val="32"/>
        </w:rPr>
        <w:t>梳理项目内容，合理设置绩效目标。</w:t>
      </w:r>
      <w:r>
        <w:rPr>
          <w:rFonts w:eastAsia="仿宋"/>
          <w:sz w:val="32"/>
          <w:szCs w:val="32"/>
        </w:rPr>
        <w:t>紧贴年度工作计划和要点，制定科学合理的绩效目标和年度指标值。</w:t>
      </w:r>
      <w:r>
        <w:rPr>
          <w:rFonts w:hint="eastAsia" w:eastAsia="仿宋"/>
          <w:sz w:val="32"/>
          <w:szCs w:val="32"/>
        </w:rPr>
        <w:t>通过本次自评，在第三方专业机构的辅导下</w:t>
      </w:r>
      <w:r>
        <w:rPr>
          <w:rFonts w:hint="eastAsia" w:eastAsia="仿宋"/>
          <w:sz w:val="32"/>
          <w:szCs w:val="32"/>
          <w:highlight w:val="none"/>
        </w:rPr>
        <w:t>，完善本项目绩效指标</w:t>
      </w:r>
      <w:r>
        <w:rPr>
          <w:rFonts w:hint="eastAsia" w:eastAsia="仿宋"/>
          <w:sz w:val="32"/>
          <w:szCs w:val="32"/>
          <w:highlight w:val="none"/>
          <w:lang w:eastAsia="zh-CN"/>
        </w:rPr>
        <w:t>，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调整社会效益指标为“安全畅通保障度”，</w:t>
      </w:r>
      <w:r>
        <w:rPr>
          <w:rFonts w:hint="eastAsia" w:eastAsia="仿宋"/>
          <w:sz w:val="32"/>
          <w:szCs w:val="32"/>
          <w:highlight w:val="none"/>
        </w:rPr>
        <w:t>时效指标和效益指标的指标值根据工作目标与计划进行调整。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2. 拟与预算安排相结合情况。</w:t>
      </w:r>
    </w:p>
    <w:p>
      <w:pPr>
        <w:widowControl/>
        <w:spacing w:line="560" w:lineRule="exact"/>
        <w:ind w:firstLine="640" w:firstLineChars="200"/>
      </w:pPr>
      <w:r>
        <w:rPr>
          <w:rFonts w:hint="eastAsia" w:eastAsia="仿宋"/>
          <w:sz w:val="32"/>
          <w:szCs w:val="32"/>
        </w:rPr>
        <w:t>本项目预算执行率高，但绩效指标设置不够规范</w:t>
      </w:r>
      <w:r>
        <w:rPr>
          <w:rFonts w:eastAsia="仿宋"/>
          <w:sz w:val="32"/>
          <w:szCs w:val="32"/>
        </w:rPr>
        <w:t>。</w:t>
      </w:r>
      <w:r>
        <w:rPr>
          <w:rFonts w:hint="eastAsia" w:eastAsia="仿宋"/>
          <w:sz w:val="32"/>
          <w:szCs w:val="32"/>
        </w:rPr>
        <w:t>通过本次自评，梳理项目内容，完善绩效指标编制。拟将社会效益指标调整为“安全畅通保障度”，各项指标值根据工作目标与计划进行调整。</w:t>
      </w:r>
    </w:p>
    <w:p>
      <w:pPr>
        <w:keepNext/>
        <w:keepLines/>
        <w:shd w:val="clear" w:color="auto" w:fill="FFFFFF" w:themeFill="background1"/>
        <w:spacing w:line="560" w:lineRule="exact"/>
        <w:ind w:firstLine="640" w:firstLineChars="200"/>
        <w:contextualSpacing/>
        <w:jc w:val="left"/>
        <w:rPr>
          <w:rFonts w:eastAsia="楷体"/>
          <w:sz w:val="32"/>
          <w:szCs w:val="32"/>
        </w:rPr>
      </w:pPr>
      <w:r>
        <w:rPr>
          <w:rFonts w:hint="eastAsia" w:eastAsia="楷体"/>
          <w:sz w:val="32"/>
          <w:szCs w:val="32"/>
        </w:rPr>
        <w:t>附件：农村公路建养专项经费及补助资金项目自评表</w:t>
      </w:r>
    </w:p>
    <w:p>
      <w:pPr>
        <w:rPr>
          <w:rFonts w:eastAsia="楷体"/>
          <w:sz w:val="32"/>
          <w:szCs w:val="32"/>
        </w:rPr>
      </w:pPr>
      <w:r>
        <w:rPr>
          <w:rFonts w:hint="eastAsia" w:eastAsia="楷体"/>
          <w:sz w:val="32"/>
          <w:szCs w:val="32"/>
        </w:rPr>
        <w:br w:type="page"/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</w:pPr>
      <w:bookmarkStart w:id="0" w:name="_Toc28163"/>
      <w:r>
        <w:rPr>
          <w:rFonts w:hint="eastAsia" w:ascii="Times New Roman" w:hAnsi="Times New Roman" w:eastAsia="楷体" w:cs="Times New Roman"/>
        </w:rPr>
        <w:t xml:space="preserve">附件： </w:t>
      </w:r>
      <w:bookmarkEnd w:id="0"/>
    </w:p>
    <w:p>
      <w:pPr>
        <w:pStyle w:val="2"/>
        <w:jc w:val="center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农村公路建养专项经费及补助资金项目自评表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16"/>
        <w:gridCol w:w="983"/>
        <w:gridCol w:w="1797"/>
        <w:gridCol w:w="1820"/>
        <w:gridCol w:w="1212"/>
        <w:gridCol w:w="1190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农村公路建养专项经费及补助资金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1534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武汉经济技术开发区（汉南区）住房和城乡建设局</w:t>
            </w:r>
          </w:p>
        </w:tc>
        <w:tc>
          <w:tcPr>
            <w:tcW w:w="1004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项目实施单位</w:t>
            </w:r>
          </w:p>
        </w:tc>
        <w:tc>
          <w:tcPr>
            <w:tcW w:w="1778" w:type="pct"/>
            <w:gridSpan w:val="3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武汉经济技术开发区（汉南区）住房和城乡建设局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项目类别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1.部门预算项目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sym w:font="Wingdings" w:char="00FE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2.财政专项资金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sym w:font="Wingdings" w:char="00A8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项目属性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1.持续性项目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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  2.新增性项目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1.常年性项目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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  2.延续性项目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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3.一次性项目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预算执行情况（万元）(20分）</w:t>
            </w: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预算数（A）</w:t>
            </w:r>
          </w:p>
        </w:tc>
        <w:tc>
          <w:tcPr>
            <w:tcW w:w="1004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执行数（B）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执行率（B/A）</w:t>
            </w:r>
          </w:p>
        </w:tc>
        <w:tc>
          <w:tcPr>
            <w:tcW w:w="1109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得分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年度财政资金总额</w:t>
            </w:r>
          </w:p>
        </w:tc>
        <w:tc>
          <w:tcPr>
            <w:tcW w:w="99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772.86 </w:t>
            </w:r>
          </w:p>
        </w:tc>
        <w:tc>
          <w:tcPr>
            <w:tcW w:w="1004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735.20 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95.13%</w:t>
            </w:r>
          </w:p>
        </w:tc>
        <w:tc>
          <w:tcPr>
            <w:tcW w:w="1109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19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年度绩效目标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（80分） 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一级      指标</w:t>
            </w: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年初目标值（A）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实际完成值（B）</w:t>
            </w:r>
          </w:p>
        </w:tc>
        <w:tc>
          <w:tcPr>
            <w:tcW w:w="452" w:type="pct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产出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指标（40分） </w:t>
            </w:r>
          </w:p>
        </w:tc>
        <w:tc>
          <w:tcPr>
            <w:tcW w:w="542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数量指标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（20分）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农村公路日常养护公里数（7分）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529.7公里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529.7公里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农村公路养护工程完成数（7分）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3个街道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4个街道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tabs>
                <w:tab w:val="left" w:pos="1073"/>
              </w:tabs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县乡道日常巡视频次（6分）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2次/天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2次/天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质量指标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（10分）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农村公路日常养护质量检评达标率（5分）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养护工程验收合格率（5分）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时效指标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（10分）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日常养护完成及时性（5分）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及时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及时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建设工程完工及时性（5分）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  <w:t>100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效益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（40分）</w:t>
            </w: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社会效益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（15分）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安全畅通保障度（15分）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经济效益（15分）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促进各街道区域经济快速发展（15分）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促进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促进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可持续影响（10分）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农村公路建养可持续（10分）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可持续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可持续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4658" w:type="pct"/>
            <w:gridSpan w:val="7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99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24" w:type="pct"/>
            <w:gridSpan w:val="3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偏差大或目标未完成原因分析</w:t>
            </w:r>
          </w:p>
        </w:tc>
        <w:tc>
          <w:tcPr>
            <w:tcW w:w="3775" w:type="pct"/>
            <w:gridSpan w:val="5"/>
            <w:shd w:val="clear" w:color="auto" w:fill="FFFFFF" w:themeFill="background1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预算执行率未达到100%，因为部分养护工程中标价格与预算金额有差异，导致预算执行率未达到100%，节约了财政资金。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224" w:type="pct"/>
            <w:gridSpan w:val="3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改进措施及结果应用方案</w:t>
            </w:r>
          </w:p>
        </w:tc>
        <w:tc>
          <w:tcPr>
            <w:tcW w:w="3775" w:type="pct"/>
            <w:gridSpan w:val="5"/>
            <w:shd w:val="clear" w:color="auto" w:fill="FFFFFF" w:themeFill="background1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加强预算资金管理，提高预算资金预测准确性。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注</w:t>
            </w:r>
            <w:r>
              <w:rPr>
                <w:rStyle w:val="24"/>
                <w:rFonts w:hint="default"/>
                <w:color w:val="auto"/>
                <w:lang w:bidi="ar"/>
              </w:rPr>
              <w:t>: 1.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预算执行情况口径</w:t>
            </w:r>
            <w:r>
              <w:rPr>
                <w:rStyle w:val="24"/>
                <w:rFonts w:hint="default"/>
                <w:color w:val="auto"/>
                <w:lang w:bidi="ar"/>
              </w:rPr>
              <w:t xml:space="preserve">: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预算数为调整后财政资金总额（包括上年结余结转</w:t>
            </w:r>
            <w:r>
              <w:rPr>
                <w:rStyle w:val="24"/>
                <w:rFonts w:hint="default"/>
                <w:color w:val="auto"/>
                <w:lang w:bidi="ar"/>
              </w:rPr>
              <w:t>），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执行数为资金使用单位财政资金实际支出数。</w:t>
            </w:r>
            <w:r>
              <w:rPr>
                <w:rStyle w:val="24"/>
                <w:rFonts w:hint="default"/>
                <w:color w:val="auto"/>
                <w:lang w:bidi="ar"/>
              </w:rPr>
              <w:br w:type="textWrapping"/>
            </w:r>
            <w:r>
              <w:rPr>
                <w:rStyle w:val="24"/>
                <w:rFonts w:hint="default"/>
                <w:color w:val="auto"/>
                <w:lang w:bidi="ar"/>
              </w:rPr>
              <w:t xml:space="preserve">    2.定量指标完成数汇总原则：绝对值直接累加计算，相对值按照资金额度加权平均计算。定量指标计分原则：正向指标（即目标值≥X，得分=权重*B/A），反向指标（即目标值≤X，得分=权重*A/B），得分不得突破权重总额，定量指标先汇总完成数，再计算得分。</w:t>
            </w:r>
            <w:r>
              <w:rPr>
                <w:rStyle w:val="24"/>
                <w:rFonts w:hint="default"/>
                <w:color w:val="auto"/>
                <w:lang w:bidi="ar"/>
              </w:rPr>
              <w:br w:type="textWrapping"/>
            </w:r>
            <w:r>
              <w:rPr>
                <w:rStyle w:val="24"/>
                <w:rFonts w:hint="default"/>
                <w:color w:val="auto"/>
                <w:lang w:bidi="ar"/>
              </w:rPr>
              <w:t xml:space="preserve">    3.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定性指标分档原则</w:t>
            </w:r>
            <w:r>
              <w:rPr>
                <w:rStyle w:val="24"/>
                <w:rFonts w:hint="default"/>
                <w:color w:val="auto"/>
                <w:lang w:bidi="ar"/>
              </w:rPr>
              <w:t>: 分成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达成预期指标、部分达成预期指标并具有一定效果、未达成预期指标且效果较差三档，分别按照该指标对应分值区间100-80%（含80%）、80-50%</w:t>
            </w:r>
            <w:r>
              <w:rPr>
                <w:rStyle w:val="24"/>
                <w:rFonts w:hint="default"/>
                <w:color w:val="auto"/>
                <w:lang w:bidi="ar"/>
              </w:rPr>
              <w:t xml:space="preserve"> （含50%）、50-0% 合理确定分值。汇总时，以资金额度为权重，对分值进行加权平均计算。</w:t>
            </w:r>
            <w:r>
              <w:rPr>
                <w:rStyle w:val="24"/>
                <w:rFonts w:hint="default"/>
                <w:color w:val="auto"/>
                <w:lang w:bidi="ar"/>
              </w:rPr>
              <w:br w:type="textWrapping"/>
            </w:r>
            <w:r>
              <w:rPr>
                <w:rStyle w:val="24"/>
                <w:rFonts w:hint="default"/>
                <w:color w:val="auto"/>
                <w:lang w:bidi="ar"/>
              </w:rPr>
              <w:t xml:space="preserve">    4.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基于经济性和必要性等因素考虑，满意度指标暂可不作为必评指标。</w:t>
            </w:r>
          </w:p>
        </w:tc>
      </w:tr>
    </w:tbl>
    <w:p>
      <w:pPr>
        <w:pStyle w:val="2"/>
        <w:jc w:val="center"/>
        <w:rPr>
          <w:rFonts w:eastAsia="仿宋"/>
          <w:color w:val="000000"/>
          <w:kern w:val="0"/>
          <w:sz w:val="32"/>
          <w:szCs w:val="32"/>
        </w:rPr>
      </w:pPr>
    </w:p>
    <w:p>
      <w:pPr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br w:type="page"/>
      </w:r>
    </w:p>
    <w:p>
      <w:pPr>
        <w:pStyle w:val="8"/>
        <w:numPr>
          <w:ilvl w:val="0"/>
          <w:numId w:val="1"/>
        </w:numPr>
        <w:shd w:val="clear" w:color="auto" w:fill="FFFFFF" w:themeFill="background1"/>
        <w:spacing w:line="560" w:lineRule="exact"/>
        <w:ind w:firstLine="643"/>
        <w:jc w:val="both"/>
        <w:outlineLvl w:val="0"/>
        <w:rPr>
          <w:rFonts w:ascii="Times New Roman" w:hAnsi="Times New Roman" w:eastAsia="黑体"/>
          <w:b/>
          <w:sz w:val="32"/>
        </w:rPr>
      </w:pPr>
      <w:r>
        <w:rPr>
          <w:rFonts w:hint="eastAsia" w:ascii="Times New Roman" w:hAnsi="Times New Roman" w:eastAsia="黑体"/>
          <w:b/>
          <w:sz w:val="32"/>
        </w:rPr>
        <w:t>佐证材料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项目立项目的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  <w:lang w:val="zh-CN"/>
        </w:rPr>
        <w:t>根据</w:t>
      </w:r>
      <w:r>
        <w:rPr>
          <w:rFonts w:hint="eastAsia" w:eastAsia="仿宋"/>
          <w:sz w:val="32"/>
          <w:szCs w:val="32"/>
        </w:rPr>
        <w:t>交通运输部《农村公路养护管理暂行办法》、《湖北省农村公路条例》、《武汉市农村公路养护管理办法》、《武汉市农村公路养护管理实施细则》、《市财政局关于下达2021年农村公路建养市级补助资金的通知》（武财建〔2021〕226号）、《市财政局关于下达2021年农村公路建养市级补助资金的通知》（武财建〔2021〕468号）</w:t>
      </w:r>
      <w:r>
        <w:rPr>
          <w:rFonts w:hint="eastAsia" w:ascii="仿宋" w:hAnsi="仿宋" w:eastAsia="仿宋" w:cs="仿宋"/>
          <w:sz w:val="32"/>
          <w:szCs w:val="32"/>
        </w:rPr>
        <w:t>等文件精神，市局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下达我区</w:t>
      </w:r>
      <w:r>
        <w:rPr>
          <w:rFonts w:hint="eastAsia" w:ascii="仿宋" w:hAnsi="仿宋" w:eastAsia="仿宋" w:cs="仿宋"/>
          <w:sz w:val="32"/>
          <w:szCs w:val="32"/>
        </w:rPr>
        <w:t>农村公路建（养）专项经费、农村公路建养市级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补助资金</w:t>
      </w:r>
      <w:r>
        <w:rPr>
          <w:rFonts w:hint="eastAsia" w:ascii="仿宋" w:hAnsi="仿宋" w:eastAsia="仿宋" w:cs="仿宋"/>
          <w:sz w:val="32"/>
          <w:szCs w:val="32"/>
        </w:rPr>
        <w:t>共计772.86万元</w:t>
      </w:r>
      <w:r>
        <w:rPr>
          <w:rFonts w:hint="eastAsia" w:eastAsia="仿宋"/>
          <w:sz w:val="32"/>
          <w:szCs w:val="32"/>
        </w:rPr>
        <w:t>，为加快预算执行进度、加强资金监管，加强我区农村公路管养水平，保障人民群众生产生活出行安全通畅，我单位设立农村公路建养专项经费项目。</w:t>
      </w:r>
    </w:p>
    <w:p>
      <w:pPr>
        <w:widowControl/>
        <w:spacing w:line="560" w:lineRule="exact"/>
        <w:ind w:firstLine="643" w:firstLineChars="200"/>
        <w:rPr>
          <w:rFonts w:eastAsia="仿宋"/>
          <w:sz w:val="32"/>
          <w:szCs w:val="32"/>
        </w:rPr>
      </w:pPr>
      <w:r>
        <w:rPr>
          <w:rFonts w:hint="eastAsia" w:eastAsia="仿宋"/>
          <w:b/>
          <w:bCs/>
          <w:sz w:val="32"/>
          <w:szCs w:val="32"/>
        </w:rPr>
        <w:t>2. 年度绩效目标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已填报绩效目标，部分绩效指标设置不规范，不能全面反应项目的产出和效果，根据项目主要工作任务，将本项目绩效目标调整如下：农村公路日常养护公里数529.7公里，农村公路养护工程完成3个街道，县乡道日常巡视频次2次/天，农村公路日常养护质量检评达标率≥95%，养护工程验收合格率≥95%，日常养护完成及时，建设工程完工及时，安全畅通保障度提升，促进各街道区域经济快速发展，农村公路建养可持续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3. 项目资金情况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</w:t>
      </w:r>
      <w:r>
        <w:rPr>
          <w:rFonts w:hint="eastAsia" w:eastAsia="仿宋"/>
          <w:sz w:val="32"/>
          <w:szCs w:val="32"/>
        </w:rPr>
        <w:t>为持续常年性项目，当年项目预算</w:t>
      </w:r>
      <w:r>
        <w:rPr>
          <w:rFonts w:eastAsia="仿宋"/>
          <w:sz w:val="32"/>
          <w:szCs w:val="32"/>
        </w:rPr>
        <w:t>资金</w:t>
      </w:r>
      <w:r>
        <w:rPr>
          <w:rFonts w:hint="eastAsia" w:eastAsia="仿宋"/>
          <w:sz w:val="32"/>
          <w:szCs w:val="32"/>
        </w:rPr>
        <w:t>共计772.86</w:t>
      </w:r>
      <w:r>
        <w:rPr>
          <w:rFonts w:eastAsia="仿宋"/>
          <w:sz w:val="32"/>
          <w:szCs w:val="32"/>
        </w:rPr>
        <w:t>万元，</w:t>
      </w:r>
      <w:r>
        <w:rPr>
          <w:rFonts w:hint="eastAsia" w:eastAsia="仿宋"/>
          <w:sz w:val="32"/>
          <w:szCs w:val="32"/>
        </w:rPr>
        <w:t>资金来源于上级转移支付资金。本项目实际到位资金772.86</w:t>
      </w:r>
      <w:r>
        <w:rPr>
          <w:rFonts w:eastAsia="仿宋"/>
          <w:sz w:val="32"/>
          <w:szCs w:val="32"/>
        </w:rPr>
        <w:t>万元</w:t>
      </w:r>
      <w:r>
        <w:rPr>
          <w:rFonts w:hint="eastAsia" w:eastAsia="仿宋"/>
          <w:sz w:val="32"/>
          <w:szCs w:val="32"/>
        </w:rPr>
        <w:t>，实际使用资金735.20万元，主要用于支付2021年东荆街、邓南街、纱帽街、军山街、湘口街农村公路日常养护费用，2021年邓南街邓滩线、渔池路、公墓路、五度横路、下沟路养护工程费用，2021年东荆街纱东路、双纱路、双东路养护工程费用，2021年军山街道汉肖线养护大修工程费用，2021年湘口街汉协路养护工程费用，预算执行率95.13%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本次自评时间从202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15</w:t>
      </w:r>
      <w:r>
        <w:rPr>
          <w:rFonts w:eastAsia="仿宋"/>
          <w:sz w:val="32"/>
          <w:szCs w:val="32"/>
        </w:rPr>
        <w:t>日至202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25</w:t>
      </w:r>
      <w:r>
        <w:rPr>
          <w:rFonts w:eastAsia="仿宋"/>
          <w:sz w:val="32"/>
          <w:szCs w:val="32"/>
        </w:rPr>
        <w:t>日，历时</w:t>
      </w:r>
      <w:r>
        <w:rPr>
          <w:rFonts w:hint="eastAsia" w:eastAsia="仿宋"/>
          <w:sz w:val="32"/>
          <w:szCs w:val="32"/>
        </w:rPr>
        <w:t>11日</w:t>
      </w:r>
      <w:r>
        <w:rPr>
          <w:rFonts w:eastAsia="仿宋"/>
          <w:sz w:val="32"/>
          <w:szCs w:val="32"/>
        </w:rPr>
        <w:t>。自评工作程序如下：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制定工作方案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项目自评工作方案由区住建局会同第三方机构共同研究制订，根据部门主要负责同志要求和武汉经济技术开发区（汉南区）财政局发布的《关于开展</w:t>
      </w:r>
      <w:r>
        <w:rPr>
          <w:rFonts w:eastAsia="仿宋"/>
          <w:sz w:val="32"/>
          <w:szCs w:val="32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年预算绩效评价及项目支出绩效运行监控的通知》（武经开财〔</w:t>
      </w:r>
      <w:r>
        <w:rPr>
          <w:rFonts w:eastAsia="仿宋"/>
          <w:sz w:val="32"/>
          <w:szCs w:val="32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eastAsia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号）启动部门自评工作。启动项目自评工作。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2. 组织实施自评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财务部门会同第三方机构及时成立工作组，通过调研访谈、</w:t>
      </w:r>
      <w:r>
        <w:rPr>
          <w:rFonts w:hint="eastAsia" w:eastAsia="仿宋"/>
          <w:sz w:val="32"/>
          <w:szCs w:val="32"/>
        </w:rPr>
        <w:t>电话沟通</w:t>
      </w:r>
      <w:r>
        <w:rPr>
          <w:rFonts w:eastAsia="仿宋"/>
          <w:sz w:val="32"/>
          <w:szCs w:val="32"/>
        </w:rPr>
        <w:t>等方式收集、核实数据和信息，并对这些数据和信息进行整理分析。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3. 撰写部门自评结果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在整理分析基础上，形成部门自评结果。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4. 建立部门自评档案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项目自评结果按时报送相应资金管理科室并及时归档备查。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bCs/>
          <w:kern w:val="0"/>
          <w:sz w:val="32"/>
          <w:szCs w:val="32"/>
        </w:rPr>
      </w:pPr>
      <w:r>
        <w:rPr>
          <w:rFonts w:eastAsia="仿宋"/>
          <w:b/>
          <w:bCs/>
          <w:kern w:val="0"/>
          <w:sz w:val="32"/>
          <w:szCs w:val="32"/>
        </w:rPr>
        <w:t>1. 预算执行情况分析（满分20分，得分</w:t>
      </w:r>
      <w:r>
        <w:rPr>
          <w:rFonts w:hint="eastAsia" w:eastAsia="仿宋"/>
          <w:b/>
          <w:bCs/>
          <w:kern w:val="0"/>
          <w:sz w:val="32"/>
          <w:szCs w:val="32"/>
        </w:rPr>
        <w:t>19</w:t>
      </w:r>
      <w:r>
        <w:rPr>
          <w:rFonts w:eastAsia="仿宋"/>
          <w:b/>
          <w:bCs/>
          <w:kern w:val="0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本项目202</w:t>
      </w:r>
      <w:r>
        <w:rPr>
          <w:rFonts w:hint="eastAsia"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年实际到位资金</w:t>
      </w:r>
      <w:r>
        <w:rPr>
          <w:rFonts w:hint="eastAsia" w:eastAsia="仿宋"/>
          <w:sz w:val="32"/>
          <w:szCs w:val="32"/>
        </w:rPr>
        <w:t>772.86</w:t>
      </w:r>
      <w:r>
        <w:rPr>
          <w:rFonts w:eastAsia="仿宋"/>
          <w:sz w:val="32"/>
          <w:szCs w:val="32"/>
        </w:rPr>
        <w:t>万元，资金到位率</w:t>
      </w:r>
      <w:r>
        <w:rPr>
          <w:rFonts w:hint="eastAsia" w:eastAsia="仿宋"/>
          <w:sz w:val="32"/>
          <w:szCs w:val="32"/>
        </w:rPr>
        <w:t>100%</w:t>
      </w:r>
      <w:r>
        <w:rPr>
          <w:rFonts w:eastAsia="仿宋"/>
          <w:sz w:val="32"/>
          <w:szCs w:val="32"/>
        </w:rPr>
        <w:t>。实际支出资金</w:t>
      </w:r>
      <w:r>
        <w:rPr>
          <w:rFonts w:hint="eastAsia" w:eastAsia="仿宋"/>
          <w:sz w:val="32"/>
          <w:szCs w:val="32"/>
        </w:rPr>
        <w:t>735.2</w:t>
      </w:r>
      <w:r>
        <w:rPr>
          <w:rFonts w:eastAsia="仿宋"/>
          <w:sz w:val="32"/>
          <w:szCs w:val="32"/>
        </w:rPr>
        <w:t>万元，预算执行率为</w:t>
      </w:r>
      <w:r>
        <w:rPr>
          <w:rFonts w:hint="eastAsia" w:eastAsia="仿宋"/>
          <w:sz w:val="32"/>
          <w:szCs w:val="32"/>
        </w:rPr>
        <w:t>95.13%</w:t>
      </w:r>
      <w:r>
        <w:rPr>
          <w:rFonts w:eastAsia="仿宋"/>
          <w:sz w:val="32"/>
          <w:szCs w:val="32"/>
        </w:rPr>
        <w:t>。</w:t>
      </w:r>
      <w:r>
        <w:rPr>
          <w:rFonts w:hint="eastAsia" w:eastAsia="仿宋"/>
          <w:sz w:val="32"/>
          <w:szCs w:val="32"/>
        </w:rPr>
        <w:t>预算执行情况较好。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bCs/>
          <w:kern w:val="0"/>
          <w:sz w:val="32"/>
          <w:szCs w:val="32"/>
        </w:rPr>
      </w:pPr>
      <w:r>
        <w:rPr>
          <w:rFonts w:hint="eastAsia" w:eastAsia="仿宋"/>
          <w:b/>
          <w:bCs/>
          <w:kern w:val="0"/>
          <w:sz w:val="32"/>
          <w:szCs w:val="32"/>
        </w:rPr>
        <w:t>2. 绩效目标完成情况分析（满分80分，得分80分）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产出指标</w:t>
      </w:r>
      <w:r>
        <w:rPr>
          <w:rFonts w:eastAsia="仿宋"/>
          <w:sz w:val="32"/>
          <w:szCs w:val="32"/>
        </w:rPr>
        <w:t>完成情况分析</w:t>
      </w:r>
      <w:r>
        <w:rPr>
          <w:rFonts w:hint="eastAsia"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</w:rPr>
        <w:t>40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40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</w:rPr>
        <w:t>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①农村公路日常养护公里数：满分7分，得分7分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农村公路日常养护公里数达529.7公里。通过与第三方签订日常养护合同，2021年对纱帽街69.849公里、邓南街157.09公里、湘口街121.956公里、东荆街乌金农场18.91公里、东荆街东城垸农场100.814公里、军山街61.07公里总计529.689公里的农村公路进行了养护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②农村公路养护工程完成数：满分7分，得分7分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农村公路养护工程完成3个街道。2021年开展了邓南街邓滩线、渔池路、公墓路、五度横路、下沟路养护工程，东荆街纱东路、双纱路、双东路养护工程，军山街道汉肖线养护大修工程，湘口街汉协路养护工程，共计4个街道的养护工程工作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③县乡道日常巡视频次：满分6分，得分6分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目标为2次/天。汉南公路局对各街道农村公路日常养护完成情况按季度进行考核，2021年四个季度各个街道考评结果均为合格，县乡道日常巡视频次达到2次/天，完成目标。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④农村公路日常养护质量检评达标率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农村公路日常养护质量检评达标率≥95%。汉南公路局2021年全年对农村公路日常养护共进行了四次现场检查工作，东荆街、邓南街、湘口街、军山街、纱帽街五个街道考评结果均为合格，路面整洁，无堆积物、无抛洒物，道路两侧树枝修剪及时，各种标志标牌醒目，农村公路日常养护质量检评达标率为100%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⑤养护工程验收合格率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养护工程验收合格率≥95%。2021年开展的邓南街邓滩线、渔池路、公墓路、五度横路、下沟路养护工程，东荆街纱东路、双纱路、双东路养护工程，军山街道汉肖线养护大修工程，湘口街汉协路养护工程均已完工并进行验收，验收合格率达100%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⑥日常养护完成及时性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日常养护完成及时。2021年进行的东荆街、邓南街、湘口街、军山街、纱帽街五个街道的农村公路日常养护均进行了季度考核，及时修剪路肩杂草、及时清挖边沟、及时修整路基边坡，常年无冲沟和缺口，日常养护完成及时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⑦养护工程完成及时性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养护工程完成及时。2021年开展的邓南街邓滩线、渔池路、公墓路、五度横路、下沟路养护工程，东荆街纱东路、双纱路、双东路养护工程，军山街道汉肖线养护大修工程，湘口街汉协路养护工程均在合同规定时间内完工并进行验收，养护工程完成及时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</w:rPr>
        <w:t>效益</w:t>
      </w:r>
      <w:r>
        <w:rPr>
          <w:rFonts w:eastAsia="仿宋"/>
          <w:sz w:val="32"/>
          <w:szCs w:val="32"/>
        </w:rPr>
        <w:t>指标完成情况分析（满分</w:t>
      </w:r>
      <w:r>
        <w:rPr>
          <w:rFonts w:hint="eastAsia" w:eastAsia="仿宋"/>
          <w:sz w:val="32"/>
          <w:szCs w:val="32"/>
        </w:rPr>
        <w:t>40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40</w:t>
      </w:r>
      <w:r>
        <w:rPr>
          <w:rFonts w:eastAsia="仿宋"/>
          <w:sz w:val="32"/>
          <w:szCs w:val="32"/>
        </w:rPr>
        <w:t>分）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①安全畅通保障度：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</w:rPr>
        <w:t>15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15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目标为安全畅通保障度提升。2021年通过实施农村公路日常养护和养护工程，农村公路安全畅通保障度得到明显提升，完成目标。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②促进各街道区域经济快速发展：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</w:rPr>
        <w:t>15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15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目标为促进各街道区域经济快速发展。通过本项目实施，保护了农村公路建设成果，保障了农村公路安全通畅，更好的服务农村经济建设和人民群众生产生活出行，促进了各街道区域经济的快速发展，完成目标。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③农村公路建养可持续：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目标为农村公路建养可持续发展。本项目有场地支持、人员支持、经费支持，可保障农村公路建养可持续，完成目标。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上年度实施了绩效自评并形成了项目自评表。对上年度绩效评价结果的具体应用体现在对绩效指标进行了补充，新增了数量指标“县乡道日常巡视次数”、可持续影响指标“促进农村公路建养可持续”，更直观的反应了项目的产出效果和可持续性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无。</w:t>
      </w:r>
    </w:p>
    <w:p>
      <w:pPr>
        <w:pStyle w:val="4"/>
        <w:rPr>
          <w:rFonts w:eastAsia="仿宋"/>
          <w:sz w:val="32"/>
          <w:szCs w:val="32"/>
        </w:rPr>
      </w:pPr>
    </w:p>
    <w:p/>
    <w:p>
      <w:pPr>
        <w:widowControl/>
        <w:spacing w:line="560" w:lineRule="exact"/>
        <w:ind w:firstLine="480" w:firstLineChars="200"/>
        <w:jc w:val="right"/>
        <w:rPr>
          <w:rFonts w:eastAsia="仿宋"/>
          <w:sz w:val="32"/>
          <w:szCs w:val="32"/>
        </w:rPr>
      </w:pPr>
      <w:r>
        <w:rPr>
          <w:rFonts w:eastAsia="宋体"/>
          <w:color w:val="000000"/>
          <w:kern w:val="0"/>
          <w:sz w:val="24"/>
        </w:rPr>
        <w:t xml:space="preserve">　          </w:t>
      </w:r>
      <w:bookmarkStart w:id="1" w:name="_GoBack"/>
      <w:r>
        <w:rPr>
          <w:rFonts w:hint="eastAsia" w:eastAsia="仿宋"/>
          <w:sz w:val="32"/>
          <w:szCs w:val="32"/>
          <w:highlight w:val="none"/>
        </w:rPr>
        <w:t>武汉经济技术开发区（汉南区）住房和城乡建设局</w:t>
      </w:r>
      <w:bookmarkEnd w:id="1"/>
    </w:p>
    <w:p>
      <w:pPr>
        <w:widowControl/>
        <w:wordWrap w:val="0"/>
        <w:spacing w:line="560" w:lineRule="exact"/>
        <w:ind w:firstLine="5120" w:firstLineChars="1600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25</w:t>
      </w:r>
      <w:r>
        <w:rPr>
          <w:rFonts w:eastAsia="仿宋"/>
          <w:sz w:val="32"/>
          <w:szCs w:val="32"/>
        </w:rPr>
        <w:t>日</w:t>
      </w:r>
      <w:r>
        <w:rPr>
          <w:rFonts w:hint="eastAsia" w:eastAsia="仿宋"/>
          <w:sz w:val="32"/>
          <w:szCs w:val="32"/>
        </w:rPr>
        <w:t xml:space="preserve">            </w:t>
      </w:r>
    </w:p>
    <w:p>
      <w:pPr>
        <w:widowControl/>
        <w:spacing w:after="240" w:line="432" w:lineRule="atLeast"/>
        <w:jc w:val="left"/>
        <w:rPr>
          <w:rFonts w:eastAsia="宋体"/>
          <w:color w:val="000000"/>
          <w:kern w:val="0"/>
          <w:sz w:val="24"/>
        </w:rPr>
      </w:pPr>
    </w:p>
    <w:p>
      <w:pPr>
        <w:widowControl/>
        <w:spacing w:after="240" w:line="432" w:lineRule="atLeast"/>
        <w:jc w:val="left"/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0E357"/>
    <w:multiLevelType w:val="singleLevel"/>
    <w:tmpl w:val="DEE0E35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BlMWY2NTQ2NDIyMWY5YTUxZDk4NzYwNTFiZDllMTAifQ=="/>
  </w:docVars>
  <w:rsids>
    <w:rsidRoot w:val="00172A27"/>
    <w:rsid w:val="000101E1"/>
    <w:rsid w:val="00020084"/>
    <w:rsid w:val="00057FFB"/>
    <w:rsid w:val="000732DA"/>
    <w:rsid w:val="00075CDC"/>
    <w:rsid w:val="000B1E8F"/>
    <w:rsid w:val="00103D16"/>
    <w:rsid w:val="0013720E"/>
    <w:rsid w:val="00164D84"/>
    <w:rsid w:val="00172A27"/>
    <w:rsid w:val="001C5A40"/>
    <w:rsid w:val="001D628A"/>
    <w:rsid w:val="00203D57"/>
    <w:rsid w:val="00250053"/>
    <w:rsid w:val="00287C3C"/>
    <w:rsid w:val="00292605"/>
    <w:rsid w:val="002D4D5D"/>
    <w:rsid w:val="00332F8B"/>
    <w:rsid w:val="0039432D"/>
    <w:rsid w:val="003A26A2"/>
    <w:rsid w:val="003A3275"/>
    <w:rsid w:val="003C6374"/>
    <w:rsid w:val="00415F7C"/>
    <w:rsid w:val="004531B5"/>
    <w:rsid w:val="005D07CE"/>
    <w:rsid w:val="005F1193"/>
    <w:rsid w:val="006A453E"/>
    <w:rsid w:val="006B653B"/>
    <w:rsid w:val="007553C7"/>
    <w:rsid w:val="00785AF7"/>
    <w:rsid w:val="007A1DC2"/>
    <w:rsid w:val="007D7B7E"/>
    <w:rsid w:val="008A20F2"/>
    <w:rsid w:val="008B50FA"/>
    <w:rsid w:val="00941D97"/>
    <w:rsid w:val="009F652F"/>
    <w:rsid w:val="00A72CA8"/>
    <w:rsid w:val="00AA2B82"/>
    <w:rsid w:val="00AC315F"/>
    <w:rsid w:val="00CC152C"/>
    <w:rsid w:val="00D63908"/>
    <w:rsid w:val="00DD09A2"/>
    <w:rsid w:val="00DD16E3"/>
    <w:rsid w:val="00E02E05"/>
    <w:rsid w:val="00E54B40"/>
    <w:rsid w:val="00ED6D53"/>
    <w:rsid w:val="00EE6F1A"/>
    <w:rsid w:val="00F10473"/>
    <w:rsid w:val="00F437B4"/>
    <w:rsid w:val="00F57F82"/>
    <w:rsid w:val="00F65A94"/>
    <w:rsid w:val="00F75963"/>
    <w:rsid w:val="00FA357A"/>
    <w:rsid w:val="01745D0A"/>
    <w:rsid w:val="02C86339"/>
    <w:rsid w:val="03623055"/>
    <w:rsid w:val="037D0BC8"/>
    <w:rsid w:val="065D1221"/>
    <w:rsid w:val="06F022F4"/>
    <w:rsid w:val="0845082D"/>
    <w:rsid w:val="094115EA"/>
    <w:rsid w:val="096A663E"/>
    <w:rsid w:val="09E965F2"/>
    <w:rsid w:val="0A87714B"/>
    <w:rsid w:val="0AFB7E8A"/>
    <w:rsid w:val="0CBF575D"/>
    <w:rsid w:val="0D660F6F"/>
    <w:rsid w:val="0E825F20"/>
    <w:rsid w:val="0EBA438E"/>
    <w:rsid w:val="0F2B63C0"/>
    <w:rsid w:val="10426B40"/>
    <w:rsid w:val="10793D4A"/>
    <w:rsid w:val="11D7196B"/>
    <w:rsid w:val="122A5159"/>
    <w:rsid w:val="13511532"/>
    <w:rsid w:val="139840D3"/>
    <w:rsid w:val="143E091F"/>
    <w:rsid w:val="14865FC8"/>
    <w:rsid w:val="150C2DB0"/>
    <w:rsid w:val="17322A70"/>
    <w:rsid w:val="17C34C75"/>
    <w:rsid w:val="1A8E0BC2"/>
    <w:rsid w:val="1B515EE3"/>
    <w:rsid w:val="1BB80B76"/>
    <w:rsid w:val="1BF721F6"/>
    <w:rsid w:val="1C125FA5"/>
    <w:rsid w:val="1CD14DDA"/>
    <w:rsid w:val="1CE94882"/>
    <w:rsid w:val="1D5A705D"/>
    <w:rsid w:val="1E761F05"/>
    <w:rsid w:val="1FC7205C"/>
    <w:rsid w:val="20522F58"/>
    <w:rsid w:val="211537CA"/>
    <w:rsid w:val="21167BF2"/>
    <w:rsid w:val="228B3D05"/>
    <w:rsid w:val="24E4263B"/>
    <w:rsid w:val="253E0865"/>
    <w:rsid w:val="27125C45"/>
    <w:rsid w:val="276E7926"/>
    <w:rsid w:val="286D5E37"/>
    <w:rsid w:val="28A61929"/>
    <w:rsid w:val="2AC72633"/>
    <w:rsid w:val="2B195812"/>
    <w:rsid w:val="2DF34CC0"/>
    <w:rsid w:val="2FD80396"/>
    <w:rsid w:val="2FE17116"/>
    <w:rsid w:val="31EC0BC7"/>
    <w:rsid w:val="37604735"/>
    <w:rsid w:val="37C25012"/>
    <w:rsid w:val="37C877E9"/>
    <w:rsid w:val="38EF7AD8"/>
    <w:rsid w:val="391179DE"/>
    <w:rsid w:val="3AC26D8D"/>
    <w:rsid w:val="3AD60F72"/>
    <w:rsid w:val="3B115675"/>
    <w:rsid w:val="3C0E10D0"/>
    <w:rsid w:val="3DD6679A"/>
    <w:rsid w:val="3E06382C"/>
    <w:rsid w:val="3E1672E6"/>
    <w:rsid w:val="3E185929"/>
    <w:rsid w:val="3E427927"/>
    <w:rsid w:val="3E612FB7"/>
    <w:rsid w:val="3EE947C1"/>
    <w:rsid w:val="40763FCB"/>
    <w:rsid w:val="40931DD7"/>
    <w:rsid w:val="415F08D8"/>
    <w:rsid w:val="42B46536"/>
    <w:rsid w:val="42D86547"/>
    <w:rsid w:val="433B52D2"/>
    <w:rsid w:val="434010BE"/>
    <w:rsid w:val="44A95196"/>
    <w:rsid w:val="44DC6F9E"/>
    <w:rsid w:val="44E2230F"/>
    <w:rsid w:val="4549266A"/>
    <w:rsid w:val="46F9107C"/>
    <w:rsid w:val="48B51347"/>
    <w:rsid w:val="4A55216A"/>
    <w:rsid w:val="4AAE000A"/>
    <w:rsid w:val="4B3509A2"/>
    <w:rsid w:val="4D4F4973"/>
    <w:rsid w:val="4F7E7282"/>
    <w:rsid w:val="4FE0696A"/>
    <w:rsid w:val="51ED16D1"/>
    <w:rsid w:val="51FD19E1"/>
    <w:rsid w:val="52C0009F"/>
    <w:rsid w:val="52EF5B6B"/>
    <w:rsid w:val="5408455A"/>
    <w:rsid w:val="543B5F7F"/>
    <w:rsid w:val="54B70621"/>
    <w:rsid w:val="55673508"/>
    <w:rsid w:val="55D05801"/>
    <w:rsid w:val="56005A12"/>
    <w:rsid w:val="57433FBA"/>
    <w:rsid w:val="58587667"/>
    <w:rsid w:val="59595A6F"/>
    <w:rsid w:val="599330CA"/>
    <w:rsid w:val="5A4C3EF6"/>
    <w:rsid w:val="5A7023CC"/>
    <w:rsid w:val="5A8958C0"/>
    <w:rsid w:val="5B0D23FC"/>
    <w:rsid w:val="5C314A66"/>
    <w:rsid w:val="5D847EF4"/>
    <w:rsid w:val="5DB076C2"/>
    <w:rsid w:val="5E367F56"/>
    <w:rsid w:val="5EED033A"/>
    <w:rsid w:val="5F4015DE"/>
    <w:rsid w:val="60D5009F"/>
    <w:rsid w:val="63DF1591"/>
    <w:rsid w:val="65D630D8"/>
    <w:rsid w:val="660721C9"/>
    <w:rsid w:val="661E6C75"/>
    <w:rsid w:val="67C06E04"/>
    <w:rsid w:val="67F75FF5"/>
    <w:rsid w:val="67F92678"/>
    <w:rsid w:val="681D4831"/>
    <w:rsid w:val="692E4B19"/>
    <w:rsid w:val="69513EF7"/>
    <w:rsid w:val="69BE2A6F"/>
    <w:rsid w:val="6A3413E5"/>
    <w:rsid w:val="6BF3256F"/>
    <w:rsid w:val="6CE7018A"/>
    <w:rsid w:val="6E3E3F2D"/>
    <w:rsid w:val="715B2F02"/>
    <w:rsid w:val="715C69F2"/>
    <w:rsid w:val="7281713A"/>
    <w:rsid w:val="74292DBE"/>
    <w:rsid w:val="74AB21C0"/>
    <w:rsid w:val="76834D9A"/>
    <w:rsid w:val="76A548F2"/>
    <w:rsid w:val="76D57B87"/>
    <w:rsid w:val="7765772E"/>
    <w:rsid w:val="77867685"/>
    <w:rsid w:val="77F04540"/>
    <w:rsid w:val="781F36B6"/>
    <w:rsid w:val="7820224C"/>
    <w:rsid w:val="78976937"/>
    <w:rsid w:val="790627AD"/>
    <w:rsid w:val="7A5069D3"/>
    <w:rsid w:val="7ADC59FA"/>
    <w:rsid w:val="7AF01040"/>
    <w:rsid w:val="7B5E0429"/>
    <w:rsid w:val="7BDC27DF"/>
    <w:rsid w:val="7DDD794F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font1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31"/>
    <w:basedOn w:val="10"/>
    <w:qFormat/>
    <w:uiPriority w:val="0"/>
    <w:rPr>
      <w:rFonts w:hint="default" w:ascii="仿宋" w:hAnsi="仿宋" w:eastAsia="仿宋" w:cs="仿宋"/>
      <w:color w:val="000000"/>
      <w:sz w:val="20"/>
      <w:szCs w:val="20"/>
      <w:u w:val="none"/>
    </w:rPr>
  </w:style>
  <w:style w:type="character" w:customStyle="1" w:styleId="18">
    <w:name w:val="font5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41"/>
    <w:basedOn w:val="10"/>
    <w:qFormat/>
    <w:uiPriority w:val="0"/>
    <w:rPr>
      <w:rFonts w:hint="default" w:ascii="仿宋" w:hAnsi="仿宋" w:eastAsia="仿宋" w:cs="仿宋"/>
      <w:color w:val="000000"/>
      <w:sz w:val="20"/>
      <w:szCs w:val="20"/>
      <w:u w:val="none"/>
    </w:rPr>
  </w:style>
  <w:style w:type="character" w:customStyle="1" w:styleId="20">
    <w:name w:val="font01"/>
    <w:basedOn w:val="10"/>
    <w:qFormat/>
    <w:uiPriority w:val="0"/>
    <w:rPr>
      <w:rFonts w:hint="default" w:ascii="Wingdings" w:hAnsi="Wingdings" w:cs="Wingdings"/>
      <w:color w:val="000000"/>
      <w:sz w:val="20"/>
      <w:szCs w:val="20"/>
      <w:u w:val="none"/>
    </w:rPr>
  </w:style>
  <w:style w:type="character" w:customStyle="1" w:styleId="21">
    <w:name w:val="font6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7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81"/>
    <w:basedOn w:val="10"/>
    <w:qFormat/>
    <w:uiPriority w:val="0"/>
    <w:rPr>
      <w:rFonts w:hint="default" w:ascii="Wingdings" w:hAnsi="Wingdings" w:cs="Wingdings"/>
      <w:color w:val="000000"/>
      <w:sz w:val="20"/>
      <w:szCs w:val="20"/>
      <w:u w:val="none"/>
    </w:rPr>
  </w:style>
  <w:style w:type="character" w:customStyle="1" w:styleId="24">
    <w:name w:val="font9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4260</Words>
  <Characters>4600</Characters>
  <Lines>6</Lines>
  <Paragraphs>9</Paragraphs>
  <TotalTime>0</TotalTime>
  <ScaleCrop>false</ScaleCrop>
  <LinksUpToDate>false</LinksUpToDate>
  <CharactersWithSpaces>4858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咸鱼粥</cp:lastModifiedBy>
  <cp:lastPrinted>2020-12-04T01:52:00Z</cp:lastPrinted>
  <dcterms:modified xsi:type="dcterms:W3CDTF">2022-05-27T08:37:32Z</dcterms:modified>
  <dc:title>财政支出绩效评价报告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F046DCF3D2AA4F90B92B78F67B14494E</vt:lpwstr>
  </property>
</Properties>
</file>