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themeFill="background1"/>
        <w:spacing w:line="560" w:lineRule="exact"/>
        <w:jc w:val="center"/>
        <w:rPr>
          <w:rFonts w:eastAsia="宋体"/>
          <w:b/>
          <w:sz w:val="36"/>
          <w:szCs w:val="36"/>
        </w:rPr>
      </w:pPr>
      <w:r>
        <w:rPr>
          <w:rFonts w:hint="eastAsia" w:eastAsia="宋体"/>
          <w:b/>
          <w:sz w:val="36"/>
          <w:szCs w:val="36"/>
        </w:rPr>
        <w:t>2021年度龙卷风灾后修复重建项目</w:t>
      </w:r>
    </w:p>
    <w:p>
      <w:pPr>
        <w:shd w:val="clear" w:color="auto" w:fill="FFFFFF" w:themeFill="background1"/>
        <w:spacing w:line="560" w:lineRule="exact"/>
        <w:jc w:val="center"/>
        <w:rPr>
          <w:rFonts w:eastAsia="宋体"/>
          <w:b/>
          <w:sz w:val="36"/>
          <w:szCs w:val="36"/>
        </w:rPr>
      </w:pPr>
      <w:r>
        <w:rPr>
          <w:rFonts w:hint="eastAsia" w:eastAsia="宋体"/>
          <w:b/>
          <w:sz w:val="36"/>
          <w:szCs w:val="36"/>
        </w:rPr>
        <w:t>自评结果</w:t>
      </w:r>
    </w:p>
    <w:p>
      <w:pPr>
        <w:pStyle w:val="5"/>
        <w:shd w:val="clear" w:color="auto" w:fill="FFFFFF" w:themeFill="background1"/>
        <w:spacing w:line="560" w:lineRule="exact"/>
        <w:ind w:firstLine="0" w:firstLineChars="0"/>
        <w:jc w:val="center"/>
        <w:outlineLvl w:val="9"/>
        <w:rPr>
          <w:rFonts w:ascii="楷体" w:hAnsi="楷体" w:eastAsia="楷体" w:cs="楷体"/>
          <w:b/>
          <w:sz w:val="32"/>
        </w:rPr>
      </w:pPr>
      <w:r>
        <w:rPr>
          <w:rFonts w:hint="eastAsia" w:ascii="楷体" w:hAnsi="楷体" w:eastAsia="楷体" w:cs="楷体"/>
          <w:b/>
          <w:sz w:val="32"/>
        </w:rPr>
        <w:t>（缩略版）</w:t>
      </w:r>
    </w:p>
    <w:p>
      <w:pPr>
        <w:pStyle w:val="5"/>
        <w:shd w:val="clear" w:color="auto" w:fill="FFFFFF" w:themeFill="background1"/>
        <w:spacing w:line="560" w:lineRule="exact"/>
        <w:ind w:firstLine="643"/>
        <w:jc w:val="both"/>
        <w:outlineLvl w:val="0"/>
        <w:rPr>
          <w:rFonts w:ascii="Times New Roman" w:hAnsi="Times New Roman" w:eastAsia="黑体"/>
          <w:b/>
          <w:sz w:val="32"/>
        </w:rPr>
      </w:pPr>
      <w:r>
        <w:rPr>
          <w:rFonts w:hint="eastAsia" w:ascii="Times New Roman" w:hAnsi="Times New Roman" w:eastAsia="黑体"/>
          <w:b/>
          <w:sz w:val="32"/>
        </w:rPr>
        <w:t>一、自评结论</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（一）自评得分</w:t>
      </w:r>
    </w:p>
    <w:p>
      <w:pPr>
        <w:widowControl/>
        <w:spacing w:line="560" w:lineRule="exact"/>
        <w:ind w:firstLine="640" w:firstLineChars="200"/>
        <w:rPr>
          <w:rFonts w:eastAsia="仿宋"/>
          <w:sz w:val="32"/>
          <w:szCs w:val="32"/>
        </w:rPr>
      </w:pPr>
      <w:r>
        <w:rPr>
          <w:rFonts w:eastAsia="仿宋"/>
          <w:sz w:val="32"/>
          <w:szCs w:val="32"/>
        </w:rPr>
        <w:t>202</w:t>
      </w:r>
      <w:r>
        <w:rPr>
          <w:rFonts w:hint="eastAsia" w:eastAsia="仿宋"/>
          <w:sz w:val="32"/>
          <w:szCs w:val="32"/>
        </w:rPr>
        <w:t>1</w:t>
      </w:r>
      <w:r>
        <w:rPr>
          <w:rFonts w:eastAsia="仿宋"/>
          <w:sz w:val="32"/>
          <w:szCs w:val="32"/>
        </w:rPr>
        <w:t>年度</w:t>
      </w:r>
      <w:r>
        <w:rPr>
          <w:rFonts w:hint="eastAsia" w:eastAsia="仿宋"/>
          <w:sz w:val="32"/>
          <w:szCs w:val="32"/>
        </w:rPr>
        <w:t>龙卷风灾后修复重建项目</w:t>
      </w:r>
      <w:r>
        <w:rPr>
          <w:rFonts w:eastAsia="仿宋"/>
          <w:sz w:val="32"/>
          <w:szCs w:val="32"/>
        </w:rPr>
        <w:t>绩效评价综合得分为</w:t>
      </w:r>
      <w:r>
        <w:rPr>
          <w:rFonts w:hint="eastAsia" w:eastAsia="仿宋"/>
          <w:sz w:val="32"/>
          <w:szCs w:val="32"/>
        </w:rPr>
        <w:t>94.7</w:t>
      </w:r>
      <w:r>
        <w:rPr>
          <w:rFonts w:hint="eastAsia" w:eastAsia="仿宋"/>
          <w:sz w:val="32"/>
          <w:szCs w:val="32"/>
          <w:lang w:val="en-US" w:eastAsia="zh-CN"/>
        </w:rPr>
        <w:t>0</w:t>
      </w:r>
      <w:r>
        <w:rPr>
          <w:rFonts w:eastAsia="仿宋"/>
          <w:sz w:val="32"/>
          <w:szCs w:val="32"/>
        </w:rPr>
        <w:t>分。</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（二）绩效目标完成情况</w:t>
      </w:r>
    </w:p>
    <w:p>
      <w:pPr>
        <w:widowControl/>
        <w:spacing w:line="560" w:lineRule="exact"/>
        <w:ind w:firstLine="640" w:firstLineChars="200"/>
        <w:rPr>
          <w:rFonts w:eastAsia="仿宋"/>
          <w:sz w:val="32"/>
          <w:szCs w:val="32"/>
        </w:rPr>
      </w:pPr>
      <w:r>
        <w:rPr>
          <w:rFonts w:eastAsia="仿宋"/>
          <w:sz w:val="32"/>
          <w:szCs w:val="32"/>
        </w:rPr>
        <w:t>1.</w:t>
      </w:r>
      <w:r>
        <w:rPr>
          <w:rFonts w:hint="eastAsia" w:eastAsia="仿宋"/>
          <w:sz w:val="32"/>
          <w:szCs w:val="32"/>
        </w:rPr>
        <w:t xml:space="preserve"> </w:t>
      </w:r>
      <w:r>
        <w:rPr>
          <w:rFonts w:eastAsia="仿宋"/>
          <w:sz w:val="32"/>
          <w:szCs w:val="32"/>
        </w:rPr>
        <w:t>执行率情况。202</w:t>
      </w:r>
      <w:r>
        <w:rPr>
          <w:rFonts w:hint="eastAsia" w:eastAsia="仿宋"/>
          <w:sz w:val="32"/>
          <w:szCs w:val="32"/>
        </w:rPr>
        <w:t>1</w:t>
      </w:r>
      <w:r>
        <w:rPr>
          <w:rFonts w:eastAsia="仿宋"/>
          <w:sz w:val="32"/>
          <w:szCs w:val="32"/>
        </w:rPr>
        <w:t>年度</w:t>
      </w:r>
      <w:r>
        <w:rPr>
          <w:rFonts w:hint="eastAsia" w:eastAsia="仿宋"/>
          <w:sz w:val="32"/>
          <w:szCs w:val="32"/>
        </w:rPr>
        <w:t>龙卷风灾后修复重建项目</w:t>
      </w:r>
      <w:r>
        <w:rPr>
          <w:rFonts w:eastAsia="仿宋"/>
          <w:sz w:val="32"/>
          <w:szCs w:val="32"/>
        </w:rPr>
        <w:t>预算总额</w:t>
      </w:r>
      <w:r>
        <w:rPr>
          <w:rFonts w:hint="eastAsia" w:eastAsia="仿宋"/>
          <w:sz w:val="32"/>
          <w:szCs w:val="32"/>
        </w:rPr>
        <w:t>1138.82</w:t>
      </w:r>
      <w:r>
        <w:rPr>
          <w:rFonts w:eastAsia="仿宋"/>
          <w:sz w:val="32"/>
          <w:szCs w:val="32"/>
        </w:rPr>
        <w:t>万元，执行数</w:t>
      </w:r>
      <w:r>
        <w:rPr>
          <w:rFonts w:hint="eastAsia" w:eastAsia="仿宋"/>
          <w:sz w:val="32"/>
          <w:szCs w:val="32"/>
        </w:rPr>
        <w:t>1119.44</w:t>
      </w:r>
      <w:r>
        <w:rPr>
          <w:rFonts w:eastAsia="仿宋"/>
          <w:sz w:val="32"/>
          <w:szCs w:val="32"/>
        </w:rPr>
        <w:t>万元，预算执行率</w:t>
      </w:r>
      <w:r>
        <w:rPr>
          <w:rFonts w:hint="eastAsia" w:eastAsia="仿宋"/>
          <w:sz w:val="32"/>
          <w:szCs w:val="32"/>
        </w:rPr>
        <w:t>98.30</w:t>
      </w:r>
      <w:r>
        <w:rPr>
          <w:rFonts w:eastAsia="仿宋"/>
          <w:sz w:val="32"/>
          <w:szCs w:val="32"/>
        </w:rPr>
        <w:t>%。</w:t>
      </w:r>
    </w:p>
    <w:p>
      <w:pPr>
        <w:widowControl/>
        <w:spacing w:line="560" w:lineRule="exact"/>
        <w:ind w:firstLine="640" w:firstLineChars="200"/>
        <w:rPr>
          <w:rFonts w:eastAsia="仿宋"/>
          <w:sz w:val="32"/>
          <w:szCs w:val="32"/>
        </w:rPr>
      </w:pPr>
      <w:r>
        <w:rPr>
          <w:rFonts w:eastAsia="仿宋"/>
          <w:sz w:val="32"/>
          <w:szCs w:val="32"/>
        </w:rPr>
        <w:t>2.</w:t>
      </w:r>
      <w:r>
        <w:rPr>
          <w:rFonts w:hint="eastAsia" w:eastAsia="仿宋"/>
          <w:sz w:val="32"/>
          <w:szCs w:val="32"/>
        </w:rPr>
        <w:t xml:space="preserve"> </w:t>
      </w:r>
      <w:r>
        <w:rPr>
          <w:rFonts w:eastAsia="仿宋"/>
          <w:sz w:val="32"/>
          <w:szCs w:val="32"/>
        </w:rPr>
        <w:t>完成的绩效目标。项目共设置</w:t>
      </w:r>
      <w:r>
        <w:rPr>
          <w:rFonts w:hint="eastAsia" w:eastAsia="仿宋"/>
          <w:sz w:val="32"/>
          <w:szCs w:val="32"/>
        </w:rPr>
        <w:t>11</w:t>
      </w:r>
      <w:r>
        <w:rPr>
          <w:rFonts w:eastAsia="仿宋"/>
          <w:sz w:val="32"/>
          <w:szCs w:val="32"/>
        </w:rPr>
        <w:t>个绩效指标，完成了</w:t>
      </w:r>
      <w:r>
        <w:rPr>
          <w:rFonts w:hint="eastAsia" w:eastAsia="仿宋"/>
          <w:sz w:val="32"/>
          <w:szCs w:val="32"/>
        </w:rPr>
        <w:t>10</w:t>
      </w:r>
      <w:r>
        <w:rPr>
          <w:rFonts w:eastAsia="仿宋"/>
          <w:sz w:val="32"/>
          <w:szCs w:val="32"/>
        </w:rPr>
        <w:t>个。资金使用较为规范，项目产出较好，并取得了较好的社会效益</w:t>
      </w:r>
      <w:r>
        <w:rPr>
          <w:rFonts w:hint="eastAsia" w:eastAsia="仿宋"/>
          <w:sz w:val="32"/>
          <w:szCs w:val="32"/>
        </w:rPr>
        <w:t>。</w:t>
      </w:r>
    </w:p>
    <w:p>
      <w:pPr>
        <w:widowControl/>
        <w:spacing w:line="560" w:lineRule="exact"/>
        <w:ind w:firstLine="640" w:firstLineChars="200"/>
        <w:rPr>
          <w:rFonts w:eastAsia="仿宋"/>
          <w:sz w:val="32"/>
          <w:szCs w:val="32"/>
        </w:rPr>
      </w:pPr>
      <w:r>
        <w:rPr>
          <w:rFonts w:eastAsia="仿宋"/>
          <w:sz w:val="32"/>
          <w:szCs w:val="32"/>
        </w:rPr>
        <w:t>3.</w:t>
      </w:r>
      <w:r>
        <w:rPr>
          <w:rFonts w:hint="eastAsia" w:eastAsia="仿宋"/>
          <w:sz w:val="32"/>
          <w:szCs w:val="32"/>
        </w:rPr>
        <w:t xml:space="preserve"> </w:t>
      </w:r>
      <w:r>
        <w:rPr>
          <w:rFonts w:eastAsia="仿宋"/>
          <w:sz w:val="32"/>
          <w:szCs w:val="32"/>
        </w:rPr>
        <w:t>未完成的绩效目标。</w:t>
      </w:r>
      <w:r>
        <w:rPr>
          <w:rFonts w:hint="eastAsia" w:eastAsia="仿宋"/>
          <w:sz w:val="32"/>
          <w:szCs w:val="32"/>
        </w:rPr>
        <w:t>“灾后桥梁重建工程完成及时性”年度目标值是及时，实际完成值为不及时。</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（三）存在的问题和原因</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上年度绩效评价结果应用情况</w:t>
      </w:r>
    </w:p>
    <w:p>
      <w:pPr>
        <w:widowControl/>
        <w:spacing w:line="560" w:lineRule="exact"/>
        <w:ind w:firstLine="640" w:firstLineChars="200"/>
        <w:rPr>
          <w:rFonts w:eastAsia="仿宋"/>
          <w:sz w:val="32"/>
          <w:szCs w:val="32"/>
        </w:rPr>
      </w:pPr>
      <w:r>
        <w:rPr>
          <w:rFonts w:hint="eastAsia" w:ascii="仿宋" w:hAnsi="仿宋" w:eastAsia="仿宋" w:cs="仿宋"/>
          <w:color w:val="000000"/>
          <w:kern w:val="0"/>
          <w:sz w:val="32"/>
          <w:szCs w:val="32"/>
        </w:rPr>
        <w:t>该项目为本年度新增项目，年中发生风灾等极端天气用于灾后有轨电车车辆基地修复重建、桥梁重建、路灯照明设施修复重建而设立，上年度无对应绩效评价。</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 xml:space="preserve">2. 本年度绩效存在的问题和原因                                                                                                                               </w:t>
      </w:r>
    </w:p>
    <w:p>
      <w:pPr>
        <w:widowControl/>
        <w:spacing w:line="560" w:lineRule="exact"/>
        <w:ind w:firstLine="640" w:firstLineChars="200"/>
        <w:rPr>
          <w:rFonts w:eastAsia="仿宋"/>
          <w:sz w:val="32"/>
          <w:szCs w:val="32"/>
        </w:rPr>
      </w:pPr>
      <w:r>
        <w:rPr>
          <w:rFonts w:hint="eastAsia" w:eastAsia="仿宋"/>
          <w:sz w:val="32"/>
          <w:szCs w:val="32"/>
          <w:highlight w:val="none"/>
          <w:lang w:val="en-US" w:eastAsia="zh-CN"/>
        </w:rPr>
        <w:t>工程项目管理不够严格，</w:t>
      </w:r>
      <w:r>
        <w:rPr>
          <w:rFonts w:hint="eastAsia" w:eastAsia="仿宋"/>
          <w:sz w:val="32"/>
          <w:szCs w:val="32"/>
          <w:highlight w:val="none"/>
        </w:rPr>
        <w:t>本年度时效指标“灾后桥梁重建工程完成及时性”未完成，</w:t>
      </w:r>
      <w:r>
        <w:rPr>
          <w:rFonts w:hint="eastAsia" w:eastAsia="仿宋"/>
          <w:sz w:val="32"/>
          <w:szCs w:val="32"/>
          <w:highlight w:val="none"/>
          <w:lang w:val="en-US" w:eastAsia="zh-CN"/>
        </w:rPr>
        <w:t>实际完成值为“不及时”，</w:t>
      </w:r>
      <w:r>
        <w:rPr>
          <w:rFonts w:hint="eastAsia" w:eastAsia="仿宋"/>
          <w:sz w:val="32"/>
          <w:szCs w:val="32"/>
          <w:highlight w:val="none"/>
        </w:rPr>
        <w:t>该工程合同约定竣工日期为2022年1月9日，</w:t>
      </w:r>
      <w:r>
        <w:rPr>
          <w:rFonts w:hint="eastAsia" w:eastAsia="仿宋"/>
          <w:sz w:val="32"/>
          <w:szCs w:val="32"/>
          <w:highlight w:val="none"/>
          <w:lang w:val="en-US" w:eastAsia="zh-CN"/>
        </w:rPr>
        <w:t>截至</w:t>
      </w:r>
      <w:r>
        <w:rPr>
          <w:rFonts w:hint="eastAsia" w:eastAsia="仿宋"/>
          <w:sz w:val="32"/>
          <w:szCs w:val="32"/>
          <w:highlight w:val="none"/>
        </w:rPr>
        <w:t>目前尚未完工。同时未</w:t>
      </w:r>
      <w:r>
        <w:rPr>
          <w:rFonts w:hint="eastAsia" w:ascii="仿宋" w:hAnsi="仿宋" w:eastAsia="仿宋" w:cs="仿宋"/>
          <w:sz w:val="32"/>
          <w:szCs w:val="28"/>
          <w:highlight w:val="none"/>
        </w:rPr>
        <w:t>在预算申报时同步进行绩效目标的申报。</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（四）下一步拟改进措施</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下一步拟改进措施</w:t>
      </w:r>
      <w:bookmarkStart w:id="1" w:name="_GoBack"/>
      <w:bookmarkEnd w:id="1"/>
    </w:p>
    <w:p>
      <w:pPr>
        <w:widowControl/>
        <w:spacing w:line="560" w:lineRule="exact"/>
        <w:ind w:firstLine="640" w:firstLineChars="200"/>
        <w:rPr>
          <w:rFonts w:eastAsia="仿宋"/>
          <w:sz w:val="32"/>
          <w:szCs w:val="32"/>
        </w:rPr>
      </w:pPr>
      <w:r>
        <w:rPr>
          <w:rFonts w:hint="eastAsia" w:eastAsia="仿宋"/>
          <w:sz w:val="32"/>
          <w:szCs w:val="32"/>
          <w:highlight w:val="none"/>
        </w:rPr>
        <w:t>加强绩效监控，确保绩效目标完成。下一步应加强项目管理，确保工程如期完工。</w:t>
      </w:r>
      <w:r>
        <w:rPr>
          <w:rFonts w:hint="eastAsia" w:eastAsia="仿宋"/>
          <w:sz w:val="32"/>
          <w:szCs w:val="32"/>
          <w:highlight w:val="none"/>
          <w:lang w:val="en-US" w:eastAsia="zh-CN"/>
        </w:rPr>
        <w:t>同时</w:t>
      </w:r>
      <w:r>
        <w:rPr>
          <w:rFonts w:hint="eastAsia" w:ascii="仿宋" w:hAnsi="仿宋" w:eastAsia="仿宋" w:cs="仿宋"/>
          <w:sz w:val="32"/>
          <w:szCs w:val="28"/>
          <w:highlight w:val="none"/>
        </w:rPr>
        <w:t>提高预算绩效目标指标编制水平，在预算申报时同步进行绩效目标的申报。</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2. 拟与预算安排相结合情况。</w:t>
      </w:r>
    </w:p>
    <w:p>
      <w:pPr>
        <w:widowControl/>
        <w:spacing w:line="560" w:lineRule="exact"/>
        <w:ind w:firstLine="640" w:firstLineChars="200"/>
        <w:rPr>
          <w:rFonts w:eastAsia="仿宋"/>
          <w:sz w:val="32"/>
          <w:szCs w:val="32"/>
        </w:rPr>
      </w:pPr>
      <w:r>
        <w:rPr>
          <w:rFonts w:hint="eastAsia" w:eastAsia="仿宋"/>
          <w:sz w:val="32"/>
          <w:szCs w:val="32"/>
        </w:rPr>
        <w:t>本项目预算执行率高，但没有在</w:t>
      </w:r>
      <w:r>
        <w:rPr>
          <w:rFonts w:hint="eastAsia" w:ascii="仿宋" w:hAnsi="仿宋" w:eastAsia="仿宋" w:cs="仿宋"/>
          <w:sz w:val="32"/>
          <w:szCs w:val="28"/>
        </w:rPr>
        <w:t>预算申报时同步进行绩效目标的申报</w:t>
      </w:r>
      <w:r>
        <w:rPr>
          <w:rFonts w:eastAsia="仿宋"/>
          <w:sz w:val="32"/>
          <w:szCs w:val="32"/>
        </w:rPr>
        <w:t>。</w:t>
      </w:r>
      <w:r>
        <w:rPr>
          <w:rFonts w:hint="eastAsia" w:eastAsia="仿宋"/>
          <w:sz w:val="32"/>
          <w:szCs w:val="32"/>
        </w:rPr>
        <w:t>通过本次自评，梳理项目内容，完善绩效指标编制。</w:t>
      </w:r>
    </w:p>
    <w:p>
      <w:pPr>
        <w:pStyle w:val="2"/>
      </w:pPr>
    </w:p>
    <w:p>
      <w:pPr>
        <w:keepNext/>
        <w:keepLines/>
        <w:shd w:val="clear" w:color="auto" w:fill="FFFFFF" w:themeFill="background1"/>
        <w:spacing w:line="560" w:lineRule="exact"/>
        <w:ind w:firstLine="640" w:firstLineChars="200"/>
        <w:contextualSpacing/>
        <w:jc w:val="left"/>
        <w:rPr>
          <w:rFonts w:eastAsia="楷体"/>
          <w:sz w:val="32"/>
          <w:szCs w:val="32"/>
        </w:rPr>
      </w:pPr>
      <w:r>
        <w:rPr>
          <w:rFonts w:hint="eastAsia" w:eastAsia="楷体"/>
          <w:sz w:val="32"/>
          <w:szCs w:val="32"/>
        </w:rPr>
        <w:t>附件：2021年度龙卷风灾后修复重建项目</w:t>
      </w:r>
    </w:p>
    <w:p>
      <w:pPr>
        <w:rPr>
          <w:rFonts w:eastAsia="楷体"/>
          <w:sz w:val="32"/>
          <w:szCs w:val="32"/>
        </w:rPr>
      </w:pPr>
      <w:r>
        <w:rPr>
          <w:rFonts w:hint="eastAsia" w:eastAsia="楷体"/>
          <w:sz w:val="32"/>
          <w:szCs w:val="32"/>
        </w:rPr>
        <w:br w:type="page"/>
      </w:r>
    </w:p>
    <w:p>
      <w:pPr>
        <w:pStyle w:val="3"/>
        <w:shd w:val="clear" w:color="auto" w:fill="FFFFFF" w:themeFill="background1"/>
        <w:spacing w:before="0" w:after="0" w:line="560" w:lineRule="exact"/>
        <w:ind w:firstLine="643" w:firstLineChars="200"/>
        <w:contextualSpacing/>
        <w:jc w:val="left"/>
      </w:pPr>
      <w:bookmarkStart w:id="0" w:name="_Toc28163"/>
      <w:r>
        <w:rPr>
          <w:rFonts w:hint="eastAsia" w:ascii="Times New Roman" w:hAnsi="Times New Roman" w:eastAsia="楷体" w:cs="Times New Roman"/>
        </w:rPr>
        <w:t xml:space="preserve">附件： </w:t>
      </w:r>
      <w:bookmarkEnd w:id="0"/>
    </w:p>
    <w:p>
      <w:pPr>
        <w:pStyle w:val="2"/>
        <w:jc w:val="center"/>
      </w:pPr>
      <w:r>
        <w:rPr>
          <w:rFonts w:hint="eastAsia" w:eastAsia="仿宋"/>
          <w:color w:val="000000"/>
          <w:kern w:val="0"/>
          <w:sz w:val="32"/>
          <w:szCs w:val="32"/>
        </w:rPr>
        <w:t>2021年度龙卷风灾后修复重建项目自评表</w:t>
      </w:r>
    </w:p>
    <w:tbl>
      <w:tblPr>
        <w:tblStyle w:val="6"/>
        <w:tblW w:w="4998" w:type="pct"/>
        <w:tblInd w:w="0" w:type="dxa"/>
        <w:tblLayout w:type="autofit"/>
        <w:tblCellMar>
          <w:top w:w="0" w:type="dxa"/>
          <w:left w:w="0" w:type="dxa"/>
          <w:bottom w:w="0" w:type="dxa"/>
          <w:right w:w="0" w:type="dxa"/>
        </w:tblCellMar>
      </w:tblPr>
      <w:tblGrid>
        <w:gridCol w:w="476"/>
        <w:gridCol w:w="638"/>
        <w:gridCol w:w="1097"/>
        <w:gridCol w:w="1217"/>
        <w:gridCol w:w="1402"/>
        <w:gridCol w:w="1263"/>
        <w:gridCol w:w="1143"/>
        <w:gridCol w:w="1097"/>
      </w:tblGrid>
      <w:tr>
        <w:tblPrEx>
          <w:tblCellMar>
            <w:top w:w="0" w:type="dxa"/>
            <w:left w:w="0" w:type="dxa"/>
            <w:bottom w:w="0" w:type="dxa"/>
            <w:right w:w="0" w:type="dxa"/>
          </w:tblCellMar>
        </w:tblPrEx>
        <w:trPr>
          <w:trHeight w:val="500" w:hRule="atLeast"/>
        </w:trPr>
        <w:tc>
          <w:tcPr>
            <w:tcW w:w="66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项目名称</w:t>
            </w:r>
          </w:p>
        </w:tc>
        <w:tc>
          <w:tcPr>
            <w:tcW w:w="4331" w:type="pct"/>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sz w:val="20"/>
                <w:szCs w:val="20"/>
              </w:rPr>
              <w:t>2021年度龙卷风灾后修复重建项目</w:t>
            </w:r>
          </w:p>
        </w:tc>
      </w:tr>
      <w:tr>
        <w:tblPrEx>
          <w:tblCellMar>
            <w:top w:w="0" w:type="dxa"/>
            <w:left w:w="0" w:type="dxa"/>
            <w:bottom w:w="0" w:type="dxa"/>
            <w:right w:w="0" w:type="dxa"/>
          </w:tblCellMar>
        </w:tblPrEx>
        <w:trPr>
          <w:trHeight w:val="500" w:hRule="atLeast"/>
        </w:trPr>
        <w:tc>
          <w:tcPr>
            <w:tcW w:w="66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主管部门</w:t>
            </w:r>
          </w:p>
        </w:tc>
        <w:tc>
          <w:tcPr>
            <w:tcW w:w="1388"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武汉经济技术开发区（汉南区）住房和城乡建设局</w:t>
            </w:r>
          </w:p>
        </w:tc>
        <w:tc>
          <w:tcPr>
            <w:tcW w:w="8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项目实施单位</w:t>
            </w:r>
          </w:p>
        </w:tc>
        <w:tc>
          <w:tcPr>
            <w:tcW w:w="2102"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武汉经济技术开发区（汉南区）住房和城乡建设局</w:t>
            </w:r>
          </w:p>
        </w:tc>
      </w:tr>
      <w:tr>
        <w:tblPrEx>
          <w:tblCellMar>
            <w:top w:w="0" w:type="dxa"/>
            <w:left w:w="0" w:type="dxa"/>
            <w:bottom w:w="0" w:type="dxa"/>
            <w:right w:w="0" w:type="dxa"/>
          </w:tblCellMar>
        </w:tblPrEx>
        <w:trPr>
          <w:trHeight w:val="500" w:hRule="atLeast"/>
        </w:trPr>
        <w:tc>
          <w:tcPr>
            <w:tcW w:w="66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项目类别</w:t>
            </w:r>
          </w:p>
        </w:tc>
        <w:tc>
          <w:tcPr>
            <w:tcW w:w="4331" w:type="pct"/>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1.部门预算项目</w:t>
            </w:r>
            <w:r>
              <w:rPr>
                <w:rStyle w:val="8"/>
                <w:rFonts w:eastAsia="仿宋"/>
                <w:lang w:bidi="ar"/>
              </w:rPr>
              <w:t>þ</w:t>
            </w:r>
            <w:r>
              <w:rPr>
                <w:rStyle w:val="9"/>
                <w:lang w:bidi="ar"/>
              </w:rPr>
              <w:t xml:space="preserve">              2.财政专项资金</w:t>
            </w:r>
            <w:r>
              <w:rPr>
                <w:rStyle w:val="8"/>
                <w:rFonts w:eastAsia="仿宋"/>
                <w:lang w:bidi="ar"/>
              </w:rPr>
              <w:t>¨</w:t>
            </w:r>
          </w:p>
        </w:tc>
      </w:tr>
      <w:tr>
        <w:tblPrEx>
          <w:tblCellMar>
            <w:top w:w="0" w:type="dxa"/>
            <w:left w:w="0" w:type="dxa"/>
            <w:bottom w:w="0" w:type="dxa"/>
            <w:right w:w="0" w:type="dxa"/>
          </w:tblCellMar>
        </w:tblPrEx>
        <w:trPr>
          <w:trHeight w:val="500" w:hRule="atLeast"/>
        </w:trPr>
        <w:tc>
          <w:tcPr>
            <w:tcW w:w="66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项目属性</w:t>
            </w:r>
          </w:p>
        </w:tc>
        <w:tc>
          <w:tcPr>
            <w:tcW w:w="4331" w:type="pct"/>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1.持续性项目</w:t>
            </w:r>
            <w:r>
              <w:rPr>
                <w:rStyle w:val="8"/>
                <w:rFonts w:eastAsia="仿宋"/>
                <w:lang w:bidi="ar"/>
              </w:rPr>
              <w:sym w:font="Wingdings" w:char="00A8"/>
            </w:r>
            <w:r>
              <w:rPr>
                <w:rStyle w:val="9"/>
                <w:lang w:bidi="ar"/>
              </w:rPr>
              <w:t xml:space="preserve">                2.新增性项目</w:t>
            </w:r>
            <w:r>
              <w:rPr>
                <w:rStyle w:val="8"/>
                <w:rFonts w:eastAsia="仿宋"/>
                <w:lang w:bidi="ar"/>
              </w:rPr>
              <w:sym w:font="Wingdings" w:char="00FE"/>
            </w:r>
          </w:p>
        </w:tc>
      </w:tr>
      <w:tr>
        <w:tblPrEx>
          <w:tblCellMar>
            <w:top w:w="0" w:type="dxa"/>
            <w:left w:w="0" w:type="dxa"/>
            <w:bottom w:w="0" w:type="dxa"/>
            <w:right w:w="0" w:type="dxa"/>
          </w:tblCellMar>
        </w:tblPrEx>
        <w:trPr>
          <w:trHeight w:val="500" w:hRule="atLeast"/>
        </w:trPr>
        <w:tc>
          <w:tcPr>
            <w:tcW w:w="669"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项目类型</w:t>
            </w:r>
          </w:p>
        </w:tc>
        <w:tc>
          <w:tcPr>
            <w:tcW w:w="4331" w:type="pct"/>
            <w:gridSpan w:val="6"/>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left"/>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1.常年性项目</w:t>
            </w:r>
            <w:r>
              <w:rPr>
                <w:rStyle w:val="8"/>
                <w:rFonts w:eastAsia="仿宋"/>
                <w:lang w:bidi="ar"/>
              </w:rPr>
              <w:sym w:font="Wingdings" w:char="00A8"/>
            </w:r>
            <w:r>
              <w:rPr>
                <w:rStyle w:val="9"/>
                <w:lang w:bidi="ar"/>
              </w:rPr>
              <w:t xml:space="preserve">                2.延续性项目</w:t>
            </w:r>
            <w:r>
              <w:rPr>
                <w:rStyle w:val="8"/>
                <w:rFonts w:eastAsia="仿宋"/>
                <w:lang w:bidi="ar"/>
              </w:rPr>
              <w:t>¨</w:t>
            </w:r>
            <w:r>
              <w:rPr>
                <w:rStyle w:val="9"/>
                <w:lang w:bidi="ar"/>
              </w:rPr>
              <w:t xml:space="preserve">              3.一次性项目</w:t>
            </w:r>
            <w:r>
              <w:rPr>
                <w:rStyle w:val="8"/>
                <w:rFonts w:eastAsia="仿宋"/>
                <w:lang w:bidi="ar"/>
              </w:rPr>
              <w:sym w:font="Wingdings" w:char="00FE"/>
            </w:r>
          </w:p>
        </w:tc>
      </w:tr>
      <w:tr>
        <w:tblPrEx>
          <w:tblCellMar>
            <w:top w:w="0" w:type="dxa"/>
            <w:left w:w="0" w:type="dxa"/>
            <w:bottom w:w="0" w:type="dxa"/>
            <w:right w:w="0" w:type="dxa"/>
          </w:tblCellMar>
        </w:tblPrEx>
        <w:trPr>
          <w:trHeight w:val="500" w:hRule="atLeast"/>
        </w:trPr>
        <w:tc>
          <w:tcPr>
            <w:tcW w:w="66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预算执行情况（万元）（20分）</w:t>
            </w:r>
          </w:p>
        </w:tc>
        <w:tc>
          <w:tcPr>
            <w:tcW w:w="6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73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预算数（A）</w:t>
            </w:r>
          </w:p>
        </w:tc>
        <w:tc>
          <w:tcPr>
            <w:tcW w:w="8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执行数（B）</w:t>
            </w:r>
          </w:p>
        </w:tc>
        <w:tc>
          <w:tcPr>
            <w:tcW w:w="7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执行率（B/A）</w:t>
            </w:r>
          </w:p>
        </w:tc>
        <w:tc>
          <w:tcPr>
            <w:tcW w:w="13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kern w:val="0"/>
                <w:sz w:val="20"/>
                <w:szCs w:val="20"/>
                <w:lang w:bidi="ar"/>
              </w:rPr>
            </w:pPr>
            <w:r>
              <w:rPr>
                <w:rFonts w:ascii="仿宋" w:hAnsi="仿宋" w:eastAsia="仿宋" w:cs="仿宋"/>
                <w:color w:val="000000"/>
                <w:kern w:val="0"/>
                <w:sz w:val="20"/>
                <w:szCs w:val="20"/>
                <w:lang w:bidi="ar"/>
              </w:rPr>
              <w:t>得分</w:t>
            </w:r>
          </w:p>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（20分*执行率）</w:t>
            </w:r>
          </w:p>
        </w:tc>
      </w:tr>
      <w:tr>
        <w:tblPrEx>
          <w:tblCellMar>
            <w:top w:w="0" w:type="dxa"/>
            <w:left w:w="0" w:type="dxa"/>
            <w:bottom w:w="0" w:type="dxa"/>
            <w:right w:w="0" w:type="dxa"/>
          </w:tblCellMar>
        </w:tblPrEx>
        <w:trPr>
          <w:trHeight w:val="500" w:hRule="atLeast"/>
        </w:trPr>
        <w:tc>
          <w:tcPr>
            <w:tcW w:w="66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6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年度财政资金总额</w:t>
            </w:r>
          </w:p>
        </w:tc>
        <w:tc>
          <w:tcPr>
            <w:tcW w:w="73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1138.82</w:t>
            </w:r>
          </w:p>
        </w:tc>
        <w:tc>
          <w:tcPr>
            <w:tcW w:w="841"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1119.44</w:t>
            </w:r>
          </w:p>
        </w:tc>
        <w:tc>
          <w:tcPr>
            <w:tcW w:w="7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9</w:t>
            </w:r>
            <w:r>
              <w:rPr>
                <w:rFonts w:hint="eastAsia" w:ascii="仿宋" w:hAnsi="仿宋" w:eastAsia="仿宋" w:cs="仿宋"/>
                <w:color w:val="000000"/>
                <w:kern w:val="0"/>
                <w:sz w:val="20"/>
                <w:szCs w:val="20"/>
                <w:lang w:bidi="ar"/>
              </w:rPr>
              <w:t>8.30</w:t>
            </w:r>
            <w:r>
              <w:rPr>
                <w:rFonts w:ascii="仿宋" w:hAnsi="仿宋" w:eastAsia="仿宋" w:cs="仿宋"/>
                <w:color w:val="000000"/>
                <w:kern w:val="0"/>
                <w:sz w:val="20"/>
                <w:szCs w:val="20"/>
                <w:lang w:bidi="ar"/>
              </w:rPr>
              <w:t>%</w:t>
            </w:r>
          </w:p>
        </w:tc>
        <w:tc>
          <w:tcPr>
            <w:tcW w:w="1344"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仿宋" w:hAnsi="仿宋" w:eastAsia="仿宋" w:cs="仿宋"/>
                <w:color w:val="000000"/>
                <w:sz w:val="20"/>
                <w:szCs w:val="20"/>
                <w:lang w:val="en-US" w:eastAsia="zh-CN"/>
              </w:rPr>
            </w:pPr>
            <w:r>
              <w:rPr>
                <w:rFonts w:hint="eastAsia" w:ascii="仿宋" w:hAnsi="仿宋" w:eastAsia="仿宋" w:cs="仿宋"/>
                <w:color w:val="000000"/>
                <w:kern w:val="0"/>
                <w:sz w:val="20"/>
                <w:szCs w:val="20"/>
                <w:lang w:bidi="ar"/>
              </w:rPr>
              <w:t>19.7</w:t>
            </w:r>
            <w:r>
              <w:rPr>
                <w:rFonts w:hint="eastAsia" w:ascii="仿宋" w:hAnsi="仿宋" w:eastAsia="仿宋" w:cs="仿宋"/>
                <w:color w:val="000000"/>
                <w:kern w:val="0"/>
                <w:sz w:val="20"/>
                <w:szCs w:val="20"/>
                <w:lang w:val="en-US" w:eastAsia="zh-CN" w:bidi="ar"/>
              </w:rPr>
              <w:t>0</w:t>
            </w:r>
          </w:p>
        </w:tc>
      </w:tr>
      <w:tr>
        <w:tblPrEx>
          <w:tblCellMar>
            <w:top w:w="0" w:type="dxa"/>
            <w:left w:w="0" w:type="dxa"/>
            <w:bottom w:w="0" w:type="dxa"/>
            <w:right w:w="0" w:type="dxa"/>
          </w:tblCellMar>
        </w:tblPrEx>
        <w:trPr>
          <w:trHeight w:val="500" w:hRule="atLeast"/>
        </w:trPr>
        <w:tc>
          <w:tcPr>
            <w:tcW w:w="28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 xml:space="preserve">年度绩效目标（80分） </w:t>
            </w:r>
          </w:p>
        </w:tc>
        <w:tc>
          <w:tcPr>
            <w:tcW w:w="383"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一级      指标</w:t>
            </w:r>
          </w:p>
        </w:tc>
        <w:tc>
          <w:tcPr>
            <w:tcW w:w="6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二级指标</w:t>
            </w:r>
          </w:p>
        </w:tc>
        <w:tc>
          <w:tcPr>
            <w:tcW w:w="15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三级指标</w:t>
            </w:r>
          </w:p>
        </w:tc>
        <w:tc>
          <w:tcPr>
            <w:tcW w:w="7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kern w:val="0"/>
                <w:sz w:val="20"/>
                <w:szCs w:val="20"/>
                <w:lang w:bidi="ar"/>
              </w:rPr>
            </w:pPr>
            <w:r>
              <w:rPr>
                <w:rFonts w:ascii="仿宋" w:hAnsi="仿宋" w:eastAsia="仿宋" w:cs="仿宋"/>
                <w:color w:val="000000"/>
                <w:kern w:val="0"/>
                <w:sz w:val="20"/>
                <w:szCs w:val="20"/>
                <w:lang w:bidi="ar"/>
              </w:rPr>
              <w:t>年初目标值</w:t>
            </w:r>
          </w:p>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（A）</w:t>
            </w:r>
          </w:p>
        </w:tc>
        <w:tc>
          <w:tcPr>
            <w:tcW w:w="6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kern w:val="0"/>
                <w:sz w:val="20"/>
                <w:szCs w:val="20"/>
                <w:lang w:bidi="ar"/>
              </w:rPr>
            </w:pPr>
            <w:r>
              <w:rPr>
                <w:rFonts w:ascii="仿宋" w:hAnsi="仿宋" w:eastAsia="仿宋" w:cs="仿宋"/>
                <w:color w:val="000000"/>
                <w:kern w:val="0"/>
                <w:sz w:val="20"/>
                <w:szCs w:val="20"/>
                <w:lang w:bidi="ar"/>
              </w:rPr>
              <w:t>实际完成值</w:t>
            </w:r>
          </w:p>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（B）</w:t>
            </w:r>
          </w:p>
        </w:tc>
        <w:tc>
          <w:tcPr>
            <w:tcW w:w="65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得分</w:t>
            </w:r>
          </w:p>
        </w:tc>
      </w:tr>
      <w:tr>
        <w:tblPrEx>
          <w:tblCellMar>
            <w:top w:w="0" w:type="dxa"/>
            <w:left w:w="0" w:type="dxa"/>
            <w:bottom w:w="0" w:type="dxa"/>
            <w:right w:w="0" w:type="dxa"/>
          </w:tblCellMar>
        </w:tblPrEx>
        <w:trPr>
          <w:trHeight w:val="500"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383"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kern w:val="0"/>
                <w:sz w:val="20"/>
                <w:szCs w:val="20"/>
                <w:lang w:bidi="ar"/>
              </w:rPr>
            </w:pPr>
            <w:r>
              <w:rPr>
                <w:rFonts w:ascii="仿宋" w:hAnsi="仿宋" w:eastAsia="仿宋" w:cs="仿宋"/>
                <w:color w:val="000000"/>
                <w:kern w:val="0"/>
                <w:sz w:val="20"/>
                <w:szCs w:val="20"/>
                <w:lang w:bidi="ar"/>
              </w:rPr>
              <w:t>产出</w:t>
            </w:r>
          </w:p>
          <w:p>
            <w:pPr>
              <w:widowControl/>
              <w:jc w:val="center"/>
              <w:textAlignment w:val="center"/>
              <w:rPr>
                <w:rFonts w:ascii="仿宋" w:hAnsi="仿宋" w:eastAsia="仿宋" w:cs="仿宋"/>
                <w:color w:val="000000"/>
                <w:kern w:val="0"/>
                <w:sz w:val="20"/>
                <w:szCs w:val="20"/>
                <w:lang w:bidi="ar"/>
              </w:rPr>
            </w:pPr>
            <w:r>
              <w:rPr>
                <w:rFonts w:ascii="仿宋" w:hAnsi="仿宋" w:eastAsia="仿宋" w:cs="仿宋"/>
                <w:color w:val="000000"/>
                <w:kern w:val="0"/>
                <w:sz w:val="20"/>
                <w:szCs w:val="20"/>
                <w:lang w:bidi="ar"/>
              </w:rPr>
              <w:t>指标</w:t>
            </w:r>
          </w:p>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 xml:space="preserve">（40分） </w:t>
            </w:r>
          </w:p>
        </w:tc>
        <w:tc>
          <w:tcPr>
            <w:tcW w:w="658" w:type="pct"/>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kern w:val="0"/>
                <w:sz w:val="20"/>
                <w:szCs w:val="20"/>
                <w:lang w:bidi="ar"/>
              </w:rPr>
            </w:pPr>
            <w:r>
              <w:rPr>
                <w:rFonts w:ascii="仿宋" w:hAnsi="仿宋" w:eastAsia="仿宋" w:cs="仿宋"/>
                <w:color w:val="000000"/>
                <w:kern w:val="0"/>
                <w:sz w:val="20"/>
                <w:szCs w:val="20"/>
                <w:lang w:bidi="ar"/>
              </w:rPr>
              <w:t>数量指标</w:t>
            </w:r>
          </w:p>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（25分）</w:t>
            </w:r>
          </w:p>
        </w:tc>
        <w:tc>
          <w:tcPr>
            <w:tcW w:w="1570" w:type="pct"/>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车辆基地10kV高压充电装置购置（5分）</w:t>
            </w:r>
          </w:p>
        </w:tc>
        <w:tc>
          <w:tcPr>
            <w:tcW w:w="7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1台</w:t>
            </w:r>
          </w:p>
        </w:tc>
        <w:tc>
          <w:tcPr>
            <w:tcW w:w="6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1台</w:t>
            </w:r>
          </w:p>
        </w:tc>
        <w:tc>
          <w:tcPr>
            <w:tcW w:w="6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5</w:t>
            </w:r>
            <w:r>
              <w:rPr>
                <w:rFonts w:hint="eastAsia" w:ascii="仿宋" w:hAnsi="仿宋" w:eastAsia="仿宋" w:cs="仿宋"/>
                <w:color w:val="000000"/>
                <w:kern w:val="0"/>
                <w:sz w:val="20"/>
                <w:szCs w:val="20"/>
                <w:lang w:val="en-US" w:eastAsia="zh-CN" w:bidi="ar"/>
              </w:rPr>
              <w:t>.00</w:t>
            </w:r>
          </w:p>
        </w:tc>
      </w:tr>
      <w:tr>
        <w:tblPrEx>
          <w:tblCellMar>
            <w:top w:w="0" w:type="dxa"/>
            <w:left w:w="0" w:type="dxa"/>
            <w:bottom w:w="0" w:type="dxa"/>
            <w:right w:w="0" w:type="dxa"/>
          </w:tblCellMar>
        </w:tblPrEx>
        <w:trPr>
          <w:trHeight w:val="500"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38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658" w:type="pct"/>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1570" w:type="pct"/>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蒲潭下行站台10kV高压充电装置购置（5分）</w:t>
            </w:r>
          </w:p>
        </w:tc>
        <w:tc>
          <w:tcPr>
            <w:tcW w:w="7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1台</w:t>
            </w:r>
          </w:p>
        </w:tc>
        <w:tc>
          <w:tcPr>
            <w:tcW w:w="6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1台</w:t>
            </w:r>
          </w:p>
        </w:tc>
        <w:tc>
          <w:tcPr>
            <w:tcW w:w="6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5</w:t>
            </w:r>
            <w:r>
              <w:rPr>
                <w:rFonts w:hint="eastAsia" w:ascii="仿宋" w:hAnsi="仿宋" w:eastAsia="仿宋" w:cs="仿宋"/>
                <w:color w:val="000000"/>
                <w:kern w:val="0"/>
                <w:sz w:val="20"/>
                <w:szCs w:val="20"/>
                <w:lang w:val="en-US" w:eastAsia="zh-CN" w:bidi="ar"/>
              </w:rPr>
              <w:t>.00</w:t>
            </w:r>
          </w:p>
        </w:tc>
      </w:tr>
      <w:tr>
        <w:tblPrEx>
          <w:tblCellMar>
            <w:top w:w="0" w:type="dxa"/>
            <w:left w:w="0" w:type="dxa"/>
            <w:bottom w:w="0" w:type="dxa"/>
            <w:right w:w="0" w:type="dxa"/>
          </w:tblCellMar>
        </w:tblPrEx>
        <w:trPr>
          <w:trHeight w:val="500"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38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658" w:type="pct"/>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1570" w:type="pct"/>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车辆基地大扇防火折叠门购置（5分）</w:t>
            </w:r>
          </w:p>
        </w:tc>
        <w:tc>
          <w:tcPr>
            <w:tcW w:w="7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12扇</w:t>
            </w:r>
          </w:p>
        </w:tc>
        <w:tc>
          <w:tcPr>
            <w:tcW w:w="6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12扇</w:t>
            </w:r>
          </w:p>
        </w:tc>
        <w:tc>
          <w:tcPr>
            <w:tcW w:w="6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5</w:t>
            </w:r>
            <w:r>
              <w:rPr>
                <w:rFonts w:hint="eastAsia" w:ascii="仿宋" w:hAnsi="仿宋" w:eastAsia="仿宋" w:cs="仿宋"/>
                <w:color w:val="000000"/>
                <w:kern w:val="0"/>
                <w:sz w:val="20"/>
                <w:szCs w:val="20"/>
                <w:lang w:val="en-US" w:eastAsia="zh-CN" w:bidi="ar"/>
              </w:rPr>
              <w:t>.00</w:t>
            </w:r>
          </w:p>
        </w:tc>
      </w:tr>
      <w:tr>
        <w:tblPrEx>
          <w:tblCellMar>
            <w:top w:w="0" w:type="dxa"/>
            <w:left w:w="0" w:type="dxa"/>
            <w:bottom w:w="0" w:type="dxa"/>
            <w:right w:w="0" w:type="dxa"/>
          </w:tblCellMar>
        </w:tblPrEx>
        <w:trPr>
          <w:trHeight w:val="500"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38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658" w:type="pct"/>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1570" w:type="pct"/>
            <w:gridSpan w:val="2"/>
            <w:tcBorders>
              <w:top w:val="single" w:color="000000" w:sz="4" w:space="0"/>
              <w:left w:val="nil"/>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车辆基地视频监控系统购置（5分）</w:t>
            </w:r>
          </w:p>
        </w:tc>
        <w:tc>
          <w:tcPr>
            <w:tcW w:w="7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20套</w:t>
            </w:r>
          </w:p>
        </w:tc>
        <w:tc>
          <w:tcPr>
            <w:tcW w:w="6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20套</w:t>
            </w:r>
          </w:p>
        </w:tc>
        <w:tc>
          <w:tcPr>
            <w:tcW w:w="6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5</w:t>
            </w:r>
            <w:r>
              <w:rPr>
                <w:rFonts w:hint="eastAsia" w:ascii="仿宋" w:hAnsi="仿宋" w:eastAsia="仿宋" w:cs="仿宋"/>
                <w:color w:val="000000"/>
                <w:kern w:val="0"/>
                <w:sz w:val="20"/>
                <w:szCs w:val="20"/>
                <w:lang w:val="en-US" w:eastAsia="zh-CN" w:bidi="ar"/>
              </w:rPr>
              <w:t>.00</w:t>
            </w:r>
          </w:p>
        </w:tc>
      </w:tr>
      <w:tr>
        <w:tblPrEx>
          <w:tblCellMar>
            <w:top w:w="0" w:type="dxa"/>
            <w:left w:w="0" w:type="dxa"/>
            <w:bottom w:w="0" w:type="dxa"/>
            <w:right w:w="0" w:type="dxa"/>
          </w:tblCellMar>
        </w:tblPrEx>
        <w:trPr>
          <w:trHeight w:val="500"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38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658" w:type="pct"/>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1570" w:type="pct"/>
            <w:gridSpan w:val="2"/>
            <w:tcBorders>
              <w:top w:val="single" w:color="000000" w:sz="4" w:space="0"/>
              <w:left w:val="nil"/>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kern w:val="0"/>
                <w:sz w:val="20"/>
                <w:szCs w:val="20"/>
                <w:lang w:bidi="ar"/>
              </w:rPr>
            </w:pPr>
            <w:r>
              <w:rPr>
                <w:rFonts w:ascii="仿宋" w:hAnsi="仿宋" w:eastAsia="仿宋" w:cs="仿宋"/>
                <w:color w:val="000000"/>
                <w:kern w:val="0"/>
                <w:sz w:val="20"/>
                <w:szCs w:val="20"/>
                <w:lang w:bidi="ar"/>
              </w:rPr>
              <w:t>灾后维修、采购各类受损路灯（5分）</w:t>
            </w:r>
          </w:p>
        </w:tc>
        <w:tc>
          <w:tcPr>
            <w:tcW w:w="7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kern w:val="0"/>
                <w:sz w:val="20"/>
                <w:szCs w:val="20"/>
                <w:lang w:bidi="ar"/>
              </w:rPr>
            </w:pPr>
            <w:r>
              <w:rPr>
                <w:rFonts w:ascii="仿宋" w:hAnsi="仿宋" w:eastAsia="仿宋" w:cs="仿宋"/>
                <w:color w:val="000000"/>
                <w:kern w:val="0"/>
                <w:sz w:val="20"/>
                <w:szCs w:val="20"/>
                <w:lang w:bidi="ar"/>
              </w:rPr>
              <w:t>293套</w:t>
            </w:r>
          </w:p>
        </w:tc>
        <w:tc>
          <w:tcPr>
            <w:tcW w:w="6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kern w:val="0"/>
                <w:sz w:val="20"/>
                <w:szCs w:val="20"/>
                <w:lang w:bidi="ar"/>
              </w:rPr>
            </w:pPr>
            <w:r>
              <w:rPr>
                <w:rFonts w:ascii="仿宋" w:hAnsi="仿宋" w:eastAsia="仿宋" w:cs="仿宋"/>
                <w:color w:val="000000"/>
                <w:kern w:val="0"/>
                <w:sz w:val="20"/>
                <w:szCs w:val="20"/>
                <w:lang w:bidi="ar"/>
              </w:rPr>
              <w:t>293套</w:t>
            </w:r>
          </w:p>
        </w:tc>
        <w:tc>
          <w:tcPr>
            <w:tcW w:w="6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kern w:val="0"/>
                <w:sz w:val="20"/>
                <w:szCs w:val="20"/>
                <w:lang w:bidi="ar"/>
              </w:rPr>
            </w:pPr>
            <w:r>
              <w:rPr>
                <w:rFonts w:hint="eastAsia" w:ascii="仿宋" w:hAnsi="仿宋" w:eastAsia="仿宋" w:cs="仿宋"/>
                <w:color w:val="000000"/>
                <w:kern w:val="0"/>
                <w:sz w:val="20"/>
                <w:szCs w:val="20"/>
                <w:lang w:bidi="ar"/>
              </w:rPr>
              <w:t>5</w:t>
            </w:r>
            <w:r>
              <w:rPr>
                <w:rFonts w:hint="eastAsia" w:ascii="仿宋" w:hAnsi="仿宋" w:eastAsia="仿宋" w:cs="仿宋"/>
                <w:color w:val="000000"/>
                <w:kern w:val="0"/>
                <w:sz w:val="20"/>
                <w:szCs w:val="20"/>
                <w:lang w:val="en-US" w:eastAsia="zh-CN" w:bidi="ar"/>
              </w:rPr>
              <w:t>.00</w:t>
            </w:r>
          </w:p>
        </w:tc>
      </w:tr>
      <w:tr>
        <w:tblPrEx>
          <w:tblCellMar>
            <w:top w:w="0" w:type="dxa"/>
            <w:left w:w="0" w:type="dxa"/>
            <w:bottom w:w="0" w:type="dxa"/>
            <w:right w:w="0" w:type="dxa"/>
          </w:tblCellMar>
        </w:tblPrEx>
        <w:trPr>
          <w:trHeight w:val="500"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383" w:type="pct"/>
            <w:vMerge w:val="continue"/>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658" w:type="pct"/>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kern w:val="0"/>
                <w:sz w:val="20"/>
                <w:szCs w:val="20"/>
                <w:lang w:bidi="ar"/>
              </w:rPr>
            </w:pPr>
            <w:r>
              <w:rPr>
                <w:rFonts w:ascii="仿宋" w:hAnsi="仿宋" w:eastAsia="仿宋" w:cs="仿宋"/>
                <w:color w:val="000000"/>
                <w:kern w:val="0"/>
                <w:sz w:val="20"/>
                <w:szCs w:val="20"/>
                <w:lang w:bidi="ar"/>
              </w:rPr>
              <w:t>质量指标</w:t>
            </w:r>
          </w:p>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w:t>
            </w:r>
            <w:r>
              <w:rPr>
                <w:rFonts w:hint="eastAsia" w:ascii="仿宋" w:hAnsi="仿宋" w:eastAsia="仿宋" w:cs="仿宋"/>
                <w:color w:val="000000"/>
                <w:kern w:val="0"/>
                <w:sz w:val="20"/>
                <w:szCs w:val="20"/>
                <w:lang w:bidi="ar"/>
              </w:rPr>
              <w:t>5</w:t>
            </w:r>
            <w:r>
              <w:rPr>
                <w:rFonts w:ascii="仿宋" w:hAnsi="仿宋" w:eastAsia="仿宋" w:cs="仿宋"/>
                <w:color w:val="000000"/>
                <w:kern w:val="0"/>
                <w:sz w:val="20"/>
                <w:szCs w:val="20"/>
                <w:lang w:bidi="ar"/>
              </w:rPr>
              <w:t>分）</w:t>
            </w:r>
          </w:p>
        </w:tc>
        <w:tc>
          <w:tcPr>
            <w:tcW w:w="1570" w:type="pct"/>
            <w:gridSpan w:val="2"/>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工程验收合格率（5分）</w:t>
            </w:r>
          </w:p>
        </w:tc>
        <w:tc>
          <w:tcPr>
            <w:tcW w:w="758" w:type="pct"/>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w:t>
            </w:r>
            <w:r>
              <w:rPr>
                <w:rFonts w:hint="eastAsia" w:ascii="仿宋" w:hAnsi="仿宋" w:eastAsia="仿宋" w:cs="仿宋"/>
                <w:color w:val="000000"/>
                <w:kern w:val="0"/>
                <w:sz w:val="20"/>
                <w:szCs w:val="20"/>
                <w:lang w:bidi="ar"/>
              </w:rPr>
              <w:t>95</w:t>
            </w:r>
            <w:r>
              <w:rPr>
                <w:rStyle w:val="9"/>
                <w:lang w:bidi="ar"/>
              </w:rPr>
              <w:t>%</w:t>
            </w:r>
          </w:p>
        </w:tc>
        <w:tc>
          <w:tcPr>
            <w:tcW w:w="6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100%</w:t>
            </w:r>
          </w:p>
        </w:tc>
        <w:tc>
          <w:tcPr>
            <w:tcW w:w="6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5</w:t>
            </w:r>
            <w:r>
              <w:rPr>
                <w:rFonts w:hint="eastAsia" w:ascii="仿宋" w:hAnsi="仿宋" w:eastAsia="仿宋" w:cs="仿宋"/>
                <w:color w:val="000000"/>
                <w:kern w:val="0"/>
                <w:sz w:val="20"/>
                <w:szCs w:val="20"/>
                <w:lang w:val="en-US" w:eastAsia="zh-CN" w:bidi="ar"/>
              </w:rPr>
              <w:t>.00</w:t>
            </w:r>
          </w:p>
        </w:tc>
      </w:tr>
      <w:tr>
        <w:tblPrEx>
          <w:tblCellMar>
            <w:top w:w="0" w:type="dxa"/>
            <w:left w:w="0" w:type="dxa"/>
            <w:bottom w:w="0" w:type="dxa"/>
            <w:right w:w="0" w:type="dxa"/>
          </w:tblCellMar>
        </w:tblPrEx>
        <w:trPr>
          <w:trHeight w:val="500"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383" w:type="pct"/>
            <w:vMerge w:val="continue"/>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658" w:type="pct"/>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kern w:val="0"/>
                <w:sz w:val="20"/>
                <w:szCs w:val="20"/>
                <w:lang w:bidi="ar"/>
              </w:rPr>
            </w:pPr>
            <w:r>
              <w:rPr>
                <w:rFonts w:ascii="仿宋" w:hAnsi="仿宋" w:eastAsia="仿宋" w:cs="仿宋"/>
                <w:color w:val="000000"/>
                <w:kern w:val="0"/>
                <w:sz w:val="20"/>
                <w:szCs w:val="20"/>
                <w:lang w:bidi="ar"/>
              </w:rPr>
              <w:t>时效指标</w:t>
            </w:r>
          </w:p>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w:t>
            </w:r>
            <w:r>
              <w:rPr>
                <w:rFonts w:hint="eastAsia" w:ascii="仿宋" w:hAnsi="仿宋" w:eastAsia="仿宋" w:cs="仿宋"/>
                <w:color w:val="000000"/>
                <w:kern w:val="0"/>
                <w:sz w:val="20"/>
                <w:szCs w:val="20"/>
                <w:lang w:bidi="ar"/>
              </w:rPr>
              <w:t>10</w:t>
            </w:r>
            <w:r>
              <w:rPr>
                <w:rFonts w:ascii="仿宋" w:hAnsi="仿宋" w:eastAsia="仿宋" w:cs="仿宋"/>
                <w:color w:val="000000"/>
                <w:kern w:val="0"/>
                <w:sz w:val="20"/>
                <w:szCs w:val="20"/>
                <w:lang w:bidi="ar"/>
              </w:rPr>
              <w:t>分）</w:t>
            </w:r>
          </w:p>
        </w:tc>
        <w:tc>
          <w:tcPr>
            <w:tcW w:w="1570" w:type="pct"/>
            <w:gridSpan w:val="2"/>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抢险救灾工程完成及时性（5分）</w:t>
            </w:r>
          </w:p>
        </w:tc>
        <w:tc>
          <w:tcPr>
            <w:tcW w:w="7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及时</w:t>
            </w:r>
          </w:p>
        </w:tc>
        <w:tc>
          <w:tcPr>
            <w:tcW w:w="6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及时</w:t>
            </w:r>
          </w:p>
        </w:tc>
        <w:tc>
          <w:tcPr>
            <w:tcW w:w="6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5</w:t>
            </w:r>
            <w:r>
              <w:rPr>
                <w:rFonts w:hint="eastAsia" w:ascii="仿宋" w:hAnsi="仿宋" w:eastAsia="仿宋" w:cs="仿宋"/>
                <w:color w:val="000000"/>
                <w:kern w:val="0"/>
                <w:sz w:val="20"/>
                <w:szCs w:val="20"/>
                <w:lang w:val="en-US" w:eastAsia="zh-CN" w:bidi="ar"/>
              </w:rPr>
              <w:t>.00</w:t>
            </w:r>
          </w:p>
        </w:tc>
      </w:tr>
      <w:tr>
        <w:tblPrEx>
          <w:tblCellMar>
            <w:top w:w="0" w:type="dxa"/>
            <w:left w:w="0" w:type="dxa"/>
            <w:bottom w:w="0" w:type="dxa"/>
            <w:right w:w="0" w:type="dxa"/>
          </w:tblCellMar>
        </w:tblPrEx>
        <w:trPr>
          <w:trHeight w:val="500"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383"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658" w:type="pct"/>
            <w:vMerge w:val="continue"/>
            <w:tcBorders>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p>
        </w:tc>
        <w:tc>
          <w:tcPr>
            <w:tcW w:w="15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灾后桥梁重建工程完成及时性（5分）</w:t>
            </w:r>
          </w:p>
        </w:tc>
        <w:tc>
          <w:tcPr>
            <w:tcW w:w="758"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及时</w:t>
            </w:r>
          </w:p>
        </w:tc>
        <w:tc>
          <w:tcPr>
            <w:tcW w:w="68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不</w:t>
            </w:r>
            <w:r>
              <w:rPr>
                <w:rFonts w:ascii="仿宋" w:hAnsi="仿宋" w:eastAsia="仿宋" w:cs="仿宋"/>
                <w:color w:val="000000"/>
                <w:kern w:val="0"/>
                <w:sz w:val="20"/>
                <w:szCs w:val="20"/>
                <w:lang w:bidi="ar"/>
              </w:rPr>
              <w:t>及时</w:t>
            </w:r>
          </w:p>
        </w:tc>
        <w:tc>
          <w:tcPr>
            <w:tcW w:w="6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5</w:t>
            </w:r>
            <w:r>
              <w:rPr>
                <w:rFonts w:hint="eastAsia" w:ascii="仿宋" w:hAnsi="仿宋" w:eastAsia="仿宋" w:cs="仿宋"/>
                <w:color w:val="000000"/>
                <w:kern w:val="0"/>
                <w:sz w:val="20"/>
                <w:szCs w:val="20"/>
                <w:lang w:val="en-US" w:eastAsia="zh-CN" w:bidi="ar"/>
              </w:rPr>
              <w:t>.00</w:t>
            </w:r>
          </w:p>
        </w:tc>
      </w:tr>
      <w:tr>
        <w:tblPrEx>
          <w:tblCellMar>
            <w:top w:w="0" w:type="dxa"/>
            <w:left w:w="0" w:type="dxa"/>
            <w:bottom w:w="0" w:type="dxa"/>
            <w:right w:w="0" w:type="dxa"/>
          </w:tblCellMar>
        </w:tblPrEx>
        <w:trPr>
          <w:trHeight w:val="500"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383" w:type="pct"/>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效益指标（</w:t>
            </w:r>
            <w:r>
              <w:rPr>
                <w:rFonts w:hint="eastAsia" w:ascii="仿宋" w:hAnsi="仿宋" w:eastAsia="仿宋" w:cs="仿宋"/>
                <w:color w:val="000000"/>
                <w:kern w:val="0"/>
                <w:sz w:val="20"/>
                <w:szCs w:val="20"/>
                <w:lang w:bidi="ar"/>
              </w:rPr>
              <w:t>4</w:t>
            </w:r>
            <w:r>
              <w:rPr>
                <w:rFonts w:ascii="仿宋" w:hAnsi="仿宋" w:eastAsia="仿宋" w:cs="仿宋"/>
                <w:color w:val="000000"/>
                <w:kern w:val="0"/>
                <w:sz w:val="20"/>
                <w:szCs w:val="20"/>
                <w:lang w:bidi="ar"/>
              </w:rPr>
              <w:t>0分）</w:t>
            </w:r>
          </w:p>
        </w:tc>
        <w:tc>
          <w:tcPr>
            <w:tcW w:w="658"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kern w:val="0"/>
                <w:sz w:val="20"/>
                <w:szCs w:val="20"/>
                <w:lang w:bidi="ar"/>
              </w:rPr>
            </w:pPr>
            <w:r>
              <w:rPr>
                <w:rFonts w:ascii="仿宋" w:hAnsi="仿宋" w:eastAsia="仿宋" w:cs="仿宋"/>
                <w:color w:val="000000"/>
                <w:kern w:val="0"/>
                <w:sz w:val="20"/>
                <w:szCs w:val="20"/>
                <w:lang w:bidi="ar"/>
              </w:rPr>
              <w:t>社会效益</w:t>
            </w:r>
          </w:p>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（2</w:t>
            </w:r>
            <w:r>
              <w:rPr>
                <w:rFonts w:hint="eastAsia" w:ascii="仿宋" w:hAnsi="仿宋" w:eastAsia="仿宋" w:cs="仿宋"/>
                <w:color w:val="000000"/>
                <w:kern w:val="0"/>
                <w:sz w:val="20"/>
                <w:szCs w:val="20"/>
                <w:lang w:bidi="ar"/>
              </w:rPr>
              <w:t>5</w:t>
            </w:r>
            <w:r>
              <w:rPr>
                <w:rFonts w:ascii="仿宋" w:hAnsi="仿宋" w:eastAsia="仿宋" w:cs="仿宋"/>
                <w:color w:val="000000"/>
                <w:kern w:val="0"/>
                <w:sz w:val="20"/>
                <w:szCs w:val="20"/>
                <w:lang w:bidi="ar"/>
              </w:rPr>
              <w:t>分）</w:t>
            </w:r>
          </w:p>
        </w:tc>
        <w:tc>
          <w:tcPr>
            <w:tcW w:w="15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改善交通出行环境（10分）</w:t>
            </w:r>
          </w:p>
        </w:tc>
        <w:tc>
          <w:tcPr>
            <w:tcW w:w="7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改善</w:t>
            </w:r>
          </w:p>
        </w:tc>
        <w:tc>
          <w:tcPr>
            <w:tcW w:w="6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改善</w:t>
            </w:r>
          </w:p>
        </w:tc>
        <w:tc>
          <w:tcPr>
            <w:tcW w:w="6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10</w:t>
            </w:r>
            <w:r>
              <w:rPr>
                <w:rFonts w:hint="eastAsia" w:ascii="仿宋" w:hAnsi="仿宋" w:eastAsia="仿宋" w:cs="仿宋"/>
                <w:color w:val="000000"/>
                <w:kern w:val="0"/>
                <w:sz w:val="20"/>
                <w:szCs w:val="20"/>
                <w:lang w:val="en-US" w:eastAsia="zh-CN" w:bidi="ar"/>
              </w:rPr>
              <w:t>.00</w:t>
            </w:r>
          </w:p>
        </w:tc>
      </w:tr>
      <w:tr>
        <w:tblPrEx>
          <w:tblCellMar>
            <w:top w:w="0" w:type="dxa"/>
            <w:left w:w="0" w:type="dxa"/>
            <w:bottom w:w="0" w:type="dxa"/>
            <w:right w:w="0" w:type="dxa"/>
          </w:tblCellMar>
        </w:tblPrEx>
        <w:trPr>
          <w:trHeight w:val="500"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383"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658"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15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保障人民群众夜间出行安全（15分）</w:t>
            </w:r>
          </w:p>
        </w:tc>
        <w:tc>
          <w:tcPr>
            <w:tcW w:w="7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保障</w:t>
            </w:r>
          </w:p>
        </w:tc>
        <w:tc>
          <w:tcPr>
            <w:tcW w:w="6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保障</w:t>
            </w:r>
          </w:p>
        </w:tc>
        <w:tc>
          <w:tcPr>
            <w:tcW w:w="6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15</w:t>
            </w:r>
            <w:r>
              <w:rPr>
                <w:rFonts w:hint="eastAsia" w:ascii="仿宋" w:hAnsi="仿宋" w:eastAsia="仿宋" w:cs="仿宋"/>
                <w:color w:val="000000"/>
                <w:kern w:val="0"/>
                <w:sz w:val="20"/>
                <w:szCs w:val="20"/>
                <w:lang w:val="en-US" w:eastAsia="zh-CN" w:bidi="ar"/>
              </w:rPr>
              <w:t>.00</w:t>
            </w:r>
          </w:p>
        </w:tc>
      </w:tr>
      <w:tr>
        <w:tblPrEx>
          <w:tblCellMar>
            <w:top w:w="0" w:type="dxa"/>
            <w:left w:w="0" w:type="dxa"/>
            <w:bottom w:w="0" w:type="dxa"/>
            <w:right w:w="0" w:type="dxa"/>
          </w:tblCellMar>
        </w:tblPrEx>
        <w:trPr>
          <w:trHeight w:val="500" w:hRule="atLeast"/>
        </w:trPr>
        <w:tc>
          <w:tcPr>
            <w:tcW w:w="28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383" w:type="pct"/>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仿宋" w:hAnsi="仿宋" w:eastAsia="仿宋" w:cs="仿宋"/>
                <w:color w:val="000000"/>
                <w:sz w:val="20"/>
                <w:szCs w:val="20"/>
              </w:rPr>
            </w:pPr>
          </w:p>
        </w:tc>
        <w:tc>
          <w:tcPr>
            <w:tcW w:w="6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经济效益</w:t>
            </w:r>
            <w:r>
              <w:rPr>
                <w:rFonts w:ascii="仿宋" w:hAnsi="仿宋" w:eastAsia="仿宋" w:cs="仿宋"/>
                <w:color w:val="000000"/>
                <w:kern w:val="0"/>
                <w:sz w:val="20"/>
                <w:szCs w:val="20"/>
                <w:lang w:bidi="ar"/>
              </w:rPr>
              <w:t>（1</w:t>
            </w:r>
            <w:r>
              <w:rPr>
                <w:rFonts w:hint="eastAsia" w:ascii="仿宋" w:hAnsi="仿宋" w:eastAsia="仿宋" w:cs="仿宋"/>
                <w:color w:val="000000"/>
                <w:kern w:val="0"/>
                <w:sz w:val="20"/>
                <w:szCs w:val="20"/>
                <w:lang w:bidi="ar"/>
              </w:rPr>
              <w:t>5</w:t>
            </w:r>
            <w:r>
              <w:rPr>
                <w:rFonts w:ascii="仿宋" w:hAnsi="仿宋" w:eastAsia="仿宋" w:cs="仿宋"/>
                <w:color w:val="000000"/>
                <w:kern w:val="0"/>
                <w:sz w:val="20"/>
                <w:szCs w:val="20"/>
                <w:lang w:bidi="ar"/>
              </w:rPr>
              <w:t>分）</w:t>
            </w:r>
          </w:p>
        </w:tc>
        <w:tc>
          <w:tcPr>
            <w:tcW w:w="1570" w:type="pct"/>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保障有轨电车的正常生产运营（15分）</w:t>
            </w:r>
          </w:p>
        </w:tc>
        <w:tc>
          <w:tcPr>
            <w:tcW w:w="7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保障</w:t>
            </w:r>
          </w:p>
        </w:tc>
        <w:tc>
          <w:tcPr>
            <w:tcW w:w="6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保障</w:t>
            </w:r>
          </w:p>
        </w:tc>
        <w:tc>
          <w:tcPr>
            <w:tcW w:w="658"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15</w:t>
            </w:r>
            <w:r>
              <w:rPr>
                <w:rFonts w:hint="eastAsia" w:ascii="仿宋" w:hAnsi="仿宋" w:eastAsia="仿宋" w:cs="仿宋"/>
                <w:color w:val="000000"/>
                <w:kern w:val="0"/>
                <w:sz w:val="20"/>
                <w:szCs w:val="20"/>
                <w:lang w:val="en-US" w:eastAsia="zh-CN" w:bidi="ar"/>
              </w:rPr>
              <w:t>.00</w:t>
            </w:r>
          </w:p>
        </w:tc>
      </w:tr>
      <w:tr>
        <w:tblPrEx>
          <w:tblCellMar>
            <w:top w:w="0" w:type="dxa"/>
            <w:left w:w="0" w:type="dxa"/>
            <w:bottom w:w="0" w:type="dxa"/>
            <w:right w:w="0" w:type="dxa"/>
          </w:tblCellMar>
        </w:tblPrEx>
        <w:trPr>
          <w:trHeight w:val="500" w:hRule="atLeast"/>
        </w:trPr>
        <w:tc>
          <w:tcPr>
            <w:tcW w:w="286"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总分</w:t>
            </w:r>
          </w:p>
        </w:tc>
        <w:tc>
          <w:tcPr>
            <w:tcW w:w="4714" w:type="pct"/>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9</w:t>
            </w:r>
            <w:r>
              <w:rPr>
                <w:rFonts w:hint="eastAsia" w:ascii="仿宋" w:hAnsi="仿宋" w:eastAsia="仿宋" w:cs="仿宋"/>
                <w:color w:val="000000"/>
                <w:kern w:val="0"/>
                <w:sz w:val="20"/>
                <w:szCs w:val="20"/>
                <w:lang w:bidi="ar"/>
              </w:rPr>
              <w:t>4.7</w:t>
            </w:r>
            <w:r>
              <w:rPr>
                <w:rFonts w:hint="eastAsia" w:ascii="仿宋" w:hAnsi="仿宋" w:eastAsia="仿宋" w:cs="仿宋"/>
                <w:color w:val="000000"/>
                <w:kern w:val="0"/>
                <w:sz w:val="20"/>
                <w:szCs w:val="20"/>
                <w:lang w:val="en-US" w:eastAsia="zh-CN" w:bidi="ar"/>
              </w:rPr>
              <w:t>0</w:t>
            </w:r>
            <w:r>
              <w:rPr>
                <w:rFonts w:ascii="仿宋" w:hAnsi="仿宋" w:eastAsia="仿宋" w:cs="仿宋"/>
                <w:color w:val="000000"/>
                <w:kern w:val="0"/>
                <w:sz w:val="20"/>
                <w:szCs w:val="20"/>
                <w:lang w:bidi="ar"/>
              </w:rPr>
              <w:t>分</w:t>
            </w:r>
          </w:p>
        </w:tc>
      </w:tr>
      <w:tr>
        <w:tblPrEx>
          <w:tblCellMar>
            <w:top w:w="0" w:type="dxa"/>
            <w:left w:w="0" w:type="dxa"/>
            <w:bottom w:w="0" w:type="dxa"/>
            <w:right w:w="0" w:type="dxa"/>
          </w:tblCellMar>
        </w:tblPrEx>
        <w:trPr>
          <w:trHeight w:val="1180" w:hRule="atLeast"/>
        </w:trPr>
        <w:tc>
          <w:tcPr>
            <w:tcW w:w="1327"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偏差大或目标未完成原因分析</w:t>
            </w:r>
          </w:p>
        </w:tc>
        <w:tc>
          <w:tcPr>
            <w:tcW w:w="3673"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000000"/>
                <w:sz w:val="20"/>
                <w:szCs w:val="20"/>
              </w:rPr>
            </w:pPr>
            <w:r>
              <w:rPr>
                <w:rFonts w:hint="eastAsia" w:ascii="仿宋" w:hAnsi="仿宋" w:eastAsia="仿宋" w:cs="仿宋"/>
                <w:color w:val="000000"/>
                <w:kern w:val="0"/>
                <w:sz w:val="20"/>
                <w:szCs w:val="20"/>
                <w:lang w:bidi="ar"/>
              </w:rPr>
              <w:t>时效指标“灾后桥梁重建工程完成及时性”未完成，该工程合同约定竣工日期为2022年1月9日，目前尚未完工。</w:t>
            </w:r>
          </w:p>
        </w:tc>
      </w:tr>
      <w:tr>
        <w:tblPrEx>
          <w:tblCellMar>
            <w:top w:w="0" w:type="dxa"/>
            <w:left w:w="0" w:type="dxa"/>
            <w:bottom w:w="0" w:type="dxa"/>
            <w:right w:w="0" w:type="dxa"/>
          </w:tblCellMar>
        </w:tblPrEx>
        <w:trPr>
          <w:trHeight w:val="940" w:hRule="atLeast"/>
        </w:trPr>
        <w:tc>
          <w:tcPr>
            <w:tcW w:w="1327" w:type="pct"/>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改进措施及结果应用方案</w:t>
            </w:r>
          </w:p>
        </w:tc>
        <w:tc>
          <w:tcPr>
            <w:tcW w:w="3673" w:type="pct"/>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ascii="仿宋" w:hAnsi="仿宋" w:eastAsia="仿宋" w:cs="仿宋"/>
                <w:color w:val="000000"/>
                <w:sz w:val="20"/>
                <w:szCs w:val="20"/>
              </w:rPr>
            </w:pPr>
            <w:r>
              <w:rPr>
                <w:rFonts w:ascii="仿宋" w:hAnsi="仿宋" w:eastAsia="仿宋" w:cs="仿宋"/>
                <w:color w:val="000000"/>
                <w:kern w:val="0"/>
                <w:sz w:val="20"/>
                <w:szCs w:val="20"/>
                <w:lang w:bidi="ar"/>
              </w:rPr>
              <w:t>加强项目管理，确保工程项目如期完工。</w:t>
            </w:r>
          </w:p>
        </w:tc>
      </w:tr>
    </w:tbl>
    <w:p>
      <w:pPr>
        <w:rPr>
          <w:rFonts w:eastAsia="黑体"/>
          <w:b/>
          <w:sz w:val="32"/>
        </w:rPr>
      </w:pPr>
      <w:r>
        <w:rPr>
          <w:rFonts w:hint="eastAsia" w:eastAsia="黑体"/>
          <w:b/>
          <w:sz w:val="32"/>
        </w:rPr>
        <w:br w:type="page"/>
      </w:r>
    </w:p>
    <w:p>
      <w:pPr>
        <w:pStyle w:val="5"/>
        <w:numPr>
          <w:ilvl w:val="0"/>
          <w:numId w:val="1"/>
        </w:numPr>
        <w:shd w:val="clear" w:color="auto" w:fill="FFFFFF" w:themeFill="background1"/>
        <w:spacing w:line="560" w:lineRule="exact"/>
        <w:ind w:firstLine="643"/>
        <w:jc w:val="both"/>
        <w:outlineLvl w:val="0"/>
        <w:rPr>
          <w:rFonts w:ascii="Times New Roman" w:hAnsi="Times New Roman" w:eastAsia="黑体"/>
          <w:b/>
          <w:sz w:val="32"/>
        </w:rPr>
      </w:pPr>
      <w:r>
        <w:rPr>
          <w:rFonts w:hint="eastAsia" w:ascii="Times New Roman" w:hAnsi="Times New Roman" w:eastAsia="黑体"/>
          <w:b/>
          <w:sz w:val="32"/>
        </w:rPr>
        <w:t>佐证材料</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（一）基本情况</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项目立项目的</w:t>
      </w:r>
    </w:p>
    <w:p>
      <w:pPr>
        <w:widowControl/>
        <w:spacing w:line="560" w:lineRule="exact"/>
        <w:ind w:firstLine="640" w:firstLineChars="200"/>
        <w:rPr>
          <w:rFonts w:eastAsia="仿宋"/>
          <w:sz w:val="32"/>
          <w:szCs w:val="32"/>
        </w:rPr>
      </w:pPr>
      <w:r>
        <w:rPr>
          <w:rFonts w:hint="eastAsia"/>
          <w:sz w:val="32"/>
          <w:szCs w:val="28"/>
        </w:rPr>
        <w:t>2</w:t>
      </w:r>
      <w:r>
        <w:rPr>
          <w:sz w:val="32"/>
          <w:szCs w:val="28"/>
        </w:rPr>
        <w:t>021</w:t>
      </w:r>
      <w:r>
        <w:rPr>
          <w:rFonts w:hint="eastAsia" w:ascii="仿宋" w:hAnsi="仿宋" w:eastAsia="仿宋" w:cs="仿宋"/>
          <w:sz w:val="32"/>
          <w:szCs w:val="28"/>
        </w:rPr>
        <w:t>年</w:t>
      </w:r>
      <w:r>
        <w:rPr>
          <w:rFonts w:hint="eastAsia"/>
          <w:sz w:val="32"/>
          <w:szCs w:val="28"/>
        </w:rPr>
        <w:t>5</w:t>
      </w:r>
      <w:r>
        <w:rPr>
          <w:rFonts w:hint="eastAsia" w:ascii="仿宋" w:hAnsi="仿宋" w:eastAsia="仿宋" w:cs="仿宋"/>
          <w:sz w:val="32"/>
          <w:szCs w:val="28"/>
        </w:rPr>
        <w:t>月</w:t>
      </w:r>
      <w:r>
        <w:rPr>
          <w:rFonts w:hint="eastAsia"/>
          <w:sz w:val="32"/>
          <w:szCs w:val="28"/>
        </w:rPr>
        <w:t>，</w:t>
      </w:r>
      <w:r>
        <w:rPr>
          <w:rFonts w:hint="eastAsia" w:ascii="仿宋" w:hAnsi="仿宋" w:eastAsia="仿宋" w:cs="仿宋"/>
          <w:sz w:val="32"/>
          <w:szCs w:val="28"/>
        </w:rPr>
        <w:t>龙卷风及暴雨极端天气造成军山地区有轨电车车辆基地内建筑房屋和各类设施受损严重、东荆街南丰大队上羊角岭一桥涵洞受暴雨后河水冲刷损毁严重需拆除重建、凤凰工业区周边道路汉南片区道路照明设施遭受重创，为了做好龙卷风灾后修复重建工作，特设立此项目。</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2. 年度绩效目标</w:t>
      </w:r>
    </w:p>
    <w:p>
      <w:pPr>
        <w:widowControl/>
        <w:spacing w:line="560" w:lineRule="exact"/>
        <w:ind w:firstLine="640" w:firstLineChars="200"/>
        <w:rPr>
          <w:rFonts w:eastAsia="仿宋"/>
          <w:sz w:val="32"/>
          <w:szCs w:val="32"/>
        </w:rPr>
      </w:pPr>
      <w:r>
        <w:rPr>
          <w:rFonts w:hint="eastAsia" w:eastAsia="仿宋"/>
          <w:sz w:val="32"/>
          <w:szCs w:val="32"/>
        </w:rPr>
        <w:t>因本项目为年中追加项目，申报预算时未同步申报绩效目标，</w:t>
      </w:r>
      <w:r>
        <w:rPr>
          <w:rFonts w:eastAsia="仿宋"/>
          <w:sz w:val="32"/>
          <w:szCs w:val="32"/>
        </w:rPr>
        <w:t>本项目</w:t>
      </w:r>
      <w:r>
        <w:rPr>
          <w:rFonts w:hint="eastAsia" w:eastAsia="仿宋"/>
          <w:sz w:val="32"/>
          <w:szCs w:val="32"/>
        </w:rPr>
        <w:t>在分析资金使用的产出、效益基础上设立了绩效目标，具体</w:t>
      </w:r>
      <w:r>
        <w:rPr>
          <w:rFonts w:eastAsia="仿宋"/>
          <w:sz w:val="32"/>
          <w:szCs w:val="32"/>
        </w:rPr>
        <w:t>绩效目标如下：</w:t>
      </w:r>
      <w:r>
        <w:rPr>
          <w:rFonts w:hint="eastAsia" w:eastAsia="仿宋"/>
          <w:sz w:val="32"/>
          <w:szCs w:val="32"/>
        </w:rPr>
        <w:t>车辆基地10kV高压充电装置购置1台，蒲潭下行站台10kV高压充电装置购置1台，车辆基地大扇防火折叠门购置12扇，车辆基地视频监控系统购置20套，灾后维修、采购各类受损路灯293套，工程验收合格率≥95%，抢险救灾工程完成及时，灾后桥梁重建工程完成及时，改善交通出行环境，保障人民群众夜间出行安全，保障有轨电车的正常生产运营。</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3. 项目资金情况</w:t>
      </w:r>
    </w:p>
    <w:p>
      <w:pPr>
        <w:widowControl/>
        <w:spacing w:line="560" w:lineRule="exact"/>
        <w:ind w:firstLine="640" w:firstLineChars="200"/>
        <w:rPr>
          <w:rFonts w:eastAsia="仿宋"/>
          <w:sz w:val="32"/>
          <w:szCs w:val="32"/>
        </w:rPr>
      </w:pPr>
      <w:r>
        <w:rPr>
          <w:rFonts w:hint="eastAsia" w:eastAsia="仿宋"/>
          <w:sz w:val="32"/>
          <w:szCs w:val="32"/>
        </w:rPr>
        <w:t>本项目为新增一次性项目，2021年批复预算资金1138.82万元，资金来源于一般公共预算财政拨款和其他项目调剂资金。本项目实际到位资金1138.82万元，实际使用资金1119.44万元，主要用于支付</w:t>
      </w:r>
      <w:r>
        <w:rPr>
          <w:rFonts w:hint="eastAsia" w:ascii="仿宋" w:hAnsi="仿宋" w:eastAsia="仿宋" w:cs="仿宋"/>
          <w:sz w:val="32"/>
          <w:szCs w:val="28"/>
        </w:rPr>
        <w:t>有轨电车车辆基地内建筑房屋和各类设施修复重建费用、凤凰工业区周边道路汉南片区道路照明设施修复重建费用、东荆街南丰大队上羊角岭一桥涵洞拆除重建费用</w:t>
      </w:r>
      <w:r>
        <w:rPr>
          <w:rFonts w:hint="eastAsia" w:eastAsia="仿宋"/>
          <w:sz w:val="32"/>
          <w:szCs w:val="32"/>
        </w:rPr>
        <w:t>，预算执行率为98.30%。</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（二）部门自评工作开展情况</w:t>
      </w:r>
    </w:p>
    <w:p>
      <w:pPr>
        <w:widowControl/>
        <w:spacing w:line="560" w:lineRule="exact"/>
        <w:ind w:firstLine="640" w:firstLineChars="200"/>
        <w:rPr>
          <w:rFonts w:eastAsia="仿宋"/>
          <w:sz w:val="32"/>
          <w:szCs w:val="32"/>
        </w:rPr>
      </w:pPr>
      <w:r>
        <w:rPr>
          <w:rFonts w:eastAsia="仿宋"/>
          <w:sz w:val="32"/>
          <w:szCs w:val="32"/>
        </w:rPr>
        <w:t>本次自评时间从202</w:t>
      </w:r>
      <w:r>
        <w:rPr>
          <w:rFonts w:hint="eastAsia" w:eastAsia="仿宋"/>
          <w:sz w:val="32"/>
          <w:szCs w:val="32"/>
        </w:rPr>
        <w:t>2</w:t>
      </w:r>
      <w:r>
        <w:rPr>
          <w:rFonts w:eastAsia="仿宋"/>
          <w:sz w:val="32"/>
          <w:szCs w:val="32"/>
        </w:rPr>
        <w:t>年</w:t>
      </w:r>
      <w:r>
        <w:rPr>
          <w:rFonts w:hint="eastAsia" w:eastAsia="仿宋"/>
          <w:sz w:val="32"/>
          <w:szCs w:val="32"/>
        </w:rPr>
        <w:t>5</w:t>
      </w:r>
      <w:r>
        <w:rPr>
          <w:rFonts w:eastAsia="仿宋"/>
          <w:sz w:val="32"/>
          <w:szCs w:val="32"/>
        </w:rPr>
        <w:t>月</w:t>
      </w:r>
      <w:r>
        <w:rPr>
          <w:rFonts w:hint="eastAsia" w:eastAsia="仿宋"/>
          <w:sz w:val="32"/>
          <w:szCs w:val="32"/>
        </w:rPr>
        <w:t>15</w:t>
      </w:r>
      <w:r>
        <w:rPr>
          <w:rFonts w:eastAsia="仿宋"/>
          <w:sz w:val="32"/>
          <w:szCs w:val="32"/>
        </w:rPr>
        <w:t>日至202</w:t>
      </w:r>
      <w:r>
        <w:rPr>
          <w:rFonts w:hint="eastAsia" w:eastAsia="仿宋"/>
          <w:sz w:val="32"/>
          <w:szCs w:val="32"/>
        </w:rPr>
        <w:t>2</w:t>
      </w:r>
      <w:r>
        <w:rPr>
          <w:rFonts w:eastAsia="仿宋"/>
          <w:sz w:val="32"/>
          <w:szCs w:val="32"/>
        </w:rPr>
        <w:t>年</w:t>
      </w:r>
      <w:r>
        <w:rPr>
          <w:rFonts w:hint="eastAsia" w:eastAsia="仿宋"/>
          <w:sz w:val="32"/>
          <w:szCs w:val="32"/>
        </w:rPr>
        <w:t>5</w:t>
      </w:r>
      <w:r>
        <w:rPr>
          <w:rFonts w:eastAsia="仿宋"/>
          <w:sz w:val="32"/>
          <w:szCs w:val="32"/>
        </w:rPr>
        <w:t>月</w:t>
      </w:r>
      <w:r>
        <w:rPr>
          <w:rFonts w:hint="eastAsia" w:eastAsia="仿宋"/>
          <w:sz w:val="32"/>
          <w:szCs w:val="32"/>
        </w:rPr>
        <w:t>25</w:t>
      </w:r>
      <w:r>
        <w:rPr>
          <w:rFonts w:eastAsia="仿宋"/>
          <w:sz w:val="32"/>
          <w:szCs w:val="32"/>
        </w:rPr>
        <w:t>日，历时</w:t>
      </w:r>
      <w:r>
        <w:rPr>
          <w:rFonts w:hint="eastAsia" w:eastAsia="仿宋"/>
          <w:sz w:val="32"/>
          <w:szCs w:val="32"/>
        </w:rPr>
        <w:t>11日</w:t>
      </w:r>
      <w:r>
        <w:rPr>
          <w:rFonts w:eastAsia="仿宋"/>
          <w:sz w:val="32"/>
          <w:szCs w:val="32"/>
        </w:rPr>
        <w:t>。自评工作程序如下：</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1. 制定工作方案</w:t>
      </w:r>
    </w:p>
    <w:p>
      <w:pPr>
        <w:spacing w:line="560" w:lineRule="exact"/>
        <w:ind w:firstLine="640" w:firstLineChars="200"/>
        <w:rPr>
          <w:rFonts w:eastAsia="仿宋"/>
          <w:sz w:val="32"/>
          <w:szCs w:val="32"/>
        </w:rPr>
      </w:pPr>
      <w:r>
        <w:rPr>
          <w:rFonts w:hint="eastAsia" w:ascii="仿宋" w:hAnsi="仿宋" w:eastAsia="仿宋" w:cs="仿宋"/>
          <w:sz w:val="32"/>
          <w:szCs w:val="32"/>
        </w:rPr>
        <w:t>项目自评工作方案由区住建局会同第三方机构共同研究制订，根据部门主要负责同志要求和武汉经济技术开发区（汉南区）财政局发布的《关于开展</w:t>
      </w:r>
      <w:r>
        <w:rPr>
          <w:rFonts w:eastAsia="仿宋"/>
          <w:sz w:val="32"/>
          <w:szCs w:val="32"/>
        </w:rPr>
        <w:t>2022</w:t>
      </w:r>
      <w:r>
        <w:rPr>
          <w:rFonts w:hint="eastAsia" w:ascii="仿宋" w:hAnsi="仿宋" w:eastAsia="仿宋" w:cs="仿宋"/>
          <w:sz w:val="32"/>
          <w:szCs w:val="32"/>
        </w:rPr>
        <w:t>年预算绩效评价及项目支出绩效运行监控的通知》（武经开财〔</w:t>
      </w:r>
      <w:r>
        <w:rPr>
          <w:rFonts w:eastAsia="仿宋"/>
          <w:sz w:val="32"/>
          <w:szCs w:val="32"/>
        </w:rPr>
        <w:t>2022</w:t>
      </w:r>
      <w:r>
        <w:rPr>
          <w:rFonts w:hint="eastAsia" w:ascii="仿宋" w:hAnsi="仿宋" w:eastAsia="仿宋" w:cs="仿宋"/>
          <w:sz w:val="32"/>
          <w:szCs w:val="32"/>
        </w:rPr>
        <w:t>〕</w:t>
      </w:r>
      <w:r>
        <w:rPr>
          <w:rFonts w:eastAsia="仿宋"/>
          <w:sz w:val="32"/>
          <w:szCs w:val="32"/>
        </w:rPr>
        <w:t>8</w:t>
      </w:r>
      <w:r>
        <w:rPr>
          <w:rFonts w:hint="eastAsia" w:ascii="仿宋" w:hAnsi="仿宋" w:eastAsia="仿宋" w:cs="仿宋"/>
          <w:sz w:val="32"/>
          <w:szCs w:val="32"/>
        </w:rPr>
        <w:t>号）启动部门自评工作。启动项目自评工作。</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2. 组织实施自评</w:t>
      </w:r>
    </w:p>
    <w:p>
      <w:pPr>
        <w:widowControl/>
        <w:spacing w:line="560" w:lineRule="exact"/>
        <w:ind w:firstLine="640" w:firstLineChars="200"/>
        <w:rPr>
          <w:rFonts w:eastAsia="仿宋"/>
          <w:sz w:val="32"/>
          <w:szCs w:val="32"/>
        </w:rPr>
      </w:pPr>
      <w:r>
        <w:rPr>
          <w:rFonts w:eastAsia="仿宋"/>
          <w:sz w:val="32"/>
          <w:szCs w:val="32"/>
        </w:rPr>
        <w:t>财务部门会同第三方机构及时成立工作组，通过调研访谈、</w:t>
      </w:r>
      <w:r>
        <w:rPr>
          <w:rFonts w:hint="eastAsia" w:eastAsia="仿宋"/>
          <w:sz w:val="32"/>
          <w:szCs w:val="32"/>
        </w:rPr>
        <w:t>电话沟通</w:t>
      </w:r>
      <w:r>
        <w:rPr>
          <w:rFonts w:eastAsia="仿宋"/>
          <w:sz w:val="32"/>
          <w:szCs w:val="32"/>
        </w:rPr>
        <w:t>等方式收集、核实数据和信息，并对这些数据和信息进行整理分析。</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3. 撰写部门自评结果</w:t>
      </w:r>
    </w:p>
    <w:p>
      <w:pPr>
        <w:widowControl/>
        <w:spacing w:line="560" w:lineRule="exact"/>
        <w:ind w:firstLine="640" w:firstLineChars="200"/>
        <w:rPr>
          <w:rFonts w:eastAsia="仿宋"/>
          <w:sz w:val="32"/>
          <w:szCs w:val="32"/>
        </w:rPr>
      </w:pPr>
      <w:r>
        <w:rPr>
          <w:rFonts w:eastAsia="仿宋"/>
          <w:sz w:val="32"/>
          <w:szCs w:val="32"/>
        </w:rPr>
        <w:t>在整理分析基础上，形成部门自评结果。</w:t>
      </w:r>
    </w:p>
    <w:p>
      <w:pPr>
        <w:widowControl/>
        <w:spacing w:line="560" w:lineRule="exact"/>
        <w:ind w:firstLine="643" w:firstLineChars="200"/>
        <w:outlineLvl w:val="2"/>
        <w:rPr>
          <w:rFonts w:ascii="仿宋" w:hAnsi="仿宋" w:eastAsia="仿宋" w:cs="仿宋"/>
          <w:b/>
          <w:bCs/>
          <w:kern w:val="0"/>
          <w:sz w:val="32"/>
          <w:szCs w:val="32"/>
        </w:rPr>
      </w:pPr>
      <w:r>
        <w:rPr>
          <w:rFonts w:hint="eastAsia" w:ascii="仿宋" w:hAnsi="仿宋" w:eastAsia="仿宋" w:cs="仿宋"/>
          <w:b/>
          <w:bCs/>
          <w:kern w:val="0"/>
          <w:sz w:val="32"/>
          <w:szCs w:val="32"/>
        </w:rPr>
        <w:t>4. 建立部门自评档案</w:t>
      </w:r>
    </w:p>
    <w:p>
      <w:pPr>
        <w:spacing w:line="560" w:lineRule="exact"/>
        <w:ind w:firstLine="640" w:firstLineChars="200"/>
        <w:rPr>
          <w:rFonts w:eastAsia="仿宋"/>
          <w:sz w:val="32"/>
          <w:szCs w:val="32"/>
        </w:rPr>
      </w:pPr>
      <w:r>
        <w:rPr>
          <w:rFonts w:hint="eastAsia" w:ascii="仿宋" w:hAnsi="仿宋" w:eastAsia="仿宋" w:cs="仿宋"/>
          <w:sz w:val="32"/>
          <w:szCs w:val="32"/>
        </w:rPr>
        <w:t>项目自评结果按时报送相应资金管理科室并及时归档备查。</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（三）绩效目标完成情况分析</w:t>
      </w:r>
    </w:p>
    <w:p>
      <w:pPr>
        <w:widowControl/>
        <w:spacing w:line="560" w:lineRule="exact"/>
        <w:ind w:firstLine="643" w:firstLineChars="200"/>
        <w:outlineLvl w:val="2"/>
        <w:rPr>
          <w:rFonts w:eastAsia="仿宋"/>
          <w:b/>
          <w:bCs/>
          <w:kern w:val="0"/>
          <w:sz w:val="32"/>
          <w:szCs w:val="32"/>
        </w:rPr>
      </w:pPr>
      <w:r>
        <w:rPr>
          <w:rFonts w:eastAsia="仿宋"/>
          <w:b/>
          <w:bCs/>
          <w:kern w:val="0"/>
          <w:sz w:val="32"/>
          <w:szCs w:val="32"/>
        </w:rPr>
        <w:t>1. 预算执行情况分析（满分20分，得分</w:t>
      </w:r>
      <w:r>
        <w:rPr>
          <w:rFonts w:hint="eastAsia" w:eastAsia="仿宋"/>
          <w:b/>
          <w:bCs/>
          <w:kern w:val="0"/>
          <w:sz w:val="32"/>
          <w:szCs w:val="32"/>
        </w:rPr>
        <w:t>19.7</w:t>
      </w:r>
      <w:r>
        <w:rPr>
          <w:rFonts w:eastAsia="仿宋"/>
          <w:b/>
          <w:bCs/>
          <w:kern w:val="0"/>
          <w:sz w:val="32"/>
          <w:szCs w:val="32"/>
        </w:rPr>
        <w:t>分）</w:t>
      </w:r>
    </w:p>
    <w:p>
      <w:pPr>
        <w:widowControl/>
        <w:spacing w:line="560" w:lineRule="exact"/>
        <w:ind w:firstLine="640" w:firstLineChars="200"/>
        <w:rPr>
          <w:rFonts w:eastAsia="仿宋"/>
          <w:sz w:val="32"/>
          <w:szCs w:val="32"/>
        </w:rPr>
      </w:pPr>
      <w:r>
        <w:rPr>
          <w:rFonts w:eastAsia="仿宋"/>
          <w:sz w:val="32"/>
          <w:szCs w:val="32"/>
        </w:rPr>
        <w:t>本项目202</w:t>
      </w:r>
      <w:r>
        <w:rPr>
          <w:rFonts w:hint="eastAsia" w:eastAsia="仿宋"/>
          <w:sz w:val="32"/>
          <w:szCs w:val="32"/>
        </w:rPr>
        <w:t>1</w:t>
      </w:r>
      <w:r>
        <w:rPr>
          <w:rFonts w:eastAsia="仿宋"/>
          <w:sz w:val="32"/>
          <w:szCs w:val="32"/>
        </w:rPr>
        <w:t>年实际到位资金</w:t>
      </w:r>
      <w:r>
        <w:rPr>
          <w:rFonts w:hint="eastAsia" w:eastAsia="仿宋"/>
          <w:sz w:val="32"/>
          <w:szCs w:val="32"/>
        </w:rPr>
        <w:t>1138.82</w:t>
      </w:r>
      <w:r>
        <w:rPr>
          <w:rFonts w:eastAsia="仿宋"/>
          <w:sz w:val="32"/>
          <w:szCs w:val="32"/>
        </w:rPr>
        <w:t>万元，资金到位率100%。实际支出资金</w:t>
      </w:r>
      <w:r>
        <w:rPr>
          <w:rFonts w:hint="eastAsia" w:eastAsia="仿宋"/>
          <w:sz w:val="32"/>
          <w:szCs w:val="32"/>
        </w:rPr>
        <w:t>1119.44</w:t>
      </w:r>
      <w:r>
        <w:rPr>
          <w:rFonts w:eastAsia="仿宋"/>
          <w:sz w:val="32"/>
          <w:szCs w:val="32"/>
        </w:rPr>
        <w:t>万元，预算执行率为</w:t>
      </w:r>
      <w:r>
        <w:rPr>
          <w:rFonts w:hint="eastAsia" w:eastAsia="仿宋"/>
          <w:sz w:val="32"/>
          <w:szCs w:val="32"/>
        </w:rPr>
        <w:t>98.30</w:t>
      </w:r>
      <w:r>
        <w:rPr>
          <w:rFonts w:eastAsia="仿宋"/>
          <w:sz w:val="32"/>
          <w:szCs w:val="32"/>
        </w:rPr>
        <w:t>%。</w:t>
      </w:r>
    </w:p>
    <w:p>
      <w:pPr>
        <w:widowControl/>
        <w:spacing w:line="560" w:lineRule="exact"/>
        <w:ind w:firstLine="643" w:firstLineChars="200"/>
        <w:outlineLvl w:val="2"/>
        <w:rPr>
          <w:rFonts w:eastAsia="仿宋"/>
          <w:b/>
          <w:bCs/>
          <w:kern w:val="0"/>
          <w:sz w:val="32"/>
          <w:szCs w:val="32"/>
        </w:rPr>
      </w:pPr>
      <w:r>
        <w:rPr>
          <w:rFonts w:hint="eastAsia" w:eastAsia="仿宋"/>
          <w:b/>
          <w:bCs/>
          <w:kern w:val="0"/>
          <w:sz w:val="32"/>
          <w:szCs w:val="32"/>
        </w:rPr>
        <w:t>2. 绩效目标完成情况分析（满分80分，得分75分）</w:t>
      </w:r>
    </w:p>
    <w:p>
      <w:pPr>
        <w:widowControl/>
        <w:spacing w:line="560" w:lineRule="exact"/>
        <w:ind w:firstLine="640" w:firstLineChars="200"/>
        <w:rPr>
          <w:rFonts w:eastAsia="仿宋"/>
          <w:sz w:val="32"/>
          <w:szCs w:val="32"/>
        </w:rPr>
      </w:pPr>
      <w:r>
        <w:rPr>
          <w:rFonts w:eastAsia="仿宋"/>
          <w:sz w:val="32"/>
          <w:szCs w:val="32"/>
        </w:rPr>
        <w:t>（1）</w:t>
      </w:r>
      <w:r>
        <w:rPr>
          <w:rFonts w:hint="eastAsia" w:eastAsia="仿宋"/>
          <w:sz w:val="32"/>
          <w:szCs w:val="32"/>
        </w:rPr>
        <w:t>产出指标</w:t>
      </w:r>
      <w:r>
        <w:rPr>
          <w:rFonts w:eastAsia="仿宋"/>
          <w:sz w:val="32"/>
          <w:szCs w:val="32"/>
        </w:rPr>
        <w:t>完成情况分析(</w:t>
      </w:r>
      <w:r>
        <w:rPr>
          <w:rFonts w:eastAsia="仿宋"/>
          <w:sz w:val="32"/>
          <w:szCs w:val="32"/>
          <w:highlight w:val="none"/>
        </w:rPr>
        <w:t>满分</w:t>
      </w:r>
      <w:r>
        <w:rPr>
          <w:rFonts w:hint="eastAsia" w:eastAsia="仿宋"/>
          <w:sz w:val="32"/>
          <w:szCs w:val="32"/>
          <w:highlight w:val="none"/>
        </w:rPr>
        <w:t>40</w:t>
      </w:r>
      <w:r>
        <w:rPr>
          <w:rFonts w:eastAsia="仿宋"/>
          <w:sz w:val="32"/>
          <w:szCs w:val="32"/>
          <w:highlight w:val="none"/>
        </w:rPr>
        <w:t>分，得分</w:t>
      </w:r>
      <w:r>
        <w:rPr>
          <w:rFonts w:hint="eastAsia" w:eastAsia="仿宋"/>
          <w:sz w:val="32"/>
          <w:szCs w:val="32"/>
          <w:highlight w:val="none"/>
          <w:lang w:val="en-US" w:eastAsia="zh-CN"/>
        </w:rPr>
        <w:t>35</w:t>
      </w:r>
      <w:r>
        <w:rPr>
          <w:rFonts w:eastAsia="仿宋"/>
          <w:sz w:val="32"/>
          <w:szCs w:val="32"/>
          <w:highlight w:val="none"/>
        </w:rPr>
        <w:t>分</w:t>
      </w:r>
      <w:r>
        <w:rPr>
          <w:rFonts w:eastAsia="仿宋"/>
          <w:sz w:val="32"/>
          <w:szCs w:val="32"/>
        </w:rPr>
        <w:t>）</w:t>
      </w:r>
    </w:p>
    <w:p>
      <w:pPr>
        <w:widowControl/>
        <w:spacing w:line="560" w:lineRule="exact"/>
        <w:ind w:firstLine="640" w:firstLineChars="200"/>
      </w:pPr>
      <w:r>
        <w:rPr>
          <w:rFonts w:hint="eastAsia" w:eastAsia="仿宋"/>
          <w:sz w:val="32"/>
          <w:szCs w:val="32"/>
        </w:rPr>
        <w:t>①车辆基地10kV高压充电装置购置</w:t>
      </w:r>
      <w:r>
        <w:rPr>
          <w:rFonts w:eastAsia="仿宋"/>
          <w:sz w:val="32"/>
          <w:szCs w:val="32"/>
        </w:rPr>
        <w:t>：满分</w:t>
      </w:r>
      <w:r>
        <w:rPr>
          <w:rFonts w:hint="eastAsia" w:eastAsia="仿宋"/>
          <w:sz w:val="32"/>
          <w:szCs w:val="32"/>
        </w:rPr>
        <w:t>5</w:t>
      </w:r>
      <w:r>
        <w:rPr>
          <w:rFonts w:eastAsia="仿宋"/>
          <w:sz w:val="32"/>
          <w:szCs w:val="32"/>
        </w:rPr>
        <w:t>分，得分</w:t>
      </w:r>
      <w:r>
        <w:rPr>
          <w:rFonts w:hint="eastAsia" w:eastAsia="仿宋"/>
          <w:sz w:val="32"/>
          <w:szCs w:val="32"/>
        </w:rPr>
        <w:t>5</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目标为车辆基地10kV高压充电装置购置1台，2021年区住建局灾后有轨电车修复款项目已经过审计，采用审阅会计资料、实地勘探、查验发票等方式确认车辆基地购置了1台10kV高压充电装置，完成目标。</w:t>
      </w:r>
    </w:p>
    <w:p>
      <w:pPr>
        <w:widowControl/>
        <w:spacing w:line="560" w:lineRule="exact"/>
        <w:ind w:firstLine="640" w:firstLineChars="200"/>
        <w:rPr>
          <w:rFonts w:eastAsia="仿宋"/>
          <w:sz w:val="32"/>
          <w:szCs w:val="32"/>
        </w:rPr>
      </w:pPr>
      <w:r>
        <w:rPr>
          <w:rFonts w:hint="eastAsia" w:eastAsia="仿宋"/>
          <w:sz w:val="32"/>
          <w:szCs w:val="32"/>
        </w:rPr>
        <w:t>②蒲潭下行站台10kV高压充电装置购置：满分5分，得分5分</w:t>
      </w:r>
    </w:p>
    <w:p>
      <w:pPr>
        <w:widowControl/>
        <w:spacing w:line="560" w:lineRule="exact"/>
        <w:ind w:firstLine="640" w:firstLineChars="200"/>
        <w:rPr>
          <w:rFonts w:eastAsia="仿宋"/>
          <w:sz w:val="32"/>
          <w:szCs w:val="32"/>
        </w:rPr>
      </w:pPr>
      <w:r>
        <w:rPr>
          <w:rFonts w:hint="eastAsia" w:eastAsia="仿宋"/>
          <w:sz w:val="32"/>
          <w:szCs w:val="32"/>
        </w:rPr>
        <w:t>目标为蒲潭下行站台10kV高压充电装置购置1台，2021年区住建局灾后有轨电车修复款项目已经过审计，采用审阅会计资料、实地勘探、查验发票等方式确认蒲潭下行站台购置了1台10kV高压充电装置，完成目标。</w:t>
      </w:r>
    </w:p>
    <w:p>
      <w:pPr>
        <w:widowControl/>
        <w:spacing w:line="560" w:lineRule="exact"/>
        <w:ind w:firstLine="640" w:firstLineChars="200"/>
        <w:rPr>
          <w:rFonts w:eastAsia="仿宋"/>
          <w:sz w:val="32"/>
          <w:szCs w:val="32"/>
        </w:rPr>
      </w:pPr>
      <w:r>
        <w:rPr>
          <w:rFonts w:hint="eastAsia" w:eastAsia="仿宋"/>
          <w:sz w:val="32"/>
          <w:szCs w:val="32"/>
        </w:rPr>
        <w:t>③车辆基地大扇防火折叠门购置：满分5分，得分5分</w:t>
      </w:r>
    </w:p>
    <w:p>
      <w:pPr>
        <w:widowControl/>
        <w:spacing w:line="560" w:lineRule="exact"/>
        <w:ind w:firstLine="640" w:firstLineChars="200"/>
        <w:rPr>
          <w:rFonts w:eastAsia="仿宋"/>
          <w:sz w:val="32"/>
          <w:szCs w:val="32"/>
        </w:rPr>
      </w:pPr>
      <w:r>
        <w:rPr>
          <w:rFonts w:hint="eastAsia" w:eastAsia="仿宋"/>
          <w:sz w:val="32"/>
          <w:szCs w:val="32"/>
        </w:rPr>
        <w:t>目标为车辆基地大扇防火折叠门购置12扇，2021年区住建局灾后有轨电车修复款项目已经过审计，采用审阅会计资料、实地勘探、查验发票等方式确认车辆基地检修库、运用库购置了12扇大扇防火折叠门，完成目标。</w:t>
      </w:r>
    </w:p>
    <w:p>
      <w:pPr>
        <w:widowControl/>
        <w:spacing w:line="560" w:lineRule="exact"/>
        <w:ind w:firstLine="640" w:firstLineChars="200"/>
        <w:rPr>
          <w:rFonts w:eastAsia="仿宋"/>
          <w:sz w:val="32"/>
          <w:szCs w:val="32"/>
        </w:rPr>
      </w:pPr>
      <w:r>
        <w:rPr>
          <w:rFonts w:hint="eastAsia" w:eastAsia="仿宋"/>
          <w:sz w:val="32"/>
          <w:szCs w:val="32"/>
        </w:rPr>
        <w:t>④车辆基地视频监控系统购置</w:t>
      </w:r>
      <w:r>
        <w:rPr>
          <w:rFonts w:eastAsia="仿宋"/>
          <w:sz w:val="32"/>
          <w:szCs w:val="32"/>
        </w:rPr>
        <w:t>审查机构监督检查次数：满分</w:t>
      </w:r>
      <w:r>
        <w:rPr>
          <w:rFonts w:hint="eastAsia" w:eastAsia="仿宋"/>
          <w:sz w:val="32"/>
          <w:szCs w:val="32"/>
        </w:rPr>
        <w:t>5</w:t>
      </w:r>
      <w:r>
        <w:rPr>
          <w:rFonts w:eastAsia="仿宋"/>
          <w:sz w:val="32"/>
          <w:szCs w:val="32"/>
        </w:rPr>
        <w:t>分，得分</w:t>
      </w:r>
      <w:r>
        <w:rPr>
          <w:rFonts w:hint="eastAsia" w:eastAsia="仿宋"/>
          <w:sz w:val="32"/>
          <w:szCs w:val="32"/>
        </w:rPr>
        <w:t>5</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目标为车辆基地视频监控系统购置20套，2021年区住建局灾后有轨电车修复款项目已经过审计，采用审阅会计资料、实地勘探、查验发票等方式确认车辆基地视频监控系统购置了20套，完成目标。</w:t>
      </w:r>
    </w:p>
    <w:p>
      <w:pPr>
        <w:widowControl/>
        <w:spacing w:line="560" w:lineRule="exact"/>
        <w:ind w:firstLine="640" w:firstLineChars="200"/>
        <w:rPr>
          <w:rFonts w:eastAsia="仿宋"/>
          <w:sz w:val="32"/>
          <w:szCs w:val="32"/>
        </w:rPr>
      </w:pPr>
      <w:r>
        <w:rPr>
          <w:rFonts w:hint="eastAsia" w:eastAsia="仿宋"/>
          <w:sz w:val="32"/>
          <w:szCs w:val="32"/>
        </w:rPr>
        <w:t>⑤灾后维修、采购各类受损路灯</w:t>
      </w:r>
      <w:r>
        <w:rPr>
          <w:rFonts w:eastAsia="仿宋"/>
          <w:sz w:val="32"/>
          <w:szCs w:val="32"/>
        </w:rPr>
        <w:t>：满分</w:t>
      </w:r>
      <w:r>
        <w:rPr>
          <w:rFonts w:hint="eastAsia" w:eastAsia="仿宋"/>
          <w:sz w:val="32"/>
          <w:szCs w:val="32"/>
        </w:rPr>
        <w:t>5</w:t>
      </w:r>
      <w:r>
        <w:rPr>
          <w:rFonts w:eastAsia="仿宋"/>
          <w:sz w:val="32"/>
          <w:szCs w:val="32"/>
        </w:rPr>
        <w:t>分，得分</w:t>
      </w:r>
      <w:r>
        <w:rPr>
          <w:rFonts w:hint="eastAsia" w:eastAsia="仿宋"/>
          <w:sz w:val="32"/>
          <w:szCs w:val="32"/>
        </w:rPr>
        <w:t>5</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灾后维修、采购各类受损路灯293套，2021年官莲湖大道、黄陵大道、通顺河大道采购安装400W泛光灯具25套、400W特型钠灯灯具23套、250W特型钠灯灯具23套，军山街黄陵社区中山湖公园维修7米太阳能路灯2套、3.5米太阳能路灯13套、3米太阳能路灯57套，景观桥3.5w点光源灯100套、10W照明灯50套，总计维修、采购各类受损路灯293套，完成目标。</w:t>
      </w:r>
    </w:p>
    <w:p>
      <w:pPr>
        <w:widowControl/>
        <w:spacing w:line="560" w:lineRule="exact"/>
        <w:ind w:firstLine="640" w:firstLineChars="200"/>
        <w:rPr>
          <w:rFonts w:eastAsia="仿宋"/>
          <w:sz w:val="32"/>
          <w:szCs w:val="32"/>
        </w:rPr>
      </w:pPr>
      <w:r>
        <w:rPr>
          <w:rFonts w:hint="eastAsia" w:eastAsia="仿宋"/>
          <w:sz w:val="32"/>
          <w:szCs w:val="32"/>
        </w:rPr>
        <w:t>⑥工程验收合格率</w:t>
      </w:r>
      <w:r>
        <w:rPr>
          <w:rFonts w:eastAsia="仿宋"/>
          <w:sz w:val="32"/>
          <w:szCs w:val="32"/>
        </w:rPr>
        <w:t>：满分</w:t>
      </w:r>
      <w:r>
        <w:rPr>
          <w:rFonts w:hint="eastAsia" w:eastAsia="仿宋"/>
          <w:sz w:val="32"/>
          <w:szCs w:val="32"/>
        </w:rPr>
        <w:t>5</w:t>
      </w:r>
      <w:r>
        <w:rPr>
          <w:rFonts w:eastAsia="仿宋"/>
          <w:sz w:val="32"/>
          <w:szCs w:val="32"/>
        </w:rPr>
        <w:t>分，得分</w:t>
      </w:r>
      <w:r>
        <w:rPr>
          <w:rFonts w:hint="eastAsia" w:eastAsia="仿宋"/>
          <w:sz w:val="32"/>
          <w:szCs w:val="32"/>
        </w:rPr>
        <w:t>5</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目标为工程验收合格率≥95</w:t>
      </w:r>
      <w:r>
        <w:rPr>
          <w:rFonts w:eastAsia="仿宋"/>
          <w:sz w:val="32"/>
          <w:szCs w:val="32"/>
        </w:rPr>
        <w:t>%</w:t>
      </w:r>
      <w:r>
        <w:rPr>
          <w:rFonts w:hint="eastAsia" w:eastAsia="仿宋"/>
          <w:sz w:val="32"/>
          <w:szCs w:val="32"/>
        </w:rPr>
        <w:t>，灾后有轨电车修复、灾后桥梁重建、路灯照明设施灾后维修采购等项目涉及的工程验收全部合格，工程验收合格率达100%，完成目标。</w:t>
      </w:r>
    </w:p>
    <w:p>
      <w:pPr>
        <w:widowControl/>
        <w:spacing w:line="560" w:lineRule="exact"/>
        <w:ind w:firstLine="640" w:firstLineChars="200"/>
        <w:rPr>
          <w:rFonts w:eastAsia="仿宋"/>
          <w:sz w:val="32"/>
          <w:szCs w:val="32"/>
        </w:rPr>
      </w:pPr>
      <w:r>
        <w:rPr>
          <w:rFonts w:hint="eastAsia" w:eastAsia="仿宋"/>
          <w:sz w:val="32"/>
          <w:szCs w:val="32"/>
        </w:rPr>
        <w:t>⑦抢险救灾工程完成及时性</w:t>
      </w:r>
      <w:r>
        <w:rPr>
          <w:rFonts w:eastAsia="仿宋"/>
          <w:sz w:val="32"/>
          <w:szCs w:val="32"/>
        </w:rPr>
        <w:t>：满分</w:t>
      </w:r>
      <w:r>
        <w:rPr>
          <w:rFonts w:hint="eastAsia" w:eastAsia="仿宋"/>
          <w:sz w:val="32"/>
          <w:szCs w:val="32"/>
        </w:rPr>
        <w:t>5</w:t>
      </w:r>
      <w:r>
        <w:rPr>
          <w:rFonts w:eastAsia="仿宋"/>
          <w:sz w:val="32"/>
          <w:szCs w:val="32"/>
        </w:rPr>
        <w:t>分，得分</w:t>
      </w:r>
      <w:r>
        <w:rPr>
          <w:rFonts w:hint="eastAsia" w:eastAsia="仿宋"/>
          <w:sz w:val="32"/>
          <w:szCs w:val="32"/>
        </w:rPr>
        <w:t>5</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目标为抢险救灾工程完成及时，抢险救灾工程均在合同规定时间内完成，抢险救灾工程完成及时，完成目标。</w:t>
      </w:r>
    </w:p>
    <w:p>
      <w:pPr>
        <w:widowControl/>
        <w:spacing w:line="560" w:lineRule="exact"/>
        <w:ind w:firstLine="640" w:firstLineChars="200"/>
        <w:rPr>
          <w:rFonts w:eastAsia="仿宋"/>
          <w:sz w:val="32"/>
          <w:szCs w:val="32"/>
        </w:rPr>
      </w:pPr>
      <w:r>
        <w:rPr>
          <w:rFonts w:hint="eastAsia" w:ascii="仿宋" w:hAnsi="仿宋" w:eastAsia="仿宋" w:cs="仿宋"/>
          <w:sz w:val="32"/>
          <w:szCs w:val="32"/>
        </w:rPr>
        <w:t>⑧灾后桥梁重建工程完成及时性</w:t>
      </w:r>
      <w:r>
        <w:rPr>
          <w:rFonts w:eastAsia="仿宋"/>
          <w:sz w:val="32"/>
          <w:szCs w:val="32"/>
        </w:rPr>
        <w:t>：满分</w:t>
      </w:r>
      <w:r>
        <w:rPr>
          <w:rFonts w:hint="eastAsia" w:eastAsia="仿宋"/>
          <w:sz w:val="32"/>
          <w:szCs w:val="32"/>
        </w:rPr>
        <w:t>5</w:t>
      </w:r>
      <w:r>
        <w:rPr>
          <w:rFonts w:eastAsia="仿宋"/>
          <w:sz w:val="32"/>
          <w:szCs w:val="32"/>
        </w:rPr>
        <w:t>分，得分</w:t>
      </w:r>
      <w:r>
        <w:rPr>
          <w:rFonts w:hint="eastAsia" w:eastAsia="仿宋"/>
          <w:sz w:val="32"/>
          <w:szCs w:val="32"/>
        </w:rPr>
        <w:t>0</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w:t>
      </w:r>
      <w:r>
        <w:rPr>
          <w:rFonts w:eastAsia="仿宋"/>
          <w:sz w:val="32"/>
          <w:szCs w:val="32"/>
        </w:rPr>
        <w:t>灾后桥梁重建工程完成及时</w:t>
      </w:r>
      <w:r>
        <w:rPr>
          <w:rFonts w:hint="eastAsia" w:eastAsia="仿宋"/>
          <w:sz w:val="32"/>
          <w:szCs w:val="32"/>
        </w:rPr>
        <w:t>，该工程合同签订竣工日期为2022年1月9日，但目前尚未完工，未完成目标。</w:t>
      </w:r>
    </w:p>
    <w:p>
      <w:pPr>
        <w:widowControl/>
        <w:spacing w:line="560" w:lineRule="exact"/>
        <w:ind w:firstLine="640" w:firstLineChars="200"/>
        <w:rPr>
          <w:rFonts w:eastAsia="仿宋"/>
          <w:sz w:val="32"/>
          <w:szCs w:val="32"/>
        </w:rPr>
      </w:pPr>
      <w:r>
        <w:rPr>
          <w:rFonts w:eastAsia="仿宋"/>
          <w:sz w:val="32"/>
          <w:szCs w:val="32"/>
        </w:rPr>
        <w:t>（2）</w:t>
      </w:r>
      <w:r>
        <w:rPr>
          <w:rFonts w:hint="eastAsia" w:eastAsia="仿宋"/>
          <w:sz w:val="32"/>
          <w:szCs w:val="32"/>
        </w:rPr>
        <w:t>效益</w:t>
      </w:r>
      <w:r>
        <w:rPr>
          <w:rFonts w:eastAsia="仿宋"/>
          <w:sz w:val="32"/>
          <w:szCs w:val="32"/>
        </w:rPr>
        <w:t>指标完成情况分析（满分</w:t>
      </w:r>
      <w:r>
        <w:rPr>
          <w:rFonts w:hint="eastAsia" w:eastAsia="仿宋"/>
          <w:sz w:val="32"/>
          <w:szCs w:val="32"/>
        </w:rPr>
        <w:t>30</w:t>
      </w:r>
      <w:r>
        <w:rPr>
          <w:rFonts w:eastAsia="仿宋"/>
          <w:sz w:val="32"/>
          <w:szCs w:val="32"/>
        </w:rPr>
        <w:t>分，得分</w:t>
      </w:r>
      <w:r>
        <w:rPr>
          <w:rFonts w:hint="eastAsia" w:eastAsia="仿宋"/>
          <w:sz w:val="32"/>
          <w:szCs w:val="32"/>
        </w:rPr>
        <w:t>30</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①改善交通出行环境</w:t>
      </w:r>
      <w:r>
        <w:rPr>
          <w:rFonts w:eastAsia="仿宋"/>
          <w:sz w:val="32"/>
          <w:szCs w:val="32"/>
        </w:rPr>
        <w:t>：满分</w:t>
      </w:r>
      <w:r>
        <w:rPr>
          <w:rFonts w:hint="eastAsia" w:eastAsia="仿宋"/>
          <w:sz w:val="32"/>
          <w:szCs w:val="32"/>
        </w:rPr>
        <w:t>10</w:t>
      </w:r>
      <w:r>
        <w:rPr>
          <w:rFonts w:eastAsia="仿宋"/>
          <w:sz w:val="32"/>
          <w:szCs w:val="32"/>
        </w:rPr>
        <w:t>分，得分</w:t>
      </w:r>
      <w:r>
        <w:rPr>
          <w:rFonts w:hint="eastAsia" w:eastAsia="仿宋"/>
          <w:sz w:val="32"/>
          <w:szCs w:val="32"/>
        </w:rPr>
        <w:t>10</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目标为改善交通出行环境，通过灾后抢险救灾工作的实施，清理了道路倒伏树木、堆积物，消除了道路安全隐患，改善了交通出行环境，完成目标。</w:t>
      </w:r>
    </w:p>
    <w:p>
      <w:pPr>
        <w:widowControl/>
        <w:spacing w:line="560" w:lineRule="exact"/>
        <w:ind w:firstLine="640" w:firstLineChars="200"/>
        <w:rPr>
          <w:rFonts w:eastAsia="仿宋"/>
          <w:sz w:val="32"/>
          <w:szCs w:val="32"/>
        </w:rPr>
      </w:pPr>
      <w:r>
        <w:rPr>
          <w:rFonts w:hint="eastAsia" w:eastAsia="仿宋"/>
          <w:sz w:val="32"/>
          <w:szCs w:val="32"/>
        </w:rPr>
        <w:t>②保障人民群众夜间出行安全</w:t>
      </w:r>
      <w:r>
        <w:rPr>
          <w:rFonts w:eastAsia="仿宋"/>
          <w:sz w:val="32"/>
          <w:szCs w:val="32"/>
        </w:rPr>
        <w:t>：满分</w:t>
      </w:r>
      <w:r>
        <w:rPr>
          <w:rFonts w:hint="eastAsia" w:eastAsia="仿宋"/>
          <w:sz w:val="32"/>
          <w:szCs w:val="32"/>
        </w:rPr>
        <w:t>10</w:t>
      </w:r>
      <w:r>
        <w:rPr>
          <w:rFonts w:eastAsia="仿宋"/>
          <w:sz w:val="32"/>
          <w:szCs w:val="32"/>
        </w:rPr>
        <w:t>分，得分</w:t>
      </w:r>
      <w:r>
        <w:rPr>
          <w:rFonts w:hint="eastAsia" w:eastAsia="仿宋"/>
          <w:sz w:val="32"/>
          <w:szCs w:val="32"/>
        </w:rPr>
        <w:t>10</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目标为保障人民群众夜间出行安全，通过对官莲湖大道、黄陵大道、通顺河大道和军山街黄陵社区中山湖公园的灾后受损路灯维修及采购安装，保障路灯正常照明，保障了人民群众夜间出行安全，完成目标。</w:t>
      </w:r>
    </w:p>
    <w:p>
      <w:pPr>
        <w:widowControl/>
        <w:spacing w:line="560" w:lineRule="exact"/>
        <w:ind w:firstLine="640" w:firstLineChars="200"/>
        <w:rPr>
          <w:rFonts w:eastAsia="仿宋"/>
          <w:sz w:val="32"/>
          <w:szCs w:val="32"/>
        </w:rPr>
      </w:pPr>
      <w:r>
        <w:rPr>
          <w:rFonts w:hint="eastAsia" w:eastAsia="仿宋"/>
          <w:sz w:val="32"/>
          <w:szCs w:val="32"/>
        </w:rPr>
        <w:t>③保障有轨电车的正常生产运营</w:t>
      </w:r>
      <w:r>
        <w:rPr>
          <w:rFonts w:eastAsia="仿宋"/>
          <w:sz w:val="32"/>
          <w:szCs w:val="32"/>
        </w:rPr>
        <w:t>：满分</w:t>
      </w:r>
      <w:r>
        <w:rPr>
          <w:rFonts w:hint="eastAsia" w:eastAsia="仿宋"/>
          <w:sz w:val="32"/>
          <w:szCs w:val="32"/>
        </w:rPr>
        <w:t>10</w:t>
      </w:r>
      <w:r>
        <w:rPr>
          <w:rFonts w:eastAsia="仿宋"/>
          <w:sz w:val="32"/>
          <w:szCs w:val="32"/>
        </w:rPr>
        <w:t>分，得分</w:t>
      </w:r>
      <w:r>
        <w:rPr>
          <w:rFonts w:hint="eastAsia" w:eastAsia="仿宋"/>
          <w:sz w:val="32"/>
          <w:szCs w:val="32"/>
        </w:rPr>
        <w:t>10</w:t>
      </w:r>
      <w:r>
        <w:rPr>
          <w:rFonts w:eastAsia="仿宋"/>
          <w:sz w:val="32"/>
          <w:szCs w:val="32"/>
        </w:rPr>
        <w:t>分</w:t>
      </w:r>
    </w:p>
    <w:p>
      <w:pPr>
        <w:widowControl/>
        <w:spacing w:line="560" w:lineRule="exact"/>
        <w:ind w:firstLine="640" w:firstLineChars="200"/>
        <w:rPr>
          <w:rFonts w:eastAsia="仿宋"/>
          <w:sz w:val="32"/>
          <w:szCs w:val="32"/>
        </w:rPr>
      </w:pPr>
      <w:r>
        <w:rPr>
          <w:rFonts w:hint="eastAsia" w:eastAsia="仿宋"/>
          <w:sz w:val="32"/>
          <w:szCs w:val="32"/>
        </w:rPr>
        <w:t>目标为保障有轨电车的正常生产运营，通过对</w:t>
      </w:r>
      <w:r>
        <w:rPr>
          <w:rFonts w:hint="eastAsia" w:ascii="仿宋" w:hAnsi="仿宋" w:eastAsia="仿宋" w:cs="仿宋"/>
          <w:sz w:val="32"/>
          <w:szCs w:val="28"/>
        </w:rPr>
        <w:t>有轨电车车辆基地内建筑房屋和各类设施维修重建，保障了</w:t>
      </w:r>
      <w:r>
        <w:rPr>
          <w:rFonts w:hint="eastAsia" w:eastAsia="仿宋"/>
          <w:sz w:val="32"/>
          <w:szCs w:val="32"/>
        </w:rPr>
        <w:t>有轨电车的正常生产运营，完成目标。</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highlight w:val="green"/>
        </w:rPr>
      </w:pPr>
      <w:r>
        <w:rPr>
          <w:rFonts w:hint="eastAsia" w:ascii="Times New Roman" w:hAnsi="Times New Roman" w:eastAsia="楷体" w:cs="Times New Roman"/>
        </w:rPr>
        <w:t>（四）上年度部门自评结果应用情况</w:t>
      </w:r>
    </w:p>
    <w:p>
      <w:pPr>
        <w:widowControl/>
        <w:spacing w:line="560" w:lineRule="exact"/>
        <w:ind w:firstLine="640" w:firstLineChars="200"/>
        <w:rPr>
          <w:rFonts w:eastAsia="仿宋"/>
          <w:sz w:val="32"/>
          <w:szCs w:val="32"/>
        </w:rPr>
      </w:pPr>
      <w:r>
        <w:rPr>
          <w:rFonts w:hint="eastAsia" w:ascii="仿宋" w:hAnsi="仿宋" w:eastAsia="仿宋" w:cs="仿宋"/>
          <w:color w:val="000000"/>
          <w:kern w:val="0"/>
          <w:sz w:val="32"/>
          <w:szCs w:val="32"/>
        </w:rPr>
        <w:t>该项目为本年度新增项目，年中发生风灾等极端天气用于灾后有轨电车车辆基地修复重建、桥梁重建、路灯照明设施修复重建而设立，上年度无对应绩效评价。</w:t>
      </w:r>
    </w:p>
    <w:p>
      <w:pPr>
        <w:pStyle w:val="3"/>
        <w:shd w:val="clear" w:color="auto" w:fill="FFFFFF" w:themeFill="background1"/>
        <w:spacing w:before="0" w:after="0" w:line="560" w:lineRule="exact"/>
        <w:ind w:firstLine="643" w:firstLineChars="200"/>
        <w:contextualSpacing/>
        <w:jc w:val="left"/>
        <w:rPr>
          <w:rFonts w:ascii="Times New Roman" w:hAnsi="Times New Roman" w:eastAsia="楷体" w:cs="Times New Roman"/>
        </w:rPr>
      </w:pPr>
      <w:r>
        <w:rPr>
          <w:rFonts w:hint="eastAsia" w:ascii="Times New Roman" w:hAnsi="Times New Roman" w:eastAsia="楷体" w:cs="Times New Roman"/>
        </w:rPr>
        <w:t>（五）其他佐证材料</w:t>
      </w:r>
    </w:p>
    <w:p>
      <w:pPr>
        <w:widowControl/>
        <w:spacing w:line="560" w:lineRule="exact"/>
        <w:ind w:firstLine="640" w:firstLineChars="200"/>
        <w:rPr>
          <w:rFonts w:eastAsia="仿宋"/>
          <w:sz w:val="32"/>
          <w:szCs w:val="32"/>
        </w:rPr>
      </w:pPr>
      <w:r>
        <w:rPr>
          <w:rFonts w:hint="eastAsia" w:eastAsia="仿宋"/>
          <w:sz w:val="32"/>
          <w:szCs w:val="32"/>
        </w:rPr>
        <w:t>无。</w:t>
      </w:r>
    </w:p>
    <w:p>
      <w:pPr>
        <w:pStyle w:val="4"/>
        <w:rPr>
          <w:rFonts w:eastAsia="仿宋"/>
          <w:sz w:val="32"/>
          <w:szCs w:val="32"/>
        </w:rPr>
      </w:pPr>
    </w:p>
    <w:p/>
    <w:p>
      <w:pPr>
        <w:widowControl/>
        <w:spacing w:line="560" w:lineRule="exact"/>
        <w:ind w:firstLine="480" w:firstLineChars="200"/>
        <w:jc w:val="right"/>
        <w:rPr>
          <w:rFonts w:eastAsia="仿宋"/>
          <w:sz w:val="32"/>
          <w:szCs w:val="32"/>
        </w:rPr>
      </w:pPr>
      <w:r>
        <w:rPr>
          <w:rFonts w:eastAsia="宋体"/>
          <w:color w:val="000000"/>
          <w:kern w:val="0"/>
          <w:sz w:val="24"/>
        </w:rPr>
        <w:t xml:space="preserve">　     </w:t>
      </w:r>
      <w:r>
        <w:rPr>
          <w:rFonts w:hint="eastAsia" w:eastAsia="仿宋"/>
          <w:sz w:val="32"/>
          <w:szCs w:val="32"/>
        </w:rPr>
        <w:t>武汉经济技术开发区（汉南区）住房和城乡建设局</w:t>
      </w:r>
    </w:p>
    <w:p>
      <w:pPr>
        <w:widowControl/>
        <w:spacing w:line="560" w:lineRule="exact"/>
        <w:ind w:firstLine="5120" w:firstLineChars="1600"/>
        <w:jc w:val="right"/>
        <w:rPr>
          <w:rFonts w:eastAsia="仿宋"/>
          <w:sz w:val="32"/>
          <w:szCs w:val="32"/>
        </w:rPr>
      </w:pPr>
      <w:r>
        <w:rPr>
          <w:rFonts w:eastAsia="仿宋"/>
          <w:sz w:val="32"/>
          <w:szCs w:val="32"/>
        </w:rPr>
        <w:t>202</w:t>
      </w:r>
      <w:r>
        <w:rPr>
          <w:rFonts w:hint="eastAsia" w:eastAsia="仿宋"/>
          <w:sz w:val="32"/>
          <w:szCs w:val="32"/>
        </w:rPr>
        <w:t>2</w:t>
      </w:r>
      <w:r>
        <w:rPr>
          <w:rFonts w:eastAsia="仿宋"/>
          <w:sz w:val="32"/>
          <w:szCs w:val="32"/>
        </w:rPr>
        <w:t>年</w:t>
      </w:r>
      <w:r>
        <w:rPr>
          <w:rFonts w:hint="eastAsia" w:eastAsia="仿宋"/>
          <w:sz w:val="32"/>
          <w:szCs w:val="32"/>
        </w:rPr>
        <w:t>5</w:t>
      </w:r>
      <w:r>
        <w:rPr>
          <w:rFonts w:eastAsia="仿宋"/>
          <w:sz w:val="32"/>
          <w:szCs w:val="32"/>
        </w:rPr>
        <w:t>月</w:t>
      </w:r>
      <w:r>
        <w:rPr>
          <w:rFonts w:hint="eastAsia" w:eastAsia="仿宋"/>
          <w:sz w:val="32"/>
          <w:szCs w:val="32"/>
        </w:rPr>
        <w:t>25</w:t>
      </w:r>
      <w:r>
        <w:rPr>
          <w:rFonts w:eastAsia="仿宋"/>
          <w:sz w:val="32"/>
          <w:szCs w:val="32"/>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0E357"/>
    <w:multiLevelType w:val="singleLevel"/>
    <w:tmpl w:val="DEE0E35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4YmI0OTE1YTE2MGJlNjY4YmQ1MTgwYzIxYTM1N2YifQ=="/>
    <w:docVar w:name="KSO_WPS_MARK_KEY" w:val="b820c838-41c1-4b01-9813-5348688d83ad"/>
  </w:docVars>
  <w:rsids>
    <w:rsidRoot w:val="205D3771"/>
    <w:rsid w:val="000419D2"/>
    <w:rsid w:val="00342841"/>
    <w:rsid w:val="004431CB"/>
    <w:rsid w:val="00BB2178"/>
    <w:rsid w:val="00FC39D3"/>
    <w:rsid w:val="04602548"/>
    <w:rsid w:val="205D3771"/>
    <w:rsid w:val="26674A18"/>
    <w:rsid w:val="42675894"/>
    <w:rsid w:val="63224191"/>
    <w:rsid w:val="6D6052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5"/>
    <w:basedOn w:val="1"/>
    <w:next w:val="1"/>
    <w:qFormat/>
    <w:uiPriority w:val="0"/>
    <w:pPr>
      <w:keepNext/>
      <w:outlineLvl w:val="4"/>
    </w:pPr>
    <w:rPr>
      <w:rFonts w:ascii="宋体" w:hAnsi="宋体" w:cs="宋体"/>
      <w:b/>
      <w:bCs/>
      <w:sz w:val="24"/>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5">
    <w:name w:val="Title"/>
    <w:basedOn w:val="1"/>
    <w:next w:val="1"/>
    <w:qFormat/>
    <w:uiPriority w:val="10"/>
    <w:pPr>
      <w:spacing w:line="360" w:lineRule="auto"/>
      <w:ind w:firstLine="200" w:firstLineChars="200"/>
      <w:jc w:val="left"/>
      <w:outlineLvl w:val="3"/>
    </w:pPr>
    <w:rPr>
      <w:rFonts w:ascii="Cambria" w:hAnsi="Cambria"/>
      <w:bCs/>
      <w:sz w:val="24"/>
      <w:szCs w:val="32"/>
    </w:rPr>
  </w:style>
  <w:style w:type="character" w:customStyle="1" w:styleId="8">
    <w:name w:val="font51"/>
    <w:basedOn w:val="7"/>
    <w:qFormat/>
    <w:uiPriority w:val="0"/>
    <w:rPr>
      <w:rFonts w:ascii="Wingdings" w:hAnsi="Wingdings" w:cs="Wingdings"/>
      <w:color w:val="000000"/>
      <w:sz w:val="20"/>
      <w:szCs w:val="20"/>
      <w:u w:val="none"/>
    </w:rPr>
  </w:style>
  <w:style w:type="character" w:customStyle="1" w:styleId="9">
    <w:name w:val="font41"/>
    <w:basedOn w:val="7"/>
    <w:qFormat/>
    <w:uiPriority w:val="0"/>
    <w:rPr>
      <w:rFonts w:hint="default" w:ascii="仿宋" w:hAnsi="仿宋" w:eastAsia="仿宋" w:cs="仿宋"/>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3481</Words>
  <Characters>3817</Characters>
  <Lines>29</Lines>
  <Paragraphs>8</Paragraphs>
  <TotalTime>18</TotalTime>
  <ScaleCrop>false</ScaleCrop>
  <LinksUpToDate>false</LinksUpToDate>
  <CharactersWithSpaces>4035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2022-05-24T06:27:00Z</dcterms:created>
  <dc:creator>咸鱼粥</dc:creator>
  <cp:lastModifiedBy>徐茫茫</cp:lastModifiedBy>
  <dcterms:modified xsi:type="dcterms:W3CDTF">2025-02-14T03:01:47Z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9F28BA632B8B4890B4953B42B0FE70BC</vt:lpwstr>
  </property>
</Properties>
</file>