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themeFill="background1"/>
        <w:spacing w:line="560" w:lineRule="exact"/>
        <w:jc w:val="center"/>
        <w:rPr>
          <w:rFonts w:eastAsia="宋体"/>
          <w:b/>
          <w:sz w:val="36"/>
          <w:szCs w:val="36"/>
        </w:rPr>
      </w:pPr>
      <w:r>
        <w:rPr>
          <w:rFonts w:hint="eastAsia" w:eastAsia="宋体"/>
          <w:b/>
          <w:sz w:val="36"/>
          <w:szCs w:val="36"/>
        </w:rPr>
        <w:t>202</w:t>
      </w:r>
      <w:r>
        <w:rPr>
          <w:rFonts w:eastAsia="宋体"/>
          <w:b/>
          <w:sz w:val="36"/>
          <w:szCs w:val="36"/>
        </w:rPr>
        <w:t>1</w:t>
      </w:r>
      <w:r>
        <w:rPr>
          <w:rFonts w:hint="eastAsia" w:eastAsia="宋体"/>
          <w:b/>
          <w:sz w:val="36"/>
          <w:szCs w:val="36"/>
        </w:rPr>
        <w:t>年度中央财政城镇保障性安居工程专项资金项目</w:t>
      </w:r>
    </w:p>
    <w:p>
      <w:pPr>
        <w:shd w:val="clear" w:color="auto" w:fill="FFFFFF" w:themeFill="background1"/>
        <w:spacing w:line="560" w:lineRule="exact"/>
        <w:jc w:val="center"/>
        <w:rPr>
          <w:rFonts w:eastAsia="宋体"/>
          <w:b/>
          <w:sz w:val="36"/>
          <w:szCs w:val="36"/>
        </w:rPr>
      </w:pPr>
      <w:r>
        <w:rPr>
          <w:rFonts w:hint="eastAsia" w:eastAsia="宋体"/>
          <w:b/>
          <w:sz w:val="36"/>
          <w:szCs w:val="36"/>
        </w:rPr>
        <w:t>自评结果</w:t>
      </w:r>
    </w:p>
    <w:p>
      <w:pPr>
        <w:pStyle w:val="8"/>
        <w:shd w:val="clear" w:color="auto" w:fill="FFFFFF" w:themeFill="background1"/>
        <w:spacing w:line="560" w:lineRule="exact"/>
        <w:ind w:firstLine="0" w:firstLineChars="0"/>
        <w:jc w:val="center"/>
        <w:outlineLvl w:val="9"/>
        <w:rPr>
          <w:rFonts w:ascii="楷体" w:hAnsi="楷体" w:eastAsia="楷体" w:cs="楷体"/>
          <w:b/>
          <w:sz w:val="32"/>
        </w:rPr>
      </w:pPr>
      <w:r>
        <w:rPr>
          <w:rFonts w:hint="eastAsia" w:ascii="楷体" w:hAnsi="楷体" w:eastAsia="楷体" w:cs="楷体"/>
          <w:b/>
          <w:sz w:val="32"/>
        </w:rPr>
        <w:t>（缩略版）</w:t>
      </w:r>
    </w:p>
    <w:p>
      <w:pPr>
        <w:pStyle w:val="8"/>
        <w:shd w:val="clear" w:color="auto" w:fill="FFFFFF" w:themeFill="background1"/>
        <w:spacing w:line="560" w:lineRule="exact"/>
        <w:ind w:firstLine="643"/>
        <w:jc w:val="both"/>
        <w:outlineLvl w:val="0"/>
        <w:rPr>
          <w:rFonts w:ascii="Times New Roman" w:hAnsi="Times New Roman" w:eastAsia="黑体"/>
          <w:b/>
          <w:sz w:val="32"/>
        </w:rPr>
      </w:pPr>
      <w:r>
        <w:rPr>
          <w:rFonts w:hint="eastAsia" w:ascii="Times New Roman" w:hAnsi="Times New Roman" w:eastAsia="黑体"/>
          <w:b/>
          <w:sz w:val="32"/>
        </w:rPr>
        <w:t>一、自评结论</w:t>
      </w:r>
    </w:p>
    <w:p>
      <w:pPr>
        <w:pStyle w:val="2"/>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（一）自评得分</w:t>
      </w:r>
    </w:p>
    <w:p>
      <w:pPr>
        <w:widowControl/>
        <w:spacing w:line="560" w:lineRule="exact"/>
        <w:ind w:firstLine="640" w:firstLineChars="200"/>
        <w:rPr>
          <w:rFonts w:eastAsia="仿宋"/>
          <w:sz w:val="32"/>
          <w:szCs w:val="32"/>
        </w:rPr>
      </w:pPr>
      <w:r>
        <w:rPr>
          <w:rFonts w:eastAsia="仿宋"/>
          <w:sz w:val="32"/>
          <w:szCs w:val="32"/>
        </w:rPr>
        <w:t>2021年度</w:t>
      </w:r>
      <w:r>
        <w:rPr>
          <w:rFonts w:hint="eastAsia" w:eastAsia="仿宋"/>
          <w:sz w:val="32"/>
          <w:szCs w:val="32"/>
        </w:rPr>
        <w:t>中央财政城镇保障性安居工程专项资金项目</w:t>
      </w:r>
      <w:r>
        <w:rPr>
          <w:rFonts w:eastAsia="仿宋"/>
          <w:sz w:val="32"/>
          <w:szCs w:val="32"/>
        </w:rPr>
        <w:t>绩效评价综合得分为</w:t>
      </w:r>
      <w:r>
        <w:rPr>
          <w:rFonts w:hint="eastAsia" w:eastAsia="仿宋"/>
          <w:sz w:val="32"/>
          <w:szCs w:val="32"/>
        </w:rPr>
        <w:t>9</w:t>
      </w:r>
      <w:r>
        <w:rPr>
          <w:rFonts w:eastAsia="仿宋"/>
          <w:sz w:val="32"/>
          <w:szCs w:val="32"/>
        </w:rPr>
        <w:t>7.33分。</w:t>
      </w:r>
    </w:p>
    <w:p>
      <w:pPr>
        <w:pStyle w:val="2"/>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（二）绩效目标完成情况</w:t>
      </w:r>
    </w:p>
    <w:p>
      <w:pPr>
        <w:widowControl/>
        <w:spacing w:line="560" w:lineRule="exact"/>
        <w:ind w:firstLine="640" w:firstLineChars="200"/>
        <w:rPr>
          <w:rFonts w:eastAsia="仿宋"/>
          <w:sz w:val="32"/>
          <w:szCs w:val="32"/>
        </w:rPr>
      </w:pPr>
      <w:r>
        <w:rPr>
          <w:rFonts w:eastAsia="仿宋"/>
          <w:sz w:val="32"/>
          <w:szCs w:val="32"/>
        </w:rPr>
        <w:t>1.</w:t>
      </w:r>
      <w:r>
        <w:rPr>
          <w:rFonts w:hint="eastAsia" w:eastAsia="仿宋"/>
          <w:sz w:val="32"/>
          <w:szCs w:val="32"/>
        </w:rPr>
        <w:t xml:space="preserve"> </w:t>
      </w:r>
      <w:r>
        <w:rPr>
          <w:rFonts w:eastAsia="仿宋"/>
          <w:sz w:val="32"/>
          <w:szCs w:val="32"/>
        </w:rPr>
        <w:t>执行率情况。2021年度</w:t>
      </w:r>
      <w:r>
        <w:rPr>
          <w:rFonts w:hint="eastAsia" w:eastAsia="仿宋"/>
          <w:sz w:val="32"/>
          <w:szCs w:val="32"/>
        </w:rPr>
        <w:t>本项目</w:t>
      </w:r>
      <w:r>
        <w:rPr>
          <w:rFonts w:eastAsia="仿宋"/>
          <w:sz w:val="32"/>
          <w:szCs w:val="32"/>
        </w:rPr>
        <w:t>预算总额12593万元，执行数12593万元，预算执行率100</w:t>
      </w:r>
      <w:r>
        <w:rPr>
          <w:rFonts w:hint="eastAsia" w:eastAsia="仿宋"/>
          <w:sz w:val="32"/>
          <w:szCs w:val="32"/>
        </w:rPr>
        <w:t>%</w:t>
      </w:r>
      <w:r>
        <w:rPr>
          <w:rFonts w:eastAsia="仿宋"/>
          <w:sz w:val="32"/>
          <w:szCs w:val="32"/>
        </w:rPr>
        <w:t>。</w:t>
      </w:r>
    </w:p>
    <w:p>
      <w:pPr>
        <w:widowControl/>
        <w:spacing w:line="560" w:lineRule="exact"/>
        <w:ind w:firstLine="640" w:firstLineChars="200"/>
        <w:rPr>
          <w:rFonts w:eastAsia="仿宋"/>
          <w:sz w:val="32"/>
          <w:szCs w:val="32"/>
        </w:rPr>
      </w:pPr>
      <w:r>
        <w:rPr>
          <w:rFonts w:eastAsia="仿宋"/>
          <w:sz w:val="32"/>
          <w:szCs w:val="32"/>
        </w:rPr>
        <w:t>2.</w:t>
      </w:r>
      <w:r>
        <w:rPr>
          <w:rFonts w:hint="eastAsia" w:eastAsia="仿宋"/>
          <w:sz w:val="32"/>
          <w:szCs w:val="32"/>
        </w:rPr>
        <w:t xml:space="preserve"> </w:t>
      </w:r>
      <w:r>
        <w:rPr>
          <w:rFonts w:eastAsia="仿宋"/>
          <w:sz w:val="32"/>
          <w:szCs w:val="32"/>
        </w:rPr>
        <w:t>完成的绩效目标。项目共设置9个绩效指标，完成了8个。资金使用规范，项目产出较好，并取得了较好的社会效益</w:t>
      </w:r>
      <w:r>
        <w:rPr>
          <w:rFonts w:hint="eastAsia" w:eastAsia="仿宋"/>
          <w:sz w:val="32"/>
          <w:szCs w:val="32"/>
        </w:rPr>
        <w:t>。</w:t>
      </w:r>
    </w:p>
    <w:p>
      <w:pPr>
        <w:widowControl/>
        <w:spacing w:line="560" w:lineRule="exact"/>
        <w:ind w:firstLine="640" w:firstLineChars="200"/>
        <w:rPr>
          <w:rFonts w:eastAsia="仿宋"/>
          <w:sz w:val="32"/>
          <w:szCs w:val="32"/>
        </w:rPr>
      </w:pPr>
      <w:r>
        <w:rPr>
          <w:rFonts w:eastAsia="仿宋"/>
          <w:sz w:val="32"/>
          <w:szCs w:val="32"/>
        </w:rPr>
        <w:t>3.</w:t>
      </w:r>
      <w:r>
        <w:rPr>
          <w:rFonts w:hint="eastAsia" w:eastAsia="仿宋"/>
          <w:sz w:val="32"/>
          <w:szCs w:val="32"/>
        </w:rPr>
        <w:t xml:space="preserve"> </w:t>
      </w:r>
      <w:r>
        <w:rPr>
          <w:rFonts w:eastAsia="仿宋"/>
          <w:sz w:val="32"/>
          <w:szCs w:val="32"/>
        </w:rPr>
        <w:t>未完成的绩效目标。</w:t>
      </w:r>
      <w:r>
        <w:rPr>
          <w:rFonts w:hint="eastAsia" w:eastAsia="仿宋"/>
          <w:sz w:val="32"/>
          <w:szCs w:val="32"/>
        </w:rPr>
        <w:t>“新、改建住房租赁项目投入运营率”年度目标值为“</w:t>
      </w:r>
      <w:r>
        <w:rPr>
          <w:rFonts w:eastAsia="仿宋"/>
          <w:sz w:val="32"/>
          <w:szCs w:val="32"/>
        </w:rPr>
        <w:t>100%</w:t>
      </w:r>
      <w:r>
        <w:rPr>
          <w:rFonts w:hint="eastAsia" w:eastAsia="仿宋"/>
          <w:sz w:val="32"/>
          <w:szCs w:val="32"/>
        </w:rPr>
        <w:t>”，实际完成值为“</w:t>
      </w:r>
      <w:r>
        <w:rPr>
          <w:rFonts w:eastAsia="仿宋"/>
          <w:sz w:val="32"/>
          <w:szCs w:val="32"/>
        </w:rPr>
        <w:t>67%</w:t>
      </w:r>
      <w:r>
        <w:rPr>
          <w:rFonts w:hint="eastAsia" w:eastAsia="仿宋"/>
          <w:sz w:val="32"/>
          <w:szCs w:val="32"/>
        </w:rPr>
        <w:t>”。原因是武汉智慧生态建设投资有限公司的智慧生态城人才公寓项目、武汉经开投资有限公司经开通航社区项目二期工程未投入运营。</w:t>
      </w:r>
    </w:p>
    <w:p>
      <w:pPr>
        <w:pStyle w:val="2"/>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（三）存在的问题和原因</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1. 上年度绩效评价结果应用情况</w:t>
      </w:r>
    </w:p>
    <w:p>
      <w:pPr>
        <w:widowControl/>
        <w:spacing w:line="560" w:lineRule="exact"/>
        <w:ind w:firstLine="640" w:firstLineChars="200"/>
        <w:rPr>
          <w:rFonts w:eastAsia="仿宋"/>
          <w:sz w:val="32"/>
          <w:szCs w:val="32"/>
        </w:rPr>
      </w:pPr>
      <w:r>
        <w:rPr>
          <w:rFonts w:hint="eastAsia" w:eastAsia="仿宋"/>
          <w:sz w:val="32"/>
          <w:szCs w:val="32"/>
        </w:rPr>
        <w:t>该项目为本年度新增项目，上年度无对应绩效评价。</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 xml:space="preserve">2. 本年度绩效存在的问题和原因                                                                                                                               </w:t>
      </w:r>
    </w:p>
    <w:p>
      <w:pPr>
        <w:widowControl/>
        <w:spacing w:line="560" w:lineRule="exact"/>
        <w:ind w:firstLine="640" w:firstLineChars="200"/>
        <w:rPr>
          <w:rFonts w:eastAsia="仿宋"/>
          <w:sz w:val="32"/>
          <w:szCs w:val="32"/>
        </w:rPr>
      </w:pPr>
      <w:r>
        <w:rPr>
          <w:rFonts w:eastAsia="仿宋"/>
          <w:sz w:val="32"/>
          <w:szCs w:val="32"/>
        </w:rPr>
        <w:t>（1）</w:t>
      </w:r>
      <w:r>
        <w:rPr>
          <w:rFonts w:hint="eastAsia" w:eastAsia="仿宋"/>
          <w:sz w:val="32"/>
          <w:szCs w:val="32"/>
        </w:rPr>
        <w:t>新、改建住房租赁项目投入运营率未达到目标值。经开区共七家公司获住房租赁财补资金，含8个新、改建住房租赁项目，分别为：谱尼测试集团武汉有限公司的谱尼公寓项目（改建）目前已装修完毕并运营；武汉三本园区运营有限公司三本公寓项目（改建）已投入运营；武汉高源生物科技发展有限公司高源公寓项目（新建）已投入运营；武汉智慧生态建设投资有限公司的智慧生态城人才公寓项目（新建）预计6月份装修完工；武汉经开投资有限公司经开通航社区项目（新建）一期已投入运营；二期工程三层顶板混凝土浇筑完工；湖北开特汽车电子电器系统股份有限公司（新建）已终止住房租赁项目；招商局地产（武汉）有限公司金湖公寓、神龙公寓项目（装修类）已投入运营，（其中神龙公寓项目已终止住房租赁项目）。除去2个已终止项目，共计6个新、改建住房租赁项目，其中</w:t>
      </w:r>
      <w:r>
        <w:rPr>
          <w:rFonts w:eastAsia="仿宋"/>
          <w:sz w:val="32"/>
          <w:szCs w:val="32"/>
        </w:rPr>
        <w:t>2</w:t>
      </w:r>
      <w:r>
        <w:rPr>
          <w:rFonts w:hint="eastAsia" w:eastAsia="仿宋"/>
          <w:sz w:val="32"/>
          <w:szCs w:val="32"/>
        </w:rPr>
        <w:t>个未投入运营，进度滞后。</w:t>
      </w:r>
    </w:p>
    <w:p>
      <w:pPr>
        <w:pStyle w:val="2"/>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（四）下一步拟改进措施</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1. 下一步拟改进措施</w:t>
      </w:r>
    </w:p>
    <w:p>
      <w:pPr>
        <w:widowControl/>
        <w:spacing w:line="560" w:lineRule="exact"/>
        <w:ind w:firstLine="640" w:firstLineChars="200"/>
        <w:rPr>
          <w:rFonts w:eastAsia="仿宋"/>
          <w:sz w:val="32"/>
          <w:szCs w:val="32"/>
        </w:rPr>
      </w:pPr>
      <w:r>
        <w:rPr>
          <w:rFonts w:hint="eastAsia" w:eastAsia="仿宋"/>
          <w:sz w:val="32"/>
          <w:szCs w:val="32"/>
        </w:rPr>
        <w:t>提高重视保障性租赁住房项目，加强组织统筹。安居保障涉及国土规划、财政、发改、住建、招才、各街道及园区、国资平台公司等多部门及单位，住房保障所要强化统筹协调，重要事项主动向领导及上级业务主管部门汇报；相关部门单位应明确职责及业务联系人，建立多部门常态化工作协调机制，以加快推进保障性安居工程有效落实。</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2. 拟与预算安排相结合情况。</w:t>
      </w:r>
    </w:p>
    <w:p>
      <w:pPr>
        <w:widowControl/>
        <w:spacing w:line="560" w:lineRule="exact"/>
        <w:ind w:firstLine="640" w:firstLineChars="200"/>
        <w:rPr>
          <w:rFonts w:eastAsia="仿宋"/>
          <w:sz w:val="32"/>
          <w:szCs w:val="32"/>
        </w:rPr>
      </w:pPr>
      <w:r>
        <w:rPr>
          <w:rFonts w:hint="eastAsia" w:eastAsia="仿宋"/>
          <w:sz w:val="32"/>
          <w:szCs w:val="32"/>
        </w:rPr>
        <w:t>鉴于本次项目绩效自评发现的问题，加强202</w:t>
      </w:r>
      <w:r>
        <w:rPr>
          <w:rFonts w:eastAsia="仿宋"/>
          <w:sz w:val="32"/>
          <w:szCs w:val="32"/>
        </w:rPr>
        <w:t>2</w:t>
      </w:r>
      <w:r>
        <w:rPr>
          <w:rFonts w:hint="eastAsia" w:eastAsia="仿宋"/>
          <w:sz w:val="32"/>
          <w:szCs w:val="32"/>
        </w:rPr>
        <w:t>年度项目预算绩效监管。</w:t>
      </w:r>
    </w:p>
    <w:p>
      <w:pPr>
        <w:pStyle w:val="4"/>
      </w:pPr>
    </w:p>
    <w:p>
      <w:pPr>
        <w:keepNext/>
        <w:keepLines/>
        <w:shd w:val="clear" w:color="auto" w:fill="FFFFFF" w:themeFill="background1"/>
        <w:spacing w:line="560" w:lineRule="exact"/>
        <w:ind w:firstLine="640" w:firstLineChars="200"/>
        <w:contextualSpacing/>
        <w:jc w:val="left"/>
        <w:rPr>
          <w:rFonts w:eastAsia="楷体"/>
          <w:sz w:val="32"/>
          <w:szCs w:val="32"/>
        </w:rPr>
      </w:pPr>
      <w:r>
        <w:rPr>
          <w:rFonts w:hint="eastAsia" w:eastAsia="楷体"/>
          <w:sz w:val="32"/>
          <w:szCs w:val="32"/>
        </w:rPr>
        <w:t>附件：2021年度中央财政城镇保障性安居工程专项资金项目自评表</w:t>
      </w:r>
    </w:p>
    <w:p>
      <w:pPr>
        <w:rPr>
          <w:rFonts w:eastAsia="楷体"/>
          <w:sz w:val="32"/>
          <w:szCs w:val="32"/>
        </w:rPr>
      </w:pPr>
    </w:p>
    <w:p>
      <w:pPr>
        <w:rPr>
          <w:rFonts w:eastAsia="楷体"/>
          <w:sz w:val="32"/>
          <w:szCs w:val="32"/>
        </w:rPr>
      </w:pPr>
    </w:p>
    <w:p>
      <w:pPr>
        <w:widowControl/>
        <w:jc w:val="left"/>
        <w:rPr>
          <w:rFonts w:eastAsia="楷体"/>
          <w:sz w:val="32"/>
          <w:szCs w:val="32"/>
        </w:rPr>
      </w:pPr>
      <w:r>
        <w:rPr>
          <w:rFonts w:eastAsia="楷体"/>
          <w:sz w:val="32"/>
          <w:szCs w:val="32"/>
        </w:rPr>
        <w:br w:type="page"/>
      </w:r>
    </w:p>
    <w:p>
      <w:pPr>
        <w:rPr>
          <w:rFonts w:eastAsia="楷体"/>
          <w:sz w:val="32"/>
          <w:szCs w:val="32"/>
        </w:rPr>
      </w:pPr>
    </w:p>
    <w:p>
      <w:pPr>
        <w:pStyle w:val="2"/>
        <w:shd w:val="clear" w:color="auto" w:fill="FFFFFF" w:themeFill="background1"/>
        <w:spacing w:before="0" w:after="0" w:line="560" w:lineRule="exact"/>
        <w:ind w:firstLine="643" w:firstLineChars="200"/>
        <w:contextualSpacing/>
        <w:jc w:val="left"/>
      </w:pPr>
      <w:bookmarkStart w:id="0" w:name="_Toc28163"/>
      <w:r>
        <w:rPr>
          <w:rFonts w:hint="eastAsia" w:ascii="Times New Roman" w:hAnsi="Times New Roman" w:eastAsia="楷体" w:cs="Times New Roman"/>
        </w:rPr>
        <w:t xml:space="preserve">附件： </w:t>
      </w:r>
      <w:bookmarkEnd w:id="0"/>
    </w:p>
    <w:tbl>
      <w:tblPr>
        <w:tblStyle w:val="9"/>
        <w:tblW w:w="5000" w:type="pct"/>
        <w:tblInd w:w="0" w:type="dxa"/>
        <w:tblLayout w:type="autofit"/>
        <w:tblCellMar>
          <w:top w:w="0" w:type="dxa"/>
          <w:left w:w="108" w:type="dxa"/>
          <w:bottom w:w="0" w:type="dxa"/>
          <w:right w:w="108" w:type="dxa"/>
        </w:tblCellMar>
      </w:tblPr>
      <w:tblGrid>
        <w:gridCol w:w="640"/>
        <w:gridCol w:w="638"/>
        <w:gridCol w:w="1267"/>
        <w:gridCol w:w="1673"/>
        <w:gridCol w:w="1477"/>
        <w:gridCol w:w="1346"/>
        <w:gridCol w:w="1047"/>
        <w:gridCol w:w="973"/>
      </w:tblGrid>
      <w:tr>
        <w:tblPrEx>
          <w:tblCellMar>
            <w:top w:w="0" w:type="dxa"/>
            <w:left w:w="108" w:type="dxa"/>
            <w:bottom w:w="0" w:type="dxa"/>
            <w:right w:w="108" w:type="dxa"/>
          </w:tblCellMar>
        </w:tblPrEx>
        <w:trPr>
          <w:trHeight w:val="915" w:hRule="atLeast"/>
        </w:trPr>
        <w:tc>
          <w:tcPr>
            <w:tcW w:w="5000" w:type="pct"/>
            <w:gridSpan w:val="8"/>
            <w:tcBorders>
              <w:top w:val="nil"/>
              <w:left w:val="nil"/>
              <w:bottom w:val="nil"/>
              <w:right w:val="nil"/>
            </w:tcBorders>
            <w:shd w:val="clear" w:color="auto" w:fill="auto"/>
            <w:vAlign w:val="center"/>
          </w:tcPr>
          <w:p>
            <w:pPr>
              <w:widowControl/>
              <w:jc w:val="center"/>
              <w:rPr>
                <w:rFonts w:ascii="宋体" w:hAnsi="宋体" w:eastAsia="宋体" w:cs="宋体"/>
                <w:b/>
                <w:bCs/>
                <w:kern w:val="0"/>
                <w:sz w:val="36"/>
                <w:szCs w:val="36"/>
              </w:rPr>
            </w:pPr>
            <w:r>
              <w:rPr>
                <w:rFonts w:hint="eastAsia" w:ascii="宋体" w:hAnsi="宋体" w:eastAsia="宋体" w:cs="宋体"/>
                <w:b/>
                <w:bCs/>
                <w:kern w:val="0"/>
                <w:sz w:val="36"/>
                <w:szCs w:val="36"/>
              </w:rPr>
              <w:t xml:space="preserve">2021年中央财政城镇保障性安居工程专项资金项目自评表 </w:t>
            </w:r>
          </w:p>
        </w:tc>
      </w:tr>
      <w:tr>
        <w:tblPrEx>
          <w:tblCellMar>
            <w:top w:w="0" w:type="dxa"/>
            <w:left w:w="108" w:type="dxa"/>
            <w:bottom w:w="0" w:type="dxa"/>
            <w:right w:w="108" w:type="dxa"/>
          </w:tblCellMar>
        </w:tblPrEx>
        <w:trPr>
          <w:trHeight w:val="420" w:hRule="atLeast"/>
        </w:trPr>
        <w:tc>
          <w:tcPr>
            <w:tcW w:w="5000" w:type="pct"/>
            <w:gridSpan w:val="8"/>
            <w:tcBorders>
              <w:top w:val="nil"/>
              <w:left w:val="nil"/>
              <w:bottom w:val="single" w:color="auto" w:sz="4" w:space="0"/>
              <w:right w:val="nil"/>
            </w:tcBorders>
            <w:shd w:val="clear" w:color="auto" w:fill="auto"/>
            <w:vAlign w:val="center"/>
          </w:tcPr>
          <w:p>
            <w:pPr>
              <w:widowControl/>
              <w:jc w:val="left"/>
              <w:rPr>
                <w:rFonts w:eastAsia="楷体"/>
                <w:b/>
                <w:bCs/>
                <w:kern w:val="0"/>
                <w:sz w:val="24"/>
              </w:rPr>
            </w:pPr>
            <w:r>
              <w:rPr>
                <w:rFonts w:hint="eastAsia" w:ascii="楷体" w:hAnsi="楷体" w:eastAsia="楷体" w:cs="宋体"/>
                <w:b/>
                <w:bCs/>
                <w:kern w:val="0"/>
                <w:sz w:val="24"/>
              </w:rPr>
              <w:t>单位名称：武汉经济技术开发区（汉南区）住房和城乡建设局</w:t>
            </w:r>
            <w:r>
              <w:rPr>
                <w:rFonts w:eastAsia="楷体"/>
                <w:b/>
                <w:bCs/>
                <w:kern w:val="0"/>
                <w:sz w:val="24"/>
              </w:rPr>
              <w:t xml:space="preserve">             </w:t>
            </w:r>
          </w:p>
          <w:p>
            <w:pPr>
              <w:widowControl/>
              <w:jc w:val="left"/>
              <w:rPr>
                <w:rFonts w:ascii="楷体" w:hAnsi="楷体" w:eastAsia="楷体" w:cs="宋体"/>
                <w:b/>
                <w:bCs/>
                <w:kern w:val="0"/>
                <w:sz w:val="24"/>
              </w:rPr>
            </w:pPr>
            <w:r>
              <w:rPr>
                <w:rFonts w:hint="eastAsia" w:ascii="楷体" w:hAnsi="楷体" w:eastAsia="楷体" w:cs="宋体"/>
                <w:b/>
                <w:bCs/>
                <w:kern w:val="0"/>
                <w:sz w:val="24"/>
              </w:rPr>
              <w:t>填报日期：</w:t>
            </w:r>
            <w:r>
              <w:rPr>
                <w:rFonts w:eastAsia="楷体"/>
                <w:b/>
                <w:bCs/>
                <w:kern w:val="0"/>
                <w:sz w:val="24"/>
              </w:rPr>
              <w:t>2022</w:t>
            </w:r>
            <w:r>
              <w:rPr>
                <w:rFonts w:hint="eastAsia" w:ascii="楷体" w:hAnsi="楷体" w:eastAsia="楷体" w:cs="宋体"/>
                <w:b/>
                <w:bCs/>
                <w:kern w:val="0"/>
                <w:sz w:val="24"/>
              </w:rPr>
              <w:t>年</w:t>
            </w:r>
            <w:r>
              <w:rPr>
                <w:rFonts w:eastAsia="楷体"/>
                <w:b/>
                <w:bCs/>
                <w:kern w:val="0"/>
                <w:sz w:val="24"/>
              </w:rPr>
              <w:t>5</w:t>
            </w:r>
            <w:r>
              <w:rPr>
                <w:rFonts w:hint="eastAsia" w:ascii="楷体" w:hAnsi="楷体" w:eastAsia="楷体" w:cs="宋体"/>
                <w:b/>
                <w:bCs/>
                <w:kern w:val="0"/>
                <w:sz w:val="24"/>
              </w:rPr>
              <w:t>月2</w:t>
            </w:r>
            <w:r>
              <w:rPr>
                <w:rFonts w:ascii="楷体" w:hAnsi="楷体" w:eastAsia="楷体" w:cs="宋体"/>
                <w:b/>
                <w:bCs/>
                <w:kern w:val="0"/>
                <w:sz w:val="24"/>
              </w:rPr>
              <w:t>5</w:t>
            </w:r>
            <w:r>
              <w:rPr>
                <w:rFonts w:hint="eastAsia" w:ascii="楷体" w:hAnsi="楷体" w:eastAsia="楷体" w:cs="宋体"/>
                <w:b/>
                <w:bCs/>
                <w:kern w:val="0"/>
                <w:sz w:val="24"/>
              </w:rPr>
              <w:t>日</w:t>
            </w:r>
          </w:p>
        </w:tc>
      </w:tr>
      <w:tr>
        <w:tblPrEx>
          <w:tblCellMar>
            <w:top w:w="0" w:type="dxa"/>
            <w:left w:w="108" w:type="dxa"/>
            <w:bottom w:w="0" w:type="dxa"/>
            <w:right w:w="108" w:type="dxa"/>
          </w:tblCellMar>
        </w:tblPrEx>
        <w:trPr>
          <w:trHeight w:val="499" w:hRule="atLeast"/>
        </w:trPr>
        <w:tc>
          <w:tcPr>
            <w:tcW w:w="705" w:type="pct"/>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项目名称</w:t>
            </w:r>
          </w:p>
        </w:tc>
        <w:tc>
          <w:tcPr>
            <w:tcW w:w="4295" w:type="pct"/>
            <w:gridSpan w:val="6"/>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2021年中央财政城镇保障性安居工程专项资金项目</w:t>
            </w:r>
          </w:p>
        </w:tc>
      </w:tr>
      <w:tr>
        <w:tblPrEx>
          <w:tblCellMar>
            <w:top w:w="0" w:type="dxa"/>
            <w:left w:w="108" w:type="dxa"/>
            <w:bottom w:w="0" w:type="dxa"/>
            <w:right w:w="108" w:type="dxa"/>
          </w:tblCellMar>
        </w:tblPrEx>
        <w:trPr>
          <w:trHeight w:val="499" w:hRule="atLeast"/>
        </w:trPr>
        <w:tc>
          <w:tcPr>
            <w:tcW w:w="7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主管部门</w:t>
            </w:r>
          </w:p>
        </w:tc>
        <w:tc>
          <w:tcPr>
            <w:tcW w:w="1621"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武汉经济技术开发区（汉南区）住房和城乡建设局</w:t>
            </w:r>
          </w:p>
        </w:tc>
        <w:tc>
          <w:tcPr>
            <w:tcW w:w="815"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项目实施单位</w:t>
            </w:r>
          </w:p>
        </w:tc>
        <w:tc>
          <w:tcPr>
            <w:tcW w:w="1858"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武汉经济技术开发区（汉南区）住房和城乡建设局</w:t>
            </w:r>
          </w:p>
        </w:tc>
      </w:tr>
      <w:tr>
        <w:tblPrEx>
          <w:tblCellMar>
            <w:top w:w="0" w:type="dxa"/>
            <w:left w:w="108" w:type="dxa"/>
            <w:bottom w:w="0" w:type="dxa"/>
            <w:right w:w="108" w:type="dxa"/>
          </w:tblCellMar>
        </w:tblPrEx>
        <w:trPr>
          <w:trHeight w:val="499" w:hRule="atLeast"/>
        </w:trPr>
        <w:tc>
          <w:tcPr>
            <w:tcW w:w="7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项目类别</w:t>
            </w:r>
          </w:p>
        </w:tc>
        <w:tc>
          <w:tcPr>
            <w:tcW w:w="4295" w:type="pct"/>
            <w:gridSpan w:val="6"/>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1.部门预算项目</w:t>
            </w:r>
            <w:r>
              <w:rPr>
                <w:rFonts w:ascii="Wingdings" w:hAnsi="Wingdings" w:eastAsia="仿宋" w:cs="宋体"/>
                <w:kern w:val="0"/>
                <w:sz w:val="20"/>
                <w:szCs w:val="20"/>
              </w:rPr>
              <w:t xml:space="preserve">¨ </w:t>
            </w:r>
            <w:r>
              <w:rPr>
                <w:rFonts w:hint="eastAsia" w:ascii="仿宋" w:hAnsi="仿宋" w:eastAsia="仿宋" w:cs="宋体"/>
                <w:kern w:val="0"/>
                <w:sz w:val="20"/>
                <w:szCs w:val="20"/>
              </w:rPr>
              <w:t xml:space="preserve">            2.财政专项资金</w:t>
            </w:r>
            <w:r>
              <w:rPr>
                <w:rFonts w:ascii="Wingdings" w:hAnsi="Wingdings" w:eastAsia="仿宋" w:cs="宋体"/>
                <w:kern w:val="0"/>
                <w:sz w:val="20"/>
                <w:szCs w:val="20"/>
              </w:rPr>
              <w:t xml:space="preserve">þ </w:t>
            </w:r>
          </w:p>
        </w:tc>
      </w:tr>
      <w:tr>
        <w:tblPrEx>
          <w:tblCellMar>
            <w:top w:w="0" w:type="dxa"/>
            <w:left w:w="108" w:type="dxa"/>
            <w:bottom w:w="0" w:type="dxa"/>
            <w:right w:w="108" w:type="dxa"/>
          </w:tblCellMar>
        </w:tblPrEx>
        <w:trPr>
          <w:trHeight w:val="499" w:hRule="atLeast"/>
        </w:trPr>
        <w:tc>
          <w:tcPr>
            <w:tcW w:w="7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项目属性</w:t>
            </w:r>
          </w:p>
        </w:tc>
        <w:tc>
          <w:tcPr>
            <w:tcW w:w="4295" w:type="pct"/>
            <w:gridSpan w:val="6"/>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1.持续性项目</w:t>
            </w:r>
            <w:r>
              <w:rPr>
                <w:rFonts w:ascii="Wingdings" w:hAnsi="Wingdings" w:eastAsia="仿宋" w:cs="宋体"/>
                <w:kern w:val="0"/>
                <w:sz w:val="20"/>
                <w:szCs w:val="20"/>
              </w:rPr>
              <w:t>¨</w:t>
            </w:r>
            <w:r>
              <w:rPr>
                <w:rFonts w:hint="eastAsia" w:ascii="仿宋" w:hAnsi="仿宋" w:eastAsia="仿宋" w:cs="宋体"/>
                <w:kern w:val="0"/>
                <w:sz w:val="20"/>
                <w:szCs w:val="20"/>
              </w:rPr>
              <w:t xml:space="preserve">                2.新增性项目</w:t>
            </w:r>
            <w:r>
              <w:rPr>
                <w:rFonts w:ascii="Wingdings" w:hAnsi="Wingdings" w:eastAsia="仿宋" w:cs="宋体"/>
                <w:kern w:val="0"/>
                <w:sz w:val="20"/>
                <w:szCs w:val="20"/>
              </w:rPr>
              <w:t>þ</w:t>
            </w:r>
          </w:p>
        </w:tc>
      </w:tr>
      <w:tr>
        <w:tblPrEx>
          <w:tblCellMar>
            <w:top w:w="0" w:type="dxa"/>
            <w:left w:w="108" w:type="dxa"/>
            <w:bottom w:w="0" w:type="dxa"/>
            <w:right w:w="108" w:type="dxa"/>
          </w:tblCellMar>
        </w:tblPrEx>
        <w:trPr>
          <w:trHeight w:val="499" w:hRule="atLeast"/>
        </w:trPr>
        <w:tc>
          <w:tcPr>
            <w:tcW w:w="7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项目类型</w:t>
            </w:r>
          </w:p>
        </w:tc>
        <w:tc>
          <w:tcPr>
            <w:tcW w:w="4295" w:type="pct"/>
            <w:gridSpan w:val="6"/>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1.常年性项目</w:t>
            </w:r>
            <w:r>
              <w:rPr>
                <w:rFonts w:ascii="Wingdings" w:hAnsi="Wingdings" w:eastAsia="仿宋" w:cs="宋体"/>
                <w:kern w:val="0"/>
                <w:sz w:val="20"/>
                <w:szCs w:val="20"/>
              </w:rPr>
              <w:t>¨</w:t>
            </w:r>
            <w:r>
              <w:rPr>
                <w:rFonts w:hint="eastAsia" w:ascii="仿宋" w:hAnsi="仿宋" w:eastAsia="仿宋" w:cs="宋体"/>
                <w:kern w:val="0"/>
                <w:sz w:val="20"/>
                <w:szCs w:val="20"/>
              </w:rPr>
              <w:t xml:space="preserve">                2.延续性项目</w:t>
            </w:r>
            <w:r>
              <w:rPr>
                <w:rFonts w:ascii="Wingdings" w:hAnsi="Wingdings" w:eastAsia="仿宋" w:cs="宋体"/>
                <w:kern w:val="0"/>
                <w:sz w:val="20"/>
                <w:szCs w:val="20"/>
              </w:rPr>
              <w:t>þ</w:t>
            </w:r>
            <w:r>
              <w:rPr>
                <w:rFonts w:hint="eastAsia" w:ascii="仿宋" w:hAnsi="仿宋" w:eastAsia="仿宋" w:cs="宋体"/>
                <w:kern w:val="0"/>
                <w:sz w:val="20"/>
                <w:szCs w:val="20"/>
              </w:rPr>
              <w:t xml:space="preserve">             3.一次性项目</w:t>
            </w:r>
            <w:r>
              <w:rPr>
                <w:rFonts w:ascii="Wingdings" w:hAnsi="Wingdings" w:eastAsia="仿宋" w:cs="宋体"/>
                <w:kern w:val="0"/>
                <w:sz w:val="20"/>
                <w:szCs w:val="20"/>
              </w:rPr>
              <w:t xml:space="preserve">¨ </w:t>
            </w:r>
          </w:p>
        </w:tc>
      </w:tr>
      <w:tr>
        <w:tblPrEx>
          <w:tblCellMar>
            <w:top w:w="0" w:type="dxa"/>
            <w:left w:w="108" w:type="dxa"/>
            <w:bottom w:w="0" w:type="dxa"/>
            <w:right w:w="108" w:type="dxa"/>
          </w:tblCellMar>
        </w:tblPrEx>
        <w:trPr>
          <w:trHeight w:val="499" w:hRule="atLeast"/>
        </w:trPr>
        <w:tc>
          <w:tcPr>
            <w:tcW w:w="70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预算执行情况（万元）（20分）</w:t>
            </w:r>
          </w:p>
        </w:tc>
        <w:tc>
          <w:tcPr>
            <w:tcW w:w="698"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w:t>
            </w:r>
          </w:p>
        </w:tc>
        <w:tc>
          <w:tcPr>
            <w:tcW w:w="923"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预算数（A）</w:t>
            </w:r>
          </w:p>
        </w:tc>
        <w:tc>
          <w:tcPr>
            <w:tcW w:w="815"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执行数（B）</w:t>
            </w:r>
          </w:p>
        </w:tc>
        <w:tc>
          <w:tcPr>
            <w:tcW w:w="743"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执行率（B/A）</w:t>
            </w:r>
          </w:p>
        </w:tc>
        <w:tc>
          <w:tcPr>
            <w:tcW w:w="111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得分</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（20分*执行率）</w:t>
            </w:r>
          </w:p>
        </w:tc>
      </w:tr>
      <w:tr>
        <w:tblPrEx>
          <w:tblCellMar>
            <w:top w:w="0" w:type="dxa"/>
            <w:left w:w="108" w:type="dxa"/>
            <w:bottom w:w="0" w:type="dxa"/>
            <w:right w:w="108" w:type="dxa"/>
          </w:tblCellMar>
        </w:tblPrEx>
        <w:trPr>
          <w:trHeight w:val="499" w:hRule="atLeast"/>
        </w:trPr>
        <w:tc>
          <w:tcPr>
            <w:tcW w:w="705"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0"/>
                <w:szCs w:val="20"/>
              </w:rPr>
            </w:pPr>
          </w:p>
        </w:tc>
        <w:tc>
          <w:tcPr>
            <w:tcW w:w="698"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年度财政资金总额</w:t>
            </w:r>
          </w:p>
        </w:tc>
        <w:tc>
          <w:tcPr>
            <w:tcW w:w="923"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12,593.00 </w:t>
            </w:r>
          </w:p>
        </w:tc>
        <w:tc>
          <w:tcPr>
            <w:tcW w:w="815"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12,593.00 </w:t>
            </w:r>
          </w:p>
        </w:tc>
        <w:tc>
          <w:tcPr>
            <w:tcW w:w="743"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100.00%</w:t>
            </w:r>
          </w:p>
        </w:tc>
        <w:tc>
          <w:tcPr>
            <w:tcW w:w="111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20.00 </w:t>
            </w:r>
          </w:p>
        </w:tc>
      </w:tr>
      <w:tr>
        <w:tblPrEx>
          <w:tblCellMar>
            <w:top w:w="0" w:type="dxa"/>
            <w:left w:w="108" w:type="dxa"/>
            <w:bottom w:w="0" w:type="dxa"/>
            <w:right w:w="108" w:type="dxa"/>
          </w:tblCellMar>
        </w:tblPrEx>
        <w:trPr>
          <w:trHeight w:val="499" w:hRule="atLeast"/>
        </w:trPr>
        <w:tc>
          <w:tcPr>
            <w:tcW w:w="353"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 xml:space="preserve">年度绩效目标（80分） </w:t>
            </w:r>
          </w:p>
        </w:tc>
        <w:tc>
          <w:tcPr>
            <w:tcW w:w="35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一级      指标</w:t>
            </w:r>
          </w:p>
        </w:tc>
        <w:tc>
          <w:tcPr>
            <w:tcW w:w="698"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二级指标</w:t>
            </w:r>
          </w:p>
        </w:tc>
        <w:tc>
          <w:tcPr>
            <w:tcW w:w="1738"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三级指标</w:t>
            </w:r>
          </w:p>
        </w:tc>
        <w:tc>
          <w:tcPr>
            <w:tcW w:w="743"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color w:val="000000"/>
                <w:kern w:val="0"/>
                <w:sz w:val="20"/>
                <w:szCs w:val="20"/>
                <w:lang w:eastAsia="zh-CN"/>
              </w:rPr>
            </w:pPr>
            <w:r>
              <w:rPr>
                <w:rFonts w:hint="eastAsia" w:ascii="仿宋" w:hAnsi="仿宋" w:eastAsia="仿宋" w:cs="宋体"/>
                <w:color w:val="000000"/>
                <w:kern w:val="0"/>
                <w:sz w:val="20"/>
                <w:szCs w:val="20"/>
              </w:rPr>
              <w:t>年初目标值</w:t>
            </w:r>
          </w:p>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（A）</w:t>
            </w:r>
          </w:p>
        </w:tc>
        <w:tc>
          <w:tcPr>
            <w:tcW w:w="578"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color w:val="000000"/>
                <w:kern w:val="0"/>
                <w:sz w:val="20"/>
                <w:szCs w:val="20"/>
                <w:lang w:eastAsia="zh-CN"/>
              </w:rPr>
            </w:pPr>
            <w:r>
              <w:rPr>
                <w:rFonts w:hint="eastAsia" w:ascii="仿宋" w:hAnsi="仿宋" w:eastAsia="仿宋" w:cs="宋体"/>
                <w:color w:val="000000"/>
                <w:kern w:val="0"/>
                <w:sz w:val="20"/>
                <w:szCs w:val="20"/>
              </w:rPr>
              <w:t>实际完成值</w:t>
            </w:r>
          </w:p>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（B）</w:t>
            </w:r>
          </w:p>
        </w:tc>
        <w:tc>
          <w:tcPr>
            <w:tcW w:w="537" w:type="pct"/>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得分</w:t>
            </w:r>
          </w:p>
        </w:tc>
      </w:tr>
      <w:tr>
        <w:tblPrEx>
          <w:tblCellMar>
            <w:top w:w="0" w:type="dxa"/>
            <w:left w:w="108" w:type="dxa"/>
            <w:bottom w:w="0" w:type="dxa"/>
            <w:right w:w="108" w:type="dxa"/>
          </w:tblCellMar>
        </w:tblPrEx>
        <w:trPr>
          <w:trHeight w:val="499" w:hRule="atLeast"/>
        </w:trPr>
        <w:tc>
          <w:tcPr>
            <w:tcW w:w="353"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352" w:type="pct"/>
            <w:vMerge w:val="restart"/>
            <w:tcBorders>
              <w:top w:val="nil"/>
              <w:left w:val="single" w:color="auto" w:sz="4" w:space="0"/>
              <w:bottom w:val="single" w:color="auto" w:sz="4" w:space="0"/>
              <w:right w:val="single" w:color="000000" w:sz="4" w:space="0"/>
            </w:tcBorders>
            <w:shd w:val="clear" w:color="auto" w:fill="auto"/>
            <w:vAlign w:val="center"/>
          </w:tcPr>
          <w:p>
            <w:pPr>
              <w:widowControl/>
              <w:jc w:val="center"/>
              <w:rPr>
                <w:rFonts w:hint="eastAsia" w:ascii="仿宋" w:hAnsi="仿宋" w:eastAsia="仿宋" w:cs="宋体"/>
                <w:color w:val="000000"/>
                <w:kern w:val="0"/>
                <w:sz w:val="20"/>
                <w:szCs w:val="20"/>
                <w:lang w:eastAsia="zh-CN"/>
              </w:rPr>
            </w:pPr>
            <w:r>
              <w:rPr>
                <w:rFonts w:hint="eastAsia" w:ascii="仿宋" w:hAnsi="仿宋" w:eastAsia="仿宋" w:cs="宋体"/>
                <w:color w:val="000000"/>
                <w:kern w:val="0"/>
                <w:sz w:val="20"/>
                <w:szCs w:val="20"/>
              </w:rPr>
              <w:t>产出</w:t>
            </w:r>
          </w:p>
          <w:p>
            <w:pPr>
              <w:widowControl/>
              <w:jc w:val="center"/>
              <w:rPr>
                <w:rFonts w:hint="eastAsia" w:ascii="仿宋" w:hAnsi="仿宋" w:eastAsia="仿宋" w:cs="宋体"/>
                <w:color w:val="000000"/>
                <w:kern w:val="0"/>
                <w:sz w:val="20"/>
                <w:szCs w:val="20"/>
                <w:lang w:eastAsia="zh-CN"/>
              </w:rPr>
            </w:pPr>
            <w:r>
              <w:rPr>
                <w:rFonts w:hint="eastAsia" w:ascii="仿宋" w:hAnsi="仿宋" w:eastAsia="仿宋" w:cs="宋体"/>
                <w:color w:val="000000"/>
                <w:kern w:val="0"/>
                <w:sz w:val="20"/>
                <w:szCs w:val="20"/>
              </w:rPr>
              <w:t>指标</w:t>
            </w:r>
          </w:p>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 xml:space="preserve">（40分） </w:t>
            </w:r>
          </w:p>
        </w:tc>
        <w:tc>
          <w:tcPr>
            <w:tcW w:w="698" w:type="pct"/>
            <w:vMerge w:val="restart"/>
            <w:tcBorders>
              <w:top w:val="nil"/>
              <w:left w:val="single" w:color="auto" w:sz="4" w:space="0"/>
              <w:bottom w:val="nil"/>
              <w:right w:val="single" w:color="auto"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数量指标</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（24分）</w:t>
            </w:r>
          </w:p>
        </w:tc>
        <w:tc>
          <w:tcPr>
            <w:tcW w:w="1738"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棚改住房基本新开工套数（6分）</w:t>
            </w:r>
          </w:p>
        </w:tc>
        <w:tc>
          <w:tcPr>
            <w:tcW w:w="743"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300套</w:t>
            </w:r>
          </w:p>
        </w:tc>
        <w:tc>
          <w:tcPr>
            <w:tcW w:w="578"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400套</w:t>
            </w:r>
          </w:p>
        </w:tc>
        <w:tc>
          <w:tcPr>
            <w:tcW w:w="537"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6.00 </w:t>
            </w:r>
          </w:p>
        </w:tc>
      </w:tr>
      <w:tr>
        <w:tblPrEx>
          <w:tblCellMar>
            <w:top w:w="0" w:type="dxa"/>
            <w:left w:w="108" w:type="dxa"/>
            <w:bottom w:w="0" w:type="dxa"/>
            <w:right w:w="108" w:type="dxa"/>
          </w:tblCellMar>
        </w:tblPrEx>
        <w:trPr>
          <w:trHeight w:val="499" w:hRule="atLeast"/>
        </w:trPr>
        <w:tc>
          <w:tcPr>
            <w:tcW w:w="353"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352" w:type="pct"/>
            <w:vMerge w:val="continue"/>
            <w:tcBorders>
              <w:top w:val="nil"/>
              <w:left w:val="single" w:color="auto" w:sz="4" w:space="0"/>
              <w:bottom w:val="single" w:color="auto" w:sz="4" w:space="0"/>
              <w:right w:val="single" w:color="000000" w:sz="4" w:space="0"/>
            </w:tcBorders>
            <w:vAlign w:val="center"/>
          </w:tcPr>
          <w:p>
            <w:pPr>
              <w:widowControl/>
              <w:jc w:val="left"/>
              <w:rPr>
                <w:rFonts w:ascii="仿宋" w:hAnsi="仿宋" w:eastAsia="仿宋" w:cs="宋体"/>
                <w:color w:val="000000"/>
                <w:kern w:val="0"/>
                <w:sz w:val="20"/>
                <w:szCs w:val="20"/>
              </w:rPr>
            </w:pPr>
          </w:p>
        </w:tc>
        <w:tc>
          <w:tcPr>
            <w:tcW w:w="698" w:type="pct"/>
            <w:vMerge w:val="continue"/>
            <w:tcBorders>
              <w:top w:val="nil"/>
              <w:left w:val="single" w:color="auto" w:sz="4" w:space="0"/>
              <w:bottom w:val="nil"/>
              <w:right w:val="single" w:color="auto" w:sz="4" w:space="0"/>
            </w:tcBorders>
            <w:vAlign w:val="center"/>
          </w:tcPr>
          <w:p>
            <w:pPr>
              <w:widowControl/>
              <w:jc w:val="left"/>
              <w:rPr>
                <w:rFonts w:ascii="仿宋" w:hAnsi="仿宋" w:eastAsia="仿宋" w:cs="宋体"/>
                <w:kern w:val="0"/>
                <w:sz w:val="20"/>
                <w:szCs w:val="20"/>
              </w:rPr>
            </w:pPr>
          </w:p>
        </w:tc>
        <w:tc>
          <w:tcPr>
            <w:tcW w:w="1738"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棚改住房基本建成套数（6分）</w:t>
            </w:r>
          </w:p>
        </w:tc>
        <w:tc>
          <w:tcPr>
            <w:tcW w:w="743"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1400套</w:t>
            </w:r>
          </w:p>
        </w:tc>
        <w:tc>
          <w:tcPr>
            <w:tcW w:w="578"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1800套</w:t>
            </w:r>
          </w:p>
        </w:tc>
        <w:tc>
          <w:tcPr>
            <w:tcW w:w="537"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6.00 </w:t>
            </w:r>
          </w:p>
        </w:tc>
      </w:tr>
      <w:tr>
        <w:tblPrEx>
          <w:tblCellMar>
            <w:top w:w="0" w:type="dxa"/>
            <w:left w:w="108" w:type="dxa"/>
            <w:bottom w:w="0" w:type="dxa"/>
            <w:right w:w="108" w:type="dxa"/>
          </w:tblCellMar>
        </w:tblPrEx>
        <w:trPr>
          <w:trHeight w:val="499" w:hRule="atLeast"/>
        </w:trPr>
        <w:tc>
          <w:tcPr>
            <w:tcW w:w="353"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352" w:type="pct"/>
            <w:vMerge w:val="continue"/>
            <w:tcBorders>
              <w:top w:val="nil"/>
              <w:left w:val="single" w:color="auto" w:sz="4" w:space="0"/>
              <w:bottom w:val="single" w:color="auto" w:sz="4" w:space="0"/>
              <w:right w:val="single" w:color="000000" w:sz="4" w:space="0"/>
            </w:tcBorders>
            <w:vAlign w:val="center"/>
          </w:tcPr>
          <w:p>
            <w:pPr>
              <w:widowControl/>
              <w:jc w:val="left"/>
              <w:rPr>
                <w:rFonts w:ascii="仿宋" w:hAnsi="仿宋" w:eastAsia="仿宋" w:cs="宋体"/>
                <w:color w:val="000000"/>
                <w:kern w:val="0"/>
                <w:sz w:val="20"/>
                <w:szCs w:val="20"/>
              </w:rPr>
            </w:pPr>
          </w:p>
        </w:tc>
        <w:tc>
          <w:tcPr>
            <w:tcW w:w="698" w:type="pct"/>
            <w:vMerge w:val="continue"/>
            <w:tcBorders>
              <w:top w:val="nil"/>
              <w:left w:val="single" w:color="auto" w:sz="4" w:space="0"/>
              <w:bottom w:val="nil"/>
              <w:right w:val="single" w:color="auto" w:sz="4" w:space="0"/>
            </w:tcBorders>
            <w:vAlign w:val="center"/>
          </w:tcPr>
          <w:p>
            <w:pPr>
              <w:widowControl/>
              <w:jc w:val="left"/>
              <w:rPr>
                <w:rFonts w:ascii="仿宋" w:hAnsi="仿宋" w:eastAsia="仿宋" w:cs="宋体"/>
                <w:kern w:val="0"/>
                <w:sz w:val="20"/>
                <w:szCs w:val="20"/>
              </w:rPr>
            </w:pPr>
          </w:p>
        </w:tc>
        <w:tc>
          <w:tcPr>
            <w:tcW w:w="1738" w:type="pct"/>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保障性租赁房目标套数（6分）</w:t>
            </w:r>
          </w:p>
        </w:tc>
        <w:tc>
          <w:tcPr>
            <w:tcW w:w="743"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1900套</w:t>
            </w:r>
          </w:p>
        </w:tc>
        <w:tc>
          <w:tcPr>
            <w:tcW w:w="578"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2186套</w:t>
            </w:r>
          </w:p>
        </w:tc>
        <w:tc>
          <w:tcPr>
            <w:tcW w:w="537"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6.00 </w:t>
            </w:r>
          </w:p>
        </w:tc>
      </w:tr>
      <w:tr>
        <w:tblPrEx>
          <w:tblCellMar>
            <w:top w:w="0" w:type="dxa"/>
            <w:left w:w="108" w:type="dxa"/>
            <w:bottom w:w="0" w:type="dxa"/>
            <w:right w:w="108" w:type="dxa"/>
          </w:tblCellMar>
        </w:tblPrEx>
        <w:trPr>
          <w:trHeight w:val="499" w:hRule="atLeast"/>
        </w:trPr>
        <w:tc>
          <w:tcPr>
            <w:tcW w:w="353"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352" w:type="pct"/>
            <w:vMerge w:val="continue"/>
            <w:tcBorders>
              <w:top w:val="nil"/>
              <w:left w:val="single" w:color="auto" w:sz="4" w:space="0"/>
              <w:bottom w:val="single" w:color="auto" w:sz="4" w:space="0"/>
              <w:right w:val="single" w:color="000000" w:sz="4" w:space="0"/>
            </w:tcBorders>
            <w:vAlign w:val="center"/>
          </w:tcPr>
          <w:p>
            <w:pPr>
              <w:widowControl/>
              <w:jc w:val="left"/>
              <w:rPr>
                <w:rFonts w:ascii="仿宋" w:hAnsi="仿宋" w:eastAsia="仿宋" w:cs="宋体"/>
                <w:color w:val="000000"/>
                <w:kern w:val="0"/>
                <w:sz w:val="20"/>
                <w:szCs w:val="20"/>
              </w:rPr>
            </w:pPr>
          </w:p>
        </w:tc>
        <w:tc>
          <w:tcPr>
            <w:tcW w:w="698" w:type="pct"/>
            <w:vMerge w:val="continue"/>
            <w:tcBorders>
              <w:top w:val="nil"/>
              <w:left w:val="single" w:color="auto" w:sz="4" w:space="0"/>
              <w:bottom w:val="nil"/>
              <w:right w:val="single" w:color="auto" w:sz="4" w:space="0"/>
            </w:tcBorders>
            <w:vAlign w:val="center"/>
          </w:tcPr>
          <w:p>
            <w:pPr>
              <w:widowControl/>
              <w:jc w:val="left"/>
              <w:rPr>
                <w:rFonts w:ascii="仿宋" w:hAnsi="仿宋" w:eastAsia="仿宋" w:cs="宋体"/>
                <w:kern w:val="0"/>
                <w:sz w:val="20"/>
                <w:szCs w:val="20"/>
              </w:rPr>
            </w:pPr>
          </w:p>
        </w:tc>
        <w:tc>
          <w:tcPr>
            <w:tcW w:w="1738" w:type="pct"/>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培育专业化规模化住房租赁企业数（6分）</w:t>
            </w:r>
          </w:p>
        </w:tc>
        <w:tc>
          <w:tcPr>
            <w:tcW w:w="743"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≥5家</w:t>
            </w:r>
          </w:p>
        </w:tc>
        <w:tc>
          <w:tcPr>
            <w:tcW w:w="578"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5家</w:t>
            </w:r>
          </w:p>
        </w:tc>
        <w:tc>
          <w:tcPr>
            <w:tcW w:w="537"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6.00 </w:t>
            </w:r>
          </w:p>
        </w:tc>
      </w:tr>
      <w:tr>
        <w:tblPrEx>
          <w:tblCellMar>
            <w:top w:w="0" w:type="dxa"/>
            <w:left w:w="108" w:type="dxa"/>
            <w:bottom w:w="0" w:type="dxa"/>
            <w:right w:w="108" w:type="dxa"/>
          </w:tblCellMar>
        </w:tblPrEx>
        <w:trPr>
          <w:trHeight w:val="499" w:hRule="atLeast"/>
        </w:trPr>
        <w:tc>
          <w:tcPr>
            <w:tcW w:w="353"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352" w:type="pct"/>
            <w:vMerge w:val="continue"/>
            <w:tcBorders>
              <w:top w:val="nil"/>
              <w:left w:val="single" w:color="auto" w:sz="4" w:space="0"/>
              <w:bottom w:val="single" w:color="auto" w:sz="4" w:space="0"/>
              <w:right w:val="single" w:color="000000" w:sz="4" w:space="0"/>
            </w:tcBorders>
            <w:vAlign w:val="center"/>
          </w:tcPr>
          <w:p>
            <w:pPr>
              <w:widowControl/>
              <w:jc w:val="left"/>
              <w:rPr>
                <w:rFonts w:ascii="仿宋" w:hAnsi="仿宋" w:eastAsia="仿宋" w:cs="宋体"/>
                <w:color w:val="000000"/>
                <w:kern w:val="0"/>
                <w:sz w:val="20"/>
                <w:szCs w:val="20"/>
              </w:rPr>
            </w:pPr>
          </w:p>
        </w:tc>
        <w:tc>
          <w:tcPr>
            <w:tcW w:w="698" w:type="pct"/>
            <w:tcBorders>
              <w:top w:val="single" w:color="auto" w:sz="4" w:space="0"/>
              <w:left w:val="nil"/>
              <w:bottom w:val="nil"/>
              <w:right w:val="single" w:color="auto"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质量指标</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（8分）</w:t>
            </w:r>
          </w:p>
        </w:tc>
        <w:tc>
          <w:tcPr>
            <w:tcW w:w="1738" w:type="pct"/>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新、改建住房租赁项目投入运营率（8分）</w:t>
            </w:r>
          </w:p>
        </w:tc>
        <w:tc>
          <w:tcPr>
            <w:tcW w:w="743"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c>
          <w:tcPr>
            <w:tcW w:w="578"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67%</w:t>
            </w:r>
          </w:p>
        </w:tc>
        <w:tc>
          <w:tcPr>
            <w:tcW w:w="537"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5.33 </w:t>
            </w:r>
          </w:p>
        </w:tc>
      </w:tr>
      <w:tr>
        <w:tblPrEx>
          <w:tblCellMar>
            <w:top w:w="0" w:type="dxa"/>
            <w:left w:w="108" w:type="dxa"/>
            <w:bottom w:w="0" w:type="dxa"/>
            <w:right w:w="108" w:type="dxa"/>
          </w:tblCellMar>
        </w:tblPrEx>
        <w:trPr>
          <w:trHeight w:val="499" w:hRule="atLeast"/>
        </w:trPr>
        <w:tc>
          <w:tcPr>
            <w:tcW w:w="353"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352" w:type="pct"/>
            <w:vMerge w:val="continue"/>
            <w:tcBorders>
              <w:top w:val="nil"/>
              <w:left w:val="single" w:color="auto" w:sz="4" w:space="0"/>
              <w:bottom w:val="single" w:color="auto" w:sz="4" w:space="0"/>
              <w:right w:val="single" w:color="000000" w:sz="4" w:space="0"/>
            </w:tcBorders>
            <w:vAlign w:val="center"/>
          </w:tcPr>
          <w:p>
            <w:pPr>
              <w:widowControl/>
              <w:jc w:val="left"/>
              <w:rPr>
                <w:rFonts w:ascii="仿宋" w:hAnsi="仿宋" w:eastAsia="仿宋" w:cs="宋体"/>
                <w:color w:val="000000"/>
                <w:kern w:val="0"/>
                <w:sz w:val="20"/>
                <w:szCs w:val="20"/>
              </w:rPr>
            </w:pPr>
          </w:p>
        </w:tc>
        <w:tc>
          <w:tcPr>
            <w:tcW w:w="698" w:type="pct"/>
            <w:tcBorders>
              <w:top w:val="single" w:color="auto" w:sz="4" w:space="0"/>
              <w:left w:val="nil"/>
              <w:bottom w:val="nil"/>
              <w:right w:val="single" w:color="auto"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时效指标</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（8分）</w:t>
            </w:r>
          </w:p>
        </w:tc>
        <w:tc>
          <w:tcPr>
            <w:tcW w:w="1738"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资金支付及时（8分）</w:t>
            </w:r>
          </w:p>
        </w:tc>
        <w:tc>
          <w:tcPr>
            <w:tcW w:w="743"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及时</w:t>
            </w:r>
          </w:p>
        </w:tc>
        <w:tc>
          <w:tcPr>
            <w:tcW w:w="578"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及时</w:t>
            </w:r>
          </w:p>
        </w:tc>
        <w:tc>
          <w:tcPr>
            <w:tcW w:w="537"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8.00 </w:t>
            </w:r>
          </w:p>
        </w:tc>
      </w:tr>
      <w:tr>
        <w:tblPrEx>
          <w:tblCellMar>
            <w:top w:w="0" w:type="dxa"/>
            <w:left w:w="108" w:type="dxa"/>
            <w:bottom w:w="0" w:type="dxa"/>
            <w:right w:w="108" w:type="dxa"/>
          </w:tblCellMar>
        </w:tblPrEx>
        <w:trPr>
          <w:trHeight w:val="499" w:hRule="atLeast"/>
        </w:trPr>
        <w:tc>
          <w:tcPr>
            <w:tcW w:w="353"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352"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效益指标（40分）</w:t>
            </w:r>
          </w:p>
        </w:tc>
        <w:tc>
          <w:tcPr>
            <w:tcW w:w="698" w:type="pct"/>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社会效益指标</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（30分）</w:t>
            </w:r>
          </w:p>
        </w:tc>
        <w:tc>
          <w:tcPr>
            <w:tcW w:w="1738"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改善群众居住条件（15分）</w:t>
            </w:r>
          </w:p>
        </w:tc>
        <w:tc>
          <w:tcPr>
            <w:tcW w:w="743"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有所改善</w:t>
            </w:r>
          </w:p>
        </w:tc>
        <w:tc>
          <w:tcPr>
            <w:tcW w:w="578"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有所改善</w:t>
            </w:r>
          </w:p>
        </w:tc>
        <w:tc>
          <w:tcPr>
            <w:tcW w:w="537"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15.00 </w:t>
            </w:r>
          </w:p>
        </w:tc>
      </w:tr>
      <w:tr>
        <w:tblPrEx>
          <w:tblCellMar>
            <w:top w:w="0" w:type="dxa"/>
            <w:left w:w="108" w:type="dxa"/>
            <w:bottom w:w="0" w:type="dxa"/>
            <w:right w:w="108" w:type="dxa"/>
          </w:tblCellMar>
        </w:tblPrEx>
        <w:trPr>
          <w:trHeight w:val="499" w:hRule="atLeast"/>
        </w:trPr>
        <w:tc>
          <w:tcPr>
            <w:tcW w:w="353"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352" w:type="pct"/>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698"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1738" w:type="pct"/>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宣传推广保障性租赁房政策（15分）</w:t>
            </w:r>
          </w:p>
        </w:tc>
        <w:tc>
          <w:tcPr>
            <w:tcW w:w="743"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有所推广</w:t>
            </w:r>
          </w:p>
        </w:tc>
        <w:tc>
          <w:tcPr>
            <w:tcW w:w="578"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有所推广</w:t>
            </w:r>
          </w:p>
        </w:tc>
        <w:tc>
          <w:tcPr>
            <w:tcW w:w="537"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15.00 </w:t>
            </w:r>
          </w:p>
        </w:tc>
      </w:tr>
      <w:tr>
        <w:tblPrEx>
          <w:tblCellMar>
            <w:top w:w="0" w:type="dxa"/>
            <w:left w:w="108" w:type="dxa"/>
            <w:bottom w:w="0" w:type="dxa"/>
            <w:right w:w="108" w:type="dxa"/>
          </w:tblCellMar>
        </w:tblPrEx>
        <w:trPr>
          <w:trHeight w:val="720" w:hRule="atLeast"/>
        </w:trPr>
        <w:tc>
          <w:tcPr>
            <w:tcW w:w="353"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352" w:type="pct"/>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698"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服务对象满意度</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（10分）</w:t>
            </w:r>
          </w:p>
        </w:tc>
        <w:tc>
          <w:tcPr>
            <w:tcW w:w="1738"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群众满意度（10分）</w:t>
            </w:r>
          </w:p>
        </w:tc>
        <w:tc>
          <w:tcPr>
            <w:tcW w:w="743"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≥80%</w:t>
            </w:r>
          </w:p>
        </w:tc>
        <w:tc>
          <w:tcPr>
            <w:tcW w:w="578"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87%</w:t>
            </w:r>
          </w:p>
        </w:tc>
        <w:tc>
          <w:tcPr>
            <w:tcW w:w="537"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10.00 </w:t>
            </w:r>
          </w:p>
        </w:tc>
      </w:tr>
      <w:tr>
        <w:tblPrEx>
          <w:tblCellMar>
            <w:top w:w="0" w:type="dxa"/>
            <w:left w:w="108" w:type="dxa"/>
            <w:bottom w:w="0" w:type="dxa"/>
            <w:right w:w="108" w:type="dxa"/>
          </w:tblCellMar>
        </w:tblPrEx>
        <w:trPr>
          <w:trHeight w:val="499" w:hRule="atLeast"/>
        </w:trPr>
        <w:tc>
          <w:tcPr>
            <w:tcW w:w="353"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总分</w:t>
            </w:r>
          </w:p>
        </w:tc>
        <w:tc>
          <w:tcPr>
            <w:tcW w:w="4647" w:type="pct"/>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97.3</w:t>
            </w:r>
            <w:r>
              <w:rPr>
                <w:rFonts w:ascii="仿宋" w:hAnsi="仿宋" w:eastAsia="仿宋" w:cs="宋体"/>
                <w:kern w:val="0"/>
                <w:sz w:val="20"/>
                <w:szCs w:val="20"/>
              </w:rPr>
              <w:t>3</w:t>
            </w:r>
            <w:r>
              <w:rPr>
                <w:rFonts w:hint="eastAsia" w:ascii="仿宋" w:hAnsi="仿宋" w:eastAsia="仿宋" w:cs="宋体"/>
                <w:kern w:val="0"/>
                <w:sz w:val="20"/>
                <w:szCs w:val="20"/>
              </w:rPr>
              <w:t>分</w:t>
            </w:r>
          </w:p>
        </w:tc>
      </w:tr>
      <w:tr>
        <w:tblPrEx>
          <w:tblCellMar>
            <w:top w:w="0" w:type="dxa"/>
            <w:left w:w="108" w:type="dxa"/>
            <w:bottom w:w="0" w:type="dxa"/>
            <w:right w:w="108" w:type="dxa"/>
          </w:tblCellMar>
        </w:tblPrEx>
        <w:trPr>
          <w:trHeight w:val="1519" w:hRule="atLeast"/>
        </w:trPr>
        <w:tc>
          <w:tcPr>
            <w:tcW w:w="1404"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偏差大或目标未完成原因分析</w:t>
            </w:r>
          </w:p>
        </w:tc>
        <w:tc>
          <w:tcPr>
            <w:tcW w:w="3596" w:type="pct"/>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1.“新、改建住房租赁项目投入运营率”指标存在偏差的原因是武汉智慧生态建设投资有限公司的智慧生态城人才公寓项目（新建）预计6月份装修完工；武汉经开投资有限公司经开通航社区项目（新建）一期已投入运营；二期工程三层顶板混</w:t>
            </w:r>
            <w:r>
              <w:rPr>
                <w:rFonts w:hint="eastAsia" w:ascii="仿宋" w:hAnsi="仿宋" w:eastAsia="仿宋" w:cs="宋体"/>
                <w:kern w:val="0"/>
                <w:sz w:val="20"/>
                <w:szCs w:val="20"/>
                <w:lang w:val="en-US" w:eastAsia="zh-CN"/>
              </w:rPr>
              <w:t>凝</w:t>
            </w:r>
            <w:r>
              <w:rPr>
                <w:rFonts w:hint="eastAsia" w:ascii="仿宋" w:hAnsi="仿宋" w:eastAsia="仿宋" w:cs="宋体"/>
                <w:kern w:val="0"/>
                <w:sz w:val="20"/>
                <w:szCs w:val="20"/>
              </w:rPr>
              <w:t>土浇筑完工，未投入运营。</w:t>
            </w:r>
          </w:p>
        </w:tc>
      </w:tr>
      <w:tr>
        <w:tblPrEx>
          <w:tblCellMar>
            <w:top w:w="0" w:type="dxa"/>
            <w:left w:w="108" w:type="dxa"/>
            <w:bottom w:w="0" w:type="dxa"/>
            <w:right w:w="108" w:type="dxa"/>
          </w:tblCellMar>
        </w:tblPrEx>
        <w:trPr>
          <w:trHeight w:val="1302" w:hRule="atLeast"/>
        </w:trPr>
        <w:tc>
          <w:tcPr>
            <w:tcW w:w="1404"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改进措施及结果应用方案</w:t>
            </w:r>
          </w:p>
        </w:tc>
        <w:tc>
          <w:tcPr>
            <w:tcW w:w="3596" w:type="pct"/>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1.“新、改建住房租赁项目投入运营率”指标的改进措施是提高重视保障性租赁住房项目，加强组织统筹。安居保障涉及国土规划、财政、发改、住建、招才、各街道及园区、国资平台公司等多部门及单位，住房保障所要强化统筹协调，重要事项主动向领导及上级业务主管部门汇报；相关部门单位应明确职责及业务联系人，建立多部门常态化工作协调机制，以加快推进保障性安居工程有效落实。</w:t>
            </w:r>
          </w:p>
        </w:tc>
      </w:tr>
      <w:tr>
        <w:tblPrEx>
          <w:tblCellMar>
            <w:top w:w="0" w:type="dxa"/>
            <w:left w:w="108" w:type="dxa"/>
            <w:bottom w:w="0" w:type="dxa"/>
            <w:right w:w="108" w:type="dxa"/>
          </w:tblCellMar>
        </w:tblPrEx>
        <w:trPr>
          <w:trHeight w:val="2682" w:hRule="atLeast"/>
        </w:trPr>
        <w:tc>
          <w:tcPr>
            <w:tcW w:w="500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仿宋" w:hAnsi="仿宋" w:eastAsia="仿宋" w:cs="宋体"/>
                <w:color w:val="000000"/>
                <w:kern w:val="0"/>
                <w:sz w:val="20"/>
                <w:szCs w:val="20"/>
                <w:lang w:eastAsia="zh-CN"/>
              </w:rPr>
            </w:pPr>
            <w:r>
              <w:rPr>
                <w:rFonts w:hint="eastAsia" w:ascii="仿宋" w:hAnsi="仿宋" w:eastAsia="仿宋" w:cs="宋体"/>
                <w:color w:val="000000"/>
                <w:kern w:val="0"/>
                <w:sz w:val="20"/>
                <w:szCs w:val="20"/>
              </w:rPr>
              <w:t>注: 1.预算执行情况口径: 预算数为调整后财政资金总额（包括上年结余结转），执行数为资金使用单位财政资金实际支出数。</w:t>
            </w:r>
          </w:p>
          <w:p>
            <w:pPr>
              <w:widowControl/>
              <w:jc w:val="left"/>
              <w:rPr>
                <w:rFonts w:hint="eastAsia" w:ascii="仿宋" w:hAnsi="仿宋" w:eastAsia="仿宋" w:cs="宋体"/>
                <w:color w:val="000000"/>
                <w:kern w:val="0"/>
                <w:sz w:val="20"/>
                <w:szCs w:val="20"/>
                <w:lang w:eastAsia="zh-CN"/>
              </w:rPr>
            </w:pPr>
            <w:r>
              <w:rPr>
                <w:rFonts w:hint="eastAsia" w:ascii="仿宋" w:hAnsi="仿宋" w:eastAsia="仿宋" w:cs="宋体"/>
                <w:color w:val="000000"/>
                <w:kern w:val="0"/>
                <w:sz w:val="20"/>
                <w:szCs w:val="20"/>
              </w:rPr>
              <w:t xml:space="preserve">    2.定量指标完成数汇总原则：绝对值直接累加计算，相对值按照资金额度加权平均计算。定量指标计分原则：正向指标（即目标值≥X，得分=权重*B/A），反向指标（即目标值≤X，得分=权重*A/B），得分不得突破权重总额，定量指标先汇总完成数，再计算得分。</w:t>
            </w:r>
          </w:p>
          <w:p>
            <w:pPr>
              <w:widowControl/>
              <w:jc w:val="left"/>
              <w:rPr>
                <w:rFonts w:hint="eastAsia" w:ascii="仿宋" w:hAnsi="仿宋" w:eastAsia="仿宋" w:cs="宋体"/>
                <w:kern w:val="0"/>
                <w:sz w:val="20"/>
                <w:szCs w:val="20"/>
                <w:lang w:eastAsia="zh-CN"/>
              </w:rPr>
            </w:pPr>
            <w:r>
              <w:rPr>
                <w:rFonts w:hint="eastAsia" w:ascii="仿宋" w:hAnsi="仿宋" w:eastAsia="仿宋" w:cs="宋体"/>
                <w:color w:val="000000"/>
                <w:kern w:val="0"/>
                <w:sz w:val="20"/>
                <w:szCs w:val="20"/>
              </w:rPr>
              <w:t xml:space="preserve">    3.定性指标分档原则: 分成达成预期指标、部分达成预期指标并具有一定效果、未达成预期指标且效果较差三档，分别按照该指标对应分值区间100-80%（含80%）、80-50% （含50%）、50-0% 合理确定分值。汇总时，以资金</w:t>
            </w:r>
            <w:r>
              <w:rPr>
                <w:rFonts w:hint="eastAsia" w:ascii="仿宋" w:hAnsi="仿宋" w:eastAsia="仿宋" w:cs="宋体"/>
                <w:kern w:val="0"/>
                <w:sz w:val="20"/>
                <w:szCs w:val="20"/>
              </w:rPr>
              <w:t>额度为权重，对分值进行加权平均计算。</w:t>
            </w:r>
          </w:p>
          <w:p>
            <w:pPr>
              <w:widowControl/>
              <w:jc w:val="left"/>
              <w:rPr>
                <w:rFonts w:ascii="仿宋" w:hAnsi="仿宋" w:eastAsia="仿宋" w:cs="宋体"/>
                <w:color w:val="000000"/>
                <w:kern w:val="0"/>
                <w:sz w:val="20"/>
                <w:szCs w:val="20"/>
              </w:rPr>
            </w:pPr>
            <w:r>
              <w:rPr>
                <w:rFonts w:hint="eastAsia" w:ascii="仿宋" w:hAnsi="仿宋" w:eastAsia="仿宋" w:cs="宋体"/>
                <w:kern w:val="0"/>
                <w:sz w:val="20"/>
                <w:szCs w:val="20"/>
              </w:rPr>
              <w:t xml:space="preserve">    4.基于经济性和必要性等因素考虑，满意度指标暂可不作为必评指标。</w:t>
            </w:r>
          </w:p>
        </w:tc>
      </w:tr>
    </w:tbl>
    <w:p>
      <w:pPr>
        <w:pStyle w:val="4"/>
        <w:rPr>
          <w:rFonts w:eastAsia="仿宋"/>
          <w:color w:val="000000"/>
          <w:kern w:val="0"/>
          <w:sz w:val="32"/>
          <w:szCs w:val="32"/>
        </w:rPr>
      </w:pPr>
    </w:p>
    <w:p>
      <w:pPr>
        <w:rPr>
          <w:rFonts w:eastAsia="黑体"/>
          <w:b/>
          <w:sz w:val="32"/>
        </w:rPr>
      </w:pPr>
      <w:r>
        <w:rPr>
          <w:rFonts w:hint="eastAsia" w:eastAsia="黑体"/>
          <w:b/>
          <w:sz w:val="32"/>
        </w:rPr>
        <w:br w:type="page"/>
      </w:r>
    </w:p>
    <w:p>
      <w:pPr>
        <w:pStyle w:val="8"/>
        <w:numPr>
          <w:ilvl w:val="0"/>
          <w:numId w:val="1"/>
        </w:numPr>
        <w:shd w:val="clear" w:color="auto" w:fill="FFFFFF" w:themeFill="background1"/>
        <w:spacing w:line="560" w:lineRule="exact"/>
        <w:ind w:firstLine="643"/>
        <w:jc w:val="both"/>
        <w:outlineLvl w:val="0"/>
        <w:rPr>
          <w:rFonts w:ascii="Times New Roman" w:hAnsi="Times New Roman" w:eastAsia="黑体"/>
          <w:b/>
          <w:sz w:val="32"/>
        </w:rPr>
      </w:pPr>
      <w:r>
        <w:rPr>
          <w:rFonts w:hint="eastAsia" w:ascii="Times New Roman" w:hAnsi="Times New Roman" w:eastAsia="黑体"/>
          <w:b/>
          <w:sz w:val="32"/>
        </w:rPr>
        <w:t>佐证材料</w:t>
      </w:r>
    </w:p>
    <w:p>
      <w:pPr>
        <w:pStyle w:val="2"/>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（一）基本情况</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1. 项目立项目的</w:t>
      </w:r>
    </w:p>
    <w:p>
      <w:pPr>
        <w:widowControl/>
        <w:spacing w:line="560" w:lineRule="exact"/>
        <w:ind w:firstLine="640" w:firstLineChars="200"/>
        <w:rPr>
          <w:rFonts w:eastAsia="仿宋"/>
          <w:sz w:val="32"/>
          <w:szCs w:val="32"/>
        </w:rPr>
      </w:pPr>
      <w:bookmarkStart w:id="1" w:name="_Hlk104036735"/>
      <w:r>
        <w:rPr>
          <w:rFonts w:hint="eastAsia" w:eastAsia="仿宋"/>
          <w:sz w:val="32"/>
          <w:szCs w:val="32"/>
        </w:rPr>
        <w:t>为贯彻落实国家保障性安居工程政策精神，优化和提升经开区居住环境，有效解决经开区城镇中等偏下收入家庭、企业单身职工外来务工人员、留汉创业就业大学毕业生住房困难问题，各相关单位要按照保障性安居工程政策和目标进度要求，加强密切配合，有序组织推进，确保各个项目落实到位。同时依据目标任务制定实施计划，落实资金来源，明确时间节点，抓质量、抢进度、保安全，确保全面完成保障性安居工程建设目标任务。</w:t>
      </w:r>
    </w:p>
    <w:bookmarkEnd w:id="1"/>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2. 年度绩效目标</w:t>
      </w:r>
    </w:p>
    <w:p>
      <w:pPr>
        <w:widowControl/>
        <w:spacing w:line="560" w:lineRule="exact"/>
        <w:ind w:firstLine="640" w:firstLineChars="200"/>
        <w:rPr>
          <w:rFonts w:eastAsia="仿宋"/>
          <w:sz w:val="32"/>
          <w:szCs w:val="32"/>
        </w:rPr>
      </w:pPr>
      <w:r>
        <w:rPr>
          <w:rFonts w:hint="eastAsia" w:eastAsia="仿宋"/>
          <w:sz w:val="32"/>
          <w:szCs w:val="32"/>
        </w:rPr>
        <w:t>本项目绩效目标如下：</w:t>
      </w:r>
    </w:p>
    <w:p>
      <w:pPr>
        <w:widowControl/>
        <w:spacing w:line="560" w:lineRule="exact"/>
        <w:ind w:firstLine="640" w:firstLineChars="200"/>
        <w:rPr>
          <w:rFonts w:eastAsia="仿宋"/>
          <w:sz w:val="32"/>
          <w:szCs w:val="32"/>
        </w:rPr>
      </w:pPr>
      <w:r>
        <w:rPr>
          <w:rFonts w:hint="eastAsia" w:eastAsia="仿宋"/>
          <w:sz w:val="32"/>
          <w:szCs w:val="32"/>
        </w:rPr>
        <w:t>产出指标：</w:t>
      </w:r>
    </w:p>
    <w:p>
      <w:pPr>
        <w:widowControl/>
        <w:spacing w:line="560" w:lineRule="exact"/>
        <w:ind w:firstLine="640" w:firstLineChars="200"/>
        <w:rPr>
          <w:rFonts w:eastAsia="仿宋"/>
          <w:sz w:val="32"/>
          <w:szCs w:val="32"/>
        </w:rPr>
      </w:pPr>
      <w:r>
        <w:rPr>
          <w:rFonts w:hint="eastAsia" w:eastAsia="仿宋"/>
          <w:sz w:val="32"/>
          <w:szCs w:val="32"/>
        </w:rPr>
        <w:t>数量指标，棚改住房基本新开工套数，目标值为300套；</w:t>
      </w:r>
    </w:p>
    <w:p>
      <w:pPr>
        <w:widowControl/>
        <w:spacing w:line="560" w:lineRule="exact"/>
        <w:ind w:firstLine="640" w:firstLineChars="200"/>
        <w:rPr>
          <w:rFonts w:eastAsia="仿宋"/>
          <w:sz w:val="32"/>
          <w:szCs w:val="32"/>
        </w:rPr>
      </w:pPr>
      <w:r>
        <w:rPr>
          <w:rFonts w:hint="eastAsia" w:eastAsia="仿宋"/>
          <w:sz w:val="32"/>
          <w:szCs w:val="32"/>
        </w:rPr>
        <w:t>数量指标，棚改住房基本建成套数，目标值为1400套；</w:t>
      </w:r>
    </w:p>
    <w:p>
      <w:pPr>
        <w:widowControl/>
        <w:spacing w:line="560" w:lineRule="exact"/>
        <w:ind w:firstLine="640" w:firstLineChars="200"/>
        <w:rPr>
          <w:rFonts w:eastAsia="仿宋"/>
          <w:sz w:val="32"/>
          <w:szCs w:val="32"/>
        </w:rPr>
      </w:pPr>
      <w:r>
        <w:rPr>
          <w:rFonts w:hint="eastAsia" w:eastAsia="仿宋"/>
          <w:sz w:val="32"/>
          <w:szCs w:val="32"/>
        </w:rPr>
        <w:t>数量指标，保障性租赁房目标套数，目标值为1900套；</w:t>
      </w:r>
    </w:p>
    <w:p>
      <w:pPr>
        <w:widowControl/>
        <w:spacing w:line="560" w:lineRule="exact"/>
        <w:ind w:firstLine="640" w:firstLineChars="200"/>
        <w:rPr>
          <w:rFonts w:eastAsia="仿宋"/>
          <w:sz w:val="32"/>
          <w:szCs w:val="32"/>
        </w:rPr>
      </w:pPr>
      <w:r>
        <w:rPr>
          <w:rFonts w:hint="eastAsia" w:eastAsia="仿宋"/>
          <w:sz w:val="32"/>
          <w:szCs w:val="32"/>
        </w:rPr>
        <w:t>数量指标，培育专业化规模化住房租赁企业数，目标值为≥5家；</w:t>
      </w:r>
    </w:p>
    <w:p>
      <w:pPr>
        <w:widowControl/>
        <w:spacing w:line="560" w:lineRule="exact"/>
        <w:ind w:firstLine="640" w:firstLineChars="200"/>
        <w:rPr>
          <w:rFonts w:eastAsia="仿宋"/>
          <w:sz w:val="32"/>
          <w:szCs w:val="32"/>
        </w:rPr>
      </w:pPr>
      <w:r>
        <w:rPr>
          <w:rFonts w:hint="eastAsia" w:eastAsia="仿宋"/>
          <w:sz w:val="32"/>
          <w:szCs w:val="32"/>
        </w:rPr>
        <w:t>质量指标，验收合格率，目标值为100%；</w:t>
      </w:r>
    </w:p>
    <w:p>
      <w:pPr>
        <w:widowControl/>
        <w:spacing w:line="560" w:lineRule="exact"/>
        <w:ind w:firstLine="640" w:firstLineChars="200"/>
        <w:rPr>
          <w:rFonts w:eastAsia="仿宋"/>
          <w:sz w:val="32"/>
          <w:szCs w:val="32"/>
        </w:rPr>
      </w:pPr>
      <w:r>
        <w:rPr>
          <w:rFonts w:hint="eastAsia" w:eastAsia="仿宋"/>
          <w:sz w:val="32"/>
          <w:szCs w:val="32"/>
        </w:rPr>
        <w:t>时效指标，资金支付及时，目标值为及时；</w:t>
      </w:r>
    </w:p>
    <w:p>
      <w:pPr>
        <w:widowControl/>
        <w:spacing w:line="560" w:lineRule="exact"/>
        <w:ind w:firstLine="640" w:firstLineChars="200"/>
        <w:rPr>
          <w:rFonts w:eastAsia="仿宋"/>
          <w:sz w:val="32"/>
          <w:szCs w:val="32"/>
        </w:rPr>
      </w:pPr>
      <w:r>
        <w:rPr>
          <w:rFonts w:hint="eastAsia" w:eastAsia="仿宋"/>
          <w:sz w:val="32"/>
          <w:szCs w:val="32"/>
        </w:rPr>
        <w:t>效益指标：</w:t>
      </w:r>
    </w:p>
    <w:p>
      <w:pPr>
        <w:widowControl/>
        <w:spacing w:line="560" w:lineRule="exact"/>
        <w:ind w:firstLine="640" w:firstLineChars="200"/>
        <w:rPr>
          <w:rFonts w:eastAsia="仿宋"/>
          <w:sz w:val="32"/>
          <w:szCs w:val="32"/>
        </w:rPr>
      </w:pPr>
      <w:r>
        <w:rPr>
          <w:rFonts w:hint="eastAsia" w:eastAsia="仿宋"/>
          <w:sz w:val="32"/>
          <w:szCs w:val="32"/>
        </w:rPr>
        <w:t>社会效益指标，改善群众居住条件，目标值为有所改善；</w:t>
      </w:r>
    </w:p>
    <w:p>
      <w:pPr>
        <w:widowControl/>
        <w:spacing w:line="560" w:lineRule="exact"/>
        <w:ind w:firstLine="640" w:firstLineChars="200"/>
        <w:rPr>
          <w:rFonts w:eastAsia="仿宋"/>
          <w:sz w:val="32"/>
          <w:szCs w:val="32"/>
        </w:rPr>
      </w:pPr>
      <w:r>
        <w:rPr>
          <w:rFonts w:hint="eastAsia" w:eastAsia="仿宋"/>
          <w:sz w:val="32"/>
          <w:szCs w:val="32"/>
        </w:rPr>
        <w:t>社会效益指标，宣传推广保障性租赁房政策，目标值为有所推广；</w:t>
      </w:r>
    </w:p>
    <w:p>
      <w:pPr>
        <w:widowControl/>
        <w:spacing w:line="560" w:lineRule="exact"/>
        <w:ind w:firstLine="640" w:firstLineChars="200"/>
        <w:rPr>
          <w:rFonts w:eastAsia="仿宋"/>
          <w:sz w:val="32"/>
          <w:szCs w:val="32"/>
        </w:rPr>
      </w:pPr>
      <w:r>
        <w:rPr>
          <w:rFonts w:hint="eastAsia" w:eastAsia="仿宋"/>
          <w:sz w:val="32"/>
          <w:szCs w:val="32"/>
        </w:rPr>
        <w:t>社会效益指标，群众满意度，目标值为≥80%。</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3. 项目资金情况</w:t>
      </w:r>
    </w:p>
    <w:p>
      <w:pPr>
        <w:widowControl/>
        <w:spacing w:line="560" w:lineRule="exact"/>
        <w:ind w:firstLine="640" w:firstLineChars="200"/>
        <w:rPr>
          <w:rFonts w:eastAsia="仿宋"/>
          <w:sz w:val="32"/>
          <w:szCs w:val="32"/>
        </w:rPr>
      </w:pPr>
      <w:r>
        <w:rPr>
          <w:rFonts w:eastAsia="仿宋"/>
          <w:sz w:val="32"/>
          <w:szCs w:val="32"/>
        </w:rPr>
        <w:t>2021年度</w:t>
      </w:r>
      <w:r>
        <w:rPr>
          <w:rFonts w:hint="eastAsia" w:eastAsia="仿宋"/>
          <w:sz w:val="32"/>
          <w:szCs w:val="32"/>
        </w:rPr>
        <w:t>本项目</w:t>
      </w:r>
      <w:r>
        <w:rPr>
          <w:rFonts w:eastAsia="仿宋"/>
          <w:sz w:val="32"/>
          <w:szCs w:val="32"/>
        </w:rPr>
        <w:t>预算总额12593万元，执行数12593万元，预算执行率100</w:t>
      </w:r>
      <w:r>
        <w:rPr>
          <w:rFonts w:hint="eastAsia" w:eastAsia="仿宋"/>
          <w:sz w:val="32"/>
          <w:szCs w:val="32"/>
        </w:rPr>
        <w:t>%</w:t>
      </w:r>
      <w:r>
        <w:rPr>
          <w:rFonts w:eastAsia="仿宋"/>
          <w:sz w:val="32"/>
          <w:szCs w:val="32"/>
        </w:rPr>
        <w:t>。</w:t>
      </w:r>
    </w:p>
    <w:p>
      <w:pPr>
        <w:pStyle w:val="2"/>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（二）部门自评工作开展情况</w:t>
      </w:r>
    </w:p>
    <w:p>
      <w:pPr>
        <w:widowControl/>
        <w:spacing w:line="560" w:lineRule="exact"/>
        <w:ind w:firstLine="640" w:firstLineChars="200"/>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本次自评时间从202</w:t>
      </w:r>
      <w:r>
        <w:rPr>
          <w:rFonts w:eastAsia="仿宋"/>
          <w:color w:val="000000" w:themeColor="text1"/>
          <w:sz w:val="32"/>
          <w:szCs w:val="32"/>
          <w14:textFill>
            <w14:solidFill>
              <w14:schemeClr w14:val="tx1"/>
            </w14:solidFill>
          </w14:textFill>
        </w:rPr>
        <w:t>2</w:t>
      </w:r>
      <w:r>
        <w:rPr>
          <w:rFonts w:hint="eastAsia" w:eastAsia="仿宋"/>
          <w:color w:val="000000" w:themeColor="text1"/>
          <w:sz w:val="32"/>
          <w:szCs w:val="32"/>
          <w14:textFill>
            <w14:solidFill>
              <w14:schemeClr w14:val="tx1"/>
            </w14:solidFill>
          </w14:textFill>
        </w:rPr>
        <w:t>年</w:t>
      </w:r>
      <w:r>
        <w:rPr>
          <w:rFonts w:eastAsia="仿宋"/>
          <w:color w:val="000000" w:themeColor="text1"/>
          <w:sz w:val="32"/>
          <w:szCs w:val="32"/>
          <w14:textFill>
            <w14:solidFill>
              <w14:schemeClr w14:val="tx1"/>
            </w14:solidFill>
          </w14:textFill>
        </w:rPr>
        <w:t>5</w:t>
      </w:r>
      <w:r>
        <w:rPr>
          <w:rFonts w:hint="eastAsia" w:eastAsia="仿宋"/>
          <w:color w:val="000000" w:themeColor="text1"/>
          <w:sz w:val="32"/>
          <w:szCs w:val="32"/>
          <w14:textFill>
            <w14:solidFill>
              <w14:schemeClr w14:val="tx1"/>
            </w14:solidFill>
          </w14:textFill>
        </w:rPr>
        <w:t>月</w:t>
      </w:r>
      <w:r>
        <w:rPr>
          <w:rFonts w:eastAsia="仿宋"/>
          <w:color w:val="000000" w:themeColor="text1"/>
          <w:sz w:val="32"/>
          <w:szCs w:val="32"/>
          <w14:textFill>
            <w14:solidFill>
              <w14:schemeClr w14:val="tx1"/>
            </w14:solidFill>
          </w14:textFill>
        </w:rPr>
        <w:t>15</w:t>
      </w:r>
      <w:r>
        <w:rPr>
          <w:rFonts w:hint="eastAsia" w:eastAsia="仿宋"/>
          <w:color w:val="000000" w:themeColor="text1"/>
          <w:sz w:val="32"/>
          <w:szCs w:val="32"/>
          <w14:textFill>
            <w14:solidFill>
              <w14:schemeClr w14:val="tx1"/>
            </w14:solidFill>
          </w14:textFill>
        </w:rPr>
        <w:t>日至202</w:t>
      </w:r>
      <w:r>
        <w:rPr>
          <w:rFonts w:eastAsia="仿宋"/>
          <w:color w:val="000000" w:themeColor="text1"/>
          <w:sz w:val="32"/>
          <w:szCs w:val="32"/>
          <w14:textFill>
            <w14:solidFill>
              <w14:schemeClr w14:val="tx1"/>
            </w14:solidFill>
          </w14:textFill>
        </w:rPr>
        <w:t>2</w:t>
      </w:r>
      <w:r>
        <w:rPr>
          <w:rFonts w:hint="eastAsia" w:eastAsia="仿宋"/>
          <w:color w:val="000000" w:themeColor="text1"/>
          <w:sz w:val="32"/>
          <w:szCs w:val="32"/>
          <w14:textFill>
            <w14:solidFill>
              <w14:schemeClr w14:val="tx1"/>
            </w14:solidFill>
          </w14:textFill>
        </w:rPr>
        <w:t>年</w:t>
      </w:r>
      <w:r>
        <w:rPr>
          <w:rFonts w:eastAsia="仿宋"/>
          <w:color w:val="000000" w:themeColor="text1"/>
          <w:sz w:val="32"/>
          <w:szCs w:val="32"/>
          <w14:textFill>
            <w14:solidFill>
              <w14:schemeClr w14:val="tx1"/>
            </w14:solidFill>
          </w14:textFill>
        </w:rPr>
        <w:t>5</w:t>
      </w:r>
      <w:r>
        <w:rPr>
          <w:rFonts w:hint="eastAsia" w:eastAsia="仿宋"/>
          <w:color w:val="000000" w:themeColor="text1"/>
          <w:sz w:val="32"/>
          <w:szCs w:val="32"/>
          <w14:textFill>
            <w14:solidFill>
              <w14:schemeClr w14:val="tx1"/>
            </w14:solidFill>
          </w14:textFill>
        </w:rPr>
        <w:t>月</w:t>
      </w:r>
      <w:r>
        <w:rPr>
          <w:rFonts w:eastAsia="仿宋"/>
          <w:color w:val="000000" w:themeColor="text1"/>
          <w:sz w:val="32"/>
          <w:szCs w:val="32"/>
          <w14:textFill>
            <w14:solidFill>
              <w14:schemeClr w14:val="tx1"/>
            </w14:solidFill>
          </w14:textFill>
        </w:rPr>
        <w:t>25</w:t>
      </w:r>
      <w:r>
        <w:rPr>
          <w:rFonts w:hint="eastAsia" w:eastAsia="仿宋"/>
          <w:color w:val="000000" w:themeColor="text1"/>
          <w:sz w:val="32"/>
          <w:szCs w:val="32"/>
          <w14:textFill>
            <w14:solidFill>
              <w14:schemeClr w14:val="tx1"/>
            </w14:solidFill>
          </w14:textFill>
        </w:rPr>
        <w:t>日，历时</w:t>
      </w:r>
      <w:r>
        <w:rPr>
          <w:rFonts w:eastAsia="仿宋"/>
          <w:color w:val="000000" w:themeColor="text1"/>
          <w:sz w:val="32"/>
          <w:szCs w:val="32"/>
          <w14:textFill>
            <w14:solidFill>
              <w14:schemeClr w14:val="tx1"/>
            </w14:solidFill>
          </w14:textFill>
        </w:rPr>
        <w:t>11</w:t>
      </w:r>
      <w:r>
        <w:rPr>
          <w:rFonts w:hint="eastAsia" w:eastAsia="仿宋"/>
          <w:color w:val="000000" w:themeColor="text1"/>
          <w:sz w:val="32"/>
          <w:szCs w:val="32"/>
          <w14:textFill>
            <w14:solidFill>
              <w14:schemeClr w14:val="tx1"/>
            </w14:solidFill>
          </w14:textFill>
        </w:rPr>
        <w:t>天。自评工作程序如下：</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1. 制定工作方案</w:t>
      </w:r>
    </w:p>
    <w:p>
      <w:pPr>
        <w:widowControl/>
        <w:spacing w:line="560" w:lineRule="exact"/>
        <w:ind w:firstLine="640" w:firstLineChars="200"/>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部门自评工作方案由财务部门会同第三方机构共同研究制订。根据部门主要负责同志要求和武汉经济技术开发区（汉南区）财政局发布的</w:t>
      </w:r>
      <w:r>
        <w:rPr>
          <w:rFonts w:hint="eastAsia" w:eastAsia="仿宋"/>
          <w:sz w:val="32"/>
          <w:szCs w:val="32"/>
        </w:rPr>
        <w:t>《关于开展2022年预算绩效评价及项目支出绩效运行监控的通知》（武经开〔202</w:t>
      </w:r>
      <w:r>
        <w:rPr>
          <w:rFonts w:eastAsia="仿宋"/>
          <w:sz w:val="32"/>
          <w:szCs w:val="32"/>
        </w:rPr>
        <w:t>2</w:t>
      </w:r>
      <w:r>
        <w:rPr>
          <w:rFonts w:hint="eastAsia" w:eastAsia="仿宋"/>
          <w:sz w:val="32"/>
          <w:szCs w:val="32"/>
        </w:rPr>
        <w:t>〕</w:t>
      </w:r>
      <w:r>
        <w:rPr>
          <w:rFonts w:eastAsia="仿宋"/>
          <w:sz w:val="32"/>
          <w:szCs w:val="32"/>
        </w:rPr>
        <w:t>8</w:t>
      </w:r>
      <w:r>
        <w:rPr>
          <w:rFonts w:hint="eastAsia" w:eastAsia="仿宋"/>
          <w:sz w:val="32"/>
          <w:szCs w:val="32"/>
        </w:rPr>
        <w:t>号）</w:t>
      </w:r>
      <w:r>
        <w:rPr>
          <w:rFonts w:hint="eastAsia" w:eastAsia="仿宋"/>
          <w:color w:val="000000" w:themeColor="text1"/>
          <w:sz w:val="32"/>
          <w:szCs w:val="32"/>
          <w14:textFill>
            <w14:solidFill>
              <w14:schemeClr w14:val="tx1"/>
            </w14:solidFill>
          </w14:textFill>
        </w:rPr>
        <w:t>启动部门自评工作。</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2. 组织实施自评</w:t>
      </w:r>
    </w:p>
    <w:p>
      <w:pPr>
        <w:widowControl/>
        <w:spacing w:line="560" w:lineRule="exact"/>
        <w:ind w:firstLine="640" w:firstLineChars="200"/>
        <w:rPr>
          <w:rFonts w:eastAsia="仿宋"/>
          <w:sz w:val="32"/>
          <w:szCs w:val="32"/>
        </w:rPr>
      </w:pPr>
      <w:r>
        <w:rPr>
          <w:rFonts w:eastAsia="仿宋"/>
          <w:sz w:val="32"/>
          <w:szCs w:val="32"/>
        </w:rPr>
        <w:t>财务部门会同第三方机构及时成立工作组，通过调研访谈等方式收集、核实数据和信息，并对这些数据和信息进行整理分析。</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3. 撰写部门自评结果</w:t>
      </w:r>
    </w:p>
    <w:p>
      <w:pPr>
        <w:widowControl/>
        <w:spacing w:line="560" w:lineRule="exact"/>
        <w:ind w:firstLine="640" w:firstLineChars="200"/>
        <w:rPr>
          <w:rFonts w:eastAsia="仿宋"/>
          <w:sz w:val="32"/>
          <w:szCs w:val="32"/>
        </w:rPr>
      </w:pPr>
      <w:r>
        <w:rPr>
          <w:rFonts w:eastAsia="仿宋"/>
          <w:sz w:val="32"/>
          <w:szCs w:val="32"/>
        </w:rPr>
        <w:t>在整理分析基础上，形成部门自评结果。</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4. 建立部门自评档案</w:t>
      </w:r>
    </w:p>
    <w:p>
      <w:pPr>
        <w:widowControl/>
        <w:spacing w:line="560" w:lineRule="exact"/>
        <w:ind w:firstLine="640" w:firstLineChars="200"/>
        <w:rPr>
          <w:rFonts w:eastAsia="仿宋"/>
          <w:sz w:val="32"/>
          <w:szCs w:val="32"/>
        </w:rPr>
      </w:pPr>
      <w:r>
        <w:rPr>
          <w:rFonts w:eastAsia="仿宋"/>
          <w:sz w:val="32"/>
          <w:szCs w:val="32"/>
        </w:rPr>
        <w:t>部门自评结果按时报送财政部门备案并及时归档备查。</w:t>
      </w:r>
    </w:p>
    <w:p>
      <w:pPr>
        <w:pStyle w:val="2"/>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（三）绩效目标完成情况分析</w:t>
      </w:r>
    </w:p>
    <w:p>
      <w:pPr>
        <w:widowControl/>
        <w:spacing w:line="560" w:lineRule="exact"/>
        <w:ind w:firstLine="643" w:firstLineChars="200"/>
        <w:outlineLvl w:val="2"/>
        <w:rPr>
          <w:rFonts w:eastAsia="仿宋"/>
          <w:b/>
          <w:bCs/>
          <w:kern w:val="0"/>
          <w:sz w:val="32"/>
          <w:szCs w:val="32"/>
        </w:rPr>
      </w:pPr>
      <w:r>
        <w:rPr>
          <w:rFonts w:eastAsia="仿宋"/>
          <w:b/>
          <w:bCs/>
          <w:kern w:val="0"/>
          <w:sz w:val="32"/>
          <w:szCs w:val="32"/>
        </w:rPr>
        <w:t>1. 预算执行情况分析（满分20分，得分20分）</w:t>
      </w:r>
    </w:p>
    <w:p>
      <w:pPr>
        <w:widowControl/>
        <w:spacing w:line="560" w:lineRule="exact"/>
        <w:ind w:firstLine="640" w:firstLineChars="200"/>
        <w:rPr>
          <w:rFonts w:eastAsia="仿宋"/>
          <w:sz w:val="32"/>
          <w:szCs w:val="32"/>
        </w:rPr>
      </w:pPr>
      <w:r>
        <w:rPr>
          <w:rFonts w:eastAsia="仿宋"/>
          <w:sz w:val="32"/>
          <w:szCs w:val="32"/>
        </w:rPr>
        <w:t>2021年度</w:t>
      </w:r>
      <w:r>
        <w:rPr>
          <w:rFonts w:hint="eastAsia" w:eastAsia="仿宋"/>
          <w:sz w:val="32"/>
          <w:szCs w:val="32"/>
        </w:rPr>
        <w:t>本项目</w:t>
      </w:r>
      <w:r>
        <w:rPr>
          <w:rFonts w:eastAsia="仿宋"/>
          <w:sz w:val="32"/>
          <w:szCs w:val="32"/>
        </w:rPr>
        <w:t>预算总额12593万元，执行数12593万元，预算执行率100</w:t>
      </w:r>
      <w:r>
        <w:rPr>
          <w:rFonts w:hint="eastAsia" w:eastAsia="仿宋"/>
          <w:sz w:val="32"/>
          <w:szCs w:val="32"/>
        </w:rPr>
        <w:t>%</w:t>
      </w:r>
      <w:r>
        <w:rPr>
          <w:rFonts w:eastAsia="仿宋"/>
          <w:sz w:val="32"/>
          <w:szCs w:val="32"/>
        </w:rPr>
        <w:t>。</w:t>
      </w:r>
    </w:p>
    <w:p>
      <w:pPr>
        <w:widowControl/>
        <w:spacing w:line="560" w:lineRule="exact"/>
        <w:ind w:firstLine="643" w:firstLineChars="200"/>
        <w:outlineLvl w:val="2"/>
        <w:rPr>
          <w:rFonts w:eastAsia="仿宋"/>
          <w:b/>
          <w:bCs/>
          <w:kern w:val="0"/>
          <w:sz w:val="32"/>
          <w:szCs w:val="32"/>
        </w:rPr>
      </w:pPr>
      <w:r>
        <w:rPr>
          <w:rFonts w:hint="eastAsia" w:eastAsia="仿宋"/>
          <w:b/>
          <w:bCs/>
          <w:kern w:val="0"/>
          <w:sz w:val="32"/>
          <w:szCs w:val="32"/>
        </w:rPr>
        <w:t>2. 绩效目标完成情况分析（满分80分，得分77.</w:t>
      </w:r>
      <w:r>
        <w:rPr>
          <w:rFonts w:eastAsia="仿宋"/>
          <w:b/>
          <w:bCs/>
          <w:kern w:val="0"/>
          <w:sz w:val="32"/>
          <w:szCs w:val="32"/>
        </w:rPr>
        <w:t>33</w:t>
      </w:r>
      <w:r>
        <w:rPr>
          <w:rFonts w:hint="eastAsia" w:eastAsia="仿宋"/>
          <w:b/>
          <w:bCs/>
          <w:kern w:val="0"/>
          <w:sz w:val="32"/>
          <w:szCs w:val="32"/>
        </w:rPr>
        <w:t>分）</w:t>
      </w:r>
    </w:p>
    <w:p>
      <w:pPr>
        <w:widowControl/>
        <w:spacing w:line="560" w:lineRule="exact"/>
        <w:ind w:firstLine="640" w:firstLineChars="200"/>
        <w:rPr>
          <w:rFonts w:eastAsia="仿宋"/>
          <w:sz w:val="32"/>
          <w:szCs w:val="32"/>
        </w:rPr>
      </w:pPr>
      <w:r>
        <w:rPr>
          <w:rFonts w:eastAsia="仿宋"/>
          <w:sz w:val="32"/>
          <w:szCs w:val="32"/>
        </w:rPr>
        <w:t>（1）</w:t>
      </w:r>
      <w:r>
        <w:rPr>
          <w:rFonts w:hint="eastAsia" w:eastAsia="仿宋"/>
          <w:sz w:val="32"/>
          <w:szCs w:val="32"/>
        </w:rPr>
        <w:t>产出指标</w:t>
      </w:r>
      <w:r>
        <w:rPr>
          <w:rFonts w:eastAsia="仿宋"/>
          <w:sz w:val="32"/>
          <w:szCs w:val="32"/>
        </w:rPr>
        <w:t>完成情况分析</w:t>
      </w:r>
      <w:r>
        <w:rPr>
          <w:rFonts w:hint="eastAsia" w:eastAsia="仿宋"/>
          <w:sz w:val="32"/>
          <w:szCs w:val="32"/>
        </w:rPr>
        <w:t>（</w:t>
      </w:r>
      <w:r>
        <w:rPr>
          <w:rFonts w:eastAsia="仿宋"/>
          <w:sz w:val="32"/>
          <w:szCs w:val="32"/>
        </w:rPr>
        <w:t>满分</w:t>
      </w:r>
      <w:r>
        <w:rPr>
          <w:rFonts w:hint="eastAsia" w:eastAsia="仿宋"/>
          <w:sz w:val="32"/>
          <w:szCs w:val="32"/>
        </w:rPr>
        <w:t>40</w:t>
      </w:r>
      <w:r>
        <w:rPr>
          <w:rFonts w:eastAsia="仿宋"/>
          <w:sz w:val="32"/>
          <w:szCs w:val="32"/>
        </w:rPr>
        <w:t>分，得分37.33分</w:t>
      </w:r>
      <w:r>
        <w:rPr>
          <w:rFonts w:hint="eastAsia" w:eastAsia="仿宋"/>
          <w:sz w:val="32"/>
          <w:szCs w:val="32"/>
        </w:rPr>
        <w:t>）</w:t>
      </w:r>
    </w:p>
    <w:p>
      <w:pPr>
        <w:widowControl/>
        <w:spacing w:line="560" w:lineRule="exact"/>
        <w:ind w:firstLine="640" w:firstLineChars="200"/>
        <w:rPr>
          <w:rFonts w:eastAsia="仿宋"/>
          <w:sz w:val="32"/>
          <w:szCs w:val="32"/>
        </w:rPr>
      </w:pPr>
      <w:r>
        <w:rPr>
          <w:rFonts w:hint="eastAsia" w:eastAsia="仿宋"/>
          <w:sz w:val="32"/>
          <w:szCs w:val="32"/>
        </w:rPr>
        <w:t>①数量指标：满分2</w:t>
      </w:r>
      <w:r>
        <w:rPr>
          <w:rFonts w:eastAsia="仿宋"/>
          <w:sz w:val="32"/>
          <w:szCs w:val="32"/>
        </w:rPr>
        <w:t>4</w:t>
      </w:r>
      <w:r>
        <w:rPr>
          <w:rFonts w:hint="eastAsia" w:eastAsia="仿宋"/>
          <w:sz w:val="32"/>
          <w:szCs w:val="32"/>
        </w:rPr>
        <w:t>分，得分</w:t>
      </w:r>
      <w:r>
        <w:rPr>
          <w:rFonts w:eastAsia="仿宋"/>
          <w:sz w:val="32"/>
          <w:szCs w:val="32"/>
        </w:rPr>
        <w:t>24</w:t>
      </w:r>
      <w:r>
        <w:rPr>
          <w:rFonts w:hint="eastAsia" w:eastAsia="仿宋"/>
          <w:sz w:val="32"/>
          <w:szCs w:val="32"/>
        </w:rPr>
        <w:t>分</w:t>
      </w:r>
    </w:p>
    <w:p>
      <w:pPr>
        <w:widowControl/>
        <w:spacing w:line="560" w:lineRule="exact"/>
        <w:ind w:firstLine="640" w:firstLineChars="200"/>
        <w:rPr>
          <w:rFonts w:eastAsia="仿宋"/>
          <w:sz w:val="32"/>
          <w:szCs w:val="32"/>
        </w:rPr>
      </w:pPr>
      <w:r>
        <w:rPr>
          <w:rFonts w:hint="eastAsia" w:eastAsia="仿宋"/>
          <w:sz w:val="32"/>
          <w:szCs w:val="32"/>
        </w:rPr>
        <w:t>棚改住房基本新开工套数：满分</w:t>
      </w:r>
      <w:r>
        <w:rPr>
          <w:rFonts w:eastAsia="仿宋"/>
          <w:sz w:val="32"/>
          <w:szCs w:val="32"/>
        </w:rPr>
        <w:t>6</w:t>
      </w:r>
      <w:r>
        <w:rPr>
          <w:rFonts w:hint="eastAsia" w:eastAsia="仿宋"/>
          <w:sz w:val="32"/>
          <w:szCs w:val="32"/>
        </w:rPr>
        <w:t>分，得分</w:t>
      </w:r>
      <w:r>
        <w:rPr>
          <w:rFonts w:eastAsia="仿宋"/>
          <w:sz w:val="32"/>
          <w:szCs w:val="32"/>
        </w:rPr>
        <w:t>6</w:t>
      </w:r>
      <w:r>
        <w:rPr>
          <w:rFonts w:hint="eastAsia" w:eastAsia="仿宋"/>
          <w:sz w:val="32"/>
          <w:szCs w:val="32"/>
        </w:rPr>
        <w:t>分</w:t>
      </w:r>
    </w:p>
    <w:p>
      <w:pPr>
        <w:widowControl/>
        <w:spacing w:line="560" w:lineRule="exact"/>
        <w:ind w:firstLine="640" w:firstLineChars="200"/>
        <w:rPr>
          <w:rFonts w:eastAsia="仿宋"/>
          <w:sz w:val="32"/>
          <w:szCs w:val="32"/>
        </w:rPr>
      </w:pPr>
      <w:r>
        <w:rPr>
          <w:rFonts w:hint="eastAsia" w:eastAsia="仿宋"/>
          <w:sz w:val="32"/>
          <w:szCs w:val="32"/>
        </w:rPr>
        <w:t>目标为棚改住房基本新开工套数300套。2021年棚户区改造新开工目标任务落实项目为“沌口片区六村综合改造项目还建工程A1地块”，目前项目建设手续齐全，工程建设按保障性安居工程相关政策要求正在顺利推进中。今年已完成新建开工400套，完成目标。</w:t>
      </w:r>
    </w:p>
    <w:p>
      <w:pPr>
        <w:widowControl/>
        <w:spacing w:line="560" w:lineRule="exact"/>
        <w:ind w:firstLine="640" w:firstLineChars="200"/>
        <w:rPr>
          <w:rFonts w:eastAsia="仿宋"/>
          <w:sz w:val="32"/>
          <w:szCs w:val="32"/>
        </w:rPr>
      </w:pPr>
      <w:r>
        <w:rPr>
          <w:rFonts w:hint="eastAsia" w:eastAsia="仿宋"/>
          <w:sz w:val="32"/>
          <w:szCs w:val="32"/>
        </w:rPr>
        <w:t>棚改住房基本建成套数：满分</w:t>
      </w:r>
      <w:r>
        <w:rPr>
          <w:rFonts w:eastAsia="仿宋"/>
          <w:sz w:val="32"/>
          <w:szCs w:val="32"/>
        </w:rPr>
        <w:t>6</w:t>
      </w:r>
      <w:r>
        <w:rPr>
          <w:rFonts w:hint="eastAsia" w:eastAsia="仿宋"/>
          <w:sz w:val="32"/>
          <w:szCs w:val="32"/>
        </w:rPr>
        <w:t>分，得分</w:t>
      </w:r>
      <w:r>
        <w:rPr>
          <w:rFonts w:eastAsia="仿宋"/>
          <w:sz w:val="32"/>
          <w:szCs w:val="32"/>
        </w:rPr>
        <w:t>6</w:t>
      </w:r>
      <w:r>
        <w:rPr>
          <w:rFonts w:hint="eastAsia" w:eastAsia="仿宋"/>
          <w:sz w:val="32"/>
          <w:szCs w:val="32"/>
        </w:rPr>
        <w:t>分</w:t>
      </w:r>
    </w:p>
    <w:p>
      <w:pPr>
        <w:widowControl/>
        <w:spacing w:line="560" w:lineRule="exact"/>
        <w:ind w:firstLine="640" w:firstLineChars="200"/>
        <w:rPr>
          <w:rFonts w:eastAsia="仿宋"/>
          <w:sz w:val="32"/>
          <w:szCs w:val="32"/>
        </w:rPr>
      </w:pPr>
      <w:r>
        <w:rPr>
          <w:rFonts w:hint="eastAsia" w:eastAsia="仿宋"/>
          <w:sz w:val="32"/>
          <w:szCs w:val="32"/>
        </w:rPr>
        <w:t>目标为棚改住房基本建成套数1400套。2021年棚户区改造基本建成目标任务落实项目为“沌口片区六村综合改造项目还建工程A2地块”，今年已基本建成1800套，完成目标。</w:t>
      </w:r>
    </w:p>
    <w:p>
      <w:pPr>
        <w:widowControl/>
        <w:spacing w:line="560" w:lineRule="exact"/>
        <w:ind w:firstLine="640" w:firstLineChars="200"/>
        <w:rPr>
          <w:rFonts w:eastAsia="仿宋"/>
          <w:sz w:val="32"/>
          <w:szCs w:val="32"/>
        </w:rPr>
      </w:pPr>
      <w:r>
        <w:rPr>
          <w:rFonts w:hint="eastAsia" w:eastAsia="仿宋"/>
          <w:sz w:val="32"/>
          <w:szCs w:val="32"/>
        </w:rPr>
        <w:t>保障性租赁房目标套数：满分</w:t>
      </w:r>
      <w:r>
        <w:rPr>
          <w:rFonts w:eastAsia="仿宋"/>
          <w:sz w:val="32"/>
          <w:szCs w:val="32"/>
        </w:rPr>
        <w:t>6</w:t>
      </w:r>
      <w:r>
        <w:rPr>
          <w:rFonts w:hint="eastAsia" w:eastAsia="仿宋"/>
          <w:sz w:val="32"/>
          <w:szCs w:val="32"/>
        </w:rPr>
        <w:t>分，得分</w:t>
      </w:r>
      <w:r>
        <w:rPr>
          <w:rFonts w:eastAsia="仿宋"/>
          <w:sz w:val="32"/>
          <w:szCs w:val="32"/>
        </w:rPr>
        <w:t>6</w:t>
      </w:r>
      <w:r>
        <w:rPr>
          <w:rFonts w:hint="eastAsia" w:eastAsia="仿宋"/>
          <w:sz w:val="32"/>
          <w:szCs w:val="32"/>
        </w:rPr>
        <w:t>分</w:t>
      </w:r>
    </w:p>
    <w:p>
      <w:pPr>
        <w:pStyle w:val="4"/>
        <w:spacing w:after="0" w:line="560" w:lineRule="exact"/>
        <w:ind w:firstLine="640" w:firstLineChars="200"/>
        <w:rPr>
          <w:rFonts w:eastAsia="仿宋"/>
          <w:sz w:val="32"/>
          <w:szCs w:val="32"/>
        </w:rPr>
      </w:pPr>
      <w:r>
        <w:rPr>
          <w:rFonts w:hint="eastAsia" w:eastAsia="仿宋"/>
          <w:sz w:val="32"/>
          <w:szCs w:val="32"/>
        </w:rPr>
        <w:t>目标为保障性租赁房目标套数1900套。依据市房管局下达经开区“十四五”13400套保障性租赁房目标任务，2021年分解落实1900套，现已全部落实。保障所采取多形式多渠道积极建设筹集房源。利用国资平台新建园区企业社区方式筹集房源，主要有经开公司投资建设的通航和卫星产业园区配套企业社区宿舍，项目总建筑面积为11万方，保障性租赁房源1560套。商品住宅项目配套建设保障性租赁房，主要项目有汉南区东荆街“华发中城水岸”项目建设单位自持用于对外租赁的340套小户型，总建筑面积1.82万平方米、车都集团建设的智慧车都青年城286套60平米小户型租赁房。共计落实2186套，完成目标。</w:t>
      </w:r>
    </w:p>
    <w:p>
      <w:pPr>
        <w:widowControl/>
        <w:spacing w:line="560" w:lineRule="exact"/>
        <w:ind w:firstLine="640" w:firstLineChars="200"/>
        <w:rPr>
          <w:rFonts w:eastAsia="仿宋"/>
          <w:sz w:val="32"/>
          <w:szCs w:val="32"/>
        </w:rPr>
      </w:pPr>
      <w:r>
        <w:rPr>
          <w:rFonts w:hint="eastAsia" w:eastAsia="仿宋"/>
          <w:sz w:val="32"/>
          <w:szCs w:val="32"/>
        </w:rPr>
        <w:t>培育专业化规模化住房租赁企业数：满分</w:t>
      </w:r>
      <w:r>
        <w:rPr>
          <w:rFonts w:eastAsia="仿宋"/>
          <w:sz w:val="32"/>
          <w:szCs w:val="32"/>
        </w:rPr>
        <w:t>6</w:t>
      </w:r>
      <w:r>
        <w:rPr>
          <w:rFonts w:hint="eastAsia" w:eastAsia="仿宋"/>
          <w:sz w:val="32"/>
          <w:szCs w:val="32"/>
        </w:rPr>
        <w:t>分，得分</w:t>
      </w:r>
      <w:r>
        <w:rPr>
          <w:rFonts w:eastAsia="仿宋"/>
          <w:sz w:val="32"/>
          <w:szCs w:val="32"/>
        </w:rPr>
        <w:t>6</w:t>
      </w:r>
      <w:r>
        <w:rPr>
          <w:rFonts w:hint="eastAsia" w:eastAsia="仿宋"/>
          <w:sz w:val="32"/>
          <w:szCs w:val="32"/>
        </w:rPr>
        <w:t>分</w:t>
      </w:r>
    </w:p>
    <w:p>
      <w:pPr>
        <w:pStyle w:val="4"/>
        <w:spacing w:after="0" w:line="560" w:lineRule="exact"/>
        <w:ind w:firstLine="640" w:firstLineChars="200"/>
        <w:rPr>
          <w:rFonts w:eastAsia="仿宋"/>
          <w:sz w:val="32"/>
          <w:szCs w:val="32"/>
        </w:rPr>
      </w:pPr>
      <w:r>
        <w:rPr>
          <w:rFonts w:hint="eastAsia" w:eastAsia="仿宋"/>
          <w:sz w:val="32"/>
          <w:szCs w:val="32"/>
        </w:rPr>
        <w:t>目标为培育专业化规模化住房租赁企业数≥5家。武汉市目前有专业化规模化住房租赁企业43家，2021 年培育运营长租公寓1000 套（间）以上的专业化、规模化企业5 家，完成目标。</w:t>
      </w:r>
    </w:p>
    <w:p>
      <w:pPr>
        <w:widowControl/>
        <w:spacing w:line="560" w:lineRule="exact"/>
        <w:ind w:firstLine="640" w:firstLineChars="200"/>
        <w:rPr>
          <w:rFonts w:eastAsia="仿宋"/>
          <w:sz w:val="32"/>
          <w:szCs w:val="32"/>
        </w:rPr>
      </w:pPr>
      <w:r>
        <w:rPr>
          <w:rFonts w:hint="eastAsia" w:eastAsia="仿宋"/>
          <w:sz w:val="32"/>
          <w:szCs w:val="32"/>
        </w:rPr>
        <w:t>②质量指标：满分</w:t>
      </w:r>
      <w:r>
        <w:rPr>
          <w:rFonts w:eastAsia="仿宋"/>
          <w:sz w:val="32"/>
          <w:szCs w:val="32"/>
        </w:rPr>
        <w:t>8</w:t>
      </w:r>
      <w:r>
        <w:rPr>
          <w:rFonts w:hint="eastAsia" w:eastAsia="仿宋"/>
          <w:sz w:val="32"/>
          <w:szCs w:val="32"/>
        </w:rPr>
        <w:t>分，得分</w:t>
      </w:r>
      <w:r>
        <w:rPr>
          <w:rFonts w:eastAsia="仿宋"/>
          <w:sz w:val="32"/>
          <w:szCs w:val="32"/>
        </w:rPr>
        <w:t>5.3</w:t>
      </w:r>
      <w:r>
        <w:rPr>
          <w:rFonts w:hint="eastAsia" w:eastAsia="仿宋"/>
          <w:sz w:val="32"/>
          <w:szCs w:val="32"/>
        </w:rPr>
        <w:t>分</w:t>
      </w:r>
    </w:p>
    <w:p>
      <w:pPr>
        <w:widowControl/>
        <w:spacing w:line="560" w:lineRule="exact"/>
        <w:ind w:firstLine="640" w:firstLineChars="200"/>
        <w:rPr>
          <w:rFonts w:eastAsia="仿宋"/>
          <w:sz w:val="32"/>
          <w:szCs w:val="32"/>
        </w:rPr>
      </w:pPr>
      <w:r>
        <w:rPr>
          <w:rFonts w:hint="eastAsia" w:eastAsia="仿宋"/>
          <w:sz w:val="32"/>
          <w:szCs w:val="32"/>
        </w:rPr>
        <w:t>新、改建住房租赁项目投入运营率</w:t>
      </w:r>
      <w:r>
        <w:rPr>
          <w:rFonts w:eastAsia="仿宋"/>
          <w:sz w:val="32"/>
          <w:szCs w:val="32"/>
        </w:rPr>
        <w:t>：满分8分，得分5.33分</w:t>
      </w:r>
    </w:p>
    <w:p>
      <w:pPr>
        <w:pStyle w:val="4"/>
        <w:spacing w:after="0" w:line="560" w:lineRule="exact"/>
        <w:ind w:firstLine="640" w:firstLineChars="200"/>
        <w:rPr>
          <w:rFonts w:eastAsia="仿宋"/>
          <w:sz w:val="32"/>
          <w:szCs w:val="32"/>
        </w:rPr>
      </w:pPr>
      <w:r>
        <w:rPr>
          <w:rFonts w:hint="eastAsia" w:eastAsia="仿宋"/>
          <w:sz w:val="32"/>
          <w:szCs w:val="32"/>
        </w:rPr>
        <w:t>目标为新、改建住房租赁项目投入运营率100%。2021年经开区共七家公司获住房租赁财补资金，含8个新、改建住房租赁项目，分别为：谱尼测试集团武汉有限公司的谱尼公寓项目（改建）目前已装修完毕并运营；武汉三本园区运营有限公司三本公寓项目（改建）已投入运营；武汉高源生物科技发展有限公司高源公寓项目（新建）已投入运营；武汉智慧生态建设投资有限公司的智慧生态城人才公寓项目（新建）预计6月份装修完工；武汉经开投资有限公司经开通航社区项目（新建）一期已投入运营；二期工程三层顶板混</w:t>
      </w:r>
      <w:r>
        <w:rPr>
          <w:rFonts w:hint="eastAsia" w:eastAsia="仿宋"/>
          <w:sz w:val="32"/>
          <w:szCs w:val="32"/>
          <w:lang w:val="en-US" w:eastAsia="zh-CN"/>
        </w:rPr>
        <w:t>凝</w:t>
      </w:r>
      <w:r>
        <w:rPr>
          <w:rFonts w:hint="eastAsia" w:eastAsia="仿宋"/>
          <w:sz w:val="32"/>
          <w:szCs w:val="32"/>
        </w:rPr>
        <w:t>土浇筑</w:t>
      </w:r>
      <w:bookmarkStart w:id="2" w:name="_GoBack"/>
      <w:bookmarkEnd w:id="2"/>
      <w:r>
        <w:rPr>
          <w:rFonts w:hint="eastAsia" w:eastAsia="仿宋"/>
          <w:sz w:val="32"/>
          <w:szCs w:val="32"/>
        </w:rPr>
        <w:t>完工；湖北开特汽车电子电器系统股份有限公司（新建）已终止住房租赁项目；招商局地产（武汉）有限公司金湖公寓、神龙公寓项目（装修类）已投入运营，（其中神龙公寓项目已终止住房租赁项目）。除去2个已终止项目，共计6个新、改建住房租赁项目，其中2个未投入运营，未完成目标。</w:t>
      </w:r>
    </w:p>
    <w:p>
      <w:pPr>
        <w:widowControl/>
        <w:spacing w:line="560" w:lineRule="exact"/>
        <w:ind w:firstLine="640" w:firstLineChars="200"/>
        <w:rPr>
          <w:rFonts w:eastAsia="仿宋"/>
          <w:sz w:val="32"/>
          <w:szCs w:val="32"/>
        </w:rPr>
      </w:pPr>
      <w:r>
        <w:rPr>
          <w:rFonts w:hint="eastAsia" w:eastAsia="仿宋"/>
          <w:sz w:val="32"/>
          <w:szCs w:val="32"/>
        </w:rPr>
        <w:t>③时效指标：</w:t>
      </w:r>
      <w:r>
        <w:rPr>
          <w:rFonts w:eastAsia="仿宋"/>
          <w:sz w:val="32"/>
          <w:szCs w:val="32"/>
        </w:rPr>
        <w:t>满分8分，得分8分</w:t>
      </w:r>
    </w:p>
    <w:p>
      <w:pPr>
        <w:widowControl/>
        <w:spacing w:line="560" w:lineRule="exact"/>
        <w:ind w:firstLine="640" w:firstLineChars="200"/>
        <w:rPr>
          <w:rFonts w:eastAsia="仿宋"/>
          <w:sz w:val="32"/>
          <w:szCs w:val="32"/>
        </w:rPr>
      </w:pPr>
      <w:r>
        <w:rPr>
          <w:rFonts w:hint="eastAsia" w:eastAsia="仿宋"/>
          <w:sz w:val="32"/>
          <w:szCs w:val="32"/>
        </w:rPr>
        <w:t>资金支付及时</w:t>
      </w:r>
      <w:r>
        <w:rPr>
          <w:rFonts w:eastAsia="仿宋"/>
          <w:sz w:val="32"/>
          <w:szCs w:val="32"/>
        </w:rPr>
        <w:t>：满分8分，得分8分</w:t>
      </w:r>
    </w:p>
    <w:p>
      <w:pPr>
        <w:pStyle w:val="4"/>
        <w:spacing w:after="0" w:line="560" w:lineRule="exact"/>
        <w:ind w:firstLine="640" w:firstLineChars="200"/>
        <w:rPr>
          <w:rFonts w:eastAsia="仿宋"/>
          <w:sz w:val="32"/>
          <w:szCs w:val="32"/>
        </w:rPr>
      </w:pPr>
      <w:r>
        <w:rPr>
          <w:rFonts w:hint="eastAsia" w:eastAsia="仿宋"/>
          <w:sz w:val="32"/>
          <w:szCs w:val="32"/>
        </w:rPr>
        <w:t>目标为资金支付及时。2021年所有项目均按合同规定及时支付资金，完成目标。</w:t>
      </w:r>
    </w:p>
    <w:p>
      <w:pPr>
        <w:widowControl/>
        <w:spacing w:line="560" w:lineRule="exact"/>
        <w:ind w:firstLine="640" w:firstLineChars="200"/>
        <w:rPr>
          <w:rFonts w:eastAsia="仿宋"/>
          <w:sz w:val="32"/>
          <w:szCs w:val="32"/>
        </w:rPr>
      </w:pPr>
      <w:r>
        <w:rPr>
          <w:rFonts w:eastAsia="仿宋"/>
          <w:sz w:val="32"/>
          <w:szCs w:val="32"/>
        </w:rPr>
        <w:t>（2）</w:t>
      </w:r>
      <w:r>
        <w:rPr>
          <w:rFonts w:hint="eastAsia" w:eastAsia="仿宋"/>
          <w:sz w:val="32"/>
          <w:szCs w:val="32"/>
        </w:rPr>
        <w:t>效益</w:t>
      </w:r>
      <w:r>
        <w:rPr>
          <w:rFonts w:eastAsia="仿宋"/>
          <w:sz w:val="32"/>
          <w:szCs w:val="32"/>
        </w:rPr>
        <w:t>指标完成情况分析（满分</w:t>
      </w:r>
      <w:r>
        <w:rPr>
          <w:rFonts w:hint="eastAsia" w:eastAsia="仿宋"/>
          <w:sz w:val="32"/>
          <w:szCs w:val="32"/>
        </w:rPr>
        <w:t>40</w:t>
      </w:r>
      <w:r>
        <w:rPr>
          <w:rFonts w:eastAsia="仿宋"/>
          <w:sz w:val="32"/>
          <w:szCs w:val="32"/>
        </w:rPr>
        <w:t>分，得分40分）</w:t>
      </w:r>
    </w:p>
    <w:p>
      <w:pPr>
        <w:widowControl/>
        <w:spacing w:line="560" w:lineRule="exact"/>
        <w:ind w:firstLine="640" w:firstLineChars="200"/>
        <w:rPr>
          <w:rFonts w:eastAsia="仿宋"/>
          <w:sz w:val="32"/>
          <w:szCs w:val="32"/>
        </w:rPr>
      </w:pPr>
      <w:r>
        <w:rPr>
          <w:rFonts w:hint="eastAsia" w:eastAsia="仿宋"/>
          <w:sz w:val="32"/>
          <w:szCs w:val="32"/>
        </w:rPr>
        <w:t>①社会效益指标：</w:t>
      </w:r>
      <w:r>
        <w:rPr>
          <w:rFonts w:eastAsia="仿宋"/>
          <w:sz w:val="32"/>
          <w:szCs w:val="32"/>
        </w:rPr>
        <w:t>满分</w:t>
      </w:r>
      <w:r>
        <w:rPr>
          <w:rFonts w:hint="eastAsia" w:eastAsia="仿宋"/>
          <w:sz w:val="32"/>
          <w:szCs w:val="32"/>
        </w:rPr>
        <w:t>40</w:t>
      </w:r>
      <w:r>
        <w:rPr>
          <w:rFonts w:eastAsia="仿宋"/>
          <w:sz w:val="32"/>
          <w:szCs w:val="32"/>
        </w:rPr>
        <w:t>分，得分37分</w:t>
      </w:r>
    </w:p>
    <w:p>
      <w:pPr>
        <w:widowControl/>
        <w:spacing w:line="560" w:lineRule="exact"/>
        <w:ind w:firstLine="640" w:firstLineChars="200"/>
        <w:rPr>
          <w:rFonts w:eastAsia="仿宋"/>
          <w:sz w:val="32"/>
          <w:szCs w:val="32"/>
        </w:rPr>
      </w:pPr>
      <w:r>
        <w:rPr>
          <w:rFonts w:hint="eastAsia" w:eastAsia="仿宋"/>
          <w:sz w:val="32"/>
          <w:szCs w:val="32"/>
        </w:rPr>
        <w:t>改善群众居住条件</w:t>
      </w:r>
      <w:r>
        <w:rPr>
          <w:rFonts w:eastAsia="仿宋"/>
          <w:sz w:val="32"/>
          <w:szCs w:val="32"/>
        </w:rPr>
        <w:t>：满分</w:t>
      </w:r>
      <w:r>
        <w:rPr>
          <w:rFonts w:hint="eastAsia" w:eastAsia="仿宋"/>
          <w:sz w:val="32"/>
          <w:szCs w:val="32"/>
        </w:rPr>
        <w:t>1</w:t>
      </w:r>
      <w:r>
        <w:rPr>
          <w:rFonts w:eastAsia="仿宋"/>
          <w:sz w:val="32"/>
          <w:szCs w:val="32"/>
        </w:rPr>
        <w:t>5分，得分</w:t>
      </w:r>
      <w:r>
        <w:rPr>
          <w:rFonts w:hint="eastAsia" w:eastAsia="仿宋"/>
          <w:sz w:val="32"/>
          <w:szCs w:val="32"/>
        </w:rPr>
        <w:t>1</w:t>
      </w:r>
      <w:r>
        <w:rPr>
          <w:rFonts w:eastAsia="仿宋"/>
          <w:sz w:val="32"/>
          <w:szCs w:val="32"/>
        </w:rPr>
        <w:t>5分</w:t>
      </w:r>
    </w:p>
    <w:p>
      <w:pPr>
        <w:widowControl/>
        <w:spacing w:line="560" w:lineRule="exact"/>
        <w:ind w:firstLine="640" w:firstLineChars="200"/>
        <w:rPr>
          <w:rFonts w:eastAsia="仿宋"/>
          <w:sz w:val="32"/>
          <w:szCs w:val="32"/>
        </w:rPr>
      </w:pPr>
      <w:r>
        <w:rPr>
          <w:rFonts w:hint="eastAsia" w:eastAsia="仿宋"/>
          <w:sz w:val="32"/>
          <w:szCs w:val="32"/>
        </w:rPr>
        <w:t>目标为改善群众居住条件。2021年区住建局建成的城镇棚户区改造住房总计为5681套，所有房屋全部用于沌口片区六村改造还建，极大的改善了沌口片区居民的居住环境，提升了居民的生活品质，为合理规划整个沌口片区的土地利用提供了条件，随着片区产业汇集各大企业的落地，使得片区发展迅速，交通、商业、住宅全面提速，加快了产城融合、建设宜居宜业的现代新城的步伐，完成目标。</w:t>
      </w:r>
    </w:p>
    <w:p>
      <w:pPr>
        <w:widowControl/>
        <w:spacing w:line="560" w:lineRule="exact"/>
        <w:ind w:firstLine="640" w:firstLineChars="200"/>
        <w:rPr>
          <w:rFonts w:eastAsia="仿宋"/>
          <w:sz w:val="32"/>
          <w:szCs w:val="32"/>
        </w:rPr>
      </w:pPr>
      <w:r>
        <w:rPr>
          <w:rFonts w:hint="eastAsia" w:eastAsia="仿宋"/>
          <w:sz w:val="32"/>
          <w:szCs w:val="32"/>
        </w:rPr>
        <w:t>宣传推广保障性租赁房政策</w:t>
      </w:r>
      <w:r>
        <w:rPr>
          <w:rFonts w:eastAsia="仿宋"/>
          <w:sz w:val="32"/>
          <w:szCs w:val="32"/>
        </w:rPr>
        <w:t>：满分</w:t>
      </w:r>
      <w:r>
        <w:rPr>
          <w:rFonts w:hint="eastAsia" w:eastAsia="仿宋"/>
          <w:sz w:val="32"/>
          <w:szCs w:val="32"/>
        </w:rPr>
        <w:t>15</w:t>
      </w:r>
      <w:r>
        <w:rPr>
          <w:rFonts w:eastAsia="仿宋"/>
          <w:sz w:val="32"/>
          <w:szCs w:val="32"/>
        </w:rPr>
        <w:t>分，得分</w:t>
      </w:r>
      <w:r>
        <w:rPr>
          <w:rFonts w:hint="eastAsia" w:eastAsia="仿宋"/>
          <w:sz w:val="32"/>
          <w:szCs w:val="32"/>
        </w:rPr>
        <w:t>15</w:t>
      </w:r>
      <w:r>
        <w:rPr>
          <w:rFonts w:eastAsia="仿宋"/>
          <w:sz w:val="32"/>
          <w:szCs w:val="32"/>
        </w:rPr>
        <w:t>分</w:t>
      </w:r>
    </w:p>
    <w:p>
      <w:pPr>
        <w:widowControl/>
        <w:spacing w:line="560" w:lineRule="exact"/>
        <w:ind w:firstLine="640" w:firstLineChars="200"/>
        <w:rPr>
          <w:rFonts w:eastAsia="仿宋"/>
          <w:sz w:val="32"/>
          <w:szCs w:val="32"/>
        </w:rPr>
      </w:pPr>
      <w:r>
        <w:rPr>
          <w:rFonts w:hint="eastAsia" w:eastAsia="仿宋"/>
          <w:sz w:val="32"/>
          <w:szCs w:val="32"/>
        </w:rPr>
        <w:t>目标为保障性租赁房政策有所推广。2021年住房保障所积极开展保障性租赁房政策宣传，推介相关政策优惠，鼓励引导企业及社会力量参与保障性租赁房新建、改建，利用集体建设用地、企业闲置用地、工业园区配建、非居住房屋改建等多方式建设保障性租赁房，完成目标。</w:t>
      </w:r>
    </w:p>
    <w:p>
      <w:pPr>
        <w:widowControl/>
        <w:spacing w:line="560" w:lineRule="exact"/>
        <w:ind w:firstLine="640" w:firstLineChars="200"/>
        <w:rPr>
          <w:rFonts w:eastAsia="仿宋"/>
          <w:sz w:val="32"/>
          <w:szCs w:val="32"/>
        </w:rPr>
      </w:pPr>
      <w:r>
        <w:rPr>
          <w:rFonts w:hint="eastAsia" w:eastAsia="仿宋"/>
          <w:sz w:val="32"/>
          <w:szCs w:val="32"/>
        </w:rPr>
        <w:t>群众满意度</w:t>
      </w:r>
      <w:r>
        <w:rPr>
          <w:rFonts w:eastAsia="仿宋"/>
          <w:sz w:val="32"/>
          <w:szCs w:val="32"/>
        </w:rPr>
        <w:t>：满分</w:t>
      </w:r>
      <w:r>
        <w:rPr>
          <w:rFonts w:hint="eastAsia" w:eastAsia="仿宋"/>
          <w:sz w:val="32"/>
          <w:szCs w:val="32"/>
        </w:rPr>
        <w:t>1</w:t>
      </w:r>
      <w:r>
        <w:rPr>
          <w:rFonts w:eastAsia="仿宋"/>
          <w:sz w:val="32"/>
          <w:szCs w:val="32"/>
        </w:rPr>
        <w:t>0分，得分</w:t>
      </w:r>
      <w:r>
        <w:rPr>
          <w:rFonts w:hint="eastAsia" w:eastAsia="仿宋"/>
          <w:sz w:val="32"/>
          <w:szCs w:val="32"/>
        </w:rPr>
        <w:t>1</w:t>
      </w:r>
      <w:r>
        <w:rPr>
          <w:rFonts w:eastAsia="仿宋"/>
          <w:sz w:val="32"/>
          <w:szCs w:val="32"/>
        </w:rPr>
        <w:t>0分</w:t>
      </w:r>
    </w:p>
    <w:p>
      <w:pPr>
        <w:widowControl/>
        <w:spacing w:line="560" w:lineRule="exact"/>
        <w:ind w:firstLine="640" w:firstLineChars="200"/>
        <w:rPr>
          <w:rFonts w:eastAsia="仿宋"/>
          <w:sz w:val="32"/>
          <w:szCs w:val="32"/>
        </w:rPr>
      </w:pPr>
      <w:r>
        <w:rPr>
          <w:rFonts w:hint="eastAsia" w:eastAsia="仿宋"/>
          <w:sz w:val="32"/>
          <w:szCs w:val="32"/>
        </w:rPr>
        <w:t>目标为群众满意度≧</w:t>
      </w:r>
      <w:r>
        <w:rPr>
          <w:rFonts w:eastAsia="仿宋"/>
          <w:sz w:val="32"/>
          <w:szCs w:val="32"/>
        </w:rPr>
        <w:t>8</w:t>
      </w:r>
      <w:r>
        <w:rPr>
          <w:rFonts w:hint="eastAsia" w:eastAsia="仿宋"/>
          <w:sz w:val="32"/>
          <w:szCs w:val="32"/>
        </w:rPr>
        <w:t>0%。根据武汉天恒信息技术有限公司提供的《2021 年武汉市租赁住房承租人满意度调查报告》，共计发放问卷数量34081 份，回收问卷总计17681 份，有效问卷17273 份，计算后得到全市范围内财补项目的总体满意度为87.18%，完成目标。</w:t>
      </w:r>
    </w:p>
    <w:p>
      <w:pPr>
        <w:pStyle w:val="2"/>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（四）上年度部门自评结果应用情况</w:t>
      </w:r>
    </w:p>
    <w:p>
      <w:pPr>
        <w:widowControl/>
        <w:spacing w:line="560" w:lineRule="exact"/>
        <w:ind w:firstLine="640" w:firstLineChars="200"/>
        <w:rPr>
          <w:rFonts w:eastAsia="仿宋"/>
          <w:sz w:val="32"/>
          <w:szCs w:val="32"/>
        </w:rPr>
      </w:pPr>
      <w:r>
        <w:rPr>
          <w:rFonts w:hint="eastAsia" w:eastAsia="仿宋"/>
          <w:sz w:val="32"/>
          <w:szCs w:val="32"/>
        </w:rPr>
        <w:t>该项目为本年度新增项目，上年度无对应绩效评价。</w:t>
      </w:r>
    </w:p>
    <w:p>
      <w:pPr>
        <w:pStyle w:val="2"/>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（五）其他佐证材料</w:t>
      </w:r>
    </w:p>
    <w:p>
      <w:pPr>
        <w:widowControl/>
        <w:spacing w:line="560" w:lineRule="exact"/>
        <w:ind w:firstLine="640" w:firstLineChars="200"/>
        <w:rPr>
          <w:rFonts w:eastAsia="仿宋"/>
          <w:sz w:val="32"/>
          <w:szCs w:val="32"/>
        </w:rPr>
      </w:pPr>
      <w:r>
        <w:rPr>
          <w:rFonts w:eastAsia="仿宋"/>
          <w:sz w:val="32"/>
          <w:szCs w:val="32"/>
        </w:rPr>
        <w:t>无。</w:t>
      </w:r>
    </w:p>
    <w:p>
      <w:pPr>
        <w:widowControl/>
        <w:spacing w:line="560" w:lineRule="exact"/>
        <w:ind w:firstLine="640" w:firstLineChars="200"/>
        <w:rPr>
          <w:rFonts w:eastAsia="仿宋"/>
          <w:sz w:val="32"/>
          <w:szCs w:val="32"/>
        </w:rPr>
      </w:pPr>
    </w:p>
    <w:p>
      <w:pPr>
        <w:widowControl/>
        <w:spacing w:line="560" w:lineRule="exact"/>
        <w:ind w:firstLine="640" w:firstLineChars="200"/>
        <w:rPr>
          <w:rFonts w:eastAsia="仿宋"/>
          <w:sz w:val="32"/>
          <w:szCs w:val="32"/>
        </w:rPr>
      </w:pPr>
    </w:p>
    <w:p>
      <w:pPr>
        <w:widowControl/>
        <w:spacing w:line="560" w:lineRule="exact"/>
        <w:ind w:firstLine="640" w:firstLineChars="200"/>
        <w:rPr>
          <w:rFonts w:eastAsia="仿宋"/>
          <w:sz w:val="32"/>
          <w:szCs w:val="32"/>
        </w:rPr>
      </w:pPr>
    </w:p>
    <w:p>
      <w:pPr>
        <w:widowControl/>
        <w:spacing w:line="560" w:lineRule="exact"/>
        <w:ind w:firstLine="640" w:firstLineChars="200"/>
        <w:rPr>
          <w:rFonts w:eastAsia="仿宋"/>
          <w:sz w:val="32"/>
          <w:szCs w:val="32"/>
        </w:rPr>
      </w:pPr>
    </w:p>
    <w:p>
      <w:pPr>
        <w:widowControl/>
        <w:spacing w:line="560" w:lineRule="exact"/>
        <w:ind w:firstLine="480" w:firstLineChars="200"/>
        <w:jc w:val="right"/>
        <w:rPr>
          <w:rFonts w:eastAsia="仿宋"/>
          <w:sz w:val="32"/>
          <w:szCs w:val="32"/>
        </w:rPr>
      </w:pPr>
      <w:r>
        <w:rPr>
          <w:rFonts w:eastAsia="宋体"/>
          <w:color w:val="000000"/>
          <w:kern w:val="0"/>
          <w:sz w:val="24"/>
        </w:rPr>
        <w:t xml:space="preserve">　         </w:t>
      </w:r>
      <w:r>
        <w:rPr>
          <w:rFonts w:hint="eastAsia" w:eastAsia="仿宋"/>
          <w:sz w:val="32"/>
          <w:szCs w:val="32"/>
        </w:rPr>
        <w:t>武汉经济技术开发区（汉南区）住房和城乡建设局</w:t>
      </w:r>
    </w:p>
    <w:p>
      <w:pPr>
        <w:widowControl/>
        <w:wordWrap w:val="0"/>
        <w:spacing w:line="560" w:lineRule="exact"/>
        <w:ind w:firstLine="5120" w:firstLineChars="1600"/>
        <w:jc w:val="right"/>
        <w:rPr>
          <w:rFonts w:eastAsia="仿宋"/>
          <w:sz w:val="32"/>
          <w:szCs w:val="32"/>
        </w:rPr>
      </w:pPr>
      <w:r>
        <w:rPr>
          <w:rFonts w:hint="eastAsia" w:eastAsia="仿宋"/>
          <w:color w:val="000000" w:themeColor="text1"/>
          <w:sz w:val="32"/>
          <w:szCs w:val="32"/>
          <w14:textFill>
            <w14:solidFill>
              <w14:schemeClr w14:val="tx1"/>
            </w14:solidFill>
          </w14:textFill>
        </w:rPr>
        <w:t>202</w:t>
      </w:r>
      <w:r>
        <w:rPr>
          <w:rFonts w:eastAsia="仿宋"/>
          <w:color w:val="000000" w:themeColor="text1"/>
          <w:sz w:val="32"/>
          <w:szCs w:val="32"/>
          <w14:textFill>
            <w14:solidFill>
              <w14:schemeClr w14:val="tx1"/>
            </w14:solidFill>
          </w14:textFill>
        </w:rPr>
        <w:t>2</w:t>
      </w:r>
      <w:r>
        <w:rPr>
          <w:rFonts w:hint="eastAsia" w:eastAsia="仿宋"/>
          <w:color w:val="000000" w:themeColor="text1"/>
          <w:sz w:val="32"/>
          <w:szCs w:val="32"/>
          <w14:textFill>
            <w14:solidFill>
              <w14:schemeClr w14:val="tx1"/>
            </w14:solidFill>
          </w14:textFill>
        </w:rPr>
        <w:t>年</w:t>
      </w:r>
      <w:r>
        <w:rPr>
          <w:rFonts w:eastAsia="仿宋"/>
          <w:color w:val="000000" w:themeColor="text1"/>
          <w:sz w:val="32"/>
          <w:szCs w:val="32"/>
          <w14:textFill>
            <w14:solidFill>
              <w14:schemeClr w14:val="tx1"/>
            </w14:solidFill>
          </w14:textFill>
        </w:rPr>
        <w:t>5</w:t>
      </w:r>
      <w:r>
        <w:rPr>
          <w:rFonts w:hint="eastAsia" w:eastAsia="仿宋"/>
          <w:color w:val="000000" w:themeColor="text1"/>
          <w:sz w:val="32"/>
          <w:szCs w:val="32"/>
          <w14:textFill>
            <w14:solidFill>
              <w14:schemeClr w14:val="tx1"/>
            </w14:solidFill>
          </w14:textFill>
        </w:rPr>
        <w:t>月</w:t>
      </w:r>
      <w:r>
        <w:rPr>
          <w:rFonts w:eastAsia="仿宋"/>
          <w:color w:val="000000" w:themeColor="text1"/>
          <w:sz w:val="32"/>
          <w:szCs w:val="32"/>
          <w14:textFill>
            <w14:solidFill>
              <w14:schemeClr w14:val="tx1"/>
            </w14:solidFill>
          </w14:textFill>
        </w:rPr>
        <w:t>25</w:t>
      </w:r>
      <w:r>
        <w:rPr>
          <w:rFonts w:hint="eastAsia" w:eastAsia="仿宋"/>
          <w:color w:val="000000" w:themeColor="text1"/>
          <w:sz w:val="32"/>
          <w:szCs w:val="32"/>
          <w14:textFill>
            <w14:solidFill>
              <w14:schemeClr w14:val="tx1"/>
            </w14:solidFill>
          </w14:textFill>
        </w:rPr>
        <w:t>日</w:t>
      </w:r>
      <w:r>
        <w:rPr>
          <w:rFonts w:hint="eastAsia" w:eastAsia="仿宋"/>
          <w:sz w:val="32"/>
          <w:szCs w:val="32"/>
        </w:rPr>
        <w:t xml:space="preserve">                   </w:t>
      </w:r>
    </w:p>
    <w:p>
      <w:pPr>
        <w:widowControl/>
        <w:spacing w:after="240" w:line="432" w:lineRule="atLeast"/>
        <w:jc w:val="left"/>
        <w:rPr>
          <w:rFonts w:eastAsia="宋体"/>
          <w:color w:val="000000"/>
          <w:kern w:val="0"/>
          <w:sz w:val="24"/>
        </w:rPr>
      </w:pPr>
    </w:p>
    <w:p>
      <w:pPr>
        <w:pStyle w:val="8"/>
        <w:shd w:val="clear" w:color="auto" w:fill="FFFFFF" w:themeFill="background1"/>
        <w:spacing w:line="560" w:lineRule="exact"/>
        <w:ind w:firstLine="0" w:firstLineChars="0"/>
        <w:jc w:val="center"/>
        <w:outlineLvl w:val="9"/>
        <w:rPr>
          <w:rFonts w:ascii="楷体" w:hAnsi="楷体" w:eastAsia="楷体" w:cs="楷体"/>
          <w:b/>
          <w:sz w:val="32"/>
        </w:rPr>
      </w:pPr>
    </w:p>
    <w:sectPr>
      <w:footerReference r:id="rId3" w:type="default"/>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 PAGE   \* MERGEFORMAT </w:instrText>
    </w:r>
    <w:r>
      <w:fldChar w:fldCharType="separate"/>
    </w:r>
    <w:r>
      <w:rPr>
        <w:lang w:val="zh-CN"/>
      </w:rPr>
      <w:t>10</w:t>
    </w:r>
    <w:r>
      <w:rPr>
        <w:lang w:val="zh-CN"/>
      </w:rP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0E357"/>
    <w:multiLevelType w:val="singleLevel"/>
    <w:tmpl w:val="DEE0E35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50"/>
  <w:drawingGridVerticalSpacing w:val="58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4YmI0OTE1YTE2MGJlNjY4YmQ1MTgwYzIxYTM1N2YifQ=="/>
    <w:docVar w:name="KSO_WPS_MARK_KEY" w:val="07481ab8-89e0-4f42-a99c-b46b1dd556da"/>
  </w:docVars>
  <w:rsids>
    <w:rsidRoot w:val="00172A27"/>
    <w:rsid w:val="000101E1"/>
    <w:rsid w:val="00020084"/>
    <w:rsid w:val="00057FFB"/>
    <w:rsid w:val="000732DA"/>
    <w:rsid w:val="00075CDC"/>
    <w:rsid w:val="000A333A"/>
    <w:rsid w:val="000B1E8F"/>
    <w:rsid w:val="000B6D87"/>
    <w:rsid w:val="000D27AB"/>
    <w:rsid w:val="000D2BFA"/>
    <w:rsid w:val="000E08B4"/>
    <w:rsid w:val="00103D16"/>
    <w:rsid w:val="00164D84"/>
    <w:rsid w:val="00172A27"/>
    <w:rsid w:val="001948B3"/>
    <w:rsid w:val="001B71E6"/>
    <w:rsid w:val="001C5A40"/>
    <w:rsid w:val="001D628A"/>
    <w:rsid w:val="00203D57"/>
    <w:rsid w:val="00250053"/>
    <w:rsid w:val="00250094"/>
    <w:rsid w:val="00287C3C"/>
    <w:rsid w:val="00304A8B"/>
    <w:rsid w:val="00332F8B"/>
    <w:rsid w:val="0039432D"/>
    <w:rsid w:val="003A26A2"/>
    <w:rsid w:val="003A4F56"/>
    <w:rsid w:val="003C6374"/>
    <w:rsid w:val="003E0876"/>
    <w:rsid w:val="003E7DD9"/>
    <w:rsid w:val="00415F7C"/>
    <w:rsid w:val="004531B5"/>
    <w:rsid w:val="00455D35"/>
    <w:rsid w:val="00494366"/>
    <w:rsid w:val="0051428E"/>
    <w:rsid w:val="005A4A8A"/>
    <w:rsid w:val="005B0C7D"/>
    <w:rsid w:val="005B14BB"/>
    <w:rsid w:val="005D07CE"/>
    <w:rsid w:val="005F3673"/>
    <w:rsid w:val="0064057C"/>
    <w:rsid w:val="006547A0"/>
    <w:rsid w:val="006668E1"/>
    <w:rsid w:val="006761DE"/>
    <w:rsid w:val="006936BC"/>
    <w:rsid w:val="006A453E"/>
    <w:rsid w:val="006B653B"/>
    <w:rsid w:val="006E6731"/>
    <w:rsid w:val="007553C7"/>
    <w:rsid w:val="00785AF7"/>
    <w:rsid w:val="007A1DC2"/>
    <w:rsid w:val="007B1219"/>
    <w:rsid w:val="007D7B7E"/>
    <w:rsid w:val="007F7E54"/>
    <w:rsid w:val="008219F5"/>
    <w:rsid w:val="00867343"/>
    <w:rsid w:val="00875842"/>
    <w:rsid w:val="008A20F2"/>
    <w:rsid w:val="008B50FA"/>
    <w:rsid w:val="00964691"/>
    <w:rsid w:val="009F652F"/>
    <w:rsid w:val="00A16422"/>
    <w:rsid w:val="00A72CA8"/>
    <w:rsid w:val="00AA2B82"/>
    <w:rsid w:val="00AC315F"/>
    <w:rsid w:val="00AF55EF"/>
    <w:rsid w:val="00B8621A"/>
    <w:rsid w:val="00C05B0A"/>
    <w:rsid w:val="00C16AF7"/>
    <w:rsid w:val="00C37620"/>
    <w:rsid w:val="00CC152C"/>
    <w:rsid w:val="00CE4A41"/>
    <w:rsid w:val="00D0089B"/>
    <w:rsid w:val="00D0223E"/>
    <w:rsid w:val="00D51870"/>
    <w:rsid w:val="00D566B9"/>
    <w:rsid w:val="00D63908"/>
    <w:rsid w:val="00DA0A5F"/>
    <w:rsid w:val="00DD09A2"/>
    <w:rsid w:val="00DD16E3"/>
    <w:rsid w:val="00DF2A31"/>
    <w:rsid w:val="00E02E05"/>
    <w:rsid w:val="00E54B40"/>
    <w:rsid w:val="00E7096A"/>
    <w:rsid w:val="00E94976"/>
    <w:rsid w:val="00ED6D53"/>
    <w:rsid w:val="00EE6F1A"/>
    <w:rsid w:val="00EF7644"/>
    <w:rsid w:val="00EF7FDB"/>
    <w:rsid w:val="00F10473"/>
    <w:rsid w:val="00F24734"/>
    <w:rsid w:val="00F32C54"/>
    <w:rsid w:val="00F437B4"/>
    <w:rsid w:val="00F57F82"/>
    <w:rsid w:val="00F75963"/>
    <w:rsid w:val="00F93554"/>
    <w:rsid w:val="00FA357A"/>
    <w:rsid w:val="01745D0A"/>
    <w:rsid w:val="02C86339"/>
    <w:rsid w:val="03623055"/>
    <w:rsid w:val="037D0BC8"/>
    <w:rsid w:val="065D1221"/>
    <w:rsid w:val="06F022F4"/>
    <w:rsid w:val="0845082D"/>
    <w:rsid w:val="094115EA"/>
    <w:rsid w:val="096A663E"/>
    <w:rsid w:val="09E965F2"/>
    <w:rsid w:val="0A87714B"/>
    <w:rsid w:val="0CBF575D"/>
    <w:rsid w:val="0D660F6F"/>
    <w:rsid w:val="0EBA438E"/>
    <w:rsid w:val="10426B40"/>
    <w:rsid w:val="10793D4A"/>
    <w:rsid w:val="11D7196B"/>
    <w:rsid w:val="122A5159"/>
    <w:rsid w:val="13511532"/>
    <w:rsid w:val="139840D3"/>
    <w:rsid w:val="143E091F"/>
    <w:rsid w:val="14865FC8"/>
    <w:rsid w:val="150C2DB0"/>
    <w:rsid w:val="17416920"/>
    <w:rsid w:val="17C34C75"/>
    <w:rsid w:val="1A8E0BC2"/>
    <w:rsid w:val="1B515EE3"/>
    <w:rsid w:val="1BB80B76"/>
    <w:rsid w:val="1C125FA5"/>
    <w:rsid w:val="1CD14DDA"/>
    <w:rsid w:val="1CE94882"/>
    <w:rsid w:val="1DC23B9F"/>
    <w:rsid w:val="1E761F05"/>
    <w:rsid w:val="1FC7205C"/>
    <w:rsid w:val="20522F58"/>
    <w:rsid w:val="211537CA"/>
    <w:rsid w:val="21167BF2"/>
    <w:rsid w:val="21D87A6A"/>
    <w:rsid w:val="228B3D05"/>
    <w:rsid w:val="24E4263B"/>
    <w:rsid w:val="27125C45"/>
    <w:rsid w:val="276E7926"/>
    <w:rsid w:val="277D45E9"/>
    <w:rsid w:val="286D5E37"/>
    <w:rsid w:val="28A61929"/>
    <w:rsid w:val="2AC72633"/>
    <w:rsid w:val="2B195812"/>
    <w:rsid w:val="2D9849BF"/>
    <w:rsid w:val="2DF34CC0"/>
    <w:rsid w:val="2F426F69"/>
    <w:rsid w:val="2FD80396"/>
    <w:rsid w:val="2FDD2D20"/>
    <w:rsid w:val="2FE17116"/>
    <w:rsid w:val="313A5BF2"/>
    <w:rsid w:val="31EC0BC7"/>
    <w:rsid w:val="355714EA"/>
    <w:rsid w:val="365D35A7"/>
    <w:rsid w:val="37604735"/>
    <w:rsid w:val="37C25012"/>
    <w:rsid w:val="37C877E9"/>
    <w:rsid w:val="38EF7AD8"/>
    <w:rsid w:val="391179DE"/>
    <w:rsid w:val="3AC26D8D"/>
    <w:rsid w:val="3AD60F72"/>
    <w:rsid w:val="3DD6679A"/>
    <w:rsid w:val="3E06382C"/>
    <w:rsid w:val="3E1672E6"/>
    <w:rsid w:val="3E185929"/>
    <w:rsid w:val="3E427927"/>
    <w:rsid w:val="3E612FB7"/>
    <w:rsid w:val="3EE947C1"/>
    <w:rsid w:val="40931DD7"/>
    <w:rsid w:val="415F08D8"/>
    <w:rsid w:val="42B46536"/>
    <w:rsid w:val="433B52D2"/>
    <w:rsid w:val="434010BE"/>
    <w:rsid w:val="44A95196"/>
    <w:rsid w:val="44DC6F9E"/>
    <w:rsid w:val="44E2230F"/>
    <w:rsid w:val="4549266A"/>
    <w:rsid w:val="46F9107C"/>
    <w:rsid w:val="48B51347"/>
    <w:rsid w:val="4A55216A"/>
    <w:rsid w:val="4AAE000A"/>
    <w:rsid w:val="4B3509A2"/>
    <w:rsid w:val="4D4F4973"/>
    <w:rsid w:val="4F7E7282"/>
    <w:rsid w:val="4FE0696A"/>
    <w:rsid w:val="506D60DB"/>
    <w:rsid w:val="51FD19E1"/>
    <w:rsid w:val="52C0009F"/>
    <w:rsid w:val="5408455A"/>
    <w:rsid w:val="543B5F7F"/>
    <w:rsid w:val="54B70621"/>
    <w:rsid w:val="55673508"/>
    <w:rsid w:val="55D05801"/>
    <w:rsid w:val="56005A12"/>
    <w:rsid w:val="58587667"/>
    <w:rsid w:val="59595A6F"/>
    <w:rsid w:val="599330CA"/>
    <w:rsid w:val="5A4C3EF6"/>
    <w:rsid w:val="5A7023CC"/>
    <w:rsid w:val="5A8958C0"/>
    <w:rsid w:val="5B0D23FC"/>
    <w:rsid w:val="5B547084"/>
    <w:rsid w:val="5C314A66"/>
    <w:rsid w:val="5CD6128D"/>
    <w:rsid w:val="5DB076C2"/>
    <w:rsid w:val="5E367F56"/>
    <w:rsid w:val="5EED033A"/>
    <w:rsid w:val="5F4015DE"/>
    <w:rsid w:val="60D5009F"/>
    <w:rsid w:val="627C1D92"/>
    <w:rsid w:val="63DF1591"/>
    <w:rsid w:val="65D630D8"/>
    <w:rsid w:val="660721C9"/>
    <w:rsid w:val="661E6C75"/>
    <w:rsid w:val="674F40F4"/>
    <w:rsid w:val="67C06E04"/>
    <w:rsid w:val="67F75FF5"/>
    <w:rsid w:val="68156C35"/>
    <w:rsid w:val="681D4831"/>
    <w:rsid w:val="692E4B19"/>
    <w:rsid w:val="69513EF7"/>
    <w:rsid w:val="69BE2A6F"/>
    <w:rsid w:val="6A3413E5"/>
    <w:rsid w:val="6BF3256F"/>
    <w:rsid w:val="6CE7018A"/>
    <w:rsid w:val="6E3E3F2D"/>
    <w:rsid w:val="715B2F02"/>
    <w:rsid w:val="7281713A"/>
    <w:rsid w:val="74292DBE"/>
    <w:rsid w:val="74AB21C0"/>
    <w:rsid w:val="75251171"/>
    <w:rsid w:val="76834D9A"/>
    <w:rsid w:val="76A548F2"/>
    <w:rsid w:val="7765772E"/>
    <w:rsid w:val="77867685"/>
    <w:rsid w:val="77F04540"/>
    <w:rsid w:val="781F36B6"/>
    <w:rsid w:val="7820224C"/>
    <w:rsid w:val="78976937"/>
    <w:rsid w:val="790627AD"/>
    <w:rsid w:val="7A5069D3"/>
    <w:rsid w:val="7ADC59FA"/>
    <w:rsid w:val="7B5E0429"/>
    <w:rsid w:val="7BDC27DF"/>
    <w:rsid w:val="7DDD794F"/>
    <w:rsid w:val="7F3234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5"/>
    <w:basedOn w:val="1"/>
    <w:next w:val="1"/>
    <w:qFormat/>
    <w:uiPriority w:val="0"/>
    <w:pPr>
      <w:keepNext/>
      <w:outlineLvl w:val="4"/>
    </w:pPr>
    <w:rPr>
      <w:rFonts w:ascii="宋体" w:hAnsi="宋体" w:cs="宋体"/>
      <w:b/>
      <w:bCs/>
      <w:sz w:val="2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w:basedOn w:val="1"/>
    <w:unhideWhenUsed/>
    <w:qFormat/>
    <w:uiPriority w:val="99"/>
    <w:pPr>
      <w:spacing w:after="120"/>
    </w:pPr>
  </w:style>
  <w:style w:type="paragraph" w:styleId="5">
    <w:name w:val="Balloon Text"/>
    <w:basedOn w:val="1"/>
    <w:link w:val="14"/>
    <w:qFormat/>
    <w:uiPriority w:val="0"/>
    <w:rPr>
      <w:sz w:val="18"/>
      <w:szCs w:val="18"/>
    </w:rPr>
  </w:style>
  <w:style w:type="paragraph" w:styleId="6">
    <w:name w:val="footer"/>
    <w:basedOn w:val="1"/>
    <w:link w:val="12"/>
    <w:qFormat/>
    <w:uiPriority w:val="99"/>
    <w:pPr>
      <w:tabs>
        <w:tab w:val="center" w:pos="4153"/>
        <w:tab w:val="right" w:pos="8306"/>
      </w:tabs>
      <w:snapToGrid w:val="0"/>
      <w:jc w:val="left"/>
    </w:pPr>
    <w:rPr>
      <w:sz w:val="18"/>
      <w:szCs w:val="18"/>
    </w:rPr>
  </w:style>
  <w:style w:type="paragraph" w:styleId="7">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8">
    <w:name w:val="Title"/>
    <w:basedOn w:val="1"/>
    <w:next w:val="1"/>
    <w:qFormat/>
    <w:uiPriority w:val="10"/>
    <w:pPr>
      <w:spacing w:line="360" w:lineRule="auto"/>
      <w:ind w:firstLine="200" w:firstLineChars="200"/>
      <w:jc w:val="left"/>
      <w:outlineLvl w:val="3"/>
    </w:pPr>
    <w:rPr>
      <w:rFonts w:ascii="Cambria" w:hAnsi="Cambria"/>
      <w:bCs/>
      <w:sz w:val="24"/>
      <w:szCs w:val="32"/>
    </w:rPr>
  </w:style>
  <w:style w:type="character" w:styleId="11">
    <w:name w:val="page number"/>
    <w:basedOn w:val="10"/>
    <w:qFormat/>
    <w:uiPriority w:val="0"/>
  </w:style>
  <w:style w:type="character" w:customStyle="1" w:styleId="12">
    <w:name w:val="页脚 字符"/>
    <w:basedOn w:val="10"/>
    <w:link w:val="6"/>
    <w:qFormat/>
    <w:uiPriority w:val="99"/>
    <w:rPr>
      <w:rFonts w:eastAsia="仿宋_GB2312"/>
      <w:kern w:val="2"/>
      <w:sz w:val="18"/>
      <w:szCs w:val="18"/>
    </w:rPr>
  </w:style>
  <w:style w:type="character" w:customStyle="1" w:styleId="13">
    <w:name w:val="页眉 字符"/>
    <w:basedOn w:val="10"/>
    <w:link w:val="7"/>
    <w:qFormat/>
    <w:uiPriority w:val="0"/>
    <w:rPr>
      <w:rFonts w:eastAsia="仿宋_GB2312"/>
      <w:kern w:val="2"/>
      <w:sz w:val="18"/>
      <w:szCs w:val="18"/>
    </w:rPr>
  </w:style>
  <w:style w:type="character" w:customStyle="1" w:styleId="14">
    <w:name w:val="批注框文本 字符"/>
    <w:basedOn w:val="10"/>
    <w:link w:val="5"/>
    <w:qFormat/>
    <w:uiPriority w:val="0"/>
    <w:rPr>
      <w:rFonts w:eastAsia="仿宋_GB2312"/>
      <w:kern w:val="2"/>
      <w:sz w:val="18"/>
      <w:szCs w:val="18"/>
    </w:rPr>
  </w:style>
  <w:style w:type="paragraph" w:styleId="15">
    <w:name w:val="List Paragraph"/>
    <w:basedOn w:val="1"/>
    <w:qFormat/>
    <w:uiPriority w:val="99"/>
    <w:pPr>
      <w:ind w:firstLine="420" w:firstLineChars="200"/>
    </w:pPr>
  </w:style>
  <w:style w:type="character" w:customStyle="1" w:styleId="16">
    <w:name w:val="font11"/>
    <w:basedOn w:val="10"/>
    <w:qFormat/>
    <w:uiPriority w:val="0"/>
    <w:rPr>
      <w:rFonts w:ascii="Wingdings" w:hAnsi="Wingdings" w:cs="Wingdings"/>
      <w:color w:val="000000"/>
      <w:sz w:val="20"/>
      <w:szCs w:val="20"/>
      <w:u w:val="none"/>
    </w:rPr>
  </w:style>
  <w:style w:type="character" w:customStyle="1" w:styleId="17">
    <w:name w:val="font31"/>
    <w:basedOn w:val="10"/>
    <w:qFormat/>
    <w:uiPriority w:val="0"/>
    <w:rPr>
      <w:rFonts w:hint="default" w:ascii="仿宋" w:hAnsi="仿宋" w:eastAsia="仿宋" w:cs="仿宋"/>
      <w:color w:val="000000"/>
      <w:sz w:val="20"/>
      <w:szCs w:val="20"/>
      <w:u w:val="none"/>
    </w:rPr>
  </w:style>
  <w:style w:type="character" w:customStyle="1" w:styleId="18">
    <w:name w:val="font51"/>
    <w:basedOn w:val="10"/>
    <w:qFormat/>
    <w:uiPriority w:val="0"/>
    <w:rPr>
      <w:rFonts w:ascii="Wingdings" w:hAnsi="Wingdings" w:cs="Wingdings"/>
      <w:color w:val="000000"/>
      <w:sz w:val="20"/>
      <w:szCs w:val="20"/>
      <w:u w:val="none"/>
    </w:rPr>
  </w:style>
  <w:style w:type="character" w:customStyle="1" w:styleId="19">
    <w:name w:val="font41"/>
    <w:basedOn w:val="10"/>
    <w:qFormat/>
    <w:uiPriority w:val="0"/>
    <w:rPr>
      <w:rFonts w:hint="default" w:ascii="仿宋" w:hAnsi="仿宋" w:eastAsia="仿宋" w:cs="仿宋"/>
      <w:color w:val="000000"/>
      <w:sz w:val="20"/>
      <w:szCs w:val="20"/>
      <w:u w:val="none"/>
    </w:rPr>
  </w:style>
  <w:style w:type="character" w:customStyle="1" w:styleId="20">
    <w:name w:val="font01"/>
    <w:basedOn w:val="10"/>
    <w:qFormat/>
    <w:uiPriority w:val="0"/>
    <w:rPr>
      <w:rFonts w:hint="default" w:ascii="Wingdings" w:hAnsi="Wingdings" w:cs="Wingdings"/>
      <w:color w:val="000000"/>
      <w:sz w:val="20"/>
      <w:szCs w:val="20"/>
      <w:u w:val="none"/>
    </w:rPr>
  </w:style>
  <w:style w:type="character" w:customStyle="1" w:styleId="21">
    <w:name w:val="font61"/>
    <w:basedOn w:val="10"/>
    <w:qFormat/>
    <w:uiPriority w:val="0"/>
    <w:rPr>
      <w:rFonts w:ascii="Wingdings" w:hAnsi="Wingdings" w:cs="Wingdings"/>
      <w:color w:val="000000"/>
      <w:sz w:val="20"/>
      <w:szCs w:val="20"/>
      <w:u w:val="none"/>
    </w:rPr>
  </w:style>
  <w:style w:type="character" w:customStyle="1" w:styleId="22">
    <w:name w:val="font71"/>
    <w:basedOn w:val="10"/>
    <w:qFormat/>
    <w:uiPriority w:val="0"/>
    <w:rPr>
      <w:rFonts w:hint="eastAsia" w:ascii="仿宋" w:hAnsi="仿宋" w:eastAsia="仿宋" w:cs="仿宋"/>
      <w:color w:val="000000"/>
      <w:sz w:val="20"/>
      <w:szCs w:val="20"/>
      <w:u w:val="none"/>
    </w:rPr>
  </w:style>
  <w:style w:type="character" w:customStyle="1" w:styleId="23">
    <w:name w:val="font81"/>
    <w:basedOn w:val="10"/>
    <w:qFormat/>
    <w:uiPriority w:val="0"/>
    <w:rPr>
      <w:rFonts w:hint="default" w:ascii="Wingdings" w:hAnsi="Wingdings" w:cs="Wingdings"/>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4661</Words>
  <Characters>5043</Characters>
  <Lines>7</Lines>
  <Paragraphs>11</Paragraphs>
  <TotalTime>41</TotalTime>
  <ScaleCrop>false</ScaleCrop>
  <LinksUpToDate>false</LinksUpToDate>
  <CharactersWithSpaces>5332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2021-02-26T14:13:00Z</dcterms:created>
  <dc:creator>lhn</dc:creator>
  <cp:lastModifiedBy>徐茫茫</cp:lastModifiedBy>
  <cp:lastPrinted>2020-12-04T01:52:00Z</cp:lastPrinted>
  <dcterms:modified xsi:type="dcterms:W3CDTF">2025-02-14T03:29:53Z</dcterms:modified>
  <dc:title>财政支出绩效评价报告</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FECA4DC1E6CD4428AFC7CE1B0B8A6FEF</vt:lpwstr>
  </property>
</Properties>
</file>