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eastAsiaTheme="majorEastAsia"/>
          <w:color w:val="000000" w:themeColor="text1"/>
          <w:sz w:val="36"/>
          <w:szCs w:val="36"/>
          <w14:textFill>
            <w14:solidFill>
              <w14:schemeClr w14:val="tx1"/>
            </w14:solidFill>
          </w14:textFill>
        </w:rPr>
      </w:pPr>
      <w:r>
        <w:rPr>
          <w:rFonts w:hint="eastAsia" w:ascii="Times New Roman" w:hAnsi="Times New Roman" w:cs="Times New Roman" w:eastAsiaTheme="majorEastAsia"/>
          <w:color w:val="000000" w:themeColor="text1"/>
          <w:sz w:val="36"/>
          <w:szCs w:val="36"/>
          <w14:textFill>
            <w14:solidFill>
              <w14:schemeClr w14:val="tx1"/>
            </w14:solidFill>
          </w14:textFill>
        </w:rPr>
        <w:t>2021年度公交补贴用于调剂2020年汉洪高速公路小军山至汉南“点对点”免费通行费项目自评结果</w:t>
      </w:r>
    </w:p>
    <w:p>
      <w:pPr>
        <w:pStyle w:val="8"/>
        <w:shd w:val="clear" w:color="auto" w:fill="FFFFFF" w:themeFill="background1"/>
        <w:spacing w:line="560" w:lineRule="exact"/>
        <w:ind w:firstLine="0" w:firstLineChars="0"/>
        <w:jc w:val="center"/>
        <w:outlineLvl w:val="9"/>
        <w:rPr>
          <w:rFonts w:ascii="楷体" w:hAnsi="楷体" w:eastAsia="楷体" w:cs="楷体"/>
          <w:b/>
          <w:sz w:val="32"/>
        </w:rPr>
      </w:pPr>
      <w:r>
        <w:rPr>
          <w:rFonts w:hint="eastAsia" w:ascii="楷体" w:hAnsi="楷体" w:eastAsia="楷体" w:cs="楷体"/>
          <w:b/>
          <w:sz w:val="32"/>
        </w:rPr>
        <w:t>（缩略版）</w:t>
      </w:r>
    </w:p>
    <w:p>
      <w:pPr>
        <w:widowControl/>
        <w:spacing w:line="560" w:lineRule="exact"/>
        <w:ind w:firstLine="643" w:firstLineChars="200"/>
        <w:outlineLvl w:val="0"/>
        <w:rPr>
          <w:rFonts w:eastAsia="黑体"/>
          <w:b/>
          <w:bCs/>
          <w:color w:val="000000" w:themeColor="text1"/>
          <w:kern w:val="0"/>
          <w:sz w:val="32"/>
          <w:szCs w:val="32"/>
          <w14:textFill>
            <w14:solidFill>
              <w14:schemeClr w14:val="tx1"/>
            </w14:solidFill>
          </w14:textFill>
        </w:rPr>
      </w:pPr>
      <w:r>
        <w:rPr>
          <w:rFonts w:hint="eastAsia" w:eastAsia="黑体"/>
          <w:b/>
          <w:bCs/>
          <w:color w:val="000000" w:themeColor="text1"/>
          <w:kern w:val="0"/>
          <w:sz w:val="32"/>
          <w:szCs w:val="32"/>
          <w14:textFill>
            <w14:solidFill>
              <w14:schemeClr w14:val="tx1"/>
            </w14:solidFill>
          </w14:textFill>
        </w:rPr>
        <w:t>一、自评结论</w:t>
      </w:r>
    </w:p>
    <w:p>
      <w:pPr>
        <w:widowControl/>
        <w:spacing w:line="560" w:lineRule="exact"/>
        <w:ind w:firstLine="643" w:firstLineChars="200"/>
        <w:jc w:val="left"/>
        <w:outlineLvl w:val="1"/>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（一）自评得分</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2021年度公交补贴用于调剂2020年汉洪高速公路小军山至汉南“点对点”免费通行费项目绩效评价综合得分为</w:t>
      </w:r>
      <w:r>
        <w:rPr>
          <w:rFonts w:eastAsia="仿宋"/>
          <w:color w:val="000000" w:themeColor="text1"/>
          <w:sz w:val="32"/>
          <w:szCs w:val="32"/>
          <w14:textFill>
            <w14:solidFill>
              <w14:schemeClr w14:val="tx1"/>
            </w14:solidFill>
          </w14:textFill>
        </w:rPr>
        <w:t>98.33</w:t>
      </w:r>
      <w:r>
        <w:rPr>
          <w:rFonts w:hint="eastAsia" w:eastAsia="仿宋"/>
          <w:color w:val="000000" w:themeColor="text1"/>
          <w:sz w:val="32"/>
          <w:szCs w:val="32"/>
          <w14:textFill>
            <w14:solidFill>
              <w14:schemeClr w14:val="tx1"/>
            </w14:solidFill>
          </w14:textFill>
        </w:rPr>
        <w:t>分。</w:t>
      </w:r>
    </w:p>
    <w:p>
      <w:pPr>
        <w:widowControl/>
        <w:spacing w:line="560" w:lineRule="exact"/>
        <w:ind w:firstLine="643" w:firstLineChars="200"/>
        <w:jc w:val="left"/>
        <w:outlineLvl w:val="1"/>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（二）绩效目标完成情况</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1.执行率情况。本项目预算总额</w:t>
      </w:r>
      <w:r>
        <w:rPr>
          <w:rFonts w:eastAsia="仿宋"/>
          <w:color w:val="000000" w:themeColor="text1"/>
          <w:sz w:val="32"/>
          <w:szCs w:val="32"/>
          <w14:textFill>
            <w14:solidFill>
              <w14:schemeClr w14:val="tx1"/>
            </w14:solidFill>
          </w14:textFill>
        </w:rPr>
        <w:t>1600.00</w:t>
      </w:r>
      <w:r>
        <w:rPr>
          <w:rFonts w:hint="eastAsia" w:eastAsia="仿宋"/>
          <w:color w:val="000000" w:themeColor="text1"/>
          <w:sz w:val="32"/>
          <w:szCs w:val="32"/>
          <w14:textFill>
            <w14:solidFill>
              <w14:schemeClr w14:val="tx1"/>
            </w14:solidFill>
          </w14:textFill>
        </w:rPr>
        <w:t>万元，执行数</w:t>
      </w:r>
      <w:r>
        <w:rPr>
          <w:rFonts w:eastAsia="仿宋"/>
          <w:color w:val="000000" w:themeColor="text1"/>
          <w:sz w:val="32"/>
          <w:szCs w:val="32"/>
          <w14:textFill>
            <w14:solidFill>
              <w14:schemeClr w14:val="tx1"/>
            </w14:solidFill>
          </w14:textFill>
        </w:rPr>
        <w:t>1600.00</w:t>
      </w:r>
      <w:r>
        <w:rPr>
          <w:rFonts w:hint="eastAsia" w:eastAsia="仿宋"/>
          <w:color w:val="000000" w:themeColor="text1"/>
          <w:sz w:val="32"/>
          <w:szCs w:val="32"/>
          <w14:textFill>
            <w14:solidFill>
              <w14:schemeClr w14:val="tx1"/>
            </w14:solidFill>
          </w14:textFill>
        </w:rPr>
        <w:t>万元，预算执行率</w:t>
      </w:r>
      <w:r>
        <w:rPr>
          <w:rFonts w:eastAsia="仿宋"/>
          <w:color w:val="000000" w:themeColor="text1"/>
          <w:sz w:val="32"/>
          <w:szCs w:val="32"/>
          <w14:textFill>
            <w14:solidFill>
              <w14:schemeClr w14:val="tx1"/>
            </w14:solidFill>
          </w14:textFill>
        </w:rPr>
        <w:t>100%</w:t>
      </w:r>
      <w:r>
        <w:rPr>
          <w:rFonts w:hint="eastAsia" w:eastAsia="仿宋"/>
          <w:color w:val="000000" w:themeColor="text1"/>
          <w:sz w:val="32"/>
          <w:szCs w:val="32"/>
          <w14:textFill>
            <w14:solidFill>
              <w14:schemeClr w14:val="tx1"/>
            </w14:solidFill>
          </w14:textFill>
        </w:rPr>
        <w:t>。</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2.完成的绩效目标。项目共设置</w:t>
      </w:r>
      <w:r>
        <w:rPr>
          <w:rFonts w:eastAsia="仿宋"/>
          <w:color w:val="000000" w:themeColor="text1"/>
          <w:sz w:val="32"/>
          <w:szCs w:val="32"/>
          <w14:textFill>
            <w14:solidFill>
              <w14:schemeClr w14:val="tx1"/>
            </w14:solidFill>
          </w14:textFill>
        </w:rPr>
        <w:t>7</w:t>
      </w:r>
      <w:r>
        <w:rPr>
          <w:rFonts w:hint="eastAsia" w:eastAsia="仿宋"/>
          <w:color w:val="000000" w:themeColor="text1"/>
          <w:sz w:val="32"/>
          <w:szCs w:val="32"/>
          <w14:textFill>
            <w14:solidFill>
              <w14:schemeClr w14:val="tx1"/>
            </w14:solidFill>
          </w14:textFill>
        </w:rPr>
        <w:t>个绩效指标，完成了</w:t>
      </w:r>
      <w:r>
        <w:rPr>
          <w:rFonts w:eastAsia="仿宋"/>
          <w:color w:val="000000" w:themeColor="text1"/>
          <w:sz w:val="32"/>
          <w:szCs w:val="32"/>
          <w14:textFill>
            <w14:solidFill>
              <w14:schemeClr w14:val="tx1"/>
            </w14:solidFill>
          </w14:textFill>
        </w:rPr>
        <w:t>6</w:t>
      </w:r>
      <w:r>
        <w:rPr>
          <w:rFonts w:hint="eastAsia" w:eastAsia="仿宋"/>
          <w:color w:val="000000" w:themeColor="text1"/>
          <w:sz w:val="32"/>
          <w:szCs w:val="32"/>
          <w14:textFill>
            <w14:solidFill>
              <w14:schemeClr w14:val="tx1"/>
            </w14:solidFill>
          </w14:textFill>
        </w:rPr>
        <w:t>个。资金使用较为规范，项目产出较好，并取得了较好的社会效益。</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3.未完成的绩效目标。“统计核查车辆通行情况次数”指标存在偏差的原因是受 2020 年全国高速公路收费系统受交通部主导进行改革的影响，现有高速公路收费系统无法查询 2020年1-2月相关车辆通行信息。</w:t>
      </w:r>
    </w:p>
    <w:p>
      <w:pPr>
        <w:widowControl/>
        <w:spacing w:line="560" w:lineRule="exact"/>
        <w:ind w:firstLine="643" w:firstLineChars="200"/>
        <w:jc w:val="left"/>
        <w:outlineLvl w:val="1"/>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（三）存在的问题和原因</w:t>
      </w:r>
    </w:p>
    <w:p>
      <w:pPr>
        <w:widowControl/>
        <w:spacing w:line="560" w:lineRule="exact"/>
        <w:ind w:firstLine="643" w:firstLineChars="200"/>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1.上年度绩效评价结果应用情况</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该项目为本年度新增项目，由于该费用未列入年度预算，特申请从经济技术开发区（汉南区）住房和城乡建设局部门预算公交及有轨电车运营补贴专项经费中调转1600万元费用用于该费用支出，上年度无对应绩效评价。</w:t>
      </w:r>
    </w:p>
    <w:p>
      <w:pPr>
        <w:widowControl/>
        <w:spacing w:line="560" w:lineRule="exact"/>
        <w:ind w:firstLine="643" w:firstLineChars="200"/>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2.本年度绩效存在的问题和原因</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（1）车辆通行情况的统计核查有待进一步优化。受 2020 年全国高速公路收费系统受交通部主导进行改革的影响，现有高速公路收费系统无法查询 2020年1-2月相关车辆通行信息。2020 年5-12月部分月份车辆数上报数与收费系统数存在差异，经询问湖北省市速公路联网收费中心相关人员，差异原因系车辆若实际通过收费站的时间接近 24 点，数据传输到联网中心服务器产生入库时间差。2020 年5-12 月车辆数上报数与收费系统数累计差异仅2辆，通行费金额累计差异仅114.75元，差异率很小，且受统计方法及测算金额尾差等影响，故以湖北省高速公路联网收费中心调整优惠通行费金额后重新取数生成的金额为准。</w:t>
      </w:r>
    </w:p>
    <w:p>
      <w:pPr>
        <w:widowControl/>
        <w:spacing w:line="560" w:lineRule="exact"/>
        <w:ind w:firstLine="643" w:firstLineChars="200"/>
        <w:jc w:val="left"/>
        <w:outlineLvl w:val="1"/>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（四）下一步拟改进措施</w:t>
      </w:r>
    </w:p>
    <w:p>
      <w:pPr>
        <w:widowControl/>
        <w:spacing w:line="560" w:lineRule="exact"/>
        <w:ind w:firstLine="643" w:firstLineChars="200"/>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1.下一步拟改进措施</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（1）梳理项目内容，合理设置绩效目标。紧贴年度工作计划和要点，制定科学合理的绩效目标和年度指标值。通过本次自评，在第三方专业机构的辅导下，完善本项目绩效指标。</w:t>
      </w:r>
    </w:p>
    <w:p>
      <w:pPr>
        <w:widowControl/>
        <w:spacing w:line="560" w:lineRule="exact"/>
        <w:ind w:firstLine="640" w:firstLineChars="200"/>
      </w:pPr>
      <w:r>
        <w:rPr>
          <w:rFonts w:hint="eastAsia" w:eastAsia="仿宋"/>
          <w:color w:val="000000" w:themeColor="text1"/>
          <w:sz w:val="32"/>
          <w:szCs w:val="32"/>
          <w14:textFill>
            <w14:solidFill>
              <w14:schemeClr w14:val="tx1"/>
            </w14:solidFill>
          </w14:textFill>
        </w:rPr>
        <w:t>（2）针对“统计核查车辆通行情况次数”指标的改进措施是对湖北省高速公路联网收费系统中小军山收费站至汉南收费站之问的通行数据进行逐日统计、重新计算等程序进行核查相关数据。进一步完善车辆通行管理制度，建立备查台账，确保免费通行车辆数据准确、真实、有效。</w:t>
      </w:r>
    </w:p>
    <w:p>
      <w:pPr>
        <w:widowControl/>
        <w:spacing w:line="560" w:lineRule="exact"/>
        <w:ind w:firstLine="643" w:firstLineChars="200"/>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2.拟与预算安排相结合情况</w:t>
      </w:r>
    </w:p>
    <w:p>
      <w:pPr>
        <w:pStyle w:val="2"/>
        <w:spacing w:after="0"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通过本次自评，梳理项目内容，完善绩效指标编制。</w:t>
      </w:r>
    </w:p>
    <w:p>
      <w:pPr>
        <w:pStyle w:val="2"/>
        <w:spacing w:after="0" w:line="560" w:lineRule="exact"/>
        <w:ind w:firstLine="640" w:firstLineChars="200"/>
        <w:rPr>
          <w:rFonts w:eastAsia="仿宋"/>
          <w:color w:val="000000" w:themeColor="text1"/>
          <w:sz w:val="32"/>
          <w:szCs w:val="32"/>
          <w14:textFill>
            <w14:solidFill>
              <w14:schemeClr w14:val="tx1"/>
            </w14:solidFill>
          </w14:textFill>
        </w:rPr>
      </w:pPr>
    </w:p>
    <w:p>
      <w:pPr>
        <w:pStyle w:val="2"/>
        <w:spacing w:after="0" w:line="560" w:lineRule="exact"/>
        <w:ind w:firstLine="640" w:firstLineChars="200"/>
        <w:rPr>
          <w:rFonts w:eastAsia="楷体"/>
          <w:color w:val="000000" w:themeColor="text1"/>
          <w:sz w:val="32"/>
          <w:szCs w:val="32"/>
          <w14:textFill>
            <w14:solidFill>
              <w14:schemeClr w14:val="tx1"/>
            </w14:solidFill>
          </w14:textFill>
        </w:rPr>
        <w:sectPr>
          <w:footerReference r:id="rId3" w:type="default"/>
          <w:pgSz w:w="11906" w:h="16838"/>
          <w:pgMar w:top="2098" w:right="1474" w:bottom="1984" w:left="1587" w:header="851" w:footer="992" w:gutter="0"/>
          <w:cols w:space="720" w:num="1"/>
          <w:docGrid w:type="lines" w:linePitch="312" w:charSpace="0"/>
        </w:sectPr>
      </w:pPr>
      <w:r>
        <w:rPr>
          <w:rFonts w:hint="eastAsia" w:eastAsia="楷体"/>
          <w:color w:val="000000" w:themeColor="text1"/>
          <w:sz w:val="32"/>
          <w:szCs w:val="32"/>
          <w14:textFill>
            <w14:solidFill>
              <w14:schemeClr w14:val="tx1"/>
            </w14:solidFill>
          </w14:textFill>
        </w:rPr>
        <w:t>附件：2021年度公交补贴用于调剂2020年汉洪高速公路小军山至汉南“点对点”免费通行费项目自评表</w:t>
      </w:r>
    </w:p>
    <w:p>
      <w:pPr>
        <w:pStyle w:val="2"/>
        <w:spacing w:after="0"/>
        <w:ind w:firstLine="643" w:firstLineChars="200"/>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附件：</w:t>
      </w:r>
    </w:p>
    <w:tbl>
      <w:tblPr>
        <w:tblStyle w:val="10"/>
        <w:tblW w:w="5000" w:type="pct"/>
        <w:tblInd w:w="0" w:type="dxa"/>
        <w:tblLayout w:type="autofit"/>
        <w:tblCellMar>
          <w:top w:w="0" w:type="dxa"/>
          <w:left w:w="108" w:type="dxa"/>
          <w:bottom w:w="0" w:type="dxa"/>
          <w:right w:w="108" w:type="dxa"/>
        </w:tblCellMar>
      </w:tblPr>
      <w:tblGrid>
        <w:gridCol w:w="616"/>
        <w:gridCol w:w="616"/>
        <w:gridCol w:w="1235"/>
        <w:gridCol w:w="1492"/>
        <w:gridCol w:w="1328"/>
        <w:gridCol w:w="1288"/>
        <w:gridCol w:w="1005"/>
        <w:gridCol w:w="942"/>
      </w:tblGrid>
      <w:tr>
        <w:tblPrEx>
          <w:tblCellMar>
            <w:top w:w="0" w:type="dxa"/>
            <w:left w:w="108" w:type="dxa"/>
            <w:bottom w:w="0" w:type="dxa"/>
            <w:right w:w="108" w:type="dxa"/>
          </w:tblCellMar>
        </w:tblPrEx>
        <w:trPr>
          <w:trHeight w:val="915" w:hRule="atLeast"/>
        </w:trPr>
        <w:tc>
          <w:tcPr>
            <w:tcW w:w="5000" w:type="pct"/>
            <w:gridSpan w:val="8"/>
            <w:tcBorders>
              <w:top w:val="nil"/>
              <w:left w:val="nil"/>
              <w:bottom w:val="nil"/>
              <w:right w:val="nil"/>
            </w:tcBorders>
            <w:shd w:val="clear" w:color="auto" w:fill="auto"/>
            <w:vAlign w:val="center"/>
          </w:tcPr>
          <w:p>
            <w:pPr>
              <w:widowControl/>
              <w:jc w:val="center"/>
              <w:rPr>
                <w:rFonts w:ascii="宋体" w:hAnsi="宋体" w:eastAsia="宋体" w:cs="宋体"/>
                <w:b/>
                <w:bCs/>
                <w:kern w:val="0"/>
                <w:sz w:val="36"/>
                <w:szCs w:val="36"/>
              </w:rPr>
            </w:pPr>
            <w:r>
              <w:rPr>
                <w:rFonts w:hint="eastAsia" w:ascii="宋体" w:hAnsi="宋体" w:eastAsia="宋体" w:cs="宋体"/>
                <w:b/>
                <w:bCs/>
                <w:kern w:val="0"/>
                <w:sz w:val="36"/>
                <w:szCs w:val="36"/>
              </w:rPr>
              <w:t xml:space="preserve">2021年度公交补贴用于调剂2020年汉洪高速公路小军山至汉南“点对点”免费通行费项目自评表 </w:t>
            </w:r>
          </w:p>
        </w:tc>
      </w:tr>
      <w:tr>
        <w:tblPrEx>
          <w:tblCellMar>
            <w:top w:w="0" w:type="dxa"/>
            <w:left w:w="108" w:type="dxa"/>
            <w:bottom w:w="0" w:type="dxa"/>
            <w:right w:w="108" w:type="dxa"/>
          </w:tblCellMar>
        </w:tblPrEx>
        <w:trPr>
          <w:trHeight w:val="780" w:hRule="atLeast"/>
        </w:trPr>
        <w:tc>
          <w:tcPr>
            <w:tcW w:w="5000" w:type="pct"/>
            <w:gridSpan w:val="8"/>
            <w:tcBorders>
              <w:top w:val="nil"/>
              <w:left w:val="nil"/>
              <w:bottom w:val="single" w:color="auto" w:sz="4" w:space="0"/>
              <w:right w:val="nil"/>
            </w:tcBorders>
            <w:shd w:val="clear" w:color="auto" w:fill="auto"/>
            <w:vAlign w:val="center"/>
          </w:tcPr>
          <w:p>
            <w:pPr>
              <w:widowControl/>
              <w:jc w:val="left"/>
              <w:rPr>
                <w:rFonts w:hint="eastAsia" w:eastAsia="楷体"/>
                <w:b/>
                <w:bCs/>
                <w:kern w:val="0"/>
                <w:sz w:val="24"/>
                <w:lang w:eastAsia="zh-CN"/>
              </w:rPr>
            </w:pPr>
            <w:r>
              <w:rPr>
                <w:rFonts w:hint="eastAsia" w:ascii="楷体" w:hAnsi="楷体" w:eastAsia="楷体" w:cs="宋体"/>
                <w:b/>
                <w:bCs/>
                <w:kern w:val="0"/>
                <w:sz w:val="24"/>
              </w:rPr>
              <w:t>单位名称：武汉经济技术开发区（汉南区）住房和城乡建设局</w:t>
            </w:r>
            <w:r>
              <w:rPr>
                <w:rFonts w:eastAsia="楷体"/>
                <w:b/>
                <w:bCs/>
                <w:kern w:val="0"/>
                <w:sz w:val="24"/>
              </w:rPr>
              <w:t xml:space="preserve">       </w:t>
            </w:r>
          </w:p>
          <w:p>
            <w:pPr>
              <w:widowControl/>
              <w:jc w:val="left"/>
              <w:rPr>
                <w:rFonts w:ascii="楷体" w:hAnsi="楷体" w:eastAsia="楷体" w:cs="宋体"/>
                <w:b/>
                <w:bCs/>
                <w:kern w:val="0"/>
                <w:sz w:val="24"/>
              </w:rPr>
            </w:pPr>
            <w:r>
              <w:rPr>
                <w:rFonts w:hint="eastAsia" w:ascii="楷体" w:hAnsi="楷体" w:eastAsia="楷体" w:cs="宋体"/>
                <w:b/>
                <w:bCs/>
                <w:kern w:val="0"/>
                <w:sz w:val="24"/>
              </w:rPr>
              <w:t>填报日期：</w:t>
            </w:r>
            <w:r>
              <w:rPr>
                <w:rFonts w:eastAsia="楷体"/>
                <w:b/>
                <w:bCs/>
                <w:kern w:val="0"/>
                <w:sz w:val="24"/>
              </w:rPr>
              <w:t>2022</w:t>
            </w:r>
            <w:r>
              <w:rPr>
                <w:rFonts w:hint="eastAsia" w:ascii="楷体" w:hAnsi="楷体" w:eastAsia="楷体" w:cs="宋体"/>
                <w:b/>
                <w:bCs/>
                <w:kern w:val="0"/>
                <w:sz w:val="24"/>
              </w:rPr>
              <w:t>年</w:t>
            </w:r>
            <w:r>
              <w:rPr>
                <w:rFonts w:eastAsia="楷体"/>
                <w:b/>
                <w:bCs/>
                <w:kern w:val="0"/>
                <w:sz w:val="24"/>
              </w:rPr>
              <w:t>5</w:t>
            </w:r>
            <w:r>
              <w:rPr>
                <w:rFonts w:hint="eastAsia" w:ascii="楷体" w:hAnsi="楷体" w:eastAsia="楷体" w:cs="宋体"/>
                <w:b/>
                <w:bCs/>
                <w:kern w:val="0"/>
                <w:sz w:val="24"/>
              </w:rPr>
              <w:t>月</w:t>
            </w:r>
            <w:r>
              <w:rPr>
                <w:rFonts w:eastAsia="楷体"/>
                <w:b/>
                <w:bCs/>
                <w:kern w:val="0"/>
                <w:sz w:val="24"/>
              </w:rPr>
              <w:t>20</w:t>
            </w:r>
            <w:r>
              <w:rPr>
                <w:rFonts w:hint="eastAsia" w:ascii="楷体" w:hAnsi="楷体" w:eastAsia="楷体" w:cs="宋体"/>
                <w:b/>
                <w:bCs/>
                <w:kern w:val="0"/>
                <w:sz w:val="24"/>
              </w:rPr>
              <w:t>日</w:t>
            </w:r>
          </w:p>
        </w:tc>
      </w:tr>
      <w:tr>
        <w:tblPrEx>
          <w:tblCellMar>
            <w:top w:w="0" w:type="dxa"/>
            <w:left w:w="108" w:type="dxa"/>
            <w:bottom w:w="0" w:type="dxa"/>
            <w:right w:w="108" w:type="dxa"/>
          </w:tblCellMar>
        </w:tblPrEx>
        <w:trPr>
          <w:trHeight w:val="499" w:hRule="atLeast"/>
        </w:trPr>
        <w:tc>
          <w:tcPr>
            <w:tcW w:w="720" w:type="pct"/>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项目名称</w:t>
            </w:r>
          </w:p>
        </w:tc>
        <w:tc>
          <w:tcPr>
            <w:tcW w:w="4280" w:type="pct"/>
            <w:gridSpan w:val="6"/>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公交补贴用于调剂2020年汉洪高速公路小军山至汉南“点对点”免费通行费</w:t>
            </w:r>
          </w:p>
        </w:tc>
      </w:tr>
      <w:tr>
        <w:tblPrEx>
          <w:tblCellMar>
            <w:top w:w="0" w:type="dxa"/>
            <w:left w:w="108" w:type="dxa"/>
            <w:bottom w:w="0" w:type="dxa"/>
            <w:right w:w="108" w:type="dxa"/>
          </w:tblCellMar>
        </w:tblPrEx>
        <w:trPr>
          <w:trHeight w:val="499" w:hRule="atLeast"/>
        </w:trPr>
        <w:tc>
          <w:tcPr>
            <w:tcW w:w="7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主管部门</w:t>
            </w:r>
          </w:p>
        </w:tc>
        <w:tc>
          <w:tcPr>
            <w:tcW w:w="1600"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武汉经济技术开发区（汉南区）住房和城乡建设局</w:t>
            </w:r>
          </w:p>
        </w:tc>
        <w:tc>
          <w:tcPr>
            <w:tcW w:w="780"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项目实施单位</w:t>
            </w:r>
          </w:p>
        </w:tc>
        <w:tc>
          <w:tcPr>
            <w:tcW w:w="1900"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武汉经济技术开发区（汉南区）住房和城乡建设局</w:t>
            </w:r>
          </w:p>
        </w:tc>
      </w:tr>
      <w:tr>
        <w:tblPrEx>
          <w:tblCellMar>
            <w:top w:w="0" w:type="dxa"/>
            <w:left w:w="108" w:type="dxa"/>
            <w:bottom w:w="0" w:type="dxa"/>
            <w:right w:w="108" w:type="dxa"/>
          </w:tblCellMar>
        </w:tblPrEx>
        <w:trPr>
          <w:trHeight w:val="499" w:hRule="atLeast"/>
        </w:trPr>
        <w:tc>
          <w:tcPr>
            <w:tcW w:w="7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项目类别</w:t>
            </w:r>
          </w:p>
        </w:tc>
        <w:tc>
          <w:tcPr>
            <w:tcW w:w="4280" w:type="pct"/>
            <w:gridSpan w:val="6"/>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1.部门预算项目</w:t>
            </w:r>
            <w:r>
              <w:rPr>
                <w:rFonts w:ascii="Wingdings" w:hAnsi="Wingdings" w:eastAsia="仿宋" w:cs="宋体"/>
                <w:kern w:val="0"/>
                <w:sz w:val="20"/>
                <w:szCs w:val="20"/>
              </w:rPr>
              <w:t>þ</w:t>
            </w:r>
            <w:r>
              <w:rPr>
                <w:rFonts w:hint="eastAsia" w:ascii="仿宋" w:hAnsi="仿宋" w:eastAsia="仿宋" w:cs="宋体"/>
                <w:kern w:val="0"/>
                <w:sz w:val="20"/>
                <w:szCs w:val="20"/>
              </w:rPr>
              <w:t xml:space="preserve">              2.财政专项资金</w:t>
            </w:r>
            <w:r>
              <w:rPr>
                <w:rFonts w:ascii="Wingdings" w:hAnsi="Wingdings" w:eastAsia="仿宋" w:cs="宋体"/>
                <w:kern w:val="0"/>
                <w:sz w:val="20"/>
                <w:szCs w:val="20"/>
              </w:rPr>
              <w:t>¨</w:t>
            </w:r>
          </w:p>
        </w:tc>
      </w:tr>
      <w:tr>
        <w:tblPrEx>
          <w:tblCellMar>
            <w:top w:w="0" w:type="dxa"/>
            <w:left w:w="108" w:type="dxa"/>
            <w:bottom w:w="0" w:type="dxa"/>
            <w:right w:w="108" w:type="dxa"/>
          </w:tblCellMar>
        </w:tblPrEx>
        <w:trPr>
          <w:trHeight w:val="499" w:hRule="atLeast"/>
        </w:trPr>
        <w:tc>
          <w:tcPr>
            <w:tcW w:w="7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项目属性</w:t>
            </w:r>
          </w:p>
        </w:tc>
        <w:tc>
          <w:tcPr>
            <w:tcW w:w="4280" w:type="pct"/>
            <w:gridSpan w:val="6"/>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1.持续性项目□               2.新增性项目</w:t>
            </w:r>
            <w:r>
              <w:rPr>
                <w:rFonts w:ascii="Wingdings" w:hAnsi="Wingdings" w:eastAsia="仿宋" w:cs="宋体"/>
                <w:kern w:val="0"/>
                <w:sz w:val="20"/>
                <w:szCs w:val="20"/>
              </w:rPr>
              <w:t>þ</w:t>
            </w:r>
            <w:r>
              <w:rPr>
                <w:rFonts w:hint="eastAsia" w:ascii="仿宋" w:hAnsi="仿宋" w:eastAsia="仿宋" w:cs="宋体"/>
                <w:kern w:val="0"/>
                <w:sz w:val="20"/>
                <w:szCs w:val="20"/>
              </w:rPr>
              <w:t xml:space="preserve"> </w:t>
            </w:r>
          </w:p>
        </w:tc>
      </w:tr>
      <w:tr>
        <w:tblPrEx>
          <w:tblCellMar>
            <w:top w:w="0" w:type="dxa"/>
            <w:left w:w="108" w:type="dxa"/>
            <w:bottom w:w="0" w:type="dxa"/>
            <w:right w:w="108" w:type="dxa"/>
          </w:tblCellMar>
        </w:tblPrEx>
        <w:trPr>
          <w:trHeight w:val="499" w:hRule="atLeast"/>
        </w:trPr>
        <w:tc>
          <w:tcPr>
            <w:tcW w:w="7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项目类型</w:t>
            </w:r>
          </w:p>
        </w:tc>
        <w:tc>
          <w:tcPr>
            <w:tcW w:w="4280" w:type="pct"/>
            <w:gridSpan w:val="6"/>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1.常年性项目</w:t>
            </w:r>
            <w:r>
              <w:rPr>
                <w:rFonts w:ascii="Wingdings" w:hAnsi="Wingdings" w:eastAsia="仿宋" w:cs="宋体"/>
                <w:kern w:val="0"/>
                <w:sz w:val="20"/>
                <w:szCs w:val="20"/>
              </w:rPr>
              <w:t>þ</w:t>
            </w:r>
            <w:r>
              <w:rPr>
                <w:rFonts w:hint="eastAsia" w:ascii="仿宋" w:hAnsi="仿宋" w:eastAsia="仿宋" w:cs="宋体"/>
                <w:kern w:val="0"/>
                <w:sz w:val="20"/>
                <w:szCs w:val="20"/>
              </w:rPr>
              <w:t xml:space="preserve">                2.延续性项目</w:t>
            </w:r>
            <w:r>
              <w:rPr>
                <w:rFonts w:ascii="Wingdings" w:hAnsi="Wingdings" w:eastAsia="仿宋" w:cs="宋体"/>
                <w:kern w:val="0"/>
                <w:sz w:val="20"/>
                <w:szCs w:val="20"/>
              </w:rPr>
              <w:t>¨</w:t>
            </w:r>
            <w:r>
              <w:rPr>
                <w:rFonts w:hint="eastAsia" w:ascii="仿宋" w:hAnsi="仿宋" w:eastAsia="仿宋" w:cs="宋体"/>
                <w:kern w:val="0"/>
                <w:sz w:val="20"/>
                <w:szCs w:val="20"/>
              </w:rPr>
              <w:t xml:space="preserve">             3.一次性项目</w:t>
            </w:r>
            <w:r>
              <w:rPr>
                <w:rFonts w:ascii="Wingdings" w:hAnsi="Wingdings" w:eastAsia="仿宋" w:cs="宋体"/>
                <w:kern w:val="0"/>
                <w:sz w:val="20"/>
                <w:szCs w:val="20"/>
              </w:rPr>
              <w:t>¨</w:t>
            </w:r>
          </w:p>
        </w:tc>
      </w:tr>
      <w:tr>
        <w:tblPrEx>
          <w:tblCellMar>
            <w:top w:w="0" w:type="dxa"/>
            <w:left w:w="108" w:type="dxa"/>
            <w:bottom w:w="0" w:type="dxa"/>
            <w:right w:w="108" w:type="dxa"/>
          </w:tblCellMar>
        </w:tblPrEx>
        <w:trPr>
          <w:trHeight w:val="499" w:hRule="atLeast"/>
        </w:trPr>
        <w:tc>
          <w:tcPr>
            <w:tcW w:w="72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预算执行情况（万元）(20分）</w:t>
            </w:r>
          </w:p>
        </w:tc>
        <w:tc>
          <w:tcPr>
            <w:tcW w:w="724"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w:t>
            </w:r>
          </w:p>
        </w:tc>
        <w:tc>
          <w:tcPr>
            <w:tcW w:w="876"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预算数（A）</w:t>
            </w:r>
          </w:p>
        </w:tc>
        <w:tc>
          <w:tcPr>
            <w:tcW w:w="780"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执行数（B）</w:t>
            </w:r>
          </w:p>
        </w:tc>
        <w:tc>
          <w:tcPr>
            <w:tcW w:w="756"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执行率（B/A）</w:t>
            </w:r>
          </w:p>
        </w:tc>
        <w:tc>
          <w:tcPr>
            <w:tcW w:w="1143"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得分</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（20分*执行率）</w:t>
            </w:r>
          </w:p>
        </w:tc>
      </w:tr>
      <w:tr>
        <w:tblPrEx>
          <w:tblCellMar>
            <w:top w:w="0" w:type="dxa"/>
            <w:left w:w="108" w:type="dxa"/>
            <w:bottom w:w="0" w:type="dxa"/>
            <w:right w:w="108" w:type="dxa"/>
          </w:tblCellMar>
        </w:tblPrEx>
        <w:trPr>
          <w:trHeight w:val="499" w:hRule="atLeast"/>
        </w:trPr>
        <w:tc>
          <w:tcPr>
            <w:tcW w:w="720"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724"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年度财政资金总额</w:t>
            </w:r>
          </w:p>
        </w:tc>
        <w:tc>
          <w:tcPr>
            <w:tcW w:w="876"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1,600.00 </w:t>
            </w:r>
          </w:p>
        </w:tc>
        <w:tc>
          <w:tcPr>
            <w:tcW w:w="780"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1600.00 </w:t>
            </w:r>
          </w:p>
        </w:tc>
        <w:tc>
          <w:tcPr>
            <w:tcW w:w="756"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100.00%</w:t>
            </w:r>
          </w:p>
        </w:tc>
        <w:tc>
          <w:tcPr>
            <w:tcW w:w="1143"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20.00 </w:t>
            </w:r>
          </w:p>
        </w:tc>
      </w:tr>
      <w:tr>
        <w:tblPrEx>
          <w:tblCellMar>
            <w:top w:w="0" w:type="dxa"/>
            <w:left w:w="108" w:type="dxa"/>
            <w:bottom w:w="0" w:type="dxa"/>
            <w:right w:w="108" w:type="dxa"/>
          </w:tblCellMar>
        </w:tblPrEx>
        <w:trPr>
          <w:trHeight w:val="499" w:hRule="atLeast"/>
        </w:trPr>
        <w:tc>
          <w:tcPr>
            <w:tcW w:w="360"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color w:val="000000"/>
                <w:kern w:val="0"/>
                <w:sz w:val="20"/>
                <w:szCs w:val="20"/>
                <w:lang w:eastAsia="zh-CN"/>
              </w:rPr>
            </w:pPr>
            <w:r>
              <w:rPr>
                <w:rFonts w:hint="eastAsia" w:ascii="仿宋" w:hAnsi="仿宋" w:eastAsia="仿宋" w:cs="宋体"/>
                <w:color w:val="000000"/>
                <w:kern w:val="0"/>
                <w:sz w:val="20"/>
                <w:szCs w:val="20"/>
              </w:rPr>
              <w:t>年度绩效目标</w:t>
            </w:r>
          </w:p>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 xml:space="preserve">（80分） </w:t>
            </w:r>
          </w:p>
        </w:tc>
        <w:tc>
          <w:tcPr>
            <w:tcW w:w="360"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一级      指标</w:t>
            </w:r>
          </w:p>
        </w:tc>
        <w:tc>
          <w:tcPr>
            <w:tcW w:w="724"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二级指标</w:t>
            </w:r>
          </w:p>
        </w:tc>
        <w:tc>
          <w:tcPr>
            <w:tcW w:w="165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三级指标</w:t>
            </w:r>
          </w:p>
        </w:tc>
        <w:tc>
          <w:tcPr>
            <w:tcW w:w="756"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color w:val="000000"/>
                <w:kern w:val="0"/>
                <w:sz w:val="20"/>
                <w:szCs w:val="20"/>
                <w:lang w:eastAsia="zh-CN"/>
              </w:rPr>
            </w:pPr>
            <w:r>
              <w:rPr>
                <w:rFonts w:hint="eastAsia" w:ascii="仿宋" w:hAnsi="仿宋" w:eastAsia="仿宋" w:cs="宋体"/>
                <w:color w:val="000000"/>
                <w:kern w:val="0"/>
                <w:sz w:val="20"/>
                <w:szCs w:val="20"/>
              </w:rPr>
              <w:t>年初目标值</w:t>
            </w:r>
          </w:p>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（A）</w:t>
            </w:r>
          </w:p>
        </w:tc>
        <w:tc>
          <w:tcPr>
            <w:tcW w:w="590"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color w:val="000000"/>
                <w:kern w:val="0"/>
                <w:sz w:val="20"/>
                <w:szCs w:val="20"/>
                <w:lang w:eastAsia="zh-CN"/>
              </w:rPr>
            </w:pPr>
            <w:r>
              <w:rPr>
                <w:rFonts w:hint="eastAsia" w:ascii="仿宋" w:hAnsi="仿宋" w:eastAsia="仿宋" w:cs="宋体"/>
                <w:color w:val="000000"/>
                <w:kern w:val="0"/>
                <w:sz w:val="20"/>
                <w:szCs w:val="20"/>
              </w:rPr>
              <w:t>实际完成值</w:t>
            </w:r>
          </w:p>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（B）</w:t>
            </w:r>
          </w:p>
        </w:tc>
        <w:tc>
          <w:tcPr>
            <w:tcW w:w="553" w:type="pct"/>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得分</w:t>
            </w:r>
          </w:p>
        </w:tc>
      </w:tr>
      <w:tr>
        <w:tblPrEx>
          <w:tblCellMar>
            <w:top w:w="0" w:type="dxa"/>
            <w:left w:w="108" w:type="dxa"/>
            <w:bottom w:w="0" w:type="dxa"/>
            <w:right w:w="108" w:type="dxa"/>
          </w:tblCellMar>
        </w:tblPrEx>
        <w:trPr>
          <w:trHeight w:val="499" w:hRule="atLeast"/>
        </w:trPr>
        <w:tc>
          <w:tcPr>
            <w:tcW w:w="360"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60" w:type="pct"/>
            <w:vMerge w:val="restart"/>
            <w:tcBorders>
              <w:top w:val="nil"/>
              <w:left w:val="single" w:color="auto" w:sz="4" w:space="0"/>
              <w:bottom w:val="single" w:color="auto" w:sz="4" w:space="0"/>
              <w:right w:val="nil"/>
            </w:tcBorders>
            <w:shd w:val="clear" w:color="auto" w:fill="auto"/>
            <w:vAlign w:val="center"/>
          </w:tcPr>
          <w:p>
            <w:pPr>
              <w:widowControl/>
              <w:jc w:val="center"/>
              <w:rPr>
                <w:rFonts w:hint="eastAsia" w:ascii="仿宋" w:hAnsi="仿宋" w:eastAsia="仿宋" w:cs="宋体"/>
                <w:color w:val="000000"/>
                <w:kern w:val="0"/>
                <w:sz w:val="20"/>
                <w:szCs w:val="20"/>
                <w:lang w:eastAsia="zh-CN"/>
              </w:rPr>
            </w:pPr>
            <w:r>
              <w:rPr>
                <w:rFonts w:hint="eastAsia" w:ascii="仿宋" w:hAnsi="仿宋" w:eastAsia="仿宋" w:cs="宋体"/>
                <w:color w:val="000000"/>
                <w:kern w:val="0"/>
                <w:sz w:val="20"/>
                <w:szCs w:val="20"/>
              </w:rPr>
              <w:t>产出</w:t>
            </w:r>
          </w:p>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 xml:space="preserve">指标（40分） </w:t>
            </w:r>
          </w:p>
        </w:tc>
        <w:tc>
          <w:tcPr>
            <w:tcW w:w="724"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数量指标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（10分）</w:t>
            </w:r>
          </w:p>
        </w:tc>
        <w:tc>
          <w:tcPr>
            <w:tcW w:w="1656" w:type="pct"/>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统计核查车辆通行情况次数（10分）</w:t>
            </w:r>
          </w:p>
        </w:tc>
        <w:tc>
          <w:tcPr>
            <w:tcW w:w="756"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每月1次</w:t>
            </w:r>
          </w:p>
        </w:tc>
        <w:tc>
          <w:tcPr>
            <w:tcW w:w="590"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10次</w:t>
            </w:r>
          </w:p>
        </w:tc>
        <w:tc>
          <w:tcPr>
            <w:tcW w:w="55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8.33 </w:t>
            </w:r>
          </w:p>
        </w:tc>
      </w:tr>
      <w:tr>
        <w:tblPrEx>
          <w:tblCellMar>
            <w:top w:w="0" w:type="dxa"/>
            <w:left w:w="108" w:type="dxa"/>
            <w:bottom w:w="0" w:type="dxa"/>
            <w:right w:w="108" w:type="dxa"/>
          </w:tblCellMar>
        </w:tblPrEx>
        <w:trPr>
          <w:trHeight w:val="480" w:hRule="atLeast"/>
        </w:trPr>
        <w:tc>
          <w:tcPr>
            <w:tcW w:w="360"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60" w:type="pct"/>
            <w:vMerge w:val="continue"/>
            <w:tcBorders>
              <w:top w:val="nil"/>
              <w:left w:val="single" w:color="auto" w:sz="4" w:space="0"/>
              <w:bottom w:val="single" w:color="auto" w:sz="4" w:space="0"/>
              <w:right w:val="nil"/>
            </w:tcBorders>
            <w:vAlign w:val="center"/>
          </w:tcPr>
          <w:p>
            <w:pPr>
              <w:widowControl/>
              <w:jc w:val="left"/>
              <w:rPr>
                <w:rFonts w:ascii="仿宋" w:hAnsi="仿宋" w:eastAsia="仿宋" w:cs="宋体"/>
                <w:color w:val="000000"/>
                <w:kern w:val="0"/>
                <w:sz w:val="20"/>
                <w:szCs w:val="20"/>
              </w:rPr>
            </w:pPr>
          </w:p>
        </w:tc>
        <w:tc>
          <w:tcPr>
            <w:tcW w:w="72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质量指标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（20分）</w:t>
            </w:r>
          </w:p>
        </w:tc>
        <w:tc>
          <w:tcPr>
            <w:tcW w:w="165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保障收费秩序良好（10分）</w:t>
            </w:r>
          </w:p>
        </w:tc>
        <w:tc>
          <w:tcPr>
            <w:tcW w:w="756"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保障</w:t>
            </w:r>
          </w:p>
        </w:tc>
        <w:tc>
          <w:tcPr>
            <w:tcW w:w="590"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保障</w:t>
            </w:r>
          </w:p>
        </w:tc>
        <w:tc>
          <w:tcPr>
            <w:tcW w:w="55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10.00 </w:t>
            </w:r>
          </w:p>
        </w:tc>
      </w:tr>
      <w:tr>
        <w:tblPrEx>
          <w:tblCellMar>
            <w:top w:w="0" w:type="dxa"/>
            <w:left w:w="108" w:type="dxa"/>
            <w:bottom w:w="0" w:type="dxa"/>
            <w:right w:w="108" w:type="dxa"/>
          </w:tblCellMar>
        </w:tblPrEx>
        <w:trPr>
          <w:trHeight w:val="499" w:hRule="atLeast"/>
        </w:trPr>
        <w:tc>
          <w:tcPr>
            <w:tcW w:w="360"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60" w:type="pct"/>
            <w:vMerge w:val="continue"/>
            <w:tcBorders>
              <w:top w:val="nil"/>
              <w:left w:val="single" w:color="auto" w:sz="4" w:space="0"/>
              <w:bottom w:val="single" w:color="auto" w:sz="4" w:space="0"/>
              <w:right w:val="nil"/>
            </w:tcBorders>
            <w:vAlign w:val="center"/>
          </w:tcPr>
          <w:p>
            <w:pPr>
              <w:widowControl/>
              <w:jc w:val="left"/>
              <w:rPr>
                <w:rFonts w:ascii="仿宋" w:hAnsi="仿宋" w:eastAsia="仿宋" w:cs="宋体"/>
                <w:color w:val="000000"/>
                <w:kern w:val="0"/>
                <w:sz w:val="20"/>
                <w:szCs w:val="20"/>
              </w:rPr>
            </w:pPr>
          </w:p>
        </w:tc>
        <w:tc>
          <w:tcPr>
            <w:tcW w:w="72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65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免收通行费资金到位率（10分）</w:t>
            </w:r>
          </w:p>
        </w:tc>
        <w:tc>
          <w:tcPr>
            <w:tcW w:w="756"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590"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55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10.00 </w:t>
            </w:r>
          </w:p>
        </w:tc>
      </w:tr>
      <w:tr>
        <w:tblPrEx>
          <w:tblCellMar>
            <w:top w:w="0" w:type="dxa"/>
            <w:left w:w="108" w:type="dxa"/>
            <w:bottom w:w="0" w:type="dxa"/>
            <w:right w:w="108" w:type="dxa"/>
          </w:tblCellMar>
        </w:tblPrEx>
        <w:trPr>
          <w:trHeight w:val="499" w:hRule="atLeast"/>
        </w:trPr>
        <w:tc>
          <w:tcPr>
            <w:tcW w:w="360"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60" w:type="pct"/>
            <w:vMerge w:val="continue"/>
            <w:tcBorders>
              <w:top w:val="nil"/>
              <w:left w:val="single" w:color="auto" w:sz="4" w:space="0"/>
              <w:bottom w:val="single" w:color="auto" w:sz="4" w:space="0"/>
              <w:right w:val="nil"/>
            </w:tcBorders>
            <w:vAlign w:val="center"/>
          </w:tcPr>
          <w:p>
            <w:pPr>
              <w:widowControl/>
              <w:jc w:val="left"/>
              <w:rPr>
                <w:rFonts w:ascii="仿宋" w:hAnsi="仿宋" w:eastAsia="仿宋" w:cs="宋体"/>
                <w:color w:val="000000"/>
                <w:kern w:val="0"/>
                <w:sz w:val="20"/>
                <w:szCs w:val="20"/>
              </w:rPr>
            </w:pPr>
          </w:p>
        </w:tc>
        <w:tc>
          <w:tcPr>
            <w:tcW w:w="724" w:type="pct"/>
            <w:tcBorders>
              <w:top w:val="nil"/>
              <w:left w:val="single" w:color="auto" w:sz="4" w:space="0"/>
              <w:bottom w:val="nil"/>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时效指标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（10分）</w:t>
            </w:r>
          </w:p>
        </w:tc>
        <w:tc>
          <w:tcPr>
            <w:tcW w:w="165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免收通行费支付及时率（10分）</w:t>
            </w:r>
          </w:p>
        </w:tc>
        <w:tc>
          <w:tcPr>
            <w:tcW w:w="756"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590"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55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10.00 </w:t>
            </w:r>
          </w:p>
        </w:tc>
      </w:tr>
      <w:tr>
        <w:tblPrEx>
          <w:tblCellMar>
            <w:top w:w="0" w:type="dxa"/>
            <w:left w:w="108" w:type="dxa"/>
            <w:bottom w:w="0" w:type="dxa"/>
            <w:right w:w="108" w:type="dxa"/>
          </w:tblCellMar>
        </w:tblPrEx>
        <w:trPr>
          <w:trHeight w:val="499" w:hRule="atLeast"/>
        </w:trPr>
        <w:tc>
          <w:tcPr>
            <w:tcW w:w="360"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60"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效益</w:t>
            </w:r>
          </w:p>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（40分）</w:t>
            </w:r>
          </w:p>
        </w:tc>
        <w:tc>
          <w:tcPr>
            <w:tcW w:w="724"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社会效益指标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（40分）</w:t>
            </w:r>
          </w:p>
        </w:tc>
        <w:tc>
          <w:tcPr>
            <w:tcW w:w="165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促进免费通行政策宣传推广（15分）</w:t>
            </w:r>
          </w:p>
        </w:tc>
        <w:tc>
          <w:tcPr>
            <w:tcW w:w="756"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有所促进</w:t>
            </w:r>
          </w:p>
        </w:tc>
        <w:tc>
          <w:tcPr>
            <w:tcW w:w="590"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有所促进</w:t>
            </w:r>
          </w:p>
        </w:tc>
        <w:tc>
          <w:tcPr>
            <w:tcW w:w="55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15.00 </w:t>
            </w:r>
          </w:p>
        </w:tc>
      </w:tr>
      <w:tr>
        <w:tblPrEx>
          <w:tblCellMar>
            <w:top w:w="0" w:type="dxa"/>
            <w:left w:w="108" w:type="dxa"/>
            <w:bottom w:w="0" w:type="dxa"/>
            <w:right w:w="108" w:type="dxa"/>
          </w:tblCellMar>
        </w:tblPrEx>
        <w:trPr>
          <w:trHeight w:val="499" w:hRule="atLeast"/>
        </w:trPr>
        <w:tc>
          <w:tcPr>
            <w:tcW w:w="360"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60"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72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65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妥善处理路段突发事件（15分）</w:t>
            </w:r>
          </w:p>
        </w:tc>
        <w:tc>
          <w:tcPr>
            <w:tcW w:w="756"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处理得当</w:t>
            </w:r>
          </w:p>
        </w:tc>
        <w:tc>
          <w:tcPr>
            <w:tcW w:w="590"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处理得当</w:t>
            </w:r>
          </w:p>
        </w:tc>
        <w:tc>
          <w:tcPr>
            <w:tcW w:w="55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15.00 </w:t>
            </w:r>
          </w:p>
        </w:tc>
      </w:tr>
      <w:tr>
        <w:tblPrEx>
          <w:tblCellMar>
            <w:top w:w="0" w:type="dxa"/>
            <w:left w:w="108" w:type="dxa"/>
            <w:bottom w:w="0" w:type="dxa"/>
            <w:right w:w="108" w:type="dxa"/>
          </w:tblCellMar>
        </w:tblPrEx>
        <w:trPr>
          <w:trHeight w:val="499" w:hRule="atLeast"/>
        </w:trPr>
        <w:tc>
          <w:tcPr>
            <w:tcW w:w="360"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60"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72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656" w:type="pct"/>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加强道路养护管理，创造美好通行环境（10分）</w:t>
            </w:r>
          </w:p>
        </w:tc>
        <w:tc>
          <w:tcPr>
            <w:tcW w:w="756"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有效推动</w:t>
            </w:r>
          </w:p>
        </w:tc>
        <w:tc>
          <w:tcPr>
            <w:tcW w:w="590"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有效推动</w:t>
            </w:r>
          </w:p>
        </w:tc>
        <w:tc>
          <w:tcPr>
            <w:tcW w:w="55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10.00 </w:t>
            </w:r>
          </w:p>
        </w:tc>
      </w:tr>
      <w:tr>
        <w:tblPrEx>
          <w:tblCellMar>
            <w:top w:w="0" w:type="dxa"/>
            <w:left w:w="108" w:type="dxa"/>
            <w:bottom w:w="0" w:type="dxa"/>
            <w:right w:w="108" w:type="dxa"/>
          </w:tblCellMar>
        </w:tblPrEx>
        <w:trPr>
          <w:trHeight w:val="499" w:hRule="atLeast"/>
        </w:trPr>
        <w:tc>
          <w:tcPr>
            <w:tcW w:w="360"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总分</w:t>
            </w:r>
          </w:p>
        </w:tc>
        <w:tc>
          <w:tcPr>
            <w:tcW w:w="4640" w:type="pct"/>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98.3</w:t>
            </w:r>
            <w:r>
              <w:rPr>
                <w:rFonts w:ascii="仿宋" w:hAnsi="仿宋" w:eastAsia="仿宋" w:cs="宋体"/>
                <w:kern w:val="0"/>
                <w:sz w:val="20"/>
                <w:szCs w:val="20"/>
              </w:rPr>
              <w:t>3</w:t>
            </w:r>
            <w:r>
              <w:rPr>
                <w:rFonts w:hint="eastAsia" w:ascii="仿宋" w:hAnsi="仿宋" w:eastAsia="仿宋" w:cs="宋体"/>
                <w:kern w:val="0"/>
                <w:sz w:val="20"/>
                <w:szCs w:val="20"/>
              </w:rPr>
              <w:t>分</w:t>
            </w:r>
          </w:p>
        </w:tc>
      </w:tr>
      <w:tr>
        <w:tblPrEx>
          <w:tblCellMar>
            <w:top w:w="0" w:type="dxa"/>
            <w:left w:w="108" w:type="dxa"/>
            <w:bottom w:w="0" w:type="dxa"/>
            <w:right w:w="108" w:type="dxa"/>
          </w:tblCellMar>
        </w:tblPrEx>
        <w:trPr>
          <w:trHeight w:val="1080" w:hRule="atLeast"/>
        </w:trPr>
        <w:tc>
          <w:tcPr>
            <w:tcW w:w="144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偏差大或目标未完成原因分析</w:t>
            </w:r>
          </w:p>
        </w:tc>
        <w:tc>
          <w:tcPr>
            <w:tcW w:w="3555" w:type="pct"/>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1、“统计核查车辆通行情况次数”指标存在偏差的原因是受 2020 年全国高速公路收费系统受交通部主导进行改革的影响，现有高速公路收费系统无法查询 2020年1-2月相关车辆通行信息。</w:t>
            </w:r>
          </w:p>
        </w:tc>
      </w:tr>
      <w:tr>
        <w:tblPrEx>
          <w:tblCellMar>
            <w:top w:w="0" w:type="dxa"/>
            <w:left w:w="108" w:type="dxa"/>
            <w:bottom w:w="0" w:type="dxa"/>
            <w:right w:w="108" w:type="dxa"/>
          </w:tblCellMar>
        </w:tblPrEx>
        <w:trPr>
          <w:trHeight w:val="1335" w:hRule="atLeast"/>
        </w:trPr>
        <w:tc>
          <w:tcPr>
            <w:tcW w:w="144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改进措施及结果应用方案</w:t>
            </w:r>
          </w:p>
        </w:tc>
        <w:tc>
          <w:tcPr>
            <w:tcW w:w="3555" w:type="pct"/>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1.针对“统计核查车辆通行情况次数”指标的改进措施是对湖北省高速公路联网收费系统中小军山收费站至汉南收费站之问的通行数据进行逐日统计、重新计算等程序进行核查相关数据。进一步完善车辆通行管理制度，建立备查台账，确保免费通行车辆数据准确、真实、有效。</w:t>
            </w:r>
          </w:p>
        </w:tc>
      </w:tr>
      <w:tr>
        <w:tblPrEx>
          <w:tblCellMar>
            <w:top w:w="0" w:type="dxa"/>
            <w:left w:w="108" w:type="dxa"/>
            <w:bottom w:w="0" w:type="dxa"/>
            <w:right w:w="108" w:type="dxa"/>
          </w:tblCellMar>
        </w:tblPrEx>
        <w:trPr>
          <w:trHeight w:val="2682"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宋体"/>
                <w:color w:val="000000"/>
                <w:kern w:val="0"/>
                <w:sz w:val="20"/>
                <w:szCs w:val="20"/>
                <w:lang w:eastAsia="zh-CN"/>
              </w:rPr>
            </w:pPr>
            <w:r>
              <w:rPr>
                <w:rFonts w:hint="eastAsia" w:ascii="仿宋" w:hAnsi="仿宋" w:eastAsia="仿宋" w:cs="宋体"/>
                <w:color w:val="000000"/>
                <w:kern w:val="0"/>
                <w:sz w:val="20"/>
                <w:szCs w:val="20"/>
              </w:rPr>
              <w:t>注: 1.预算执行情况口径: 预算数为调整后财政资金总额（包括上年结余结转），执行数为资金使用单位财政资金实际支出数。</w:t>
            </w:r>
          </w:p>
          <w:p>
            <w:pPr>
              <w:widowControl/>
              <w:jc w:val="left"/>
              <w:rPr>
                <w:rFonts w:hint="eastAsia" w:ascii="仿宋" w:hAnsi="仿宋" w:eastAsia="仿宋" w:cs="宋体"/>
                <w:color w:val="000000"/>
                <w:kern w:val="0"/>
                <w:sz w:val="20"/>
                <w:szCs w:val="20"/>
                <w:lang w:eastAsia="zh-CN"/>
              </w:rPr>
            </w:pPr>
            <w:r>
              <w:rPr>
                <w:rFonts w:hint="eastAsia" w:ascii="仿宋" w:hAnsi="仿宋" w:eastAsia="仿宋" w:cs="宋体"/>
                <w:color w:val="000000"/>
                <w:kern w:val="0"/>
                <w:sz w:val="20"/>
                <w:szCs w:val="20"/>
              </w:rPr>
              <w:t xml:space="preserve">    2.定量指标完成数汇总原则：绝对值直接累加计算，相对值按照资金额度加权平均计算。定量指标计分原则：正向指标（即目标值≥X，得分=权重*B/A），反向指标（即目标值≤X，得分=权重*A/B），得分不得突破权重总额，定量指标先汇总完成数，再计算得分。</w:t>
            </w:r>
          </w:p>
          <w:p>
            <w:pPr>
              <w:widowControl/>
              <w:jc w:val="left"/>
              <w:rPr>
                <w:rFonts w:hint="eastAsia" w:ascii="仿宋" w:hAnsi="仿宋" w:eastAsia="仿宋" w:cs="宋体"/>
                <w:color w:val="000000"/>
                <w:kern w:val="0"/>
                <w:sz w:val="20"/>
                <w:szCs w:val="20"/>
                <w:lang w:eastAsia="zh-CN"/>
              </w:rPr>
            </w:pPr>
            <w:r>
              <w:rPr>
                <w:rFonts w:hint="eastAsia" w:ascii="仿宋" w:hAnsi="仿宋" w:eastAsia="仿宋" w:cs="宋体"/>
                <w:color w:val="000000"/>
                <w:kern w:val="0"/>
                <w:sz w:val="20"/>
                <w:szCs w:val="20"/>
              </w:rPr>
              <w:t xml:space="preserve">    3.定性指标分档原则: 分成达成预期指标、部分达成预期指标并具有一定效果、未达成预期指标且效果较差三档，分别按照该指标对应分值区间100-80%（含80%）、80-50% （含50%）、50-0% 合理确定分值。汇总时，以资金额度为权重，对分值进行加权平均计算。</w:t>
            </w:r>
          </w:p>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 xml:space="preserve">    4.基于经济性和必要性等因素考虑，满意度指标暂可不作为必评指标。</w:t>
            </w:r>
          </w:p>
        </w:tc>
      </w:tr>
    </w:tbl>
    <w:p>
      <w:pPr>
        <w:pStyle w:val="2"/>
        <w:sectPr>
          <w:footerReference r:id="rId4" w:type="default"/>
          <w:pgSz w:w="11906" w:h="16838"/>
          <w:pgMar w:top="1440" w:right="1800" w:bottom="1440" w:left="1800" w:header="851" w:footer="992" w:gutter="0"/>
          <w:cols w:space="720" w:num="1"/>
          <w:docGrid w:type="lines" w:linePitch="312" w:charSpace="0"/>
        </w:sectPr>
      </w:pPr>
    </w:p>
    <w:p>
      <w:pPr>
        <w:widowControl/>
        <w:spacing w:line="560" w:lineRule="exact"/>
        <w:ind w:firstLine="643" w:firstLineChars="200"/>
        <w:outlineLvl w:val="0"/>
        <w:rPr>
          <w:rFonts w:eastAsia="黑体"/>
          <w:b/>
          <w:bCs/>
          <w:color w:val="000000" w:themeColor="text1"/>
          <w:kern w:val="0"/>
          <w:sz w:val="32"/>
          <w:szCs w:val="32"/>
          <w14:textFill>
            <w14:solidFill>
              <w14:schemeClr w14:val="tx1"/>
            </w14:solidFill>
          </w14:textFill>
        </w:rPr>
      </w:pPr>
      <w:r>
        <w:rPr>
          <w:rFonts w:hint="eastAsia" w:eastAsia="黑体"/>
          <w:b/>
          <w:bCs/>
          <w:color w:val="000000" w:themeColor="text1"/>
          <w:kern w:val="0"/>
          <w:sz w:val="32"/>
          <w:szCs w:val="32"/>
          <w14:textFill>
            <w14:solidFill>
              <w14:schemeClr w14:val="tx1"/>
            </w14:solidFill>
          </w14:textFill>
        </w:rPr>
        <w:t>二、佐证材料</w:t>
      </w:r>
    </w:p>
    <w:p>
      <w:pPr>
        <w:widowControl/>
        <w:spacing w:line="560" w:lineRule="exact"/>
        <w:ind w:firstLine="643" w:firstLineChars="200"/>
        <w:jc w:val="left"/>
        <w:outlineLvl w:val="1"/>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（一）基本情况</w:t>
      </w:r>
    </w:p>
    <w:p>
      <w:pPr>
        <w:widowControl/>
        <w:spacing w:line="560" w:lineRule="exact"/>
        <w:ind w:firstLine="643" w:firstLineChars="200"/>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1.项目立项目的</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为加快我区区域经济发展，降低人民群众出行成本，经友好协商，管委会（区政府)、湖北联合发展投资集团有限公司以及湖北汉洪高速公路有限责任公司于 2020年12月28日签署了三方协议《汉洪高速公路小军山至汉南“点对点，免费通行路段合作协议书》。根据《合作协议》第三条第一款第一项及第二款约定的支付金额和时间：“管委会、湖北联合发展投资集团有限公司、湖北汉洪高速公路有限责任公司三方以湖北省高速公路联网收费中心出具的汉洪高速公路“点对点”通行路段实行免收的通行费金额为结算依据，由管委会据实向湖北汉洪高速公路有限责任公司支付免收的通行费。</w:t>
      </w:r>
    </w:p>
    <w:p>
      <w:pPr>
        <w:widowControl/>
        <w:spacing w:line="560" w:lineRule="exact"/>
        <w:ind w:firstLine="640" w:firstLineChars="200"/>
        <w:rPr>
          <w:rFonts w:eastAsia="仿宋"/>
          <w:color w:val="000000" w:themeColor="text1"/>
          <w14:textFill>
            <w14:solidFill>
              <w14:schemeClr w14:val="tx1"/>
            </w14:solidFill>
          </w14:textFill>
        </w:rPr>
      </w:pPr>
      <w:r>
        <w:rPr>
          <w:rFonts w:hint="eastAsia" w:eastAsia="仿宋"/>
          <w:color w:val="000000" w:themeColor="text1"/>
          <w:sz w:val="32"/>
          <w:szCs w:val="32"/>
          <w14:textFill>
            <w14:solidFill>
              <w14:schemeClr w14:val="tx1"/>
            </w14:solidFill>
          </w14:textFill>
        </w:rPr>
        <w:t>目前，湖北汉洪高速公路有限</w:t>
      </w:r>
      <w:r>
        <w:rPr>
          <w:rFonts w:hint="eastAsia" w:eastAsia="仿宋"/>
          <w:color w:val="000000" w:themeColor="text1"/>
          <w:sz w:val="32"/>
          <w:szCs w:val="32"/>
          <w:lang w:val="en-US" w:eastAsia="zh-CN"/>
          <w14:textFill>
            <w14:solidFill>
              <w14:schemeClr w14:val="tx1"/>
            </w14:solidFill>
          </w14:textFill>
        </w:rPr>
        <w:t>责</w:t>
      </w:r>
      <w:r>
        <w:rPr>
          <w:rFonts w:hint="eastAsia" w:eastAsia="仿宋"/>
          <w:color w:val="000000" w:themeColor="text1"/>
          <w:sz w:val="32"/>
          <w:szCs w:val="32"/>
          <w14:textFill>
            <w14:solidFill>
              <w14:schemeClr w14:val="tx1"/>
            </w14:solidFill>
          </w14:textFill>
        </w:rPr>
        <w:t>任公司已提供的湖北省高速公路联网中心出具的 2020年1月1日至2020年12月31日汉洪高速“点对点”免费情况统计表，免费通行费合计为 47610339. 22元。经经济技术开发区（汉南区）住房和</w:t>
      </w:r>
      <w:bookmarkStart w:id="0" w:name="_GoBack"/>
      <w:bookmarkEnd w:id="0"/>
      <w:r>
        <w:rPr>
          <w:rFonts w:hint="eastAsia" w:eastAsia="仿宋"/>
          <w:color w:val="000000" w:themeColor="text1"/>
          <w:sz w:val="32"/>
          <w:szCs w:val="32"/>
          <w14:textFill>
            <w14:solidFill>
              <w14:schemeClr w14:val="tx1"/>
            </w14:solidFill>
          </w14:textFill>
        </w:rPr>
        <w:t>城乡建设局请第三方咨询公司复审，免费通行费合计为144058819.36 元，根据区领导批示意见，该笔费用纳入部门预算，由于该费用未列入年度预算，特申请从经济技术开发区（汉南区）住房和城乡建设局      部门预算公交及有轨电车运营补贴专项经费中调转1600万元费用，用于该费用支出。</w:t>
      </w:r>
    </w:p>
    <w:p>
      <w:pPr>
        <w:widowControl/>
        <w:spacing w:line="560" w:lineRule="exact"/>
        <w:ind w:firstLine="643" w:firstLineChars="200"/>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2.年度绩效目标</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本项目通过梳理工作内容，紧贴年度工作计划和要点，制定科学合理的绩效目标和年度指标值，以便尽可能量化考核。本项目绩效目标如下：</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统计核查车辆通行情况每月1次；保障收费秩序良好；免收通行费资金到位率</w:t>
      </w:r>
      <w:r>
        <w:rPr>
          <w:rFonts w:eastAsia="仿宋"/>
          <w:color w:val="000000" w:themeColor="text1"/>
          <w:sz w:val="32"/>
          <w:szCs w:val="32"/>
          <w14:textFill>
            <w14:solidFill>
              <w14:schemeClr w14:val="tx1"/>
            </w14:solidFill>
          </w14:textFill>
        </w:rPr>
        <w:t>100%</w:t>
      </w:r>
      <w:r>
        <w:rPr>
          <w:rFonts w:hint="eastAsia" w:eastAsia="仿宋"/>
          <w:color w:val="000000" w:themeColor="text1"/>
          <w:sz w:val="32"/>
          <w:szCs w:val="32"/>
          <w14:textFill>
            <w14:solidFill>
              <w14:schemeClr w14:val="tx1"/>
            </w14:solidFill>
          </w14:textFill>
        </w:rPr>
        <w:t>；免收通行费支付及时率</w:t>
      </w:r>
      <w:r>
        <w:rPr>
          <w:rFonts w:eastAsia="仿宋"/>
          <w:color w:val="000000" w:themeColor="text1"/>
          <w:sz w:val="32"/>
          <w:szCs w:val="32"/>
          <w14:textFill>
            <w14:solidFill>
              <w14:schemeClr w14:val="tx1"/>
            </w14:solidFill>
          </w14:textFill>
        </w:rPr>
        <w:t>100%</w:t>
      </w:r>
      <w:r>
        <w:rPr>
          <w:rFonts w:hint="eastAsia" w:eastAsia="仿宋"/>
          <w:color w:val="000000" w:themeColor="text1"/>
          <w:sz w:val="32"/>
          <w:szCs w:val="32"/>
          <w14:textFill>
            <w14:solidFill>
              <w14:schemeClr w14:val="tx1"/>
            </w14:solidFill>
          </w14:textFill>
        </w:rPr>
        <w:t>；有效宣传推广免费通行政策；加强道路养护管理，创造美好通行环境。</w:t>
      </w:r>
    </w:p>
    <w:p>
      <w:pPr>
        <w:widowControl/>
        <w:spacing w:line="560" w:lineRule="exact"/>
        <w:ind w:firstLine="643" w:firstLineChars="200"/>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3.项目资金情况</w:t>
      </w:r>
    </w:p>
    <w:p>
      <w:pPr>
        <w:widowControl/>
        <w:spacing w:line="560" w:lineRule="exact"/>
        <w:ind w:firstLine="640" w:firstLineChars="200"/>
        <w:jc w:val="left"/>
        <w:outlineLvl w:val="1"/>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本项目预算总额</w:t>
      </w:r>
      <w:r>
        <w:rPr>
          <w:rFonts w:eastAsia="仿宋"/>
          <w:color w:val="000000" w:themeColor="text1"/>
          <w:sz w:val="32"/>
          <w:szCs w:val="32"/>
          <w14:textFill>
            <w14:solidFill>
              <w14:schemeClr w14:val="tx1"/>
            </w14:solidFill>
          </w14:textFill>
        </w:rPr>
        <w:t>1600.00</w:t>
      </w:r>
      <w:r>
        <w:rPr>
          <w:rFonts w:hint="eastAsia" w:eastAsia="仿宋"/>
          <w:color w:val="000000" w:themeColor="text1"/>
          <w:sz w:val="32"/>
          <w:szCs w:val="32"/>
          <w14:textFill>
            <w14:solidFill>
              <w14:schemeClr w14:val="tx1"/>
            </w14:solidFill>
          </w14:textFill>
        </w:rPr>
        <w:t>万元，执行数</w:t>
      </w:r>
      <w:r>
        <w:rPr>
          <w:rFonts w:eastAsia="仿宋"/>
          <w:color w:val="000000" w:themeColor="text1"/>
          <w:sz w:val="32"/>
          <w:szCs w:val="32"/>
          <w14:textFill>
            <w14:solidFill>
              <w14:schemeClr w14:val="tx1"/>
            </w14:solidFill>
          </w14:textFill>
        </w:rPr>
        <w:t>1600.00</w:t>
      </w:r>
      <w:r>
        <w:rPr>
          <w:rFonts w:hint="eastAsia" w:eastAsia="仿宋"/>
          <w:color w:val="000000" w:themeColor="text1"/>
          <w:sz w:val="32"/>
          <w:szCs w:val="32"/>
          <w14:textFill>
            <w14:solidFill>
              <w14:schemeClr w14:val="tx1"/>
            </w14:solidFill>
          </w14:textFill>
        </w:rPr>
        <w:t>万元，预算执行率</w:t>
      </w:r>
      <w:r>
        <w:rPr>
          <w:rFonts w:eastAsia="仿宋"/>
          <w:color w:val="000000" w:themeColor="text1"/>
          <w:sz w:val="32"/>
          <w:szCs w:val="32"/>
          <w14:textFill>
            <w14:solidFill>
              <w14:schemeClr w14:val="tx1"/>
            </w14:solidFill>
          </w14:textFill>
        </w:rPr>
        <w:t>100%</w:t>
      </w:r>
      <w:r>
        <w:rPr>
          <w:rFonts w:hint="eastAsia" w:eastAsia="仿宋"/>
          <w:color w:val="000000" w:themeColor="text1"/>
          <w:sz w:val="32"/>
          <w:szCs w:val="32"/>
          <w14:textFill>
            <w14:solidFill>
              <w14:schemeClr w14:val="tx1"/>
            </w14:solidFill>
          </w14:textFill>
        </w:rPr>
        <w:t>。</w:t>
      </w:r>
    </w:p>
    <w:p>
      <w:pPr>
        <w:widowControl/>
        <w:spacing w:line="560" w:lineRule="exact"/>
        <w:ind w:firstLine="643" w:firstLineChars="200"/>
        <w:jc w:val="left"/>
        <w:outlineLvl w:val="1"/>
        <w:rPr>
          <w:rFonts w:eastAsia="宋体"/>
          <w:color w:val="000000" w:themeColor="text1"/>
          <w:kern w:val="0"/>
          <w:sz w:val="24"/>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（二）部门自评工作开展情况</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本次自评时间从202</w:t>
      </w:r>
      <w:r>
        <w:rPr>
          <w:rFonts w:eastAsia="仿宋"/>
          <w:color w:val="000000" w:themeColor="text1"/>
          <w:sz w:val="32"/>
          <w:szCs w:val="32"/>
          <w14:textFill>
            <w14:solidFill>
              <w14:schemeClr w14:val="tx1"/>
            </w14:solidFill>
          </w14:textFill>
        </w:rPr>
        <w:t>2</w:t>
      </w:r>
      <w:r>
        <w:rPr>
          <w:rFonts w:hint="eastAsia" w:eastAsia="仿宋"/>
          <w:color w:val="000000" w:themeColor="text1"/>
          <w:sz w:val="32"/>
          <w:szCs w:val="32"/>
          <w14:textFill>
            <w14:solidFill>
              <w14:schemeClr w14:val="tx1"/>
            </w14:solidFill>
          </w14:textFill>
        </w:rPr>
        <w:t>年</w:t>
      </w:r>
      <w:r>
        <w:rPr>
          <w:rFonts w:eastAsia="仿宋"/>
          <w:color w:val="000000" w:themeColor="text1"/>
          <w:sz w:val="32"/>
          <w:szCs w:val="32"/>
          <w14:textFill>
            <w14:solidFill>
              <w14:schemeClr w14:val="tx1"/>
            </w14:solidFill>
          </w14:textFill>
        </w:rPr>
        <w:t>5</w:t>
      </w:r>
      <w:r>
        <w:rPr>
          <w:rFonts w:hint="eastAsia" w:eastAsia="仿宋"/>
          <w:color w:val="000000" w:themeColor="text1"/>
          <w:sz w:val="32"/>
          <w:szCs w:val="32"/>
          <w14:textFill>
            <w14:solidFill>
              <w14:schemeClr w14:val="tx1"/>
            </w14:solidFill>
          </w14:textFill>
        </w:rPr>
        <w:t>月</w:t>
      </w:r>
      <w:r>
        <w:rPr>
          <w:rFonts w:eastAsia="仿宋"/>
          <w:color w:val="000000" w:themeColor="text1"/>
          <w:sz w:val="32"/>
          <w:szCs w:val="32"/>
          <w14:textFill>
            <w14:solidFill>
              <w14:schemeClr w14:val="tx1"/>
            </w14:solidFill>
          </w14:textFill>
        </w:rPr>
        <w:t>15</w:t>
      </w:r>
      <w:r>
        <w:rPr>
          <w:rFonts w:hint="eastAsia" w:eastAsia="仿宋"/>
          <w:color w:val="000000" w:themeColor="text1"/>
          <w:sz w:val="32"/>
          <w:szCs w:val="32"/>
          <w14:textFill>
            <w14:solidFill>
              <w14:schemeClr w14:val="tx1"/>
            </w14:solidFill>
          </w14:textFill>
        </w:rPr>
        <w:t>日至202</w:t>
      </w:r>
      <w:r>
        <w:rPr>
          <w:rFonts w:eastAsia="仿宋"/>
          <w:color w:val="000000" w:themeColor="text1"/>
          <w:sz w:val="32"/>
          <w:szCs w:val="32"/>
          <w14:textFill>
            <w14:solidFill>
              <w14:schemeClr w14:val="tx1"/>
            </w14:solidFill>
          </w14:textFill>
        </w:rPr>
        <w:t>2</w:t>
      </w:r>
      <w:r>
        <w:rPr>
          <w:rFonts w:hint="eastAsia" w:eastAsia="仿宋"/>
          <w:color w:val="000000" w:themeColor="text1"/>
          <w:sz w:val="32"/>
          <w:szCs w:val="32"/>
          <w14:textFill>
            <w14:solidFill>
              <w14:schemeClr w14:val="tx1"/>
            </w14:solidFill>
          </w14:textFill>
        </w:rPr>
        <w:t>年</w:t>
      </w:r>
      <w:r>
        <w:rPr>
          <w:rFonts w:eastAsia="仿宋"/>
          <w:color w:val="000000" w:themeColor="text1"/>
          <w:sz w:val="32"/>
          <w:szCs w:val="32"/>
          <w14:textFill>
            <w14:solidFill>
              <w14:schemeClr w14:val="tx1"/>
            </w14:solidFill>
          </w14:textFill>
        </w:rPr>
        <w:t>5</w:t>
      </w:r>
      <w:r>
        <w:rPr>
          <w:rFonts w:hint="eastAsia" w:eastAsia="仿宋"/>
          <w:color w:val="000000" w:themeColor="text1"/>
          <w:sz w:val="32"/>
          <w:szCs w:val="32"/>
          <w14:textFill>
            <w14:solidFill>
              <w14:schemeClr w14:val="tx1"/>
            </w14:solidFill>
          </w14:textFill>
        </w:rPr>
        <w:t>月</w:t>
      </w:r>
      <w:r>
        <w:rPr>
          <w:rFonts w:eastAsia="仿宋"/>
          <w:color w:val="000000" w:themeColor="text1"/>
          <w:sz w:val="32"/>
          <w:szCs w:val="32"/>
          <w14:textFill>
            <w14:solidFill>
              <w14:schemeClr w14:val="tx1"/>
            </w14:solidFill>
          </w14:textFill>
        </w:rPr>
        <w:t>25</w:t>
      </w:r>
      <w:r>
        <w:rPr>
          <w:rFonts w:hint="eastAsia" w:eastAsia="仿宋"/>
          <w:color w:val="000000" w:themeColor="text1"/>
          <w:sz w:val="32"/>
          <w:szCs w:val="32"/>
          <w14:textFill>
            <w14:solidFill>
              <w14:schemeClr w14:val="tx1"/>
            </w14:solidFill>
          </w14:textFill>
        </w:rPr>
        <w:t>日，历时</w:t>
      </w:r>
      <w:r>
        <w:rPr>
          <w:rFonts w:eastAsia="仿宋"/>
          <w:color w:val="000000" w:themeColor="text1"/>
          <w:sz w:val="32"/>
          <w:szCs w:val="32"/>
          <w14:textFill>
            <w14:solidFill>
              <w14:schemeClr w14:val="tx1"/>
            </w14:solidFill>
          </w14:textFill>
        </w:rPr>
        <w:t>11</w:t>
      </w:r>
      <w:r>
        <w:rPr>
          <w:rFonts w:hint="eastAsia" w:eastAsia="仿宋"/>
          <w:color w:val="000000" w:themeColor="text1"/>
          <w:sz w:val="32"/>
          <w:szCs w:val="32"/>
          <w14:textFill>
            <w14:solidFill>
              <w14:schemeClr w14:val="tx1"/>
            </w14:solidFill>
          </w14:textFill>
        </w:rPr>
        <w:t>天。自评工作程序如下：</w:t>
      </w:r>
    </w:p>
    <w:p>
      <w:pPr>
        <w:widowControl/>
        <w:spacing w:line="560" w:lineRule="exact"/>
        <w:ind w:firstLine="643" w:firstLineChars="200"/>
        <w:rPr>
          <w:rFonts w:eastAsia="仿宋"/>
          <w:b/>
          <w:bCs/>
          <w:color w:val="000000" w:themeColor="text1"/>
          <w:sz w:val="32"/>
          <w:szCs w:val="32"/>
          <w14:textFill>
            <w14:solidFill>
              <w14:schemeClr w14:val="tx1"/>
            </w14:solidFill>
          </w14:textFill>
        </w:rPr>
      </w:pPr>
      <w:r>
        <w:rPr>
          <w:rFonts w:eastAsia="仿宋"/>
          <w:b/>
          <w:bCs/>
          <w:color w:val="000000" w:themeColor="text1"/>
          <w:sz w:val="32"/>
          <w:szCs w:val="32"/>
          <w14:textFill>
            <w14:solidFill>
              <w14:schemeClr w14:val="tx1"/>
            </w14:solidFill>
          </w14:textFill>
        </w:rPr>
        <w:t>1.</w:t>
      </w:r>
      <w:r>
        <w:rPr>
          <w:rFonts w:hint="eastAsia" w:eastAsia="仿宋"/>
          <w:b/>
          <w:bCs/>
          <w:color w:val="000000" w:themeColor="text1"/>
          <w:sz w:val="32"/>
          <w:szCs w:val="32"/>
          <w14:textFill>
            <w14:solidFill>
              <w14:schemeClr w14:val="tx1"/>
            </w14:solidFill>
          </w14:textFill>
        </w:rPr>
        <w:t>制定工作方案</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部门自评工作方案由财务部门会同第三方机构共同研究制订。根据部门主要负责同志要求和武汉经济技术开发区（汉南区）财政局发布的</w:t>
      </w:r>
      <w:r>
        <w:rPr>
          <w:rFonts w:hint="eastAsia" w:eastAsia="仿宋"/>
          <w:sz w:val="32"/>
          <w:szCs w:val="32"/>
        </w:rPr>
        <w:t>《关于开展2022年预算绩效评价及项目支出绩效运行监控的通知》（武经开〔202</w:t>
      </w:r>
      <w:r>
        <w:rPr>
          <w:rFonts w:eastAsia="仿宋"/>
          <w:sz w:val="32"/>
          <w:szCs w:val="32"/>
        </w:rPr>
        <w:t>2</w:t>
      </w:r>
      <w:r>
        <w:rPr>
          <w:rFonts w:hint="eastAsia" w:eastAsia="仿宋"/>
          <w:sz w:val="32"/>
          <w:szCs w:val="32"/>
        </w:rPr>
        <w:t>〕</w:t>
      </w:r>
      <w:r>
        <w:rPr>
          <w:rFonts w:eastAsia="仿宋"/>
          <w:sz w:val="32"/>
          <w:szCs w:val="32"/>
        </w:rPr>
        <w:t>8</w:t>
      </w:r>
      <w:r>
        <w:rPr>
          <w:rFonts w:hint="eastAsia" w:eastAsia="仿宋"/>
          <w:sz w:val="32"/>
          <w:szCs w:val="32"/>
        </w:rPr>
        <w:t>号）</w:t>
      </w:r>
      <w:r>
        <w:rPr>
          <w:rFonts w:hint="eastAsia" w:eastAsia="仿宋"/>
          <w:color w:val="000000" w:themeColor="text1"/>
          <w:sz w:val="32"/>
          <w:szCs w:val="32"/>
          <w14:textFill>
            <w14:solidFill>
              <w14:schemeClr w14:val="tx1"/>
            </w14:solidFill>
          </w14:textFill>
        </w:rPr>
        <w:t>启动部门自评工作。</w:t>
      </w:r>
    </w:p>
    <w:p>
      <w:pPr>
        <w:widowControl/>
        <w:spacing w:line="560" w:lineRule="exact"/>
        <w:ind w:firstLine="643" w:firstLineChars="200"/>
        <w:rPr>
          <w:rFonts w:eastAsia="仿宋"/>
          <w:b/>
          <w:bCs/>
          <w:color w:val="000000" w:themeColor="text1"/>
          <w:sz w:val="32"/>
          <w:szCs w:val="32"/>
          <w14:textFill>
            <w14:solidFill>
              <w14:schemeClr w14:val="tx1"/>
            </w14:solidFill>
          </w14:textFill>
        </w:rPr>
      </w:pPr>
      <w:r>
        <w:rPr>
          <w:rFonts w:hint="eastAsia" w:eastAsia="仿宋"/>
          <w:b/>
          <w:bCs/>
          <w:color w:val="000000" w:themeColor="text1"/>
          <w:sz w:val="32"/>
          <w:szCs w:val="32"/>
          <w14:textFill>
            <w14:solidFill>
              <w14:schemeClr w14:val="tx1"/>
            </w14:solidFill>
          </w14:textFill>
        </w:rPr>
        <w:t>2.组织实施自评</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财务部门会同第三方机构及时成立工作组，通过调研访谈、电话访谈等方式收集、核实数据和信息，并对这些数据和信息进行整理分析。</w:t>
      </w:r>
    </w:p>
    <w:p>
      <w:pPr>
        <w:widowControl/>
        <w:spacing w:line="560" w:lineRule="exact"/>
        <w:ind w:firstLine="643" w:firstLineChars="200"/>
        <w:rPr>
          <w:rFonts w:eastAsia="仿宋"/>
          <w:b/>
          <w:bCs/>
          <w:color w:val="000000" w:themeColor="text1"/>
          <w:sz w:val="32"/>
          <w:szCs w:val="32"/>
          <w14:textFill>
            <w14:solidFill>
              <w14:schemeClr w14:val="tx1"/>
            </w14:solidFill>
          </w14:textFill>
        </w:rPr>
      </w:pPr>
      <w:r>
        <w:rPr>
          <w:rFonts w:hint="eastAsia" w:eastAsia="仿宋"/>
          <w:b/>
          <w:bCs/>
          <w:color w:val="000000" w:themeColor="text1"/>
          <w:sz w:val="32"/>
          <w:szCs w:val="32"/>
          <w14:textFill>
            <w14:solidFill>
              <w14:schemeClr w14:val="tx1"/>
            </w14:solidFill>
          </w14:textFill>
        </w:rPr>
        <w:t>3.撰写部门项目自评结果</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在整理分析基础上，形成部门项目自评结果。</w:t>
      </w:r>
    </w:p>
    <w:p>
      <w:pPr>
        <w:widowControl/>
        <w:spacing w:line="560" w:lineRule="exact"/>
        <w:ind w:firstLine="643" w:firstLineChars="200"/>
        <w:rPr>
          <w:rFonts w:eastAsia="仿宋"/>
          <w:b/>
          <w:bCs/>
          <w:color w:val="000000" w:themeColor="text1"/>
          <w:sz w:val="32"/>
          <w:szCs w:val="32"/>
          <w14:textFill>
            <w14:solidFill>
              <w14:schemeClr w14:val="tx1"/>
            </w14:solidFill>
          </w14:textFill>
        </w:rPr>
      </w:pPr>
      <w:r>
        <w:rPr>
          <w:rFonts w:hint="eastAsia" w:eastAsia="仿宋"/>
          <w:b/>
          <w:bCs/>
          <w:color w:val="000000" w:themeColor="text1"/>
          <w:sz w:val="32"/>
          <w:szCs w:val="32"/>
          <w14:textFill>
            <w14:solidFill>
              <w14:schemeClr w14:val="tx1"/>
            </w14:solidFill>
          </w14:textFill>
        </w:rPr>
        <w:t>4.建立部门项目自评档案</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部门项目自评结果按时报送财政部门备案并及时归档备查。</w:t>
      </w:r>
    </w:p>
    <w:p>
      <w:pPr>
        <w:widowControl/>
        <w:spacing w:line="560" w:lineRule="exact"/>
        <w:ind w:firstLine="643" w:firstLineChars="200"/>
        <w:jc w:val="left"/>
        <w:outlineLvl w:val="1"/>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（三）绩效目标完成情况分析</w:t>
      </w:r>
    </w:p>
    <w:p>
      <w:pPr>
        <w:widowControl/>
        <w:spacing w:line="560" w:lineRule="exact"/>
        <w:ind w:firstLine="643" w:firstLineChars="200"/>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1.预算执行情况分析（满分20分，得分</w:t>
      </w:r>
      <w:r>
        <w:rPr>
          <w:rFonts w:eastAsia="仿宋"/>
          <w:b/>
          <w:color w:val="000000" w:themeColor="text1"/>
          <w:sz w:val="32"/>
          <w:szCs w:val="32"/>
          <w14:textFill>
            <w14:solidFill>
              <w14:schemeClr w14:val="tx1"/>
            </w14:solidFill>
          </w14:textFill>
        </w:rPr>
        <w:t>20</w:t>
      </w:r>
      <w:r>
        <w:rPr>
          <w:rFonts w:hint="eastAsia" w:eastAsia="仿宋"/>
          <w:b/>
          <w:color w:val="000000" w:themeColor="text1"/>
          <w:sz w:val="32"/>
          <w:szCs w:val="32"/>
          <w14:textFill>
            <w14:solidFill>
              <w14:schemeClr w14:val="tx1"/>
            </w14:solidFill>
          </w14:textFill>
        </w:rPr>
        <w:t>分）</w:t>
      </w:r>
    </w:p>
    <w:p>
      <w:pPr>
        <w:widowControl/>
        <w:spacing w:line="560" w:lineRule="exact"/>
        <w:ind w:firstLine="640" w:firstLineChars="200"/>
        <w:jc w:val="left"/>
        <w:outlineLvl w:val="1"/>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本项目预算总额</w:t>
      </w:r>
      <w:r>
        <w:rPr>
          <w:rFonts w:eastAsia="仿宋"/>
          <w:color w:val="000000" w:themeColor="text1"/>
          <w:sz w:val="32"/>
          <w:szCs w:val="32"/>
          <w14:textFill>
            <w14:solidFill>
              <w14:schemeClr w14:val="tx1"/>
            </w14:solidFill>
          </w14:textFill>
        </w:rPr>
        <w:t>1600.00</w:t>
      </w:r>
      <w:r>
        <w:rPr>
          <w:rFonts w:hint="eastAsia" w:eastAsia="仿宋"/>
          <w:color w:val="000000" w:themeColor="text1"/>
          <w:sz w:val="32"/>
          <w:szCs w:val="32"/>
          <w14:textFill>
            <w14:solidFill>
              <w14:schemeClr w14:val="tx1"/>
            </w14:solidFill>
          </w14:textFill>
        </w:rPr>
        <w:t>万元，执行数</w:t>
      </w:r>
      <w:r>
        <w:rPr>
          <w:rFonts w:eastAsia="仿宋"/>
          <w:color w:val="000000" w:themeColor="text1"/>
          <w:sz w:val="32"/>
          <w:szCs w:val="32"/>
          <w14:textFill>
            <w14:solidFill>
              <w14:schemeClr w14:val="tx1"/>
            </w14:solidFill>
          </w14:textFill>
        </w:rPr>
        <w:t>1600.00</w:t>
      </w:r>
      <w:r>
        <w:rPr>
          <w:rFonts w:hint="eastAsia" w:eastAsia="仿宋"/>
          <w:color w:val="000000" w:themeColor="text1"/>
          <w:sz w:val="32"/>
          <w:szCs w:val="32"/>
          <w14:textFill>
            <w14:solidFill>
              <w14:schemeClr w14:val="tx1"/>
            </w14:solidFill>
          </w14:textFill>
        </w:rPr>
        <w:t>万元，预算执行率</w:t>
      </w:r>
      <w:r>
        <w:rPr>
          <w:rFonts w:eastAsia="仿宋"/>
          <w:color w:val="000000" w:themeColor="text1"/>
          <w:sz w:val="32"/>
          <w:szCs w:val="32"/>
          <w14:textFill>
            <w14:solidFill>
              <w14:schemeClr w14:val="tx1"/>
            </w14:solidFill>
          </w14:textFill>
        </w:rPr>
        <w:t>100%</w:t>
      </w:r>
      <w:r>
        <w:rPr>
          <w:rFonts w:hint="eastAsia" w:eastAsia="仿宋"/>
          <w:color w:val="000000" w:themeColor="text1"/>
          <w:sz w:val="32"/>
          <w:szCs w:val="32"/>
          <w14:textFill>
            <w14:solidFill>
              <w14:schemeClr w14:val="tx1"/>
            </w14:solidFill>
          </w14:textFill>
        </w:rPr>
        <w:t>。</w:t>
      </w:r>
    </w:p>
    <w:p>
      <w:pPr>
        <w:widowControl/>
        <w:spacing w:line="560" w:lineRule="exact"/>
        <w:ind w:firstLine="643" w:firstLineChars="200"/>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2.绩效目标完成情况分析（满分80分，得分</w:t>
      </w:r>
      <w:r>
        <w:rPr>
          <w:rFonts w:eastAsia="仿宋"/>
          <w:b/>
          <w:color w:val="000000" w:themeColor="text1"/>
          <w:sz w:val="32"/>
          <w:szCs w:val="32"/>
          <w14:textFill>
            <w14:solidFill>
              <w14:schemeClr w14:val="tx1"/>
            </w14:solidFill>
          </w14:textFill>
        </w:rPr>
        <w:t>78.3</w:t>
      </w:r>
      <w:r>
        <w:rPr>
          <w:rFonts w:hint="eastAsia" w:eastAsia="仿宋"/>
          <w:b/>
          <w:color w:val="000000" w:themeColor="text1"/>
          <w:sz w:val="32"/>
          <w:szCs w:val="32"/>
          <w14:textFill>
            <w14:solidFill>
              <w14:schemeClr w14:val="tx1"/>
            </w14:solidFill>
          </w14:textFill>
        </w:rPr>
        <w:t>分）</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w:t>
      </w:r>
      <w:r>
        <w:rPr>
          <w:rFonts w:eastAsia="仿宋"/>
          <w:color w:val="000000" w:themeColor="text1"/>
          <w:sz w:val="32"/>
          <w:szCs w:val="32"/>
          <w14:textFill>
            <w14:solidFill>
              <w14:schemeClr w14:val="tx1"/>
            </w14:solidFill>
          </w14:textFill>
        </w:rPr>
        <w:t>1</w:t>
      </w:r>
      <w:r>
        <w:rPr>
          <w:rFonts w:hint="eastAsia" w:eastAsia="仿宋"/>
          <w:color w:val="000000" w:themeColor="text1"/>
          <w:sz w:val="32"/>
          <w:szCs w:val="32"/>
          <w14:textFill>
            <w14:solidFill>
              <w14:schemeClr w14:val="tx1"/>
            </w14:solidFill>
          </w14:textFill>
        </w:rPr>
        <w:t>）产出指标完成情况分析（满分</w:t>
      </w:r>
      <w:r>
        <w:rPr>
          <w:rFonts w:eastAsia="仿宋"/>
          <w:color w:val="000000" w:themeColor="text1"/>
          <w:sz w:val="32"/>
          <w:szCs w:val="32"/>
          <w14:textFill>
            <w14:solidFill>
              <w14:schemeClr w14:val="tx1"/>
            </w14:solidFill>
          </w14:textFill>
        </w:rPr>
        <w:t>40</w:t>
      </w:r>
      <w:r>
        <w:rPr>
          <w:rFonts w:hint="eastAsia" w:eastAsia="仿宋"/>
          <w:color w:val="000000" w:themeColor="text1"/>
          <w:sz w:val="32"/>
          <w:szCs w:val="32"/>
          <w14:textFill>
            <w14:solidFill>
              <w14:schemeClr w14:val="tx1"/>
            </w14:solidFill>
          </w14:textFill>
        </w:rPr>
        <w:t>分，得分</w:t>
      </w:r>
      <w:r>
        <w:rPr>
          <w:rFonts w:eastAsia="仿宋"/>
          <w:color w:val="000000" w:themeColor="text1"/>
          <w:sz w:val="32"/>
          <w:szCs w:val="32"/>
          <w14:textFill>
            <w14:solidFill>
              <w14:schemeClr w14:val="tx1"/>
            </w14:solidFill>
          </w14:textFill>
        </w:rPr>
        <w:t>38.3</w:t>
      </w:r>
      <w:r>
        <w:rPr>
          <w:rFonts w:hint="eastAsia" w:eastAsia="仿宋"/>
          <w:color w:val="000000" w:themeColor="text1"/>
          <w:sz w:val="32"/>
          <w:szCs w:val="32"/>
          <w14:textFill>
            <w14:solidFill>
              <w14:schemeClr w14:val="tx1"/>
            </w14:solidFill>
          </w14:textFill>
        </w:rPr>
        <w:t>分）</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①</w:t>
      </w:r>
      <w:r>
        <w:rPr>
          <w:rFonts w:hint="eastAsia" w:eastAsia="仿宋"/>
          <w:color w:val="000000" w:themeColor="text1"/>
          <w:sz w:val="32"/>
          <w:szCs w:val="32"/>
          <w14:textFill>
            <w14:solidFill>
              <w14:schemeClr w14:val="tx1"/>
            </w14:solidFill>
          </w14:textFill>
        </w:rPr>
        <w:t>统计核查车辆通行情况次数：满分1</w:t>
      </w:r>
      <w:r>
        <w:rPr>
          <w:rFonts w:eastAsia="仿宋"/>
          <w:color w:val="000000" w:themeColor="text1"/>
          <w:sz w:val="32"/>
          <w:szCs w:val="32"/>
          <w14:textFill>
            <w14:solidFill>
              <w14:schemeClr w14:val="tx1"/>
            </w14:solidFill>
          </w14:textFill>
        </w:rPr>
        <w:t>0</w:t>
      </w:r>
      <w:r>
        <w:rPr>
          <w:rFonts w:hint="eastAsia" w:eastAsia="仿宋"/>
          <w:color w:val="000000" w:themeColor="text1"/>
          <w:sz w:val="32"/>
          <w:szCs w:val="32"/>
          <w14:textFill>
            <w14:solidFill>
              <w14:schemeClr w14:val="tx1"/>
            </w14:solidFill>
          </w14:textFill>
        </w:rPr>
        <w:t>分，得分</w:t>
      </w:r>
      <w:r>
        <w:rPr>
          <w:rFonts w:eastAsia="仿宋"/>
          <w:color w:val="000000" w:themeColor="text1"/>
          <w:sz w:val="32"/>
          <w:szCs w:val="32"/>
          <w14:textFill>
            <w14:solidFill>
              <w14:schemeClr w14:val="tx1"/>
            </w14:solidFill>
          </w14:textFill>
        </w:rPr>
        <w:t>8.3</w:t>
      </w:r>
      <w:r>
        <w:rPr>
          <w:rFonts w:hint="eastAsia" w:eastAsia="仿宋"/>
          <w:color w:val="000000" w:themeColor="text1"/>
          <w:sz w:val="32"/>
          <w:szCs w:val="32"/>
          <w14:textFill>
            <w14:solidFill>
              <w14:schemeClr w14:val="tx1"/>
            </w14:solidFill>
          </w14:textFill>
        </w:rPr>
        <w:t>分</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目标为统计核查车辆通行情况次数每月1次，因受 2020 年全国高速公路收费系统受交通部主导进行改革的影响，现有高速公路收费系统无法查询 2020年1-2月相关车辆通行信息。完成率</w:t>
      </w:r>
      <w:r>
        <w:rPr>
          <w:rFonts w:eastAsia="仿宋"/>
          <w:color w:val="000000" w:themeColor="text1"/>
          <w:sz w:val="32"/>
          <w:szCs w:val="32"/>
          <w14:textFill>
            <w14:solidFill>
              <w14:schemeClr w14:val="tx1"/>
            </w14:solidFill>
          </w14:textFill>
        </w:rPr>
        <w:t>83.33</w:t>
      </w:r>
      <w:r>
        <w:rPr>
          <w:rFonts w:hint="eastAsia" w:eastAsia="仿宋"/>
          <w:color w:val="000000" w:themeColor="text1"/>
          <w:sz w:val="32"/>
          <w:szCs w:val="32"/>
          <w14:textFill>
            <w14:solidFill>
              <w14:schemeClr w14:val="tx1"/>
            </w14:solidFill>
          </w14:textFill>
        </w:rPr>
        <w:t>%，未完成目标。</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②</w:t>
      </w:r>
      <w:r>
        <w:rPr>
          <w:rFonts w:hint="eastAsia" w:eastAsia="仿宋"/>
          <w:color w:val="000000" w:themeColor="text1"/>
          <w:sz w:val="32"/>
          <w:szCs w:val="32"/>
          <w14:textFill>
            <w14:solidFill>
              <w14:schemeClr w14:val="tx1"/>
            </w14:solidFill>
          </w14:textFill>
        </w:rPr>
        <w:t>保障收费秩序良好：满分1</w:t>
      </w:r>
      <w:r>
        <w:rPr>
          <w:rFonts w:eastAsia="仿宋"/>
          <w:color w:val="000000" w:themeColor="text1"/>
          <w:sz w:val="32"/>
          <w:szCs w:val="32"/>
          <w14:textFill>
            <w14:solidFill>
              <w14:schemeClr w14:val="tx1"/>
            </w14:solidFill>
          </w14:textFill>
        </w:rPr>
        <w:t>0</w:t>
      </w:r>
      <w:r>
        <w:rPr>
          <w:rFonts w:hint="eastAsia" w:eastAsia="仿宋"/>
          <w:color w:val="000000" w:themeColor="text1"/>
          <w:sz w:val="32"/>
          <w:szCs w:val="32"/>
          <w14:textFill>
            <w14:solidFill>
              <w14:schemeClr w14:val="tx1"/>
            </w14:solidFill>
          </w14:textFill>
        </w:rPr>
        <w:t>分，得分</w:t>
      </w:r>
      <w:r>
        <w:rPr>
          <w:rFonts w:eastAsia="仿宋"/>
          <w:color w:val="000000" w:themeColor="text1"/>
          <w:sz w:val="32"/>
          <w:szCs w:val="32"/>
          <w14:textFill>
            <w14:solidFill>
              <w14:schemeClr w14:val="tx1"/>
            </w14:solidFill>
          </w14:textFill>
        </w:rPr>
        <w:t>10</w:t>
      </w:r>
      <w:r>
        <w:rPr>
          <w:rFonts w:hint="eastAsia" w:eastAsia="仿宋"/>
          <w:color w:val="000000" w:themeColor="text1"/>
          <w:sz w:val="32"/>
          <w:szCs w:val="32"/>
          <w14:textFill>
            <w14:solidFill>
              <w14:schemeClr w14:val="tx1"/>
            </w14:solidFill>
          </w14:textFill>
        </w:rPr>
        <w:t>分</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目标为保障收费秩序良好，湖北汉洪高速公路有限责任公司按照行业管理规范要求，有效组织人员和设施设备，合理安排小军山收费站、汉南收费站 ETC 车道的设置，加强文明服务，确保车辆正常有序通行，维护良好的收费秩序，完成目标。</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③</w:t>
      </w:r>
      <w:r>
        <w:rPr>
          <w:rFonts w:hint="eastAsia" w:eastAsia="仿宋"/>
          <w:color w:val="000000" w:themeColor="text1"/>
          <w:sz w:val="32"/>
          <w:szCs w:val="32"/>
          <w14:textFill>
            <w14:solidFill>
              <w14:schemeClr w14:val="tx1"/>
            </w14:solidFill>
          </w14:textFill>
        </w:rPr>
        <w:t>免收通行费资金到位率：满分</w:t>
      </w:r>
      <w:r>
        <w:rPr>
          <w:rFonts w:eastAsia="仿宋"/>
          <w:color w:val="000000" w:themeColor="text1"/>
          <w:sz w:val="32"/>
          <w:szCs w:val="32"/>
          <w14:textFill>
            <w14:solidFill>
              <w14:schemeClr w14:val="tx1"/>
            </w14:solidFill>
          </w14:textFill>
        </w:rPr>
        <w:t>10</w:t>
      </w:r>
      <w:r>
        <w:rPr>
          <w:rFonts w:hint="eastAsia" w:eastAsia="仿宋"/>
          <w:color w:val="000000" w:themeColor="text1"/>
          <w:sz w:val="32"/>
          <w:szCs w:val="32"/>
          <w14:textFill>
            <w14:solidFill>
              <w14:schemeClr w14:val="tx1"/>
            </w14:solidFill>
          </w14:textFill>
        </w:rPr>
        <w:t>分，得分</w:t>
      </w:r>
      <w:r>
        <w:rPr>
          <w:rFonts w:eastAsia="仿宋"/>
          <w:color w:val="000000" w:themeColor="text1"/>
          <w:sz w:val="32"/>
          <w:szCs w:val="32"/>
          <w14:textFill>
            <w14:solidFill>
              <w14:schemeClr w14:val="tx1"/>
            </w14:solidFill>
          </w14:textFill>
        </w:rPr>
        <w:t>10</w:t>
      </w:r>
      <w:r>
        <w:rPr>
          <w:rFonts w:hint="eastAsia" w:eastAsia="仿宋"/>
          <w:color w:val="000000" w:themeColor="text1"/>
          <w:sz w:val="32"/>
          <w:szCs w:val="32"/>
          <w14:textFill>
            <w14:solidFill>
              <w14:schemeClr w14:val="tx1"/>
            </w14:solidFill>
          </w14:textFill>
        </w:rPr>
        <w:t>分</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目标为免收通行费资金到位率100%，汉洪高速公路小军山至汉南“点对点”免费通行路段2020年1月1日至2020年 12月31日通行费送审金额为47610339.22 元，审计结算金额为 44058819.36元。2021年12月1日，经局党组会研究，已从专项经费中调转 1600万，用于支付该费用。本次我局支付资金 2805.88万元，用于该项目尾款，支付比例为审计结算的100%。免收通行费资金到位率100%，完成目标。</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④</w:t>
      </w:r>
      <w:r>
        <w:rPr>
          <w:rFonts w:hint="eastAsia" w:eastAsia="仿宋"/>
          <w:color w:val="000000" w:themeColor="text1"/>
          <w:sz w:val="32"/>
          <w:szCs w:val="32"/>
          <w14:textFill>
            <w14:solidFill>
              <w14:schemeClr w14:val="tx1"/>
            </w14:solidFill>
          </w14:textFill>
        </w:rPr>
        <w:t>免收通行费支付及时率：满分</w:t>
      </w:r>
      <w:r>
        <w:rPr>
          <w:rFonts w:eastAsia="仿宋"/>
          <w:color w:val="000000" w:themeColor="text1"/>
          <w:sz w:val="32"/>
          <w:szCs w:val="32"/>
          <w14:textFill>
            <w14:solidFill>
              <w14:schemeClr w14:val="tx1"/>
            </w14:solidFill>
          </w14:textFill>
        </w:rPr>
        <w:t>10</w:t>
      </w:r>
      <w:r>
        <w:rPr>
          <w:rFonts w:hint="eastAsia" w:eastAsia="仿宋"/>
          <w:color w:val="000000" w:themeColor="text1"/>
          <w:sz w:val="32"/>
          <w:szCs w:val="32"/>
          <w14:textFill>
            <w14:solidFill>
              <w14:schemeClr w14:val="tx1"/>
            </w14:solidFill>
          </w14:textFill>
        </w:rPr>
        <w:t>分，得分</w:t>
      </w:r>
      <w:r>
        <w:rPr>
          <w:rFonts w:eastAsia="仿宋"/>
          <w:color w:val="000000" w:themeColor="text1"/>
          <w:sz w:val="32"/>
          <w:szCs w:val="32"/>
          <w14:textFill>
            <w14:solidFill>
              <w14:schemeClr w14:val="tx1"/>
            </w14:solidFill>
          </w14:textFill>
        </w:rPr>
        <w:t>10</w:t>
      </w:r>
      <w:r>
        <w:rPr>
          <w:rFonts w:hint="eastAsia" w:eastAsia="仿宋"/>
          <w:color w:val="000000" w:themeColor="text1"/>
          <w:sz w:val="32"/>
          <w:szCs w:val="32"/>
          <w14:textFill>
            <w14:solidFill>
              <w14:schemeClr w14:val="tx1"/>
            </w14:solidFill>
          </w14:textFill>
        </w:rPr>
        <w:t>分</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目标为免收通行费支付及时率100%，该项目已经按照合同规定，及时按照进度支付免收通行费。免收通行费支付及时率100%，完成目标。</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w:t>
      </w:r>
      <w:r>
        <w:rPr>
          <w:rFonts w:eastAsia="仿宋"/>
          <w:color w:val="000000" w:themeColor="text1"/>
          <w:sz w:val="32"/>
          <w:szCs w:val="32"/>
          <w14:textFill>
            <w14:solidFill>
              <w14:schemeClr w14:val="tx1"/>
            </w14:solidFill>
          </w14:textFill>
        </w:rPr>
        <w:t>2</w:t>
      </w:r>
      <w:r>
        <w:rPr>
          <w:rFonts w:hint="eastAsia" w:eastAsia="仿宋"/>
          <w:color w:val="000000" w:themeColor="text1"/>
          <w:sz w:val="32"/>
          <w:szCs w:val="32"/>
          <w14:textFill>
            <w14:solidFill>
              <w14:schemeClr w14:val="tx1"/>
            </w14:solidFill>
          </w14:textFill>
        </w:rPr>
        <w:t>）效益指标完成情况分析（满分</w:t>
      </w:r>
      <w:r>
        <w:rPr>
          <w:rFonts w:eastAsia="仿宋"/>
          <w:color w:val="000000" w:themeColor="text1"/>
          <w:sz w:val="32"/>
          <w:szCs w:val="32"/>
          <w14:textFill>
            <w14:solidFill>
              <w14:schemeClr w14:val="tx1"/>
            </w14:solidFill>
          </w14:textFill>
        </w:rPr>
        <w:t>40</w:t>
      </w:r>
      <w:r>
        <w:rPr>
          <w:rFonts w:hint="eastAsia" w:eastAsia="仿宋"/>
          <w:color w:val="000000" w:themeColor="text1"/>
          <w:sz w:val="32"/>
          <w:szCs w:val="32"/>
          <w14:textFill>
            <w14:solidFill>
              <w14:schemeClr w14:val="tx1"/>
            </w14:solidFill>
          </w14:textFill>
        </w:rPr>
        <w:t>分，得分</w:t>
      </w:r>
      <w:r>
        <w:rPr>
          <w:rFonts w:eastAsia="仿宋"/>
          <w:color w:val="000000" w:themeColor="text1"/>
          <w:sz w:val="32"/>
          <w:szCs w:val="32"/>
          <w14:textFill>
            <w14:solidFill>
              <w14:schemeClr w14:val="tx1"/>
            </w14:solidFill>
          </w14:textFill>
        </w:rPr>
        <w:t>40</w:t>
      </w:r>
      <w:r>
        <w:rPr>
          <w:rFonts w:hint="eastAsia" w:eastAsia="仿宋"/>
          <w:color w:val="000000" w:themeColor="text1"/>
          <w:sz w:val="32"/>
          <w:szCs w:val="32"/>
          <w14:textFill>
            <w14:solidFill>
              <w14:schemeClr w14:val="tx1"/>
            </w14:solidFill>
          </w14:textFill>
        </w:rPr>
        <w:t>分）</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①</w:t>
      </w:r>
      <w:r>
        <w:rPr>
          <w:rFonts w:hint="eastAsia" w:eastAsia="仿宋"/>
          <w:color w:val="000000" w:themeColor="text1"/>
          <w:sz w:val="32"/>
          <w:szCs w:val="32"/>
          <w14:textFill>
            <w14:solidFill>
              <w14:schemeClr w14:val="tx1"/>
            </w14:solidFill>
          </w14:textFill>
        </w:rPr>
        <w:t>促进免费通行政策宣传推广：满分1</w:t>
      </w:r>
      <w:r>
        <w:rPr>
          <w:rFonts w:eastAsia="仿宋"/>
          <w:color w:val="000000" w:themeColor="text1"/>
          <w:sz w:val="32"/>
          <w:szCs w:val="32"/>
          <w14:textFill>
            <w14:solidFill>
              <w14:schemeClr w14:val="tx1"/>
            </w14:solidFill>
          </w14:textFill>
        </w:rPr>
        <w:t>5</w:t>
      </w:r>
      <w:r>
        <w:rPr>
          <w:rFonts w:hint="eastAsia" w:eastAsia="仿宋"/>
          <w:color w:val="000000" w:themeColor="text1"/>
          <w:sz w:val="32"/>
          <w:szCs w:val="32"/>
          <w14:textFill>
            <w14:solidFill>
              <w14:schemeClr w14:val="tx1"/>
            </w14:solidFill>
          </w14:textFill>
        </w:rPr>
        <w:t>分，得分</w:t>
      </w:r>
      <w:r>
        <w:rPr>
          <w:rFonts w:eastAsia="仿宋"/>
          <w:color w:val="000000" w:themeColor="text1"/>
          <w:sz w:val="32"/>
          <w:szCs w:val="32"/>
          <w14:textFill>
            <w14:solidFill>
              <w14:schemeClr w14:val="tx1"/>
            </w14:solidFill>
          </w14:textFill>
        </w:rPr>
        <w:t>15</w:t>
      </w:r>
      <w:r>
        <w:rPr>
          <w:rFonts w:hint="eastAsia" w:eastAsia="仿宋"/>
          <w:color w:val="000000" w:themeColor="text1"/>
          <w:sz w:val="32"/>
          <w:szCs w:val="32"/>
          <w14:textFill>
            <w14:solidFill>
              <w14:schemeClr w14:val="tx1"/>
            </w14:solidFill>
          </w14:textFill>
        </w:rPr>
        <w:t>分</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目标为免费通行政策宣传推广有所促进，2021年区住房和城乡建设局正确引导社会舆论导向，做好政策宣传与安全维稳工作，配合湖北汉洪高速公路有限责任公司做好汉洪高速公路“点对点〞免费通行政策的宣传、信息发布以及相关标识标牌等配套设施的设置工作，确保汉洪高速公路“点对点”免费通行合作协议得到正确执行，完成目标。</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②</w:t>
      </w:r>
      <w:r>
        <w:rPr>
          <w:rFonts w:hint="eastAsia" w:eastAsia="仿宋"/>
          <w:color w:val="000000" w:themeColor="text1"/>
          <w:sz w:val="32"/>
          <w:szCs w:val="32"/>
          <w14:textFill>
            <w14:solidFill>
              <w14:schemeClr w14:val="tx1"/>
            </w14:solidFill>
          </w14:textFill>
        </w:rPr>
        <w:t>妥善处理路段突发事件：满分1</w:t>
      </w:r>
      <w:r>
        <w:rPr>
          <w:rFonts w:eastAsia="仿宋"/>
          <w:color w:val="000000" w:themeColor="text1"/>
          <w:sz w:val="32"/>
          <w:szCs w:val="32"/>
          <w14:textFill>
            <w14:solidFill>
              <w14:schemeClr w14:val="tx1"/>
            </w14:solidFill>
          </w14:textFill>
        </w:rPr>
        <w:t>5</w:t>
      </w:r>
      <w:r>
        <w:rPr>
          <w:rFonts w:hint="eastAsia" w:eastAsia="仿宋"/>
          <w:color w:val="000000" w:themeColor="text1"/>
          <w:sz w:val="32"/>
          <w:szCs w:val="32"/>
          <w14:textFill>
            <w14:solidFill>
              <w14:schemeClr w14:val="tx1"/>
            </w14:solidFill>
          </w14:textFill>
        </w:rPr>
        <w:t>分，得分1</w:t>
      </w:r>
      <w:r>
        <w:rPr>
          <w:rFonts w:eastAsia="仿宋"/>
          <w:color w:val="000000" w:themeColor="text1"/>
          <w:sz w:val="32"/>
          <w:szCs w:val="32"/>
          <w14:textFill>
            <w14:solidFill>
              <w14:schemeClr w14:val="tx1"/>
            </w14:solidFill>
          </w14:textFill>
        </w:rPr>
        <w:t>5</w:t>
      </w:r>
      <w:r>
        <w:rPr>
          <w:rFonts w:hint="eastAsia" w:eastAsia="仿宋"/>
          <w:color w:val="000000" w:themeColor="text1"/>
          <w:sz w:val="32"/>
          <w:szCs w:val="32"/>
          <w14:textFill>
            <w14:solidFill>
              <w14:schemeClr w14:val="tx1"/>
            </w14:solidFill>
          </w14:textFill>
        </w:rPr>
        <w:t>分</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目标为妥善处理路段突发事件，2021年区住房和城乡建设局协助湖北汉洪高速公路有限责任公司解决好收费站进出口车辆频禁调头等交通管理问题，妥善处理好汉洪高速公路“点对点”路段的各类突发事件，确保该路段安全畅通，完成目标。</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③</w:t>
      </w:r>
      <w:r>
        <w:rPr>
          <w:rFonts w:hint="eastAsia" w:eastAsia="仿宋"/>
          <w:color w:val="000000" w:themeColor="text1"/>
          <w:sz w:val="32"/>
          <w:szCs w:val="32"/>
          <w14:textFill>
            <w14:solidFill>
              <w14:schemeClr w14:val="tx1"/>
            </w14:solidFill>
          </w14:textFill>
        </w:rPr>
        <w:t>加强道路养护管理，创造美好通行环境：满分</w:t>
      </w:r>
      <w:r>
        <w:rPr>
          <w:rFonts w:eastAsia="仿宋"/>
          <w:color w:val="000000" w:themeColor="text1"/>
          <w:sz w:val="32"/>
          <w:szCs w:val="32"/>
          <w14:textFill>
            <w14:solidFill>
              <w14:schemeClr w14:val="tx1"/>
            </w14:solidFill>
          </w14:textFill>
        </w:rPr>
        <w:t>10</w:t>
      </w:r>
      <w:r>
        <w:rPr>
          <w:rFonts w:hint="eastAsia" w:eastAsia="仿宋"/>
          <w:color w:val="000000" w:themeColor="text1"/>
          <w:sz w:val="32"/>
          <w:szCs w:val="32"/>
          <w14:textFill>
            <w14:solidFill>
              <w14:schemeClr w14:val="tx1"/>
            </w14:solidFill>
          </w14:textFill>
        </w:rPr>
        <w:t>分，得分</w:t>
      </w:r>
      <w:r>
        <w:rPr>
          <w:rFonts w:eastAsia="仿宋"/>
          <w:color w:val="000000" w:themeColor="text1"/>
          <w:sz w:val="32"/>
          <w:szCs w:val="32"/>
          <w14:textFill>
            <w14:solidFill>
              <w14:schemeClr w14:val="tx1"/>
            </w14:solidFill>
          </w14:textFill>
        </w:rPr>
        <w:t>10</w:t>
      </w:r>
      <w:r>
        <w:rPr>
          <w:rFonts w:hint="eastAsia" w:eastAsia="仿宋"/>
          <w:color w:val="000000" w:themeColor="text1"/>
          <w:sz w:val="32"/>
          <w:szCs w:val="32"/>
          <w14:textFill>
            <w14:solidFill>
              <w14:schemeClr w14:val="tx1"/>
            </w14:solidFill>
          </w14:textFill>
        </w:rPr>
        <w:t>分</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目标为加强道路养护管理，创造美好通行环境，2021年区住房和城乡建设局委托湖北汉洪高速公路有限责任公司加强道路养护管理，创造畅、洁、绿、美的通行环境，协调路政、养护等单位或部门做好汉洪高速公路“点对点”免费通行路段的安全保障工作，避免发生拥堵，完成目标。</w:t>
      </w:r>
    </w:p>
    <w:p>
      <w:pPr>
        <w:widowControl/>
        <w:spacing w:line="560" w:lineRule="exact"/>
        <w:ind w:firstLine="643" w:firstLineChars="200"/>
        <w:jc w:val="left"/>
        <w:outlineLvl w:val="1"/>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（四）上年度部门自评结果应用情况</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该项目为本年度新增项目，由于该费用未列入年度预算，特申请从经济技术开发区（汉南区）住房和城乡建设局部门预算公交及有轨电车运营补贴专项经费中调转1600万元费用用于该费用支出，上年度无对应绩效评价。</w:t>
      </w:r>
    </w:p>
    <w:p>
      <w:pPr>
        <w:widowControl/>
        <w:spacing w:line="560" w:lineRule="exact"/>
        <w:ind w:firstLine="643" w:firstLineChars="200"/>
        <w:jc w:val="left"/>
        <w:outlineLvl w:val="1"/>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（五）其他佐证材料</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无。</w:t>
      </w:r>
    </w:p>
    <w:p>
      <w:pPr>
        <w:pStyle w:val="2"/>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widowControl/>
        <w:spacing w:line="560" w:lineRule="exact"/>
        <w:ind w:firstLine="480" w:firstLineChars="200"/>
        <w:rPr>
          <w:rFonts w:eastAsia="仿宋"/>
          <w:color w:val="000000" w:themeColor="text1"/>
          <w:sz w:val="32"/>
          <w:szCs w:val="32"/>
          <w14:textFill>
            <w14:solidFill>
              <w14:schemeClr w14:val="tx1"/>
            </w14:solidFill>
          </w14:textFill>
        </w:rPr>
      </w:pPr>
      <w:r>
        <w:rPr>
          <w:rFonts w:eastAsia="宋体"/>
          <w:color w:val="000000" w:themeColor="text1"/>
          <w:kern w:val="0"/>
          <w:sz w:val="24"/>
          <w14:textFill>
            <w14:solidFill>
              <w14:schemeClr w14:val="tx1"/>
            </w14:solidFill>
          </w14:textFill>
        </w:rPr>
        <w:t xml:space="preserve">  </w:t>
      </w:r>
      <w:r>
        <w:rPr>
          <w:rFonts w:hint="eastAsia" w:eastAsia="宋体"/>
          <w:color w:val="000000" w:themeColor="text1"/>
          <w:kern w:val="0"/>
          <w:sz w:val="24"/>
          <w14:textFill>
            <w14:solidFill>
              <w14:schemeClr w14:val="tx1"/>
            </w14:solidFill>
          </w14:textFill>
        </w:rPr>
        <w:t xml:space="preserve"> </w:t>
      </w:r>
      <w:r>
        <w:rPr>
          <w:rFonts w:eastAsia="宋体"/>
          <w:color w:val="000000" w:themeColor="text1"/>
          <w:kern w:val="0"/>
          <w:sz w:val="24"/>
          <w14:textFill>
            <w14:solidFill>
              <w14:schemeClr w14:val="tx1"/>
            </w14:solidFill>
          </w14:textFill>
        </w:rPr>
        <w:t xml:space="preserve">   </w:t>
      </w:r>
      <w:r>
        <w:rPr>
          <w:rFonts w:hint="eastAsia" w:eastAsia="仿宋"/>
          <w:color w:val="000000" w:themeColor="text1"/>
          <w:sz w:val="32"/>
          <w:szCs w:val="32"/>
          <w14:textFill>
            <w14:solidFill>
              <w14:schemeClr w14:val="tx1"/>
            </w14:solidFill>
          </w14:textFill>
        </w:rPr>
        <w:t>武汉经济技术开发区（汉南区）自然资源和规划局</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eastAsia="仿宋"/>
          <w:color w:val="000000" w:themeColor="text1"/>
          <w:sz w:val="32"/>
          <w:szCs w:val="32"/>
          <w14:textFill>
            <w14:solidFill>
              <w14:schemeClr w14:val="tx1"/>
            </w14:solidFill>
          </w14:textFill>
        </w:rPr>
        <w:t xml:space="preserve">        </w:t>
      </w:r>
      <w:r>
        <w:rPr>
          <w:rFonts w:hint="eastAsia" w:eastAsia="仿宋"/>
          <w:color w:val="000000" w:themeColor="text1"/>
          <w:sz w:val="32"/>
          <w:szCs w:val="32"/>
          <w14:textFill>
            <w14:solidFill>
              <w14:schemeClr w14:val="tx1"/>
            </w14:solidFill>
          </w14:textFill>
        </w:rPr>
        <w:t xml:space="preserve">    </w:t>
      </w:r>
      <w:r>
        <w:rPr>
          <w:rFonts w:eastAsia="仿宋"/>
          <w:color w:val="000000" w:themeColor="text1"/>
          <w:sz w:val="32"/>
          <w:szCs w:val="32"/>
          <w14:textFill>
            <w14:solidFill>
              <w14:schemeClr w14:val="tx1"/>
            </w14:solidFill>
          </w14:textFill>
        </w:rPr>
        <w:t xml:space="preserve">                 </w:t>
      </w:r>
      <w:r>
        <w:rPr>
          <w:rFonts w:hint="eastAsia" w:eastAsia="仿宋"/>
          <w:color w:val="000000" w:themeColor="text1"/>
          <w:sz w:val="32"/>
          <w:szCs w:val="32"/>
          <w14:textFill>
            <w14:solidFill>
              <w14:schemeClr w14:val="tx1"/>
            </w14:solidFill>
          </w14:textFill>
        </w:rPr>
        <w:t xml:space="preserve"> 202</w:t>
      </w:r>
      <w:r>
        <w:rPr>
          <w:rFonts w:eastAsia="仿宋"/>
          <w:color w:val="000000" w:themeColor="text1"/>
          <w:sz w:val="32"/>
          <w:szCs w:val="32"/>
          <w14:textFill>
            <w14:solidFill>
              <w14:schemeClr w14:val="tx1"/>
            </w14:solidFill>
          </w14:textFill>
        </w:rPr>
        <w:t>2</w:t>
      </w:r>
      <w:r>
        <w:rPr>
          <w:rFonts w:hint="eastAsia" w:eastAsia="仿宋"/>
          <w:color w:val="000000" w:themeColor="text1"/>
          <w:sz w:val="32"/>
          <w:szCs w:val="32"/>
          <w14:textFill>
            <w14:solidFill>
              <w14:schemeClr w14:val="tx1"/>
            </w14:solidFill>
          </w14:textFill>
        </w:rPr>
        <w:t>年</w:t>
      </w:r>
      <w:r>
        <w:rPr>
          <w:rFonts w:eastAsia="仿宋"/>
          <w:color w:val="000000" w:themeColor="text1"/>
          <w:sz w:val="32"/>
          <w:szCs w:val="32"/>
          <w14:textFill>
            <w14:solidFill>
              <w14:schemeClr w14:val="tx1"/>
            </w14:solidFill>
          </w14:textFill>
        </w:rPr>
        <w:t>5</w:t>
      </w:r>
      <w:r>
        <w:rPr>
          <w:rFonts w:hint="eastAsia" w:eastAsia="仿宋"/>
          <w:color w:val="000000" w:themeColor="text1"/>
          <w:sz w:val="32"/>
          <w:szCs w:val="32"/>
          <w14:textFill>
            <w14:solidFill>
              <w14:schemeClr w14:val="tx1"/>
            </w14:solidFill>
          </w14:textFill>
        </w:rPr>
        <w:t>月</w:t>
      </w:r>
      <w:r>
        <w:rPr>
          <w:rFonts w:eastAsia="仿宋"/>
          <w:color w:val="000000" w:themeColor="text1"/>
          <w:sz w:val="32"/>
          <w:szCs w:val="32"/>
          <w14:textFill>
            <w14:solidFill>
              <w14:schemeClr w14:val="tx1"/>
            </w14:solidFill>
          </w14:textFill>
        </w:rPr>
        <w:t>25</w:t>
      </w:r>
      <w:r>
        <w:rPr>
          <w:rFonts w:hint="eastAsia" w:eastAsia="仿宋"/>
          <w:color w:val="000000" w:themeColor="text1"/>
          <w:sz w:val="32"/>
          <w:szCs w:val="32"/>
          <w14:textFill>
            <w14:solidFill>
              <w14:schemeClr w14:val="tx1"/>
            </w14:solidFill>
          </w14:textFill>
        </w:rPr>
        <w:t>日</w:t>
      </w:r>
    </w:p>
    <w:p>
      <w:pPr>
        <w:widowControl/>
        <w:spacing w:after="240" w:line="432" w:lineRule="atLeast"/>
        <w:jc w:val="left"/>
        <w:rPr>
          <w:color w:val="000000" w:themeColor="text1"/>
          <w14:textFill>
            <w14:solidFill>
              <w14:schemeClr w14:val="tx1"/>
            </w14:solidFill>
          </w14:textFill>
        </w:rPr>
      </w:pPr>
    </w:p>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10</w:t>
    </w:r>
    <w:r>
      <w:rPr>
        <w:lang w:val="zh-CN"/>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10</w:t>
    </w:r>
    <w:r>
      <w:rPr>
        <w:lang w:val="zh-CN"/>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0"/>
  <w:drawingGridVerticalSpacing w:val="58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4YmI0OTE1YTE2MGJlNjY4YmQ1MTgwYzIxYTM1N2YifQ=="/>
    <w:docVar w:name="KSO_WPS_MARK_KEY" w:val="a348c1f0-f7da-4e11-ac23-5eb9e06a6894"/>
  </w:docVars>
  <w:rsids>
    <w:rsidRoot w:val="00F57F82"/>
    <w:rsid w:val="00004198"/>
    <w:rsid w:val="000101E1"/>
    <w:rsid w:val="00020084"/>
    <w:rsid w:val="00057FFB"/>
    <w:rsid w:val="000732DA"/>
    <w:rsid w:val="00075CDC"/>
    <w:rsid w:val="00097A24"/>
    <w:rsid w:val="000A79ED"/>
    <w:rsid w:val="000B1E8F"/>
    <w:rsid w:val="000B5E53"/>
    <w:rsid w:val="000C0F82"/>
    <w:rsid w:val="000C2993"/>
    <w:rsid w:val="000C6389"/>
    <w:rsid w:val="0010192F"/>
    <w:rsid w:val="00103D16"/>
    <w:rsid w:val="00164D84"/>
    <w:rsid w:val="001C5A40"/>
    <w:rsid w:val="001D4B85"/>
    <w:rsid w:val="001D5001"/>
    <w:rsid w:val="001D628A"/>
    <w:rsid w:val="001F551B"/>
    <w:rsid w:val="00203D57"/>
    <w:rsid w:val="002279D0"/>
    <w:rsid w:val="00250053"/>
    <w:rsid w:val="00287C3C"/>
    <w:rsid w:val="00306C2A"/>
    <w:rsid w:val="00332F8B"/>
    <w:rsid w:val="00342E03"/>
    <w:rsid w:val="003476B1"/>
    <w:rsid w:val="0039432D"/>
    <w:rsid w:val="003A26A2"/>
    <w:rsid w:val="003B219D"/>
    <w:rsid w:val="003C6374"/>
    <w:rsid w:val="00415F7C"/>
    <w:rsid w:val="00422E5B"/>
    <w:rsid w:val="00430139"/>
    <w:rsid w:val="0044379C"/>
    <w:rsid w:val="004517EC"/>
    <w:rsid w:val="004531B5"/>
    <w:rsid w:val="00462F73"/>
    <w:rsid w:val="00470168"/>
    <w:rsid w:val="00475F52"/>
    <w:rsid w:val="00494F82"/>
    <w:rsid w:val="00500BDF"/>
    <w:rsid w:val="00502508"/>
    <w:rsid w:val="00504A56"/>
    <w:rsid w:val="005123D8"/>
    <w:rsid w:val="005D07CE"/>
    <w:rsid w:val="0060777A"/>
    <w:rsid w:val="00635DAB"/>
    <w:rsid w:val="00641696"/>
    <w:rsid w:val="00641C1A"/>
    <w:rsid w:val="00642902"/>
    <w:rsid w:val="006469A2"/>
    <w:rsid w:val="00673DA0"/>
    <w:rsid w:val="00677BA4"/>
    <w:rsid w:val="006858C7"/>
    <w:rsid w:val="006A453E"/>
    <w:rsid w:val="006B653B"/>
    <w:rsid w:val="006D504F"/>
    <w:rsid w:val="00702259"/>
    <w:rsid w:val="00704DD2"/>
    <w:rsid w:val="00710718"/>
    <w:rsid w:val="00712AAE"/>
    <w:rsid w:val="00716357"/>
    <w:rsid w:val="00732451"/>
    <w:rsid w:val="007553C7"/>
    <w:rsid w:val="00776BFC"/>
    <w:rsid w:val="00785AF7"/>
    <w:rsid w:val="007870EF"/>
    <w:rsid w:val="007A1DC2"/>
    <w:rsid w:val="007B1C7E"/>
    <w:rsid w:val="007C4F0D"/>
    <w:rsid w:val="007D7B7E"/>
    <w:rsid w:val="007E0470"/>
    <w:rsid w:val="007E7046"/>
    <w:rsid w:val="00801E54"/>
    <w:rsid w:val="0082304B"/>
    <w:rsid w:val="00842E84"/>
    <w:rsid w:val="00867C3D"/>
    <w:rsid w:val="0087227F"/>
    <w:rsid w:val="00872C4B"/>
    <w:rsid w:val="00877BDD"/>
    <w:rsid w:val="008A20F2"/>
    <w:rsid w:val="008B50FA"/>
    <w:rsid w:val="008C3688"/>
    <w:rsid w:val="00905D4C"/>
    <w:rsid w:val="00921154"/>
    <w:rsid w:val="0093106C"/>
    <w:rsid w:val="00937D8E"/>
    <w:rsid w:val="009707E5"/>
    <w:rsid w:val="009821AD"/>
    <w:rsid w:val="00997C33"/>
    <w:rsid w:val="009A3D8F"/>
    <w:rsid w:val="009A6584"/>
    <w:rsid w:val="009C276E"/>
    <w:rsid w:val="009F25A2"/>
    <w:rsid w:val="009F652F"/>
    <w:rsid w:val="00A20585"/>
    <w:rsid w:val="00A26802"/>
    <w:rsid w:val="00A41340"/>
    <w:rsid w:val="00A63B0D"/>
    <w:rsid w:val="00A72C3E"/>
    <w:rsid w:val="00A72CA8"/>
    <w:rsid w:val="00A92D72"/>
    <w:rsid w:val="00AA2B82"/>
    <w:rsid w:val="00AC315F"/>
    <w:rsid w:val="00AD0167"/>
    <w:rsid w:val="00AD0FBD"/>
    <w:rsid w:val="00AD5D6F"/>
    <w:rsid w:val="00AF2952"/>
    <w:rsid w:val="00AF6CB8"/>
    <w:rsid w:val="00B02052"/>
    <w:rsid w:val="00B06128"/>
    <w:rsid w:val="00B24C7B"/>
    <w:rsid w:val="00B26B78"/>
    <w:rsid w:val="00B32B29"/>
    <w:rsid w:val="00B52F1B"/>
    <w:rsid w:val="00B75173"/>
    <w:rsid w:val="00B76608"/>
    <w:rsid w:val="00BC6510"/>
    <w:rsid w:val="00BD2F34"/>
    <w:rsid w:val="00BF0FAB"/>
    <w:rsid w:val="00C2151C"/>
    <w:rsid w:val="00C24A6D"/>
    <w:rsid w:val="00C255C5"/>
    <w:rsid w:val="00C61ABD"/>
    <w:rsid w:val="00C624D5"/>
    <w:rsid w:val="00C84028"/>
    <w:rsid w:val="00C85238"/>
    <w:rsid w:val="00C95A35"/>
    <w:rsid w:val="00CB2349"/>
    <w:rsid w:val="00CC152C"/>
    <w:rsid w:val="00CC4B6D"/>
    <w:rsid w:val="00CD06C3"/>
    <w:rsid w:val="00CE21E1"/>
    <w:rsid w:val="00CF41CA"/>
    <w:rsid w:val="00D31790"/>
    <w:rsid w:val="00D34B03"/>
    <w:rsid w:val="00D63908"/>
    <w:rsid w:val="00D81B27"/>
    <w:rsid w:val="00DB1434"/>
    <w:rsid w:val="00DC464E"/>
    <w:rsid w:val="00DD09A2"/>
    <w:rsid w:val="00DD16E3"/>
    <w:rsid w:val="00DF0A2D"/>
    <w:rsid w:val="00E02E05"/>
    <w:rsid w:val="00E2291B"/>
    <w:rsid w:val="00E23C7E"/>
    <w:rsid w:val="00E339D5"/>
    <w:rsid w:val="00E54B40"/>
    <w:rsid w:val="00E800C1"/>
    <w:rsid w:val="00EC3B42"/>
    <w:rsid w:val="00ED6D53"/>
    <w:rsid w:val="00EE0803"/>
    <w:rsid w:val="00EE6F1A"/>
    <w:rsid w:val="00F10473"/>
    <w:rsid w:val="00F114FA"/>
    <w:rsid w:val="00F15068"/>
    <w:rsid w:val="00F23968"/>
    <w:rsid w:val="00F31837"/>
    <w:rsid w:val="00F41771"/>
    <w:rsid w:val="00F437B4"/>
    <w:rsid w:val="00F55402"/>
    <w:rsid w:val="00F57F82"/>
    <w:rsid w:val="00F60E7C"/>
    <w:rsid w:val="00F744E5"/>
    <w:rsid w:val="00F75963"/>
    <w:rsid w:val="00FA357A"/>
    <w:rsid w:val="01745D0A"/>
    <w:rsid w:val="01FF3C7D"/>
    <w:rsid w:val="02C86339"/>
    <w:rsid w:val="03623055"/>
    <w:rsid w:val="037D0BC8"/>
    <w:rsid w:val="03CB0C86"/>
    <w:rsid w:val="050163A6"/>
    <w:rsid w:val="05334471"/>
    <w:rsid w:val="05335DF3"/>
    <w:rsid w:val="07E640F0"/>
    <w:rsid w:val="0845082D"/>
    <w:rsid w:val="085D067E"/>
    <w:rsid w:val="094115EA"/>
    <w:rsid w:val="096A663E"/>
    <w:rsid w:val="09D025E8"/>
    <w:rsid w:val="09E965F2"/>
    <w:rsid w:val="0A130CF6"/>
    <w:rsid w:val="0A87714B"/>
    <w:rsid w:val="0ACF071C"/>
    <w:rsid w:val="0CBF575D"/>
    <w:rsid w:val="0D660F6F"/>
    <w:rsid w:val="0ECA2EFA"/>
    <w:rsid w:val="0F9652C0"/>
    <w:rsid w:val="10426B40"/>
    <w:rsid w:val="11D7196B"/>
    <w:rsid w:val="125B58E2"/>
    <w:rsid w:val="13511532"/>
    <w:rsid w:val="139840D3"/>
    <w:rsid w:val="143E091F"/>
    <w:rsid w:val="14865FC8"/>
    <w:rsid w:val="150C2DB0"/>
    <w:rsid w:val="15137DCE"/>
    <w:rsid w:val="1732711E"/>
    <w:rsid w:val="17C34C75"/>
    <w:rsid w:val="19FD2B7E"/>
    <w:rsid w:val="1B515EE3"/>
    <w:rsid w:val="1BB80B76"/>
    <w:rsid w:val="1C125FA5"/>
    <w:rsid w:val="1CE94882"/>
    <w:rsid w:val="1E3F631C"/>
    <w:rsid w:val="1E761F05"/>
    <w:rsid w:val="1F236DF4"/>
    <w:rsid w:val="1FC7205C"/>
    <w:rsid w:val="20522F58"/>
    <w:rsid w:val="20A221A5"/>
    <w:rsid w:val="211537CA"/>
    <w:rsid w:val="21167BF2"/>
    <w:rsid w:val="215379D9"/>
    <w:rsid w:val="21632834"/>
    <w:rsid w:val="219D6ED7"/>
    <w:rsid w:val="228B3D05"/>
    <w:rsid w:val="24822003"/>
    <w:rsid w:val="24E4263B"/>
    <w:rsid w:val="26F84832"/>
    <w:rsid w:val="27125C45"/>
    <w:rsid w:val="271F3ED8"/>
    <w:rsid w:val="276E7926"/>
    <w:rsid w:val="286D5E37"/>
    <w:rsid w:val="287B5BDC"/>
    <w:rsid w:val="2AA42DBD"/>
    <w:rsid w:val="2AC72633"/>
    <w:rsid w:val="2BC20E98"/>
    <w:rsid w:val="2D777BC2"/>
    <w:rsid w:val="2DF34CC0"/>
    <w:rsid w:val="308849A3"/>
    <w:rsid w:val="32235DC1"/>
    <w:rsid w:val="3381719A"/>
    <w:rsid w:val="35254D91"/>
    <w:rsid w:val="363C0F26"/>
    <w:rsid w:val="37C877E9"/>
    <w:rsid w:val="380E6212"/>
    <w:rsid w:val="38EF7AD8"/>
    <w:rsid w:val="391179DE"/>
    <w:rsid w:val="39B51B30"/>
    <w:rsid w:val="39E47609"/>
    <w:rsid w:val="3AC26D8D"/>
    <w:rsid w:val="3AD60F72"/>
    <w:rsid w:val="3CA372DD"/>
    <w:rsid w:val="3CA70864"/>
    <w:rsid w:val="3D01780C"/>
    <w:rsid w:val="3D1F0333"/>
    <w:rsid w:val="3DD6679A"/>
    <w:rsid w:val="3E1672E6"/>
    <w:rsid w:val="3EE947C1"/>
    <w:rsid w:val="3FDB0AD7"/>
    <w:rsid w:val="40BC213C"/>
    <w:rsid w:val="415F08D8"/>
    <w:rsid w:val="418F473C"/>
    <w:rsid w:val="433B52D2"/>
    <w:rsid w:val="434010BE"/>
    <w:rsid w:val="43512B3E"/>
    <w:rsid w:val="44A95196"/>
    <w:rsid w:val="44DC6F9E"/>
    <w:rsid w:val="44E2230F"/>
    <w:rsid w:val="4549266A"/>
    <w:rsid w:val="45DD6BEA"/>
    <w:rsid w:val="46B5685D"/>
    <w:rsid w:val="46E206AE"/>
    <w:rsid w:val="46F9107C"/>
    <w:rsid w:val="486B28F0"/>
    <w:rsid w:val="488641E0"/>
    <w:rsid w:val="48B51347"/>
    <w:rsid w:val="49FB1D27"/>
    <w:rsid w:val="4A55216A"/>
    <w:rsid w:val="4AA8027E"/>
    <w:rsid w:val="4AAE000A"/>
    <w:rsid w:val="4AB1310B"/>
    <w:rsid w:val="4ADD59A5"/>
    <w:rsid w:val="4D4F4973"/>
    <w:rsid w:val="4F7E7282"/>
    <w:rsid w:val="4FE0696A"/>
    <w:rsid w:val="51FD19E1"/>
    <w:rsid w:val="52B3077B"/>
    <w:rsid w:val="52C0009F"/>
    <w:rsid w:val="5408455A"/>
    <w:rsid w:val="544E728B"/>
    <w:rsid w:val="54B70621"/>
    <w:rsid w:val="55673508"/>
    <w:rsid w:val="55D05801"/>
    <w:rsid w:val="57AC028E"/>
    <w:rsid w:val="57FF47E1"/>
    <w:rsid w:val="58587667"/>
    <w:rsid w:val="59595A6F"/>
    <w:rsid w:val="599330CA"/>
    <w:rsid w:val="59DF200D"/>
    <w:rsid w:val="5A4C3EF6"/>
    <w:rsid w:val="5B0D23FC"/>
    <w:rsid w:val="5DB076C2"/>
    <w:rsid w:val="5E367F56"/>
    <w:rsid w:val="5F4015DE"/>
    <w:rsid w:val="60C178B2"/>
    <w:rsid w:val="60D5009F"/>
    <w:rsid w:val="6137540F"/>
    <w:rsid w:val="63DF1591"/>
    <w:rsid w:val="64CB2ACC"/>
    <w:rsid w:val="65D630D8"/>
    <w:rsid w:val="660721C9"/>
    <w:rsid w:val="661E6C75"/>
    <w:rsid w:val="66E0078C"/>
    <w:rsid w:val="67F75FF5"/>
    <w:rsid w:val="681D4831"/>
    <w:rsid w:val="692E4B19"/>
    <w:rsid w:val="69513EF7"/>
    <w:rsid w:val="69BE2A6F"/>
    <w:rsid w:val="6A493712"/>
    <w:rsid w:val="6BBF604F"/>
    <w:rsid w:val="6BF3256F"/>
    <w:rsid w:val="6CE7018A"/>
    <w:rsid w:val="6E3E3F2D"/>
    <w:rsid w:val="6EFA588C"/>
    <w:rsid w:val="711266E1"/>
    <w:rsid w:val="715B2F02"/>
    <w:rsid w:val="71AE5E95"/>
    <w:rsid w:val="727A0B28"/>
    <w:rsid w:val="7281713A"/>
    <w:rsid w:val="72DD275E"/>
    <w:rsid w:val="74292DBE"/>
    <w:rsid w:val="76834D9A"/>
    <w:rsid w:val="76A548F2"/>
    <w:rsid w:val="7765772E"/>
    <w:rsid w:val="77867685"/>
    <w:rsid w:val="77F04540"/>
    <w:rsid w:val="781F36B6"/>
    <w:rsid w:val="790627AD"/>
    <w:rsid w:val="7A5069D3"/>
    <w:rsid w:val="7A70083D"/>
    <w:rsid w:val="7ADC59FA"/>
    <w:rsid w:val="7BDC27DF"/>
    <w:rsid w:val="7C5C0642"/>
    <w:rsid w:val="7DCC5590"/>
    <w:rsid w:val="7DDD794F"/>
    <w:rsid w:val="7EDF39A7"/>
    <w:rsid w:val="7F323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5"/>
    <w:basedOn w:val="1"/>
    <w:next w:val="1"/>
    <w:qFormat/>
    <w:uiPriority w:val="0"/>
    <w:pPr>
      <w:keepNext/>
      <w:outlineLvl w:val="4"/>
    </w:pPr>
    <w:rPr>
      <w:rFonts w:ascii="宋体" w:hAnsi="宋体" w:cs="宋体"/>
      <w:b/>
      <w:bCs/>
      <w:sz w:val="24"/>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4">
    <w:name w:val="annotation text"/>
    <w:basedOn w:val="1"/>
    <w:link w:val="20"/>
    <w:qFormat/>
    <w:uiPriority w:val="0"/>
    <w:pPr>
      <w:jc w:val="left"/>
    </w:pPr>
  </w:style>
  <w:style w:type="paragraph" w:styleId="5">
    <w:name w:val="Balloon Text"/>
    <w:basedOn w:val="1"/>
    <w:link w:val="16"/>
    <w:qFormat/>
    <w:uiPriority w:val="0"/>
    <w:rPr>
      <w:sz w:val="18"/>
      <w:szCs w:val="18"/>
    </w:r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qFormat/>
    <w:uiPriority w:val="10"/>
    <w:pPr>
      <w:spacing w:line="360" w:lineRule="auto"/>
      <w:ind w:firstLine="200" w:firstLineChars="200"/>
      <w:jc w:val="left"/>
      <w:outlineLvl w:val="3"/>
    </w:pPr>
    <w:rPr>
      <w:rFonts w:ascii="Cambria" w:hAnsi="Cambria"/>
      <w:bCs/>
      <w:sz w:val="24"/>
      <w:szCs w:val="32"/>
    </w:rPr>
  </w:style>
  <w:style w:type="paragraph" w:styleId="9">
    <w:name w:val="annotation subject"/>
    <w:basedOn w:val="4"/>
    <w:next w:val="4"/>
    <w:link w:val="21"/>
    <w:qFormat/>
    <w:uiPriority w:val="0"/>
    <w:rPr>
      <w:b/>
      <w:bCs/>
    </w:rPr>
  </w:style>
  <w:style w:type="character" w:styleId="12">
    <w:name w:val="page number"/>
    <w:basedOn w:val="11"/>
    <w:qFormat/>
    <w:uiPriority w:val="0"/>
  </w:style>
  <w:style w:type="character" w:styleId="13">
    <w:name w:val="annotation reference"/>
    <w:basedOn w:val="11"/>
    <w:qFormat/>
    <w:uiPriority w:val="0"/>
    <w:rPr>
      <w:sz w:val="21"/>
      <w:szCs w:val="21"/>
    </w:rPr>
  </w:style>
  <w:style w:type="character" w:customStyle="1" w:styleId="14">
    <w:name w:val="页脚 字符"/>
    <w:basedOn w:val="11"/>
    <w:link w:val="6"/>
    <w:qFormat/>
    <w:uiPriority w:val="99"/>
    <w:rPr>
      <w:rFonts w:eastAsia="仿宋_GB2312"/>
      <w:kern w:val="2"/>
      <w:sz w:val="18"/>
      <w:szCs w:val="18"/>
    </w:rPr>
  </w:style>
  <w:style w:type="character" w:customStyle="1" w:styleId="15">
    <w:name w:val="页眉 字符"/>
    <w:basedOn w:val="11"/>
    <w:link w:val="7"/>
    <w:qFormat/>
    <w:uiPriority w:val="0"/>
    <w:rPr>
      <w:rFonts w:eastAsia="仿宋_GB2312"/>
      <w:kern w:val="2"/>
      <w:sz w:val="18"/>
      <w:szCs w:val="18"/>
    </w:rPr>
  </w:style>
  <w:style w:type="character" w:customStyle="1" w:styleId="16">
    <w:name w:val="批注框文本 字符"/>
    <w:basedOn w:val="11"/>
    <w:link w:val="5"/>
    <w:qFormat/>
    <w:uiPriority w:val="0"/>
    <w:rPr>
      <w:rFonts w:eastAsia="仿宋_GB2312"/>
      <w:kern w:val="2"/>
      <w:sz w:val="18"/>
      <w:szCs w:val="18"/>
    </w:rPr>
  </w:style>
  <w:style w:type="paragraph" w:styleId="17">
    <w:name w:val="List Paragraph"/>
    <w:basedOn w:val="1"/>
    <w:qFormat/>
    <w:uiPriority w:val="99"/>
    <w:pPr>
      <w:ind w:firstLine="420" w:firstLineChars="200"/>
    </w:pPr>
  </w:style>
  <w:style w:type="character" w:customStyle="1" w:styleId="18">
    <w:name w:val="font61"/>
    <w:basedOn w:val="11"/>
    <w:qFormat/>
    <w:uiPriority w:val="0"/>
    <w:rPr>
      <w:rFonts w:ascii="Wingdings" w:hAnsi="Wingdings" w:cs="Wingdings"/>
      <w:color w:val="000000"/>
      <w:sz w:val="20"/>
      <w:szCs w:val="20"/>
      <w:u w:val="none"/>
    </w:rPr>
  </w:style>
  <w:style w:type="character" w:customStyle="1" w:styleId="19">
    <w:name w:val="font41"/>
    <w:basedOn w:val="11"/>
    <w:qFormat/>
    <w:uiPriority w:val="0"/>
    <w:rPr>
      <w:rFonts w:hint="eastAsia" w:ascii="仿宋" w:hAnsi="仿宋" w:eastAsia="仿宋" w:cs="仿宋"/>
      <w:color w:val="000000"/>
      <w:sz w:val="20"/>
      <w:szCs w:val="20"/>
      <w:u w:val="none"/>
    </w:rPr>
  </w:style>
  <w:style w:type="character" w:customStyle="1" w:styleId="20">
    <w:name w:val="批注文字 字符"/>
    <w:basedOn w:val="11"/>
    <w:link w:val="4"/>
    <w:qFormat/>
    <w:uiPriority w:val="0"/>
    <w:rPr>
      <w:rFonts w:eastAsia="仿宋_GB2312"/>
      <w:kern w:val="2"/>
      <w:sz w:val="30"/>
      <w:szCs w:val="24"/>
    </w:rPr>
  </w:style>
  <w:style w:type="character" w:customStyle="1" w:styleId="21">
    <w:name w:val="批注主题 字符"/>
    <w:basedOn w:val="20"/>
    <w:link w:val="9"/>
    <w:qFormat/>
    <w:uiPriority w:val="0"/>
    <w:rPr>
      <w:rFonts w:eastAsia="仿宋_GB2312"/>
      <w:b/>
      <w:bCs/>
      <w:kern w:val="2"/>
      <w:sz w:val="3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28B6F-1E9B-4ACC-AFE2-694D80EF2BA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4248</Words>
  <Characters>4683</Characters>
  <Lines>35</Lines>
  <Paragraphs>10</Paragraphs>
  <TotalTime>395</TotalTime>
  <ScaleCrop>false</ScaleCrop>
  <LinksUpToDate>false</LinksUpToDate>
  <CharactersWithSpaces>4857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2021-02-26T14:13:00Z</dcterms:created>
  <dc:creator>lhn</dc:creator>
  <cp:lastModifiedBy>徐茫茫</cp:lastModifiedBy>
  <cp:lastPrinted>2021-04-30T00:57:00Z</cp:lastPrinted>
  <dcterms:modified xsi:type="dcterms:W3CDTF">2025-02-14T02:53:16Z</dcterms:modified>
  <dc:title>财政支出绩效评价报告</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C551033B92D14B15A27E7AF26FCE060F</vt:lpwstr>
  </property>
</Properties>
</file>