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D2C75" w:rsidRDefault="003D2C75">
      <w:pPr>
        <w:adjustRightInd w:val="0"/>
        <w:snapToGrid w:val="0"/>
        <w:ind w:firstLineChars="0" w:firstLine="0"/>
        <w:rPr>
          <w:rFonts w:ascii="Arial Narrow" w:hAnsi="Arial Narrow" w:cs="Arial Narrow"/>
          <w:b/>
          <w:sz w:val="32"/>
          <w:szCs w:val="32"/>
        </w:rPr>
      </w:pPr>
      <w:bookmarkStart w:id="0" w:name="_Hlk484115553"/>
      <w:bookmarkEnd w:id="0"/>
    </w:p>
    <w:p w:rsidR="003D2C75" w:rsidRDefault="003D2C75">
      <w:pPr>
        <w:adjustRightInd w:val="0"/>
        <w:snapToGrid w:val="0"/>
        <w:ind w:firstLine="653"/>
        <w:jc w:val="center"/>
        <w:rPr>
          <w:rFonts w:ascii="Arial Narrow" w:hAnsi="Arial Narrow" w:cs="Arial Narrow"/>
          <w:b/>
          <w:sz w:val="32"/>
          <w:szCs w:val="32"/>
        </w:rPr>
      </w:pPr>
    </w:p>
    <w:p w:rsidR="003D2C75" w:rsidRDefault="003D2C75">
      <w:pPr>
        <w:widowControl/>
        <w:adjustRightInd w:val="0"/>
        <w:snapToGrid w:val="0"/>
        <w:spacing w:line="480" w:lineRule="auto"/>
        <w:ind w:leftChars="330" w:left="2750" w:rightChars="-80" w:right="-192" w:hangingChars="600" w:hanging="1958"/>
        <w:jc w:val="center"/>
        <w:rPr>
          <w:rFonts w:ascii="Arial Narrow" w:hAnsi="Arial Narrow" w:cs="Arial Narrow"/>
          <w:b/>
          <w:bCs/>
          <w:kern w:val="32"/>
          <w:sz w:val="32"/>
          <w:lang w:bidi="he-IL"/>
        </w:rPr>
      </w:pPr>
    </w:p>
    <w:p w:rsidR="003D2C75"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武汉经济技术开发区（汉南区）城乡建设局</w:t>
      </w:r>
    </w:p>
    <w:p w:rsidR="003D2C75"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治超整治专项经费项目支出</w:t>
      </w:r>
    </w:p>
    <w:p w:rsidR="003D2C75"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2018</w:t>
      </w:r>
      <w:r>
        <w:rPr>
          <w:rFonts w:ascii="Arial Narrow" w:hAnsi="Arial Narrow" w:cs="Arial Narrow"/>
          <w:b/>
          <w:bCs/>
          <w:kern w:val="32"/>
          <w:sz w:val="44"/>
          <w:szCs w:val="44"/>
          <w:lang w:bidi="he-IL"/>
        </w:rPr>
        <w:t>年度绩效自评报告</w:t>
      </w:r>
    </w:p>
    <w:p w:rsidR="003D2C75" w:rsidRDefault="003D2C75">
      <w:pPr>
        <w:adjustRightInd w:val="0"/>
        <w:snapToGrid w:val="0"/>
        <w:ind w:firstLine="480"/>
        <w:rPr>
          <w:rFonts w:ascii="Arial Narrow" w:hAnsi="Arial Narrow" w:cs="Arial Narrow"/>
        </w:rPr>
      </w:pPr>
    </w:p>
    <w:p w:rsidR="003D2C75" w:rsidRDefault="003D2C75">
      <w:pPr>
        <w:adjustRightInd w:val="0"/>
        <w:snapToGrid w:val="0"/>
        <w:ind w:firstLine="480"/>
        <w:rPr>
          <w:rFonts w:ascii="Arial Narrow" w:hAnsi="Arial Narrow" w:cs="Arial Narrow"/>
        </w:rPr>
      </w:pPr>
    </w:p>
    <w:p w:rsidR="003D2C75" w:rsidRDefault="003D2C75">
      <w:pPr>
        <w:adjustRightInd w:val="0"/>
        <w:snapToGrid w:val="0"/>
        <w:ind w:firstLine="480"/>
        <w:rPr>
          <w:rFonts w:ascii="Arial Narrow" w:hAnsi="Arial Narrow" w:cs="Arial Narrow"/>
        </w:rPr>
      </w:pPr>
    </w:p>
    <w:p w:rsidR="003D2C75" w:rsidRDefault="003D2C75">
      <w:pPr>
        <w:adjustRightInd w:val="0"/>
        <w:snapToGrid w:val="0"/>
        <w:ind w:firstLine="480"/>
        <w:rPr>
          <w:rFonts w:ascii="Arial Narrow" w:hAnsi="Arial Narrow" w:cs="Arial Narrow"/>
        </w:rPr>
      </w:pPr>
    </w:p>
    <w:p w:rsidR="003D2C75" w:rsidRDefault="003D2C75">
      <w:pPr>
        <w:widowControl/>
        <w:adjustRightInd w:val="0"/>
        <w:snapToGrid w:val="0"/>
        <w:spacing w:line="800" w:lineRule="exact"/>
        <w:ind w:firstLineChars="0" w:firstLine="0"/>
        <w:jc w:val="left"/>
        <w:rPr>
          <w:rFonts w:ascii="Arial Narrow" w:hAnsi="Arial Narrow" w:cs="Arial Narrow"/>
          <w:b/>
          <w:bCs/>
          <w:kern w:val="32"/>
          <w:sz w:val="32"/>
          <w:lang w:bidi="he-IL"/>
        </w:rPr>
      </w:pPr>
    </w:p>
    <w:p w:rsidR="003D2C75" w:rsidRDefault="003D2C75">
      <w:pPr>
        <w:widowControl/>
        <w:ind w:firstLineChars="0" w:firstLine="0"/>
        <w:jc w:val="left"/>
        <w:rPr>
          <w:rFonts w:ascii="Arial Narrow" w:hAnsi="Arial Narrow" w:cs="Arial Narrow"/>
          <w:b/>
          <w:bCs/>
          <w:kern w:val="32"/>
          <w:sz w:val="32"/>
          <w:lang w:bidi="he-IL"/>
        </w:rPr>
      </w:pPr>
    </w:p>
    <w:p w:rsidR="003D2C75" w:rsidRDefault="003D2C75">
      <w:pPr>
        <w:widowControl/>
        <w:ind w:firstLineChars="0" w:firstLine="0"/>
        <w:jc w:val="left"/>
        <w:rPr>
          <w:rFonts w:ascii="Arial Narrow" w:hAnsi="Arial Narrow" w:cs="Arial Narrow"/>
          <w:b/>
          <w:bCs/>
          <w:kern w:val="32"/>
          <w:sz w:val="32"/>
          <w:lang w:bidi="he-IL"/>
        </w:rPr>
      </w:pPr>
    </w:p>
    <w:p w:rsidR="003D2C75"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项目名称：治超整治专项经费</w:t>
      </w:r>
    </w:p>
    <w:p w:rsidR="003D2C75"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项目单位：武汉经济技术开发区（汉南区）城乡建设局</w:t>
      </w:r>
    </w:p>
    <w:p w:rsidR="003D2C75"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主管部门：武汉经济技术开发区（汉南区）城乡建设局</w:t>
      </w:r>
    </w:p>
    <w:p w:rsidR="003D2C75"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评价机构：致同会计师事务所（特殊普通合伙）</w:t>
      </w:r>
    </w:p>
    <w:p w:rsidR="003D2C75" w:rsidRDefault="00000000">
      <w:pPr>
        <w:widowControl/>
        <w:ind w:firstLineChars="500" w:firstLine="1631"/>
        <w:jc w:val="left"/>
        <w:rPr>
          <w:rFonts w:ascii="Arial Narrow" w:hAnsi="Arial Narrow" w:cs="Arial Narrow"/>
          <w:b/>
          <w:bCs/>
          <w:kern w:val="32"/>
          <w:sz w:val="32"/>
          <w:lang w:bidi="he-IL"/>
        </w:rPr>
      </w:pPr>
      <w:r>
        <w:rPr>
          <w:rFonts w:ascii="Arial Narrow" w:hAnsi="Arial Narrow" w:cs="Arial Narrow"/>
          <w:b/>
          <w:bCs/>
          <w:kern w:val="32"/>
          <w:sz w:val="32"/>
          <w:lang w:bidi="he-IL"/>
        </w:rPr>
        <w:t>武汉分所</w:t>
      </w:r>
    </w:p>
    <w:p w:rsidR="003D2C75" w:rsidRDefault="003D2C75">
      <w:pPr>
        <w:widowControl/>
        <w:ind w:firstLineChars="0" w:firstLine="0"/>
        <w:jc w:val="center"/>
        <w:rPr>
          <w:rFonts w:ascii="Arial Narrow" w:hAnsi="Arial Narrow" w:cs="Arial Narrow"/>
          <w:b/>
          <w:bCs/>
          <w:kern w:val="32"/>
          <w:sz w:val="32"/>
          <w:lang w:bidi="he-IL"/>
        </w:rPr>
      </w:pPr>
    </w:p>
    <w:p w:rsidR="003D2C75" w:rsidRDefault="00000000">
      <w:pPr>
        <w:widowControl/>
        <w:ind w:firstLineChars="0" w:firstLine="0"/>
        <w:jc w:val="center"/>
        <w:rPr>
          <w:rFonts w:ascii="Arial Narrow" w:hAnsi="Arial Narrow" w:cs="Arial Narrow"/>
          <w:b/>
          <w:bCs/>
          <w:kern w:val="32"/>
          <w:sz w:val="32"/>
          <w:lang w:bidi="he-IL"/>
        </w:rPr>
      </w:pPr>
      <w:r>
        <w:rPr>
          <w:rFonts w:ascii="Arial Narrow" w:hAnsi="Arial Narrow" w:cs="Arial Narrow"/>
          <w:b/>
          <w:bCs/>
          <w:kern w:val="32"/>
          <w:sz w:val="32"/>
          <w:lang w:bidi="he-IL"/>
        </w:rPr>
        <w:t>二〇一九年七月</w:t>
      </w:r>
    </w:p>
    <w:p w:rsidR="003D2C75"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lastRenderedPageBreak/>
        <w:br w:type="page"/>
      </w:r>
    </w:p>
    <w:p w:rsidR="003D2C75" w:rsidRDefault="00000000">
      <w:pPr>
        <w:adjustRightInd w:val="0"/>
        <w:snapToGrid w:val="0"/>
        <w:spacing w:line="800" w:lineRule="exact"/>
        <w:ind w:firstLineChars="0" w:firstLine="0"/>
        <w:jc w:val="center"/>
        <w:rPr>
          <w:rFonts w:ascii="Arial Narrow" w:hAnsi="Arial Narrow" w:cs="Arial Narrow"/>
          <w:b/>
          <w:bCs/>
          <w:sz w:val="32"/>
          <w:szCs w:val="32"/>
        </w:rPr>
      </w:pPr>
      <w:r>
        <w:rPr>
          <w:rFonts w:ascii="Arial Narrow" w:hAnsi="Arial Narrow" w:cs="Arial Narrow"/>
          <w:b/>
          <w:bCs/>
          <w:sz w:val="32"/>
          <w:szCs w:val="32"/>
        </w:rPr>
        <w:lastRenderedPageBreak/>
        <w:br w:type="page"/>
      </w:r>
    </w:p>
    <w:p w:rsidR="003D2C75" w:rsidRDefault="00000000">
      <w:pPr>
        <w:adjustRightInd w:val="0"/>
        <w:snapToGrid w:val="0"/>
        <w:spacing w:line="800" w:lineRule="exact"/>
        <w:ind w:firstLineChars="0" w:firstLine="0"/>
        <w:jc w:val="center"/>
        <w:rPr>
          <w:rFonts w:ascii="Arial Narrow" w:hAnsi="Arial Narrow" w:cs="Arial Narrow"/>
          <w:b/>
          <w:sz w:val="32"/>
          <w:szCs w:val="32"/>
        </w:rPr>
      </w:pPr>
      <w:r>
        <w:rPr>
          <w:rFonts w:ascii="Arial Narrow" w:hAnsi="Arial Narrow" w:cs="Arial Narrow"/>
          <w:b/>
          <w:sz w:val="32"/>
          <w:szCs w:val="32"/>
        </w:rPr>
        <w:lastRenderedPageBreak/>
        <w:t>本次绩效评价结果</w:t>
      </w:r>
    </w:p>
    <w:p w:rsidR="003D2C75" w:rsidRDefault="003D2C75">
      <w:pPr>
        <w:adjustRightInd w:val="0"/>
        <w:snapToGrid w:val="0"/>
        <w:spacing w:line="800" w:lineRule="exact"/>
        <w:ind w:firstLineChars="0" w:firstLine="0"/>
        <w:jc w:val="center"/>
        <w:rPr>
          <w:rFonts w:ascii="Arial Narrow" w:hAnsi="Arial Narrow" w:cs="Arial Narrow"/>
          <w:b/>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3D2C75">
        <w:trPr>
          <w:trHeight w:val="567"/>
        </w:trPr>
        <w:tc>
          <w:tcPr>
            <w:tcW w:w="2150"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97"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3D2C75">
        <w:trPr>
          <w:trHeight w:val="567"/>
        </w:trPr>
        <w:tc>
          <w:tcPr>
            <w:tcW w:w="2150"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92"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14</w:t>
            </w:r>
          </w:p>
        </w:tc>
        <w:tc>
          <w:tcPr>
            <w:tcW w:w="2197"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良（</w:t>
            </w:r>
            <w:r>
              <w:rPr>
                <w:rFonts w:ascii="Arial Narrow" w:hAnsi="Arial Narrow" w:cs="Arial Narrow"/>
                <w:kern w:val="0"/>
                <w:sz w:val="28"/>
                <w:szCs w:val="28"/>
                <w:lang w:bidi="ar"/>
              </w:rPr>
              <w:t>B</w:t>
            </w:r>
            <w:r>
              <w:rPr>
                <w:rFonts w:ascii="Arial Narrow" w:hAnsi="Arial Narrow" w:cs="Arial Narrow"/>
                <w:kern w:val="0"/>
                <w:sz w:val="28"/>
                <w:szCs w:val="28"/>
                <w:lang w:bidi="ar"/>
              </w:rPr>
              <w:t>）</w:t>
            </w:r>
          </w:p>
        </w:tc>
      </w:tr>
      <w:tr w:rsidR="003D2C75">
        <w:trPr>
          <w:trHeight w:val="567"/>
        </w:trPr>
        <w:tc>
          <w:tcPr>
            <w:tcW w:w="2150"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92"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24</w:t>
            </w:r>
          </w:p>
        </w:tc>
        <w:tc>
          <w:tcPr>
            <w:tcW w:w="2197"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优（</w:t>
            </w:r>
            <w:r>
              <w:rPr>
                <w:rFonts w:ascii="Arial Narrow" w:hAnsi="Arial Narrow" w:cs="Arial Narrow"/>
                <w:kern w:val="0"/>
                <w:sz w:val="28"/>
                <w:szCs w:val="28"/>
                <w:lang w:bidi="ar"/>
              </w:rPr>
              <w:t>A</w:t>
            </w:r>
            <w:r>
              <w:rPr>
                <w:rFonts w:ascii="Arial Narrow" w:hAnsi="Arial Narrow" w:cs="Arial Narrow"/>
                <w:kern w:val="0"/>
                <w:sz w:val="28"/>
                <w:szCs w:val="28"/>
                <w:lang w:bidi="ar"/>
              </w:rPr>
              <w:t>）</w:t>
            </w:r>
          </w:p>
        </w:tc>
      </w:tr>
      <w:tr w:rsidR="003D2C75">
        <w:trPr>
          <w:trHeight w:val="567"/>
        </w:trPr>
        <w:tc>
          <w:tcPr>
            <w:tcW w:w="2150"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36</w:t>
            </w:r>
          </w:p>
        </w:tc>
        <w:tc>
          <w:tcPr>
            <w:tcW w:w="2192"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29</w:t>
            </w:r>
          </w:p>
        </w:tc>
        <w:tc>
          <w:tcPr>
            <w:tcW w:w="2197"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良（</w:t>
            </w:r>
            <w:r>
              <w:rPr>
                <w:rFonts w:ascii="Arial Narrow" w:hAnsi="Arial Narrow" w:cs="Arial Narrow"/>
                <w:kern w:val="0"/>
                <w:sz w:val="28"/>
                <w:szCs w:val="28"/>
                <w:lang w:bidi="ar"/>
              </w:rPr>
              <w:t>B</w:t>
            </w:r>
            <w:r>
              <w:rPr>
                <w:rFonts w:ascii="Arial Narrow" w:hAnsi="Arial Narrow" w:cs="Arial Narrow"/>
                <w:kern w:val="0"/>
                <w:sz w:val="28"/>
                <w:szCs w:val="28"/>
                <w:lang w:bidi="ar"/>
              </w:rPr>
              <w:t>）</w:t>
            </w:r>
          </w:p>
        </w:tc>
      </w:tr>
      <w:tr w:rsidR="003D2C75">
        <w:trPr>
          <w:trHeight w:val="567"/>
        </w:trPr>
        <w:tc>
          <w:tcPr>
            <w:tcW w:w="2150"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92"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24</w:t>
            </w:r>
          </w:p>
        </w:tc>
        <w:tc>
          <w:tcPr>
            <w:tcW w:w="2197"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优（</w:t>
            </w:r>
            <w:r>
              <w:rPr>
                <w:rFonts w:ascii="Arial Narrow" w:hAnsi="Arial Narrow" w:cs="Arial Narrow"/>
                <w:kern w:val="0"/>
                <w:sz w:val="28"/>
                <w:szCs w:val="28"/>
                <w:lang w:bidi="ar"/>
              </w:rPr>
              <w:t>A</w:t>
            </w:r>
            <w:r>
              <w:rPr>
                <w:rFonts w:ascii="Arial Narrow" w:hAnsi="Arial Narrow" w:cs="Arial Narrow"/>
                <w:kern w:val="0"/>
                <w:sz w:val="28"/>
                <w:szCs w:val="28"/>
                <w:lang w:bidi="ar"/>
              </w:rPr>
              <w:t>）</w:t>
            </w:r>
          </w:p>
        </w:tc>
      </w:tr>
      <w:tr w:rsidR="003D2C75">
        <w:trPr>
          <w:trHeight w:val="567"/>
        </w:trPr>
        <w:tc>
          <w:tcPr>
            <w:tcW w:w="2150"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92" w:type="dxa"/>
            <w:tcBorders>
              <w:tl2br w:val="nil"/>
              <w:tr2bl w:val="nil"/>
            </w:tcBorders>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91</w:t>
            </w:r>
          </w:p>
        </w:tc>
        <w:tc>
          <w:tcPr>
            <w:tcW w:w="2197" w:type="dxa"/>
            <w:tcBorders>
              <w:tl2br w:val="nil"/>
              <w:tr2bl w:val="nil"/>
            </w:tcBorders>
            <w:vAlign w:val="center"/>
          </w:tcPr>
          <w:p w:rsidR="003D2C75" w:rsidRDefault="00000000">
            <w:pPr>
              <w:widowControl/>
              <w:ind w:firstLineChars="0" w:firstLine="0"/>
              <w:jc w:val="center"/>
              <w:textAlignment w:val="center"/>
              <w:rPr>
                <w:rFonts w:ascii="Arial Narrow" w:hAnsi="Arial Narrow" w:cs="Arial Narrow"/>
                <w:sz w:val="28"/>
                <w:szCs w:val="28"/>
              </w:rPr>
            </w:pPr>
            <w:r>
              <w:rPr>
                <w:rFonts w:ascii="Arial Narrow" w:hAnsi="Arial Narrow" w:cs="Arial Narrow"/>
                <w:kern w:val="0"/>
                <w:sz w:val="28"/>
                <w:szCs w:val="28"/>
                <w:lang w:bidi="ar"/>
              </w:rPr>
              <w:t>优（</w:t>
            </w:r>
            <w:r>
              <w:rPr>
                <w:rFonts w:ascii="Arial Narrow" w:hAnsi="Arial Narrow" w:cs="Arial Narrow"/>
                <w:kern w:val="0"/>
                <w:sz w:val="28"/>
                <w:szCs w:val="28"/>
                <w:lang w:bidi="ar"/>
              </w:rPr>
              <w:t>A</w:t>
            </w:r>
            <w:r>
              <w:rPr>
                <w:rFonts w:ascii="Arial Narrow" w:hAnsi="Arial Narrow" w:cs="Arial Narrow"/>
                <w:kern w:val="0"/>
                <w:sz w:val="28"/>
                <w:szCs w:val="28"/>
                <w:lang w:bidi="ar"/>
              </w:rPr>
              <w:t>）</w:t>
            </w:r>
          </w:p>
        </w:tc>
      </w:tr>
    </w:tbl>
    <w:p w:rsidR="003D2C75" w:rsidRDefault="003D2C75">
      <w:pPr>
        <w:adjustRightInd w:val="0"/>
        <w:snapToGrid w:val="0"/>
        <w:spacing w:line="240" w:lineRule="auto"/>
        <w:ind w:firstLineChars="0" w:firstLine="0"/>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3D2C75">
        <w:trPr>
          <w:trHeight w:val="898"/>
        </w:trPr>
        <w:tc>
          <w:tcPr>
            <w:tcW w:w="8339" w:type="dxa"/>
            <w:vAlign w:val="center"/>
          </w:tcPr>
          <w:p w:rsidR="003D2C75" w:rsidRDefault="00000000">
            <w:pPr>
              <w:adjustRightInd w:val="0"/>
              <w:snapToGrid w:val="0"/>
              <w:spacing w:line="240" w:lineRule="auto"/>
              <w:ind w:firstLineChars="0" w:firstLine="0"/>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3D2C75" w:rsidRDefault="003D2C75">
      <w:pPr>
        <w:adjustRightInd w:val="0"/>
        <w:snapToGrid w:val="0"/>
        <w:spacing w:line="240" w:lineRule="auto"/>
        <w:ind w:firstLineChars="0" w:firstLine="482"/>
        <w:jc w:val="center"/>
        <w:rPr>
          <w:rFonts w:ascii="Arial Narrow" w:hAnsi="Arial Narrow" w:cs="Arial Narrow"/>
          <w:b/>
          <w:sz w:val="28"/>
          <w:szCs w:val="28"/>
        </w:rPr>
      </w:pPr>
    </w:p>
    <w:p w:rsidR="003D2C75" w:rsidRDefault="003D2C75">
      <w:pPr>
        <w:adjustRightInd w:val="0"/>
        <w:snapToGrid w:val="0"/>
        <w:spacing w:line="240" w:lineRule="auto"/>
        <w:ind w:firstLineChars="0" w:firstLine="482"/>
        <w:jc w:val="center"/>
        <w:rPr>
          <w:rFonts w:ascii="Arial Narrow" w:hAnsi="Arial Narrow" w:cs="Arial Narrow"/>
          <w:b/>
          <w:sz w:val="28"/>
          <w:szCs w:val="28"/>
        </w:rPr>
      </w:pPr>
    </w:p>
    <w:p w:rsidR="003D2C75" w:rsidRDefault="003D2C75">
      <w:pPr>
        <w:adjustRightInd w:val="0"/>
        <w:snapToGrid w:val="0"/>
        <w:spacing w:line="240" w:lineRule="auto"/>
        <w:ind w:firstLineChars="0" w:firstLine="482"/>
        <w:jc w:val="center"/>
        <w:rPr>
          <w:rFonts w:ascii="Arial Narrow" w:hAnsi="Arial Narrow" w:cs="Arial Narrow"/>
          <w:b/>
          <w:sz w:val="28"/>
          <w:szCs w:val="28"/>
        </w:rPr>
      </w:pPr>
    </w:p>
    <w:p w:rsidR="003D2C75" w:rsidRDefault="003D2C75">
      <w:pPr>
        <w:adjustRightInd w:val="0"/>
        <w:snapToGrid w:val="0"/>
        <w:spacing w:line="240" w:lineRule="auto"/>
        <w:ind w:firstLineChars="0" w:firstLine="0"/>
        <w:rPr>
          <w:rFonts w:ascii="Arial Narrow" w:hAnsi="Arial Narrow" w:cs="Arial Narrow"/>
          <w:b/>
          <w:sz w:val="28"/>
          <w:szCs w:val="28"/>
        </w:rPr>
      </w:pPr>
    </w:p>
    <w:p w:rsidR="003D2C75" w:rsidRDefault="00000000">
      <w:pPr>
        <w:adjustRightInd w:val="0"/>
        <w:snapToGrid w:val="0"/>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3D2C75" w:rsidRDefault="00000000">
      <w:pPr>
        <w:ind w:firstLine="560"/>
        <w:rPr>
          <w:rFonts w:ascii="Arial Narrow" w:hAnsi="Arial Narrow" w:cs="Arial Narrow"/>
          <w:sz w:val="28"/>
          <w:szCs w:val="28"/>
        </w:rPr>
      </w:pPr>
      <w:r>
        <w:rPr>
          <w:rFonts w:ascii="Arial Narrow" w:hAnsi="Arial Narrow" w:cs="Arial Narrow"/>
          <w:sz w:val="28"/>
          <w:szCs w:val="28"/>
        </w:rPr>
        <w:t>组长：蒋中友、吴孟魁</w:t>
      </w:r>
    </w:p>
    <w:p w:rsidR="003D2C75" w:rsidRDefault="00000000">
      <w:pPr>
        <w:adjustRightInd w:val="0"/>
        <w:snapToGrid w:val="0"/>
        <w:ind w:firstLineChars="0" w:firstLine="482"/>
        <w:rPr>
          <w:rFonts w:ascii="Arial Narrow" w:hAnsi="Arial Narrow" w:cs="Arial Narrow"/>
          <w:sz w:val="28"/>
          <w:szCs w:val="28"/>
        </w:rPr>
      </w:pPr>
      <w:r>
        <w:rPr>
          <w:rFonts w:ascii="Arial Narrow" w:hAnsi="Arial Narrow" w:cs="Arial Narrow"/>
          <w:sz w:val="28"/>
          <w:szCs w:val="28"/>
        </w:rPr>
        <w:t>绩效评价专家：李海京</w:t>
      </w:r>
      <w:r>
        <w:rPr>
          <w:rFonts w:ascii="Arial Narrow" w:hAnsi="Arial Narrow" w:cs="Arial Narrow"/>
          <w:sz w:val="28"/>
          <w:szCs w:val="28"/>
        </w:rPr>
        <w:t xml:space="preserve"> </w:t>
      </w:r>
    </w:p>
    <w:p w:rsidR="003D2C75" w:rsidRDefault="00000000">
      <w:pPr>
        <w:adjustRightInd w:val="0"/>
        <w:snapToGrid w:val="0"/>
        <w:ind w:firstLineChars="0" w:firstLine="482"/>
        <w:rPr>
          <w:rFonts w:ascii="Arial Narrow" w:hAnsi="Arial Narrow" w:cs="Arial Narrow"/>
          <w:sz w:val="28"/>
          <w:szCs w:val="28"/>
        </w:rPr>
      </w:pPr>
      <w:r>
        <w:rPr>
          <w:rFonts w:ascii="Arial Narrow" w:hAnsi="Arial Narrow" w:cs="Arial Narrow"/>
          <w:sz w:val="28"/>
          <w:szCs w:val="28"/>
        </w:rPr>
        <w:t>绩效评价现场负责人：陈卓</w:t>
      </w:r>
    </w:p>
    <w:p w:rsidR="003D2C75" w:rsidRDefault="00000000">
      <w:pPr>
        <w:adjustRightInd w:val="0"/>
        <w:snapToGrid w:val="0"/>
        <w:ind w:firstLineChars="0" w:firstLine="482"/>
        <w:rPr>
          <w:rFonts w:ascii="Arial Narrow" w:hAnsi="Arial Narrow" w:cs="Arial Narrow"/>
          <w:sz w:val="28"/>
          <w:szCs w:val="28"/>
        </w:rPr>
      </w:pPr>
      <w:r>
        <w:rPr>
          <w:rFonts w:ascii="Arial Narrow" w:hAnsi="Arial Narrow" w:cs="Arial Narrow"/>
          <w:sz w:val="28"/>
          <w:szCs w:val="28"/>
        </w:rPr>
        <w:t>绩效评价小组成员：曾逸飞、杜佳颖、沈富</w:t>
      </w:r>
      <w:r>
        <w:rPr>
          <w:rFonts w:ascii="Arial Narrow" w:hAnsi="Arial Narrow" w:cs="Arial Narrow" w:hint="eastAsia"/>
          <w:sz w:val="28"/>
          <w:szCs w:val="28"/>
        </w:rPr>
        <w:t>林</w:t>
      </w:r>
    </w:p>
    <w:p w:rsidR="003D2C75" w:rsidRDefault="00000000">
      <w:pPr>
        <w:ind w:firstLine="560"/>
        <w:rPr>
          <w:rFonts w:ascii="Arial Narrow" w:hAnsi="Arial Narrow" w:cs="Arial Narrow"/>
          <w:sz w:val="28"/>
          <w:szCs w:val="28"/>
        </w:rPr>
      </w:pPr>
      <w:r>
        <w:rPr>
          <w:rFonts w:ascii="Arial Narrow" w:hAnsi="Arial Narrow" w:cs="Arial Narrow" w:hint="eastAsia"/>
          <w:sz w:val="28"/>
          <w:szCs w:val="28"/>
        </w:rPr>
        <w:br w:type="page"/>
      </w:r>
    </w:p>
    <w:p w:rsidR="003D2C75" w:rsidRDefault="003D2C75">
      <w:pPr>
        <w:adjustRightInd w:val="0"/>
        <w:snapToGrid w:val="0"/>
        <w:ind w:firstLineChars="0" w:firstLine="482"/>
        <w:rPr>
          <w:rFonts w:ascii="Arial Narrow" w:hAnsi="Arial Narrow" w:cs="Arial Narrow"/>
          <w:sz w:val="28"/>
          <w:szCs w:val="28"/>
        </w:rPr>
        <w:sectPr w:rsidR="003D2C75">
          <w:headerReference w:type="even" r:id="rId9"/>
          <w:headerReference w:type="default" r:id="rId10"/>
          <w:footerReference w:type="even" r:id="rId11"/>
          <w:footerReference w:type="default" r:id="rId12"/>
          <w:headerReference w:type="first" r:id="rId13"/>
          <w:footerReference w:type="first" r:id="rId14"/>
          <w:pgSz w:w="11906" w:h="16838"/>
          <w:pgMar w:top="2835" w:right="1417" w:bottom="1417" w:left="1984" w:header="794" w:footer="992" w:gutter="0"/>
          <w:cols w:space="0"/>
          <w:docGrid w:type="lines" w:linePitch="326"/>
        </w:sectPr>
      </w:pPr>
    </w:p>
    <w:p w:rsidR="003D2C75" w:rsidRDefault="00000000">
      <w:pPr>
        <w:adjustRightInd w:val="0"/>
        <w:snapToGrid w:val="0"/>
        <w:spacing w:line="240" w:lineRule="auto"/>
        <w:ind w:firstLineChars="0" w:firstLine="0"/>
        <w:jc w:val="center"/>
        <w:rPr>
          <w:rFonts w:ascii="Arial Narrow" w:hAnsi="Arial Narrow" w:cs="Arial Narrow"/>
        </w:rPr>
      </w:pP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3D2C75" w:rsidRDefault="00000000">
      <w:pPr>
        <w:pStyle w:val="TOC1"/>
        <w:tabs>
          <w:tab w:val="right" w:leader="dot" w:pos="8505"/>
        </w:tabs>
        <w:ind w:firstLine="480"/>
        <w:rPr>
          <w:rFonts w:ascii="Arial Narrow" w:hAnsi="Arial Narrow" w:cs="Arial Narrow"/>
        </w:rPr>
      </w:pPr>
      <w:r>
        <w:rPr>
          <w:rFonts w:ascii="Arial Narrow" w:hAnsi="Arial Narrow" w:cs="Arial Narrow"/>
        </w:rPr>
        <w:fldChar w:fldCharType="begin"/>
      </w:r>
      <w:r>
        <w:rPr>
          <w:rFonts w:ascii="Arial Narrow" w:hAnsi="Arial Narrow" w:cs="Arial Narrow"/>
        </w:rPr>
        <w:instrText xml:space="preserve"> TOC \o "1-3" \h \z \u </w:instrText>
      </w:r>
      <w:r>
        <w:rPr>
          <w:rFonts w:ascii="Arial Narrow" w:hAnsi="Arial Narrow" w:cs="Arial Narrow"/>
        </w:rPr>
        <w:fldChar w:fldCharType="separate"/>
      </w:r>
      <w:hyperlink w:anchor="_Toc3772" w:history="1">
        <w:r w:rsidR="003D2C75">
          <w:rPr>
            <w:rFonts w:ascii="Arial Narrow" w:hAnsi="Arial Narrow" w:cs="Arial Narrow"/>
          </w:rPr>
          <w:t>一、摘要</w:t>
        </w:r>
        <w:r w:rsidR="003D2C75">
          <w:rPr>
            <w:rFonts w:ascii="Arial Narrow" w:hAnsi="Arial Narrow" w:cs="Arial Narrow"/>
          </w:rPr>
          <w:tab/>
        </w:r>
        <w:r w:rsidR="003D2C75">
          <w:rPr>
            <w:rFonts w:ascii="Arial Narrow" w:hAnsi="Arial Narrow" w:cs="Arial Narrow"/>
          </w:rPr>
          <w:fldChar w:fldCharType="begin"/>
        </w:r>
        <w:r w:rsidR="003D2C75">
          <w:rPr>
            <w:rFonts w:ascii="Arial Narrow" w:hAnsi="Arial Narrow" w:cs="Arial Narrow"/>
          </w:rPr>
          <w:instrText xml:space="preserve"> PAGEREF _Toc3772 </w:instrText>
        </w:r>
        <w:r w:rsidR="003D2C75">
          <w:rPr>
            <w:rFonts w:ascii="Arial Narrow" w:hAnsi="Arial Narrow" w:cs="Arial Narrow"/>
          </w:rPr>
          <w:fldChar w:fldCharType="separate"/>
        </w:r>
        <w:r w:rsidR="003D2C75">
          <w:rPr>
            <w:rFonts w:ascii="Arial Narrow" w:hAnsi="Arial Narrow" w:cs="Arial Narrow"/>
          </w:rPr>
          <w:t>1</w:t>
        </w:r>
        <w:r w:rsidR="003D2C75">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6272"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_Toc6272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24283" w:history="1">
        <w:r>
          <w:rPr>
            <w:rFonts w:ascii="Arial Narrow" w:hAnsi="Arial Narrow" w:cs="Arial Narrow"/>
          </w:rPr>
          <w:t>（二）</w:t>
        </w:r>
        <w:r>
          <w:rPr>
            <w:rFonts w:ascii="Arial Narrow" w:hAnsi="Arial Narrow" w:cs="Arial Narrow"/>
          </w:rPr>
          <w:t xml:space="preserve"> </w:t>
        </w:r>
        <w:r>
          <w:rPr>
            <w:rFonts w:ascii="Arial Narrow" w:hAnsi="Arial Narrow" w:cs="Arial Narrow"/>
          </w:rPr>
          <w:t>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_Toc24283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11587" w:history="1">
        <w:r>
          <w:rPr>
            <w:rFonts w:ascii="Arial Narrow" w:hAnsi="Arial Narrow" w:cs="Arial Narrow"/>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_Toc11587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14421" w:history="1">
        <w:r>
          <w:rPr>
            <w:rFonts w:ascii="Arial Narrow" w:hAnsi="Arial Narrow" w:cs="Arial Narrow"/>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_Toc14421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3D2C75" w:rsidRDefault="003D2C75">
      <w:pPr>
        <w:pStyle w:val="TOC1"/>
        <w:tabs>
          <w:tab w:val="right" w:leader="dot" w:pos="8505"/>
        </w:tabs>
        <w:ind w:firstLine="480"/>
        <w:rPr>
          <w:rFonts w:ascii="Arial Narrow" w:hAnsi="Arial Narrow" w:cs="Arial Narrow"/>
        </w:rPr>
      </w:pPr>
      <w:hyperlink w:anchor="_Toc25644"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_Toc25644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10669" w:history="1">
        <w:r>
          <w:rPr>
            <w:rFonts w:ascii="Arial Narrow" w:hAnsi="Arial Narrow" w:cs="Arial Narrow"/>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_Toc10669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11660"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_Toc11660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22140" w:history="1">
        <w:r>
          <w:rPr>
            <w:rFonts w:ascii="Arial Narrow" w:hAnsi="Arial Narrow" w:cs="Arial Narrow"/>
          </w:rPr>
          <w:t>2</w:t>
        </w:r>
        <w:r>
          <w:rPr>
            <w:rFonts w:ascii="Arial Narrow" w:hAnsi="Arial Narrow" w:cs="Arial Narrow"/>
          </w:rPr>
          <w:t>、项目绩效目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_Toc22140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26867"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_Toc26867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18667"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_Toc18667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25945" w:history="1">
        <w:r>
          <w:rPr>
            <w:rFonts w:ascii="Arial Narrow" w:hAnsi="Arial Narrow" w:cs="Arial Narrow"/>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_Toc25945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5054" w:history="1">
        <w:r>
          <w:rPr>
            <w:rFonts w:ascii="Arial Narrow" w:hAnsi="Arial Narrow" w:cs="Arial Narrow"/>
          </w:rPr>
          <w:t>1</w:t>
        </w:r>
        <w:r>
          <w:rPr>
            <w:rFonts w:ascii="Arial Narrow" w:hAnsi="Arial Narrow" w:cs="Arial Narrow"/>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_Toc5054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4984" w:history="1">
        <w:r>
          <w:rPr>
            <w:rFonts w:ascii="Arial Narrow" w:hAnsi="Arial Narrow" w:cs="Arial Narrow"/>
          </w:rPr>
          <w:t>2</w:t>
        </w:r>
        <w:r>
          <w:rPr>
            <w:rFonts w:ascii="Arial Narrow" w:hAnsi="Arial Narrow" w:cs="Arial Narrow"/>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_Toc4984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29116" w:history="1">
        <w:r>
          <w:rPr>
            <w:rFonts w:ascii="Arial Narrow" w:hAnsi="Arial Narrow" w:cs="Arial Narrow"/>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_Toc29116 </w:instrText>
        </w:r>
        <w:r>
          <w:rPr>
            <w:rFonts w:ascii="Arial Narrow" w:hAnsi="Arial Narrow" w:cs="Arial Narrow"/>
          </w:rPr>
          <w:fldChar w:fldCharType="separate"/>
        </w:r>
        <w:r>
          <w:rPr>
            <w:rFonts w:ascii="Arial Narrow" w:hAnsi="Arial Narrow" w:cs="Arial Narrow"/>
          </w:rPr>
          <w:t>17</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1032"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_Toc1032 </w:instrText>
        </w:r>
        <w:r>
          <w:rPr>
            <w:rFonts w:ascii="Arial Narrow" w:hAnsi="Arial Narrow" w:cs="Arial Narrow"/>
          </w:rPr>
          <w:fldChar w:fldCharType="separate"/>
        </w:r>
        <w:r>
          <w:rPr>
            <w:rFonts w:ascii="Arial Narrow" w:hAnsi="Arial Narrow" w:cs="Arial Narrow"/>
          </w:rPr>
          <w:t>17</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13708"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_Toc13708 </w:instrText>
        </w:r>
        <w:r>
          <w:rPr>
            <w:rFonts w:ascii="Arial Narrow" w:hAnsi="Arial Narrow" w:cs="Arial Narrow"/>
          </w:rPr>
          <w:fldChar w:fldCharType="separate"/>
        </w:r>
        <w:r>
          <w:rPr>
            <w:rFonts w:ascii="Arial Narrow" w:hAnsi="Arial Narrow" w:cs="Arial Narrow"/>
          </w:rPr>
          <w:t>25</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22712"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_Toc22712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13625" w:history="1">
        <w:r>
          <w:rPr>
            <w:rFonts w:ascii="Arial Narrow" w:hAnsi="Arial Narrow" w:cs="Arial Narrow"/>
          </w:rPr>
          <w:t>1</w:t>
        </w:r>
        <w:r>
          <w:rPr>
            <w:rFonts w:ascii="Arial Narrow" w:hAnsi="Arial Narrow" w:cs="Arial Narrow"/>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_Toc13625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17949" w:history="1">
        <w:r>
          <w:rPr>
            <w:rFonts w:ascii="Arial Narrow" w:hAnsi="Arial Narrow" w:cs="Arial Narrow"/>
          </w:rPr>
          <w:t>2</w:t>
        </w:r>
        <w:r>
          <w:rPr>
            <w:rFonts w:ascii="Arial Narrow" w:hAnsi="Arial Narrow" w:cs="Arial Narrow"/>
          </w:rPr>
          <w:t>、存在的问题及原因分析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_Toc17949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3D2C75" w:rsidRDefault="003D2C75">
      <w:pPr>
        <w:pStyle w:val="TOC3"/>
        <w:tabs>
          <w:tab w:val="right" w:leader="dot" w:pos="8505"/>
        </w:tabs>
        <w:ind w:left="960" w:firstLine="480"/>
        <w:rPr>
          <w:rFonts w:ascii="Arial Narrow" w:hAnsi="Arial Narrow" w:cs="Arial Narrow"/>
        </w:rPr>
      </w:pPr>
      <w:hyperlink w:anchor="_Toc30447" w:history="1">
        <w:r>
          <w:rPr>
            <w:rFonts w:ascii="Arial Narrow" w:hAnsi="Arial Narrow" w:cs="Arial Narrow"/>
            <w:szCs w:val="32"/>
          </w:rPr>
          <w:t>3</w:t>
        </w:r>
        <w:r>
          <w:rPr>
            <w:rFonts w:ascii="Arial Narrow" w:hAnsi="Arial Narrow" w:cs="Arial Narrow"/>
            <w:szCs w:val="32"/>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_Toc30447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30189"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_Toc30189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3D2C75" w:rsidRDefault="003D2C75">
      <w:pPr>
        <w:pStyle w:val="TOC2"/>
        <w:tabs>
          <w:tab w:val="right" w:leader="dot" w:pos="8505"/>
        </w:tabs>
        <w:ind w:left="480" w:firstLine="480"/>
        <w:rPr>
          <w:rFonts w:ascii="Arial Narrow" w:hAnsi="Arial Narrow" w:cs="Arial Narrow"/>
        </w:rPr>
      </w:pPr>
      <w:hyperlink w:anchor="_Toc20675" w:history="1">
        <w:r>
          <w:rPr>
            <w:rFonts w:ascii="Arial Narrow" w:hAnsi="Arial Narrow" w:cs="Arial Narrow"/>
          </w:rPr>
          <w:t>附件</w:t>
        </w:r>
      </w:hyperlink>
    </w:p>
    <w:p w:rsidR="003D2C75" w:rsidRDefault="00000000">
      <w:pPr>
        <w:adjustRightInd w:val="0"/>
        <w:snapToGrid w:val="0"/>
        <w:ind w:firstLineChars="0" w:firstLine="0"/>
        <w:rPr>
          <w:rFonts w:ascii="Arial Narrow" w:hAnsi="Arial Narrow" w:cs="Arial Narrow"/>
        </w:rPr>
      </w:pPr>
      <w:r>
        <w:rPr>
          <w:rFonts w:ascii="Arial Narrow" w:hAnsi="Arial Narrow" w:cs="Arial Narrow"/>
        </w:rPr>
        <w:fldChar w:fldCharType="end"/>
      </w:r>
    </w:p>
    <w:p w:rsidR="003D2C75" w:rsidRDefault="00000000">
      <w:pPr>
        <w:ind w:firstLine="480"/>
        <w:rPr>
          <w:rFonts w:ascii="Arial Narrow" w:hAnsi="Arial Narrow" w:cs="Arial Narrow"/>
        </w:rPr>
      </w:pPr>
      <w:r>
        <w:rPr>
          <w:rFonts w:ascii="Arial Narrow" w:hAnsi="Arial Narrow" w:cs="Arial Narrow"/>
        </w:rPr>
        <w:br w:type="page"/>
      </w:r>
    </w:p>
    <w:p w:rsidR="003D2C75" w:rsidRDefault="003D2C75">
      <w:pPr>
        <w:adjustRightInd w:val="0"/>
        <w:snapToGrid w:val="0"/>
        <w:ind w:firstLineChars="0" w:firstLine="0"/>
        <w:rPr>
          <w:rFonts w:ascii="Arial Narrow" w:hAnsi="Arial Narrow" w:cs="Arial Narrow"/>
        </w:rPr>
        <w:sectPr w:rsidR="003D2C75">
          <w:pgSz w:w="11906" w:h="16838"/>
          <w:pgMar w:top="2835" w:right="1417" w:bottom="1417" w:left="1984" w:header="794" w:footer="992" w:gutter="0"/>
          <w:cols w:space="0"/>
          <w:docGrid w:type="lines" w:linePitch="326"/>
        </w:sectPr>
      </w:pPr>
    </w:p>
    <w:p w:rsidR="003D2C75" w:rsidRDefault="00000000">
      <w:pPr>
        <w:pStyle w:val="1"/>
        <w:adjustRightInd w:val="0"/>
        <w:snapToGrid w:val="0"/>
        <w:spacing w:before="0" w:after="0" w:line="360" w:lineRule="auto"/>
        <w:ind w:firstLine="489"/>
        <w:rPr>
          <w:rFonts w:ascii="Arial Narrow" w:hAnsi="Arial Narrow" w:cs="Arial Narrow"/>
          <w:sz w:val="24"/>
          <w:szCs w:val="24"/>
        </w:rPr>
      </w:pPr>
      <w:bookmarkStart w:id="1" w:name="_Toc3772"/>
      <w:bookmarkStart w:id="2" w:name="_Toc481590347"/>
      <w:bookmarkStart w:id="3" w:name="_Toc19518"/>
      <w:r>
        <w:rPr>
          <w:rFonts w:ascii="Arial Narrow" w:hAnsi="Arial Narrow" w:cs="Arial Narrow"/>
          <w:sz w:val="24"/>
          <w:szCs w:val="24"/>
        </w:rPr>
        <w:lastRenderedPageBreak/>
        <w:t>一、摘要</w:t>
      </w:r>
      <w:bookmarkEnd w:id="1"/>
      <w:bookmarkEnd w:id="2"/>
      <w:bookmarkEnd w:id="3"/>
    </w:p>
    <w:p w:rsidR="003D2C75" w:rsidRDefault="00000000">
      <w:pPr>
        <w:pStyle w:val="2"/>
        <w:adjustRightInd w:val="0"/>
        <w:snapToGrid w:val="0"/>
        <w:spacing w:beforeLines="50" w:before="163" w:afterLines="90" w:after="293" w:line="360" w:lineRule="auto"/>
        <w:ind w:firstLine="489"/>
        <w:rPr>
          <w:rFonts w:ascii="Arial Narrow" w:eastAsia="仿宋_GB2312" w:hAnsi="Arial Narrow" w:cs="Arial Narrow"/>
          <w:sz w:val="24"/>
          <w:szCs w:val="24"/>
        </w:rPr>
      </w:pPr>
      <w:bookmarkStart w:id="4" w:name="_Toc481590348"/>
      <w:bookmarkStart w:id="5" w:name="_Toc21926"/>
      <w:bookmarkStart w:id="6" w:name="_Toc6272"/>
      <w:r>
        <w:rPr>
          <w:rFonts w:ascii="Arial Narrow" w:eastAsia="仿宋_GB2312" w:hAnsi="Arial Narrow" w:cs="Arial Narrow"/>
          <w:sz w:val="24"/>
          <w:szCs w:val="24"/>
        </w:rPr>
        <w:t>（一）基本情况</w:t>
      </w:r>
      <w:bookmarkEnd w:id="4"/>
      <w:bookmarkEnd w:id="5"/>
      <w:bookmarkEnd w:id="6"/>
    </w:p>
    <w:p w:rsidR="003D2C75" w:rsidRDefault="00000000">
      <w:pPr>
        <w:keepNext/>
        <w:keepLines/>
        <w:adjustRightInd w:val="0"/>
        <w:snapToGrid w:val="0"/>
        <w:ind w:firstLine="480"/>
        <w:rPr>
          <w:rFonts w:ascii="Arial Narrow" w:hAnsi="Arial Narrow" w:cs="Arial Narrow"/>
        </w:rPr>
      </w:pPr>
      <w:bookmarkStart w:id="7" w:name="_Toc26366"/>
      <w:bookmarkStart w:id="8" w:name="_Toc517468568"/>
      <w:r>
        <w:rPr>
          <w:rFonts w:ascii="Arial Narrow" w:hAnsi="Arial Narrow" w:cs="Arial Narrow"/>
        </w:rPr>
        <w:t>1</w:t>
      </w:r>
      <w:r>
        <w:rPr>
          <w:rFonts w:ascii="Arial Narrow" w:hAnsi="Arial Narrow" w:cs="Arial Narrow"/>
        </w:rPr>
        <w:t>、项目基本情况</w:t>
      </w:r>
      <w:bookmarkEnd w:id="7"/>
      <w:bookmarkEnd w:id="8"/>
    </w:p>
    <w:p w:rsidR="003D2C75" w:rsidRDefault="00000000">
      <w:pPr>
        <w:snapToGrid w:val="0"/>
        <w:ind w:firstLine="480"/>
        <w:rPr>
          <w:rFonts w:ascii="Arial Narrow" w:hAnsi="Arial Narrow" w:cs="Arial Narrow"/>
        </w:rPr>
      </w:pPr>
      <w:r>
        <w:rPr>
          <w:rFonts w:ascii="Arial Narrow" w:hAnsi="Arial Narrow" w:cs="Arial Narrow"/>
        </w:rPr>
        <w:t>武汉经济技术开发区（汉南区）城乡建设局</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由治超整治专项经费和路政整治专项经费两项经费构成。其中，治超整治专项经费项目主要用于支持沌口治超卡点联合执法，租赁治超办车辆停放场地，购买办公设备等；路政整治专项经费项目主要是用于发放路政治超</w:t>
      </w:r>
      <w:r>
        <w:rPr>
          <w:rFonts w:ascii="Arial Narrow" w:hAnsi="Arial Narrow" w:cs="Arial Narrow"/>
        </w:rPr>
        <w:t>1</w:t>
      </w:r>
      <w:r>
        <w:rPr>
          <w:rFonts w:ascii="Arial Narrow" w:hAnsi="Arial Narrow" w:cs="Arial Narrow"/>
        </w:rPr>
        <w:t>月至</w:t>
      </w:r>
      <w:r>
        <w:rPr>
          <w:rFonts w:ascii="Arial Narrow" w:hAnsi="Arial Narrow" w:cs="Arial Narrow"/>
        </w:rPr>
        <w:t>3</w:t>
      </w:r>
      <w:r>
        <w:rPr>
          <w:rFonts w:ascii="Arial Narrow" w:hAnsi="Arial Narrow" w:cs="Arial Narrow"/>
        </w:rPr>
        <w:t>月份工作经费，支付交通费。</w:t>
      </w:r>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预算资金经武汉经济技术开发区（汉南区）财政局批复的资金共计</w:t>
      </w:r>
      <w:r>
        <w:rPr>
          <w:rFonts w:ascii="Arial Narrow" w:hAnsi="Arial Narrow" w:cs="Arial Narrow"/>
        </w:rPr>
        <w:t>110.00</w:t>
      </w:r>
      <w:r>
        <w:rPr>
          <w:rFonts w:ascii="Arial Narrow" w:hAnsi="Arial Narrow" w:cs="Arial Narrow"/>
        </w:rPr>
        <w:t>万元，截至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日，实际支出共计</w:t>
      </w:r>
      <w:r>
        <w:rPr>
          <w:rFonts w:ascii="Arial Narrow" w:hAnsi="Arial Narrow" w:cs="Arial Narrow"/>
        </w:rPr>
        <w:t>47.56</w:t>
      </w:r>
      <w:r>
        <w:rPr>
          <w:rFonts w:ascii="Arial Narrow" w:hAnsi="Arial Narrow" w:cs="Arial Narrow"/>
        </w:rPr>
        <w:t>万元，资金使用率为</w:t>
      </w:r>
      <w:r>
        <w:rPr>
          <w:rFonts w:ascii="Arial Narrow" w:hAnsi="Arial Narrow" w:cs="Arial Narrow"/>
        </w:rPr>
        <w:t>43.24%</w:t>
      </w:r>
      <w:r>
        <w:rPr>
          <w:rFonts w:ascii="Arial Narrow" w:hAnsi="Arial Narrow" w:cs="Arial Narrow"/>
        </w:rPr>
        <w:t>。</w:t>
      </w:r>
    </w:p>
    <w:p w:rsidR="003D2C75" w:rsidRDefault="00000000">
      <w:pPr>
        <w:keepNext/>
        <w:keepLines/>
        <w:adjustRightInd w:val="0"/>
        <w:snapToGrid w:val="0"/>
        <w:ind w:firstLine="480"/>
        <w:rPr>
          <w:rFonts w:ascii="Arial Narrow" w:hAnsi="Arial Narrow" w:cs="Arial Narrow"/>
        </w:rPr>
      </w:pPr>
      <w:bookmarkStart w:id="9" w:name="_Toc517468569"/>
      <w:bookmarkStart w:id="10" w:name="_Toc9916"/>
      <w:r>
        <w:rPr>
          <w:rFonts w:ascii="Arial Narrow" w:hAnsi="Arial Narrow" w:cs="Arial Narrow"/>
        </w:rPr>
        <w:t>2</w:t>
      </w:r>
      <w:r>
        <w:rPr>
          <w:rFonts w:ascii="Arial Narrow" w:hAnsi="Arial Narrow" w:cs="Arial Narrow"/>
        </w:rPr>
        <w:t>、绩效评价工作情况</w:t>
      </w:r>
      <w:bookmarkEnd w:id="9"/>
      <w:bookmarkEnd w:id="10"/>
    </w:p>
    <w:p w:rsidR="003D2C75" w:rsidRDefault="00000000">
      <w:pPr>
        <w:adjustRightInd w:val="0"/>
        <w:snapToGrid w:val="0"/>
        <w:ind w:firstLine="480"/>
        <w:rPr>
          <w:rFonts w:ascii="Arial Narrow" w:hAnsi="Arial Narrow" w:cs="Arial Narrow"/>
        </w:rPr>
      </w:pPr>
      <w:r>
        <w:rPr>
          <w:rFonts w:ascii="Arial Narrow" w:hAnsi="Arial Narrow" w:cs="Arial Narrow"/>
        </w:rPr>
        <w:t>致同会计师事务所（特殊普通合伙）武汉分所接武汉经济技术开发区（汉南区）城乡建设局委托，从</w:t>
      </w:r>
      <w:r>
        <w:rPr>
          <w:rFonts w:ascii="Arial Narrow" w:hAnsi="Arial Narrow" w:cs="Arial Narrow"/>
        </w:rPr>
        <w:t>7</w:t>
      </w:r>
      <w:r>
        <w:rPr>
          <w:rFonts w:ascii="Arial Narrow" w:hAnsi="Arial Narrow" w:cs="Arial Narrow"/>
        </w:rPr>
        <w:t>月</w:t>
      </w:r>
      <w:r>
        <w:rPr>
          <w:rFonts w:ascii="Arial Narrow" w:hAnsi="Arial Narrow" w:cs="Arial Narrow"/>
        </w:rPr>
        <w:t>8</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rPr>
        <w:t>26</w:t>
      </w:r>
      <w:r>
        <w:rPr>
          <w:rFonts w:ascii="Arial Narrow" w:hAnsi="Arial Narrow" w:cs="Arial Narrow"/>
        </w:rPr>
        <w:t>日，历时</w:t>
      </w:r>
      <w:r>
        <w:rPr>
          <w:rFonts w:ascii="Arial Narrow" w:hAnsi="Arial Narrow" w:cs="Arial Narrow"/>
        </w:rPr>
        <w:t>19</w:t>
      </w:r>
      <w:r>
        <w:rPr>
          <w:rFonts w:ascii="Arial Narrow" w:hAnsi="Arial Narrow" w:cs="Arial Narrow"/>
        </w:rPr>
        <w:t>天，投入</w:t>
      </w:r>
      <w:r>
        <w:rPr>
          <w:rFonts w:ascii="Arial Narrow" w:hAnsi="Arial Narrow" w:cs="Arial Narrow"/>
        </w:rPr>
        <w:t>7</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30</w:t>
      </w:r>
      <w:r>
        <w:rPr>
          <w:rFonts w:ascii="Arial Narrow" w:hAnsi="Arial Narrow" w:cs="Arial Narrow"/>
        </w:rPr>
        <w:t>号）开展现场评价工作，项目由省财政厅专家库成员李海京提供指导。</w:t>
      </w:r>
    </w:p>
    <w:p w:rsidR="003D2C75" w:rsidRDefault="00000000">
      <w:pPr>
        <w:pStyle w:val="2"/>
        <w:numPr>
          <w:ilvl w:val="0"/>
          <w:numId w:val="1"/>
        </w:numPr>
        <w:adjustRightInd w:val="0"/>
        <w:snapToGrid w:val="0"/>
        <w:spacing w:beforeLines="50" w:before="163" w:afterLines="90" w:after="293" w:line="360" w:lineRule="auto"/>
        <w:ind w:firstLine="489"/>
        <w:rPr>
          <w:rFonts w:ascii="Arial Narrow" w:eastAsia="仿宋_GB2312" w:hAnsi="Arial Narrow" w:cs="Arial Narrow"/>
          <w:sz w:val="24"/>
          <w:szCs w:val="24"/>
        </w:rPr>
      </w:pPr>
      <w:bookmarkStart w:id="11" w:name="_Toc24283"/>
      <w:bookmarkStart w:id="12" w:name="_Toc18950"/>
      <w:bookmarkStart w:id="13" w:name="_Toc481590349"/>
      <w:r>
        <w:rPr>
          <w:rFonts w:ascii="Arial Narrow" w:eastAsia="仿宋_GB2312" w:hAnsi="Arial Narrow" w:cs="Arial Narrow"/>
          <w:sz w:val="24"/>
          <w:szCs w:val="24"/>
        </w:rPr>
        <w:t>绩效评价结论</w:t>
      </w:r>
      <w:bookmarkEnd w:id="11"/>
      <w:bookmarkEnd w:id="12"/>
      <w:bookmarkEnd w:id="13"/>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绩效评价得分为</w:t>
      </w:r>
      <w:r>
        <w:rPr>
          <w:rFonts w:ascii="Arial Narrow" w:hAnsi="Arial Narrow" w:cs="Arial Narrow"/>
        </w:rPr>
        <w:t>91</w:t>
      </w:r>
      <w:r>
        <w:rPr>
          <w:rFonts w:ascii="Arial Narrow" w:hAnsi="Arial Narrow" w:cs="Arial Narrow"/>
        </w:rPr>
        <w:t>分，评分结果为优。其中投入得分</w:t>
      </w:r>
      <w:r>
        <w:rPr>
          <w:rFonts w:ascii="Arial Narrow" w:hAnsi="Arial Narrow" w:cs="Arial Narrow"/>
        </w:rPr>
        <w:t>14</w:t>
      </w:r>
      <w:r>
        <w:rPr>
          <w:rFonts w:ascii="Arial Narrow" w:hAnsi="Arial Narrow" w:cs="Arial Narrow"/>
        </w:rPr>
        <w:t>分，过程得分</w:t>
      </w:r>
      <w:r>
        <w:rPr>
          <w:rFonts w:ascii="Arial Narrow" w:hAnsi="Arial Narrow" w:cs="Arial Narrow"/>
        </w:rPr>
        <w:t>24</w:t>
      </w:r>
      <w:r>
        <w:rPr>
          <w:rFonts w:ascii="Arial Narrow" w:hAnsi="Arial Narrow" w:cs="Arial Narrow"/>
        </w:rPr>
        <w:t>分，产出得分</w:t>
      </w:r>
      <w:r>
        <w:rPr>
          <w:rFonts w:ascii="Arial Narrow" w:hAnsi="Arial Narrow" w:cs="Arial Narrow"/>
        </w:rPr>
        <w:t>29</w:t>
      </w:r>
      <w:r>
        <w:rPr>
          <w:rFonts w:ascii="Arial Narrow" w:hAnsi="Arial Narrow" w:cs="Arial Narrow"/>
        </w:rPr>
        <w:t>分，效果得分</w:t>
      </w:r>
      <w:r>
        <w:rPr>
          <w:rFonts w:ascii="Arial Narrow" w:hAnsi="Arial Narrow" w:cs="Arial Narrow"/>
        </w:rPr>
        <w:t>24</w:t>
      </w:r>
      <w:r>
        <w:rPr>
          <w:rFonts w:ascii="Arial Narrow" w:hAnsi="Arial Narrow" w:cs="Arial Narrow"/>
        </w:rPr>
        <w:t>分。</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下图为各指标得分情况：</w:t>
      </w:r>
    </w:p>
    <w:p w:rsidR="003D2C75" w:rsidRDefault="00000000">
      <w:pPr>
        <w:adjustRightInd w:val="0"/>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572000" cy="2743200"/>
            <wp:effectExtent l="0" t="0" r="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D2C75" w:rsidRDefault="00000000">
      <w:pPr>
        <w:pStyle w:val="a5"/>
        <w:snapToGrid w:val="0"/>
        <w:ind w:firstLine="480"/>
        <w:rPr>
          <w:rFonts w:ascii="Arial Narrow" w:hAnsi="Arial Narrow" w:cs="Arial Narrow"/>
        </w:rPr>
      </w:pPr>
      <w:r>
        <w:rPr>
          <w:rFonts w:ascii="Arial Narrow" w:hAnsi="Arial Narrow" w:cs="Arial Narrow"/>
        </w:rPr>
        <w:t>1</w:t>
      </w:r>
      <w:r>
        <w:rPr>
          <w:rFonts w:ascii="Arial Narrow" w:hAnsi="Arial Narrow" w:cs="Arial Narrow"/>
        </w:rPr>
        <w:t>、投入。项目投入评价得分为</w:t>
      </w:r>
      <w:r>
        <w:rPr>
          <w:rFonts w:ascii="Arial Narrow" w:hAnsi="Arial Narrow" w:cs="Arial Narrow"/>
        </w:rPr>
        <w:t>14</w:t>
      </w:r>
      <w:r>
        <w:rPr>
          <w:rFonts w:ascii="Arial Narrow" w:hAnsi="Arial Narrow" w:cs="Arial Narrow"/>
        </w:rPr>
        <w:t>分，评价等级为优。项目立项规范，申报资料齐全，资金能够及时到位，进行了集体决策，但未留存相关会议纪要，设定了绩效目标申报表和绩效指标，目标设置较为合理，但部分绩效指标设置可测性不高，不利于项目整体考核。</w:t>
      </w:r>
    </w:p>
    <w:p w:rsidR="003D2C75" w:rsidRDefault="00000000">
      <w:pPr>
        <w:adjustRightInd w:val="0"/>
        <w:snapToGrid w:val="0"/>
        <w:ind w:firstLine="480"/>
        <w:rPr>
          <w:rFonts w:ascii="Arial Narrow" w:hAnsi="Arial Narrow" w:cs="Arial Narrow"/>
        </w:rPr>
      </w:pPr>
      <w:r>
        <w:rPr>
          <w:rFonts w:ascii="Arial Narrow" w:hAnsi="Arial Narrow" w:cs="Arial Narrow"/>
        </w:rPr>
        <w:t>2</w:t>
      </w:r>
      <w:r>
        <w:rPr>
          <w:rFonts w:ascii="Arial Narrow" w:hAnsi="Arial Narrow" w:cs="Arial Narrow"/>
        </w:rPr>
        <w:t>、过程。项目过程评价得分为</w:t>
      </w:r>
      <w:r>
        <w:rPr>
          <w:rFonts w:ascii="Arial Narrow" w:hAnsi="Arial Narrow" w:cs="Arial Narrow"/>
        </w:rPr>
        <w:t>24</w:t>
      </w:r>
      <w:r>
        <w:rPr>
          <w:rFonts w:ascii="Arial Narrow" w:hAnsi="Arial Narrow" w:cs="Arial Narrow"/>
        </w:rPr>
        <w:t>分，评价等级为优。项目管理方面，项目管理制度健全且合规合法，制度实施过程遵守上级单位制定的相关管理办法，严格执行项目管理程序，对项目质量有一定的要求；财务管理上，资金的拨付有完整的审批程序和手续，符合项目预算批复或合同规定的用途，不存在截留、挤占、挪用、虚列支出等情况，并设置了项目专账，便于查看项目具体支出情况。</w:t>
      </w:r>
    </w:p>
    <w:p w:rsidR="003D2C75" w:rsidRDefault="00000000">
      <w:pPr>
        <w:pStyle w:val="a5"/>
        <w:snapToGrid w:val="0"/>
        <w:ind w:firstLine="480"/>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29</w:t>
      </w:r>
      <w:r>
        <w:rPr>
          <w:rFonts w:ascii="Arial Narrow" w:hAnsi="Arial Narrow" w:cs="Arial Narrow"/>
        </w:rPr>
        <w:t>分，评价等级为良。项目实施单位全年进行了</w:t>
      </w:r>
      <w:r>
        <w:rPr>
          <w:rFonts w:ascii="Arial Narrow" w:hAnsi="Arial Narrow" w:cs="Arial Narrow"/>
        </w:rPr>
        <w:t>12</w:t>
      </w:r>
      <w:r>
        <w:rPr>
          <w:rFonts w:ascii="Arial Narrow" w:hAnsi="Arial Narrow" w:cs="Arial Narrow"/>
        </w:rPr>
        <w:t>次以上源头监管检查，</w:t>
      </w:r>
      <w:r>
        <w:rPr>
          <w:rFonts w:ascii="Arial Narrow" w:hAnsi="Arial Narrow" w:cs="Arial Narrow"/>
        </w:rPr>
        <w:t>4</w:t>
      </w:r>
      <w:r>
        <w:rPr>
          <w:rFonts w:ascii="Arial Narrow" w:hAnsi="Arial Narrow" w:cs="Arial Narrow"/>
        </w:rPr>
        <w:t>次考核，与</w:t>
      </w:r>
      <w:r>
        <w:rPr>
          <w:rFonts w:ascii="Arial Narrow" w:hAnsi="Arial Narrow" w:cs="Arial Narrow"/>
        </w:rPr>
        <w:t>9</w:t>
      </w:r>
      <w:r>
        <w:rPr>
          <w:rFonts w:ascii="Arial Narrow" w:hAnsi="Arial Narrow" w:cs="Arial Narrow"/>
        </w:rPr>
        <w:t>个单位签订了目标责任书，每月进行执法理论学习和军事训练，及时完成路面治超、专项整治、源头治超等工作。车辆超限率为</w:t>
      </w:r>
      <w:r>
        <w:rPr>
          <w:rFonts w:ascii="Arial Narrow" w:hAnsi="Arial Narrow" w:cs="Arial Narrow"/>
        </w:rPr>
        <w:t>3.63%</w:t>
      </w:r>
      <w:r>
        <w:rPr>
          <w:rFonts w:ascii="Arial Narrow" w:hAnsi="Arial Narrow" w:cs="Arial Narrow"/>
        </w:rPr>
        <w:t>，未能控制在</w:t>
      </w:r>
      <w:r>
        <w:rPr>
          <w:rFonts w:ascii="Arial Narrow" w:hAnsi="Arial Narrow" w:cs="Arial Narrow"/>
        </w:rPr>
        <w:t>2%</w:t>
      </w:r>
      <w:r>
        <w:rPr>
          <w:rFonts w:ascii="Arial Narrow" w:hAnsi="Arial Narrow" w:cs="Arial Narrow"/>
        </w:rPr>
        <w:t>以内。资金使用率为</w:t>
      </w:r>
      <w:r>
        <w:rPr>
          <w:rFonts w:ascii="Arial Narrow" w:hAnsi="Arial Narrow" w:cs="Arial Narrow"/>
        </w:rPr>
        <w:t>43.24%</w:t>
      </w:r>
      <w:r>
        <w:rPr>
          <w:rFonts w:ascii="Arial Narrow" w:hAnsi="Arial Narrow" w:cs="Arial Narrow"/>
        </w:rPr>
        <w:t>，资金使用率较低。</w:t>
      </w:r>
    </w:p>
    <w:p w:rsidR="003D2C75" w:rsidRDefault="00000000">
      <w:pPr>
        <w:pStyle w:val="a5"/>
        <w:snapToGrid w:val="0"/>
        <w:ind w:firstLine="480"/>
        <w:rPr>
          <w:rFonts w:ascii="Arial Narrow" w:hAnsi="Arial Narrow" w:cs="Arial Narrow"/>
        </w:rPr>
      </w:pPr>
      <w:r>
        <w:rPr>
          <w:rFonts w:ascii="Arial Narrow" w:hAnsi="Arial Narrow" w:cs="Arial Narrow"/>
        </w:rPr>
        <w:t>4</w:t>
      </w:r>
      <w:r>
        <w:rPr>
          <w:rFonts w:ascii="Arial Narrow" w:hAnsi="Arial Narrow" w:cs="Arial Narrow"/>
        </w:rPr>
        <w:t>、效果。项目效果评价得分为</w:t>
      </w:r>
      <w:r>
        <w:rPr>
          <w:rFonts w:ascii="Arial Narrow" w:hAnsi="Arial Narrow" w:cs="Arial Narrow"/>
        </w:rPr>
        <w:t>27</w:t>
      </w:r>
      <w:r>
        <w:rPr>
          <w:rFonts w:ascii="Arial Narrow" w:hAnsi="Arial Narrow" w:cs="Arial Narrow"/>
        </w:rPr>
        <w:t>分，评价等级为优。项目实施单位全天</w:t>
      </w:r>
      <w:r>
        <w:rPr>
          <w:rFonts w:ascii="Arial Narrow" w:hAnsi="Arial Narrow" w:cs="Arial Narrow"/>
        </w:rPr>
        <w:t>24</w:t>
      </w:r>
      <w:r>
        <w:rPr>
          <w:rFonts w:ascii="Arial Narrow" w:hAnsi="Arial Narrow" w:cs="Arial Narrow"/>
        </w:rPr>
        <w:t>小时不间断进行治超专项行动，采取固定检测与流动巡查相结合，治超工作合规，车辆超限率为</w:t>
      </w:r>
      <w:r>
        <w:rPr>
          <w:rFonts w:ascii="Arial Narrow" w:hAnsi="Arial Narrow" w:cs="Arial Narrow"/>
        </w:rPr>
        <w:t>3.63%</w:t>
      </w:r>
      <w:r>
        <w:rPr>
          <w:rFonts w:ascii="Arial Narrow" w:hAnsi="Arial Narrow" w:cs="Arial Narrow"/>
        </w:rPr>
        <w:t>，与</w:t>
      </w:r>
      <w:r>
        <w:rPr>
          <w:rFonts w:ascii="Arial Narrow" w:hAnsi="Arial Narrow" w:cs="Arial Narrow"/>
        </w:rPr>
        <w:t>2017</w:t>
      </w:r>
      <w:r>
        <w:rPr>
          <w:rFonts w:ascii="Arial Narrow" w:hAnsi="Arial Narrow" w:cs="Arial Narrow"/>
        </w:rPr>
        <w:t>年的</w:t>
      </w:r>
      <w:r>
        <w:rPr>
          <w:rFonts w:ascii="Arial Narrow" w:hAnsi="Arial Narrow" w:cs="Arial Narrow"/>
        </w:rPr>
        <w:t>17.47%</w:t>
      </w:r>
      <w:r>
        <w:rPr>
          <w:rFonts w:ascii="Arial Narrow" w:hAnsi="Arial Narrow" w:cs="Arial Narrow"/>
        </w:rPr>
        <w:t>相比有明显下降，道路安全度提升，有</w:t>
      </w:r>
      <w:r>
        <w:rPr>
          <w:rFonts w:ascii="Arial Narrow" w:hAnsi="Arial Narrow" w:cs="Arial Narrow"/>
        </w:rPr>
        <w:t>9</w:t>
      </w:r>
      <w:r>
        <w:rPr>
          <w:rFonts w:ascii="Arial Narrow" w:hAnsi="Arial Narrow" w:cs="Arial Narrow"/>
        </w:rPr>
        <w:t>位工作人员支持项目实施的后续运行，项目相关资料保存完整。</w:t>
      </w:r>
    </w:p>
    <w:p w:rsidR="003D2C75" w:rsidRDefault="00000000">
      <w:pPr>
        <w:pStyle w:val="2"/>
        <w:adjustRightInd w:val="0"/>
        <w:snapToGrid w:val="0"/>
        <w:spacing w:line="360" w:lineRule="auto"/>
        <w:ind w:firstLine="489"/>
        <w:rPr>
          <w:rFonts w:ascii="Arial Narrow" w:eastAsia="仿宋_GB2312" w:hAnsi="Arial Narrow" w:cs="Arial Narrow"/>
          <w:sz w:val="24"/>
          <w:szCs w:val="24"/>
        </w:rPr>
      </w:pPr>
      <w:bookmarkStart w:id="14" w:name="_Toc30992"/>
      <w:bookmarkStart w:id="15" w:name="_Toc11587"/>
      <w:bookmarkStart w:id="16" w:name="_Toc481590350"/>
      <w:r>
        <w:rPr>
          <w:rFonts w:ascii="Arial Narrow" w:eastAsia="仿宋_GB2312" w:hAnsi="Arial Narrow" w:cs="Arial Narrow"/>
          <w:sz w:val="24"/>
          <w:szCs w:val="24"/>
        </w:rPr>
        <w:lastRenderedPageBreak/>
        <w:t>（三）项目的经验与问题</w:t>
      </w:r>
      <w:bookmarkEnd w:id="14"/>
      <w:bookmarkEnd w:id="15"/>
      <w:bookmarkEnd w:id="16"/>
    </w:p>
    <w:p w:rsidR="003D2C75" w:rsidRDefault="00000000">
      <w:pPr>
        <w:adjustRightInd w:val="0"/>
        <w:snapToGrid w:val="0"/>
        <w:ind w:firstLine="480"/>
        <w:rPr>
          <w:rFonts w:ascii="Arial Narrow" w:hAnsi="Arial Narrow" w:cs="Arial Narrow"/>
        </w:rPr>
      </w:pPr>
      <w:r>
        <w:rPr>
          <w:rFonts w:ascii="Arial Narrow" w:hAnsi="Arial Narrow" w:cs="Arial Narrow"/>
        </w:rPr>
        <w:t>1</w:t>
      </w:r>
      <w:r>
        <w:rPr>
          <w:rFonts w:ascii="Arial Narrow" w:hAnsi="Arial Narrow" w:cs="Arial Narrow"/>
        </w:rPr>
        <w:t>、经验</w:t>
      </w:r>
    </w:p>
    <w:p w:rsidR="003D2C75" w:rsidRDefault="00000000">
      <w:pPr>
        <w:pStyle w:val="a5"/>
        <w:snapToGrid w:val="0"/>
        <w:ind w:firstLine="480"/>
        <w:rPr>
          <w:rFonts w:ascii="Arial Narrow" w:hAnsi="Arial Narrow" w:cs="Arial Narrow"/>
        </w:rPr>
      </w:pPr>
      <w:r>
        <w:rPr>
          <w:rFonts w:ascii="Arial Narrow" w:hAnsi="Arial Narrow" w:cs="Arial Narrow"/>
        </w:rPr>
        <w:t>武汉经济技术开发区（汉南区）城乡建设局注重政府主导作用，与各个职能部门齐抓共管，形成合力，明确各自职责，解决实际问题。注重发挥治超办职能作用，加强自身建设，梳理出了工作中难点热点问题并进行分析，同时采取了每周到治超卡点进行纪律抽查，固定检测与流动巡查相结合等措施，强化督办与目标考核。注重路面治超与源头监管并重，达到了事半功倍的效果。注重安全廉洁治超，使执法更合规，办事程序更严格。同时加强学习，开展提醒或警示教育，从思想上消除不良意识。</w:t>
      </w:r>
    </w:p>
    <w:p w:rsidR="003D2C75" w:rsidRDefault="00000000">
      <w:pPr>
        <w:adjustRightInd w:val="0"/>
        <w:snapToGrid w:val="0"/>
        <w:ind w:firstLine="480"/>
        <w:rPr>
          <w:rFonts w:ascii="Arial Narrow" w:hAnsi="Arial Narrow" w:cs="Arial Narrow"/>
        </w:rPr>
      </w:pPr>
      <w:r>
        <w:rPr>
          <w:rFonts w:ascii="Arial Narrow" w:hAnsi="Arial Narrow" w:cs="Arial Narrow"/>
        </w:rPr>
        <w:t>2</w:t>
      </w:r>
      <w:r>
        <w:rPr>
          <w:rFonts w:ascii="Arial Narrow" w:hAnsi="Arial Narrow" w:cs="Arial Narrow"/>
        </w:rPr>
        <w:t>、问题</w:t>
      </w:r>
    </w:p>
    <w:p w:rsidR="003D2C75" w:rsidRDefault="00000000">
      <w:pPr>
        <w:numPr>
          <w:ilvl w:val="0"/>
          <w:numId w:val="2"/>
        </w:numPr>
        <w:adjustRightInd w:val="0"/>
        <w:snapToGrid w:val="0"/>
        <w:ind w:firstLine="480"/>
        <w:rPr>
          <w:rFonts w:ascii="Arial Narrow" w:hAnsi="Arial Narrow" w:cs="Arial Narrow"/>
        </w:rPr>
      </w:pPr>
      <w:bookmarkStart w:id="17" w:name="_Toc481590352"/>
      <w:r>
        <w:rPr>
          <w:rFonts w:ascii="Arial Narrow" w:hAnsi="Arial Narrow" w:cs="Arial Narrow"/>
        </w:rPr>
        <w:t>绩效指标可测性不高，不利于项目整体考核。项目实施单位设置了年度目标和绩效指标，目标和指标的设计基本符合目标管理规范，但是部分绩效指标设置可测性不高，如</w:t>
      </w:r>
      <w:r>
        <w:rPr>
          <w:rFonts w:ascii="Arial Narrow" w:hAnsi="Arial Narrow" w:cs="Arial Narrow"/>
        </w:rPr>
        <w:t>“</w:t>
      </w:r>
      <w:r>
        <w:rPr>
          <w:rFonts w:ascii="Arial Narrow" w:hAnsi="Arial Narrow" w:cs="Arial Narrow"/>
        </w:rPr>
        <w:t>基本遏制货车非法改装，控制超限超载现象</w:t>
      </w:r>
      <w:r>
        <w:rPr>
          <w:rFonts w:ascii="Arial Narrow" w:hAnsi="Arial Narrow" w:cs="Arial Narrow"/>
        </w:rPr>
        <w:t>”</w:t>
      </w:r>
      <w:r>
        <w:rPr>
          <w:rFonts w:ascii="Arial Narrow" w:hAnsi="Arial Narrow" w:cs="Arial Narrow"/>
        </w:rPr>
        <w:t>指标。</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）资金使用率较低。治超整治专项经费、路政管理专项经费申请资金共</w:t>
      </w:r>
      <w:r>
        <w:rPr>
          <w:rFonts w:ascii="Arial Narrow" w:hAnsi="Arial Narrow" w:cs="Arial Narrow"/>
        </w:rPr>
        <w:t>110.00</w:t>
      </w:r>
      <w:r>
        <w:rPr>
          <w:rFonts w:ascii="Arial Narrow" w:hAnsi="Arial Narrow" w:cs="Arial Narrow"/>
        </w:rPr>
        <w:t>万元，批复下达资金</w:t>
      </w:r>
      <w:r>
        <w:rPr>
          <w:rFonts w:ascii="Arial Narrow" w:hAnsi="Arial Narrow" w:cs="Arial Narrow"/>
        </w:rPr>
        <w:t>110.00</w:t>
      </w:r>
      <w:r>
        <w:rPr>
          <w:rFonts w:ascii="Arial Narrow" w:hAnsi="Arial Narrow" w:cs="Arial Narrow"/>
        </w:rPr>
        <w:t>万元，截止到</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日，项目实际支出资金为</w:t>
      </w:r>
      <w:r>
        <w:rPr>
          <w:rFonts w:ascii="Arial Narrow" w:hAnsi="Arial Narrow" w:cs="Arial Narrow"/>
        </w:rPr>
        <w:t>47.56</w:t>
      </w:r>
      <w:r>
        <w:rPr>
          <w:rFonts w:ascii="Arial Narrow" w:hAnsi="Arial Narrow" w:cs="Arial Narrow"/>
        </w:rPr>
        <w:t>万元，资金使用率为</w:t>
      </w:r>
      <w:r>
        <w:rPr>
          <w:rFonts w:ascii="Arial Narrow" w:hAnsi="Arial Narrow" w:cs="Arial Narrow"/>
        </w:rPr>
        <w:t>43.24%</w:t>
      </w:r>
      <w:r>
        <w:rPr>
          <w:rFonts w:ascii="Arial Narrow" w:hAnsi="Arial Narrow" w:cs="Arial Narrow"/>
        </w:rPr>
        <w:t>，原因是武汉经济技术开发区（汉南区）城乡建设局为</w:t>
      </w:r>
      <w:r>
        <w:rPr>
          <w:rFonts w:ascii="Arial Narrow" w:hAnsi="Arial Narrow" w:cs="Arial Narrow"/>
        </w:rPr>
        <w:t>2017</w:t>
      </w:r>
      <w:r>
        <w:rPr>
          <w:rFonts w:ascii="Arial Narrow" w:hAnsi="Arial Narrow" w:cs="Arial Narrow"/>
        </w:rPr>
        <w:t>年</w:t>
      </w:r>
      <w:r>
        <w:rPr>
          <w:rFonts w:ascii="Arial Narrow" w:hAnsi="Arial Narrow" w:cs="Arial Narrow"/>
        </w:rPr>
        <w:t>6</w:t>
      </w:r>
      <w:r>
        <w:rPr>
          <w:rFonts w:ascii="Arial Narrow" w:hAnsi="Arial Narrow" w:cs="Arial Narrow"/>
        </w:rPr>
        <w:t>月刚刚设立，编制</w:t>
      </w:r>
      <w:r>
        <w:rPr>
          <w:rFonts w:ascii="Arial Narrow" w:hAnsi="Arial Narrow" w:cs="Arial Narrow"/>
        </w:rPr>
        <w:t>2018</w:t>
      </w:r>
      <w:r>
        <w:rPr>
          <w:rFonts w:ascii="Arial Narrow" w:hAnsi="Arial Narrow" w:cs="Arial Narrow"/>
        </w:rPr>
        <w:t>年预算时，对项目所需经费预估不准确。</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）工作留痕管理不足。项目实施单位项目在立项时主要根据上年预算执行情况结合本年计划，各科室报领导批准后，上会进行集体决策，但未留存相关会议纪要。</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）车辆超限率控制未达标。项目实施单位计划将本年车辆超限率控制在</w:t>
      </w:r>
      <w:r>
        <w:rPr>
          <w:rFonts w:ascii="Arial Narrow" w:hAnsi="Arial Narrow" w:cs="Arial Narrow"/>
        </w:rPr>
        <w:t>2%</w:t>
      </w:r>
      <w:r>
        <w:rPr>
          <w:rFonts w:ascii="Arial Narrow" w:hAnsi="Arial Narrow" w:cs="Arial Narrow"/>
        </w:rPr>
        <w:t>以内</w:t>
      </w:r>
      <w:r>
        <w:rPr>
          <w:rFonts w:ascii="Arial Narrow" w:hAnsi="Arial Narrow" w:cs="Arial Narrow"/>
        </w:rPr>
        <w:t>,2018</w:t>
      </w:r>
      <w:r>
        <w:rPr>
          <w:rFonts w:ascii="Arial Narrow" w:hAnsi="Arial Narrow" w:cs="Arial Narrow"/>
        </w:rPr>
        <w:t>年检测车辆总数为</w:t>
      </w:r>
      <w:r>
        <w:rPr>
          <w:rFonts w:ascii="Arial Narrow" w:hAnsi="Arial Narrow" w:cs="Arial Narrow"/>
        </w:rPr>
        <w:t>6060</w:t>
      </w:r>
      <w:r>
        <w:rPr>
          <w:rFonts w:ascii="Arial Narrow" w:hAnsi="Arial Narrow" w:cs="Arial Narrow"/>
        </w:rPr>
        <w:t>辆，超限车辆为</w:t>
      </w:r>
      <w:r>
        <w:rPr>
          <w:rFonts w:ascii="Arial Narrow" w:hAnsi="Arial Narrow" w:cs="Arial Narrow"/>
        </w:rPr>
        <w:t>220</w:t>
      </w:r>
      <w:r>
        <w:rPr>
          <w:rFonts w:ascii="Arial Narrow" w:hAnsi="Arial Narrow" w:cs="Arial Narrow"/>
        </w:rPr>
        <w:t>辆，车辆超限率为</w:t>
      </w:r>
      <w:r>
        <w:rPr>
          <w:rFonts w:ascii="Arial Narrow" w:hAnsi="Arial Narrow" w:cs="Arial Narrow"/>
        </w:rPr>
        <w:t>3.63%</w:t>
      </w:r>
      <w:r>
        <w:rPr>
          <w:rFonts w:ascii="Arial Narrow" w:hAnsi="Arial Narrow" w:cs="Arial Narrow"/>
        </w:rPr>
        <w:t>，超过了</w:t>
      </w:r>
      <w:r>
        <w:rPr>
          <w:rFonts w:ascii="Arial Narrow" w:hAnsi="Arial Narrow" w:cs="Arial Narrow"/>
        </w:rPr>
        <w:t>2%</w:t>
      </w:r>
      <w:r>
        <w:rPr>
          <w:rFonts w:ascii="Arial Narrow" w:hAnsi="Arial Narrow" w:cs="Arial Narrow"/>
        </w:rPr>
        <w:t>的标准。</w:t>
      </w:r>
    </w:p>
    <w:p w:rsidR="003D2C75" w:rsidRDefault="00000000">
      <w:pPr>
        <w:pStyle w:val="2"/>
        <w:adjustRightInd w:val="0"/>
        <w:snapToGrid w:val="0"/>
        <w:spacing w:line="360" w:lineRule="auto"/>
        <w:ind w:firstLine="489"/>
        <w:rPr>
          <w:rFonts w:ascii="Arial Narrow" w:eastAsia="仿宋_GB2312" w:hAnsi="Arial Narrow" w:cs="Arial Narrow"/>
          <w:sz w:val="24"/>
          <w:szCs w:val="24"/>
        </w:rPr>
      </w:pPr>
      <w:bookmarkStart w:id="18" w:name="_Toc19871"/>
      <w:bookmarkStart w:id="19" w:name="_Toc14421"/>
      <w:r>
        <w:rPr>
          <w:rFonts w:ascii="Arial Narrow" w:eastAsia="仿宋_GB2312" w:hAnsi="Arial Narrow" w:cs="Arial Narrow"/>
          <w:sz w:val="24"/>
          <w:szCs w:val="24"/>
        </w:rPr>
        <w:lastRenderedPageBreak/>
        <w:t>（四）建议</w:t>
      </w:r>
      <w:bookmarkEnd w:id="18"/>
      <w:bookmarkEnd w:id="19"/>
    </w:p>
    <w:p w:rsidR="003D2C75" w:rsidRDefault="00000000">
      <w:pPr>
        <w:adjustRightInd w:val="0"/>
        <w:snapToGrid w:val="0"/>
        <w:ind w:firstLine="480"/>
        <w:rPr>
          <w:rFonts w:ascii="Arial Narrow" w:hAnsi="Arial Narrow" w:cs="Arial Narrow"/>
        </w:rPr>
      </w:pPr>
      <w:r>
        <w:rPr>
          <w:rFonts w:ascii="Arial Narrow" w:hAnsi="Arial Narrow" w:cs="Arial Narrow"/>
        </w:rPr>
        <w:t>1</w:t>
      </w:r>
      <w:r>
        <w:rPr>
          <w:rFonts w:ascii="Arial Narrow" w:hAnsi="Arial Narrow" w:cs="Arial Narrow"/>
        </w:rPr>
        <w:t>、制定合理的绩效指标。项目实施单位应在项目开展之前根据项目性质结合实际情况设置更加量化的指标，如设置</w:t>
      </w:r>
      <w:r>
        <w:rPr>
          <w:rFonts w:ascii="Arial Narrow" w:hAnsi="Arial Narrow" w:cs="Arial Narrow"/>
        </w:rPr>
        <w:t>“</w:t>
      </w:r>
      <w:r>
        <w:rPr>
          <w:rFonts w:ascii="Arial Narrow" w:hAnsi="Arial Narrow" w:cs="Arial Narrow"/>
        </w:rPr>
        <w:t>责任书签订率</w:t>
      </w:r>
      <w:r>
        <w:rPr>
          <w:rFonts w:ascii="Arial Narrow" w:hAnsi="Arial Narrow" w:cs="Arial Narrow"/>
        </w:rPr>
        <w:t>”</w:t>
      </w:r>
      <w:r>
        <w:rPr>
          <w:rFonts w:ascii="Arial Narrow" w:hAnsi="Arial Narrow" w:cs="Arial Narrow"/>
        </w:rPr>
        <w:t>指标，用以考核项目实施后的数量目标，设置</w:t>
      </w:r>
      <w:r>
        <w:rPr>
          <w:rFonts w:ascii="Arial Narrow" w:hAnsi="Arial Narrow" w:cs="Arial Narrow"/>
        </w:rPr>
        <w:t>“</w:t>
      </w:r>
      <w:r>
        <w:rPr>
          <w:rFonts w:ascii="Arial Narrow" w:hAnsi="Arial Narrow" w:cs="Arial Narrow"/>
        </w:rPr>
        <w:t>通行安全提升度</w:t>
      </w:r>
      <w:r>
        <w:rPr>
          <w:rFonts w:ascii="Arial Narrow" w:hAnsi="Arial Narrow" w:cs="Arial Narrow"/>
        </w:rPr>
        <w:t>”</w:t>
      </w:r>
      <w:r>
        <w:rPr>
          <w:rFonts w:ascii="Arial Narrow" w:hAnsi="Arial Narrow" w:cs="Arial Narrow"/>
        </w:rPr>
        <w:t>指标用以考核社会效益。</w:t>
      </w:r>
    </w:p>
    <w:p w:rsidR="003D2C75" w:rsidRDefault="00000000">
      <w:pPr>
        <w:adjustRightInd w:val="0"/>
        <w:snapToGrid w:val="0"/>
        <w:ind w:firstLine="480"/>
        <w:rPr>
          <w:rFonts w:ascii="Arial Narrow" w:hAnsi="Arial Narrow" w:cs="Arial Narrow"/>
        </w:rPr>
      </w:pPr>
      <w:r>
        <w:rPr>
          <w:rFonts w:ascii="Arial Narrow" w:hAnsi="Arial Narrow" w:cs="Arial Narrow"/>
        </w:rPr>
        <w:t>2</w:t>
      </w:r>
      <w:r>
        <w:rPr>
          <w:rFonts w:ascii="Arial Narrow" w:hAnsi="Arial Narrow" w:cs="Arial Narrow"/>
        </w:rPr>
        <w:t>、合理编制年初预算。建议项目实施单位通过可行性研究分析及专家论证等针对项目设置科学合理的实施方案，考虑多方面因素影响，做好项目预算，保障项目正常运行，并在执行过程中，对项目进行绩效预算跟踪监控，根据项目具体情况调整计划，落实资金使用情况，提高预算使用效率。</w:t>
      </w:r>
    </w:p>
    <w:p w:rsidR="003D2C75" w:rsidRDefault="00000000">
      <w:pPr>
        <w:pStyle w:val="a5"/>
        <w:ind w:firstLine="480"/>
        <w:rPr>
          <w:rFonts w:ascii="Arial Narrow" w:hAnsi="Arial Narrow" w:cs="Arial Narrow"/>
        </w:rPr>
      </w:pPr>
      <w:r>
        <w:rPr>
          <w:rFonts w:ascii="Arial Narrow" w:hAnsi="Arial Narrow" w:cs="Arial Narrow"/>
        </w:rPr>
        <w:t>3</w:t>
      </w:r>
      <w:r>
        <w:rPr>
          <w:rFonts w:ascii="Arial Narrow" w:hAnsi="Arial Narrow" w:cs="Arial Narrow"/>
        </w:rPr>
        <w:t>、完善各项工作记录，加强工作留痕管理。项目实施单位应制定工作台账管理制度，建立各项工作台账，要求工作人员在开展各项工作时及时记录并留存相关资料，并建立专门的会议记录档案，做好留痕工作，并留底备查。</w:t>
      </w:r>
    </w:p>
    <w:p w:rsidR="003D2C75" w:rsidRDefault="00000000">
      <w:pPr>
        <w:pStyle w:val="a5"/>
        <w:ind w:firstLine="480"/>
        <w:rPr>
          <w:rFonts w:ascii="Arial Narrow" w:hAnsi="Arial Narrow" w:cs="Arial Narrow"/>
        </w:rPr>
      </w:pPr>
      <w:r>
        <w:rPr>
          <w:rFonts w:ascii="Arial Narrow" w:hAnsi="Arial Narrow" w:cs="Arial Narrow"/>
        </w:rPr>
        <w:t>4</w:t>
      </w:r>
      <w:r>
        <w:rPr>
          <w:rFonts w:ascii="Arial Narrow" w:hAnsi="Arial Narrow" w:cs="Arial Narrow"/>
        </w:rPr>
        <w:t>、加大治超整治力度。项目实施单位应加大对路面治超工作的人力、物力投入力度，加大对超限车辆的处罚力度，将超限率控制在</w:t>
      </w:r>
      <w:r>
        <w:rPr>
          <w:rFonts w:ascii="Arial Narrow" w:hAnsi="Arial Narrow" w:cs="Arial Narrow"/>
        </w:rPr>
        <w:t>2%</w:t>
      </w:r>
      <w:r>
        <w:rPr>
          <w:rFonts w:ascii="Arial Narrow" w:hAnsi="Arial Narrow" w:cs="Arial Narrow"/>
        </w:rPr>
        <w:t>以内，减少路面通行压力，从而提高交通通常度安全度。</w:t>
      </w:r>
    </w:p>
    <w:p w:rsidR="003D2C75" w:rsidRDefault="00000000">
      <w:pPr>
        <w:ind w:firstLine="480"/>
        <w:rPr>
          <w:rFonts w:ascii="Arial Narrow" w:hAnsi="Arial Narrow" w:cs="Arial Narrow"/>
        </w:rPr>
      </w:pPr>
      <w:r>
        <w:rPr>
          <w:rFonts w:ascii="Arial Narrow" w:hAnsi="Arial Narrow" w:cs="Arial Narrow"/>
        </w:rPr>
        <w:br w:type="page"/>
      </w:r>
    </w:p>
    <w:p w:rsidR="003D2C75" w:rsidRDefault="00000000">
      <w:pPr>
        <w:pStyle w:val="1"/>
        <w:adjustRightInd w:val="0"/>
        <w:snapToGrid w:val="0"/>
        <w:spacing w:before="0" w:after="0" w:line="360" w:lineRule="auto"/>
        <w:ind w:firstLine="489"/>
        <w:rPr>
          <w:rFonts w:ascii="Arial Narrow" w:hAnsi="Arial Narrow" w:cs="Arial Narrow"/>
          <w:sz w:val="24"/>
          <w:szCs w:val="24"/>
        </w:rPr>
      </w:pPr>
      <w:bookmarkStart w:id="20" w:name="_Toc22621"/>
      <w:bookmarkStart w:id="21" w:name="_Toc25644"/>
      <w:r>
        <w:rPr>
          <w:rFonts w:ascii="Arial Narrow" w:hAnsi="Arial Narrow" w:cs="Arial Narrow"/>
          <w:sz w:val="24"/>
          <w:szCs w:val="24"/>
        </w:rPr>
        <w:lastRenderedPageBreak/>
        <w:t>二、正文</w:t>
      </w:r>
      <w:bookmarkEnd w:id="17"/>
      <w:bookmarkEnd w:id="20"/>
      <w:bookmarkEnd w:id="21"/>
    </w:p>
    <w:p w:rsidR="003D2C75" w:rsidRDefault="00000000">
      <w:pPr>
        <w:pStyle w:val="2"/>
        <w:adjustRightInd w:val="0"/>
        <w:snapToGrid w:val="0"/>
        <w:spacing w:line="360" w:lineRule="auto"/>
        <w:ind w:firstLine="489"/>
        <w:rPr>
          <w:rFonts w:ascii="Arial Narrow" w:eastAsia="仿宋_GB2312" w:hAnsi="Arial Narrow" w:cs="Arial Narrow"/>
          <w:sz w:val="24"/>
          <w:szCs w:val="24"/>
        </w:rPr>
      </w:pPr>
      <w:bookmarkStart w:id="22" w:name="_Toc10669"/>
      <w:bookmarkStart w:id="23" w:name="_Toc481590353"/>
      <w:bookmarkStart w:id="24" w:name="_Toc22165"/>
      <w:r>
        <w:rPr>
          <w:rFonts w:ascii="Arial Narrow" w:eastAsia="仿宋_GB2312" w:hAnsi="Arial Narrow" w:cs="Arial Narrow"/>
          <w:sz w:val="24"/>
          <w:szCs w:val="24"/>
        </w:rPr>
        <w:t>（一）项目基本情况</w:t>
      </w:r>
      <w:bookmarkEnd w:id="22"/>
      <w:bookmarkEnd w:id="23"/>
      <w:bookmarkEnd w:id="24"/>
    </w:p>
    <w:p w:rsidR="003D2C75" w:rsidRDefault="00000000">
      <w:pPr>
        <w:pStyle w:val="3"/>
        <w:adjustRightInd w:val="0"/>
        <w:snapToGrid w:val="0"/>
        <w:spacing w:line="360" w:lineRule="auto"/>
        <w:ind w:firstLine="480"/>
        <w:rPr>
          <w:rFonts w:ascii="Arial Narrow" w:hAnsi="Arial Narrow" w:cs="Arial Narrow"/>
          <w:b w:val="0"/>
          <w:sz w:val="24"/>
          <w:szCs w:val="24"/>
        </w:rPr>
      </w:pPr>
      <w:bookmarkStart w:id="25" w:name="_Toc11660"/>
      <w:bookmarkStart w:id="26" w:name="_Toc6535"/>
      <w:bookmarkStart w:id="27" w:name="_Toc481590354"/>
      <w:r>
        <w:rPr>
          <w:rFonts w:ascii="Arial Narrow" w:hAnsi="Arial Narrow" w:cs="Arial Narrow"/>
          <w:b w:val="0"/>
          <w:sz w:val="24"/>
          <w:szCs w:val="24"/>
        </w:rPr>
        <w:t>1</w:t>
      </w:r>
      <w:r>
        <w:rPr>
          <w:rFonts w:ascii="Arial Narrow" w:hAnsi="Arial Narrow" w:cs="Arial Narrow"/>
          <w:b w:val="0"/>
          <w:sz w:val="24"/>
          <w:szCs w:val="24"/>
        </w:rPr>
        <w:t>、项目立项背景和依据</w:t>
      </w:r>
      <w:bookmarkEnd w:id="25"/>
      <w:bookmarkEnd w:id="26"/>
      <w:bookmarkEnd w:id="27"/>
    </w:p>
    <w:p w:rsidR="003D2C75" w:rsidRDefault="00000000">
      <w:pPr>
        <w:adjustRightInd w:val="0"/>
        <w:snapToGrid w:val="0"/>
        <w:ind w:firstLine="480"/>
        <w:rPr>
          <w:rFonts w:ascii="Arial Narrow" w:hAnsi="Arial Narrow" w:cs="Arial Narrow"/>
        </w:rPr>
      </w:pPr>
      <w:r>
        <w:rPr>
          <w:rFonts w:ascii="Arial Narrow" w:hAnsi="Arial Narrow" w:cs="Arial Narrow"/>
        </w:rPr>
        <w:t xml:space="preserve">1.1 </w:t>
      </w:r>
      <w:r>
        <w:rPr>
          <w:rFonts w:ascii="Arial Narrow" w:hAnsi="Arial Narrow" w:cs="Arial Narrow"/>
        </w:rPr>
        <w:t>项目立项背景及依据</w:t>
      </w:r>
    </w:p>
    <w:p w:rsidR="003D2C75" w:rsidRDefault="00000000">
      <w:pPr>
        <w:adjustRightInd w:val="0"/>
        <w:snapToGrid w:val="0"/>
        <w:ind w:firstLine="480"/>
        <w:rPr>
          <w:rFonts w:ascii="Arial Narrow" w:hAnsi="Arial Narrow" w:cs="Arial Narrow"/>
        </w:rPr>
      </w:pPr>
      <w:r>
        <w:rPr>
          <w:rFonts w:ascii="Arial Narrow" w:hAnsi="Arial Narrow" w:cs="Arial Narrow"/>
        </w:rPr>
        <w:t>为全面贯彻落实党的十九大、省市以及区重要会议精神，项目实施单位以习近平新时代中国特色社会主义</w:t>
      </w:r>
      <w:r>
        <w:rPr>
          <w:rFonts w:ascii="Arial Narrow" w:hAnsi="Arial Narrow" w:cs="Arial Narrow" w:hint="eastAsia"/>
        </w:rPr>
        <w:t>思想</w:t>
      </w:r>
      <w:r>
        <w:rPr>
          <w:rFonts w:ascii="Arial Narrow" w:hAnsi="Arial Narrow" w:cs="Arial Narrow"/>
        </w:rPr>
        <w:t>为指引，坚持稳中求进工作总基调，牢固树立以人民为中心的发展思想，以问题为导向，全方位、积极开展治超工作，进一步提升人民群众出行满意度，为区经济发展提供良好道路环境。</w:t>
      </w:r>
    </w:p>
    <w:p w:rsidR="003D2C75" w:rsidRDefault="00000000">
      <w:pPr>
        <w:pStyle w:val="a5"/>
        <w:snapToGrid w:val="0"/>
        <w:ind w:firstLine="480"/>
        <w:rPr>
          <w:rFonts w:ascii="Arial Narrow" w:hAnsi="Arial Narrow" w:cs="Arial Narrow"/>
        </w:rPr>
      </w:pPr>
      <w:r>
        <w:rPr>
          <w:rFonts w:ascii="Arial Narrow" w:hAnsi="Arial Narrow" w:cs="Arial Narrow"/>
        </w:rPr>
        <w:t xml:space="preserve"> 1.2 </w:t>
      </w:r>
      <w:r>
        <w:rPr>
          <w:rFonts w:ascii="Arial Narrow" w:hAnsi="Arial Narrow" w:cs="Arial Narrow"/>
        </w:rPr>
        <w:t>项目所属领域</w:t>
      </w:r>
    </w:p>
    <w:p w:rsidR="003D2C75" w:rsidRDefault="00000000">
      <w:pPr>
        <w:pStyle w:val="a5"/>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属公共服务领域，是由武汉经济技术开发区（汉南区）城乡建设局开展，为充分发挥办公室职能作用，努力提高工作质量和服务水平建立的。项目的主要内容是项目实施单位采取多种治超方式，遏制货车非法改装现象，降低车辆超限率，监管货运源头，健全完善道路监控网络，提高道路通行安全，保障全区公路桥梁安全，维护路产、路权。</w:t>
      </w:r>
    </w:p>
    <w:p w:rsidR="003D2C75" w:rsidRDefault="00000000">
      <w:pPr>
        <w:adjustRightInd w:val="0"/>
        <w:snapToGrid w:val="0"/>
        <w:ind w:firstLine="480"/>
        <w:rPr>
          <w:rFonts w:ascii="Arial Narrow" w:hAnsi="Arial Narrow" w:cs="Arial Narrow"/>
        </w:rPr>
      </w:pPr>
      <w:r>
        <w:rPr>
          <w:rFonts w:ascii="Arial Narrow" w:hAnsi="Arial Narrow" w:cs="Arial Narrow"/>
        </w:rPr>
        <w:t xml:space="preserve">1.3 </w:t>
      </w:r>
      <w:r>
        <w:rPr>
          <w:rFonts w:ascii="Arial Narrow" w:hAnsi="Arial Narrow" w:cs="Arial Narrow"/>
        </w:rPr>
        <w:t>项目性质与特点</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属于持续性、常年性项目，在</w:t>
      </w:r>
      <w:r>
        <w:rPr>
          <w:rFonts w:ascii="Arial Narrow" w:hAnsi="Arial Narrow" w:cs="Arial Narrow"/>
        </w:rPr>
        <w:t>“</w:t>
      </w:r>
      <w:r>
        <w:rPr>
          <w:rFonts w:ascii="Arial Narrow" w:hAnsi="Arial Narrow" w:cs="Arial Narrow"/>
        </w:rPr>
        <w:t>十三五</w:t>
      </w:r>
      <w:r>
        <w:rPr>
          <w:rFonts w:ascii="Arial Narrow" w:hAnsi="Arial Narrow" w:cs="Arial Narrow"/>
        </w:rPr>
        <w:t>”</w:t>
      </w:r>
      <w:r>
        <w:rPr>
          <w:rFonts w:ascii="Arial Narrow" w:hAnsi="Arial Narrow" w:cs="Arial Narrow"/>
        </w:rPr>
        <w:t>规划期间，紧紧围绕治超工作，充分发挥办公室职能作用，为切实保护公路桥梁和人民群众生命财产安全，增强人民群众安全感、获得感和幸福感建立的专项资金。</w:t>
      </w:r>
    </w:p>
    <w:p w:rsidR="003D2C75" w:rsidRDefault="00000000">
      <w:pPr>
        <w:adjustRightInd w:val="0"/>
        <w:snapToGrid w:val="0"/>
        <w:ind w:firstLine="480"/>
        <w:rPr>
          <w:rFonts w:ascii="Arial Narrow" w:hAnsi="Arial Narrow" w:cs="Arial Narrow"/>
        </w:rPr>
      </w:pPr>
      <w:r>
        <w:rPr>
          <w:rFonts w:ascii="Arial Narrow" w:hAnsi="Arial Narrow" w:cs="Arial Narrow"/>
        </w:rPr>
        <w:t xml:space="preserve">1.4 </w:t>
      </w:r>
      <w:r>
        <w:rPr>
          <w:rFonts w:ascii="Arial Narrow" w:hAnsi="Arial Narrow" w:cs="Arial Narrow"/>
        </w:rPr>
        <w:t>项目立项时所属领域状况</w:t>
      </w:r>
      <w:bookmarkStart w:id="28" w:name="_Toc481590355"/>
    </w:p>
    <w:p w:rsidR="003D2C75" w:rsidRDefault="00000000">
      <w:pPr>
        <w:pStyle w:val="a5"/>
        <w:snapToGrid w:val="0"/>
        <w:ind w:firstLine="480"/>
        <w:rPr>
          <w:rFonts w:ascii="Arial Narrow" w:hAnsi="Arial Narrow" w:cs="Arial Narrow"/>
        </w:rPr>
      </w:pPr>
      <w:r>
        <w:rPr>
          <w:rFonts w:ascii="Arial Narrow" w:hAnsi="Arial Narrow" w:cs="Arial Narrow"/>
        </w:rPr>
        <w:t>随着武汉经济技术开发区（汉南区）城乡建设局责任意识的强化，为全面做好各项工作，武汉经济技术开发区（汉南区）城乡建设局认真履行岗位职责，全年进行多次源头监管巡查与考核，签订目标责任书，每月进行执法队伍培训，完善农村公路限高限宽措施，降低车辆超限率，及时完成路面治超、专项整治、源头治超等工作并取得一定成果，实行</w:t>
      </w:r>
      <w:r>
        <w:rPr>
          <w:rFonts w:ascii="Arial Narrow" w:hAnsi="Arial Narrow" w:cs="Arial Narrow"/>
        </w:rPr>
        <w:t>24</w:t>
      </w:r>
      <w:r>
        <w:rPr>
          <w:rFonts w:ascii="Arial Narrow" w:hAnsi="Arial Narrow" w:cs="Arial Narrow"/>
        </w:rPr>
        <w:t>小时巡查制，提高治超工作合规性，提高通行安全度，采取固定检测与流动巡查方式，充分发挥办公室职能作用，努力提</w:t>
      </w:r>
      <w:r>
        <w:rPr>
          <w:rFonts w:ascii="Arial Narrow" w:hAnsi="Arial Narrow" w:cs="Arial Narrow"/>
        </w:rPr>
        <w:lastRenderedPageBreak/>
        <w:t>高工作质量和服务水平。</w:t>
      </w:r>
    </w:p>
    <w:p w:rsidR="003D2C75" w:rsidRDefault="00000000">
      <w:pPr>
        <w:pStyle w:val="3"/>
        <w:adjustRightInd w:val="0"/>
        <w:snapToGrid w:val="0"/>
        <w:spacing w:before="0" w:after="0" w:line="360" w:lineRule="auto"/>
        <w:ind w:firstLine="480"/>
        <w:rPr>
          <w:rFonts w:ascii="Arial Narrow" w:hAnsi="Arial Narrow" w:cs="Arial Narrow"/>
          <w:b w:val="0"/>
          <w:sz w:val="24"/>
          <w:szCs w:val="24"/>
        </w:rPr>
      </w:pPr>
      <w:bookmarkStart w:id="29" w:name="_Toc3344"/>
      <w:bookmarkStart w:id="30" w:name="_Toc22140"/>
      <w:r>
        <w:rPr>
          <w:rFonts w:ascii="Arial Narrow" w:hAnsi="Arial Narrow" w:cs="Arial Narrow"/>
          <w:b w:val="0"/>
          <w:sz w:val="24"/>
          <w:szCs w:val="24"/>
        </w:rPr>
        <w:t>2</w:t>
      </w:r>
      <w:r>
        <w:rPr>
          <w:rFonts w:ascii="Arial Narrow" w:hAnsi="Arial Narrow" w:cs="Arial Narrow"/>
          <w:b w:val="0"/>
          <w:sz w:val="24"/>
          <w:szCs w:val="24"/>
        </w:rPr>
        <w:t>、项目绩效目</w:t>
      </w:r>
      <w:bookmarkEnd w:id="28"/>
      <w:bookmarkEnd w:id="29"/>
      <w:bookmarkEnd w:id="30"/>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3D2C75" w:rsidRDefault="00000000">
      <w:pPr>
        <w:adjustRightInd w:val="0"/>
        <w:snapToGrid w:val="0"/>
        <w:ind w:firstLine="480"/>
        <w:rPr>
          <w:rFonts w:ascii="Arial Narrow" w:hAnsi="Arial Narrow" w:cs="Arial Narrow"/>
        </w:rPr>
      </w:pPr>
      <w:r>
        <w:rPr>
          <w:rFonts w:ascii="Arial Narrow" w:hAnsi="Arial Narrow" w:cs="Arial Narrow"/>
        </w:rPr>
        <w:t>武汉经济技术开发区（汉南区）城乡建设局为该项目设定了绩效总目标：通过持续深入的综合治理，基本杜绝货车非法改装现象，基本消除道路超限超载，公路网和城市道路网整体安全保障水平进一步提升，初步建立政策完备、权责清晰、运行顺畅、执法有力、科学长效的治超工作。</w:t>
      </w:r>
    </w:p>
    <w:p w:rsidR="003D2C75" w:rsidRDefault="00000000">
      <w:pPr>
        <w:pStyle w:val="a6"/>
        <w:numPr>
          <w:ilvl w:val="0"/>
          <w:numId w:val="3"/>
        </w:numPr>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sz w:val="24"/>
          <w:szCs w:val="24"/>
        </w:rPr>
        <w:t>绩效目标完成情况</w:t>
      </w:r>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目标完成情况：截止到</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日为止，全年进行</w:t>
      </w:r>
      <w:r>
        <w:rPr>
          <w:rFonts w:ascii="Arial Narrow" w:hAnsi="Arial Narrow" w:cs="Arial Narrow"/>
        </w:rPr>
        <w:t>12</w:t>
      </w:r>
      <w:r>
        <w:rPr>
          <w:rFonts w:ascii="Arial Narrow" w:hAnsi="Arial Narrow" w:cs="Arial Narrow"/>
        </w:rPr>
        <w:t>次以上源头监管检查，</w:t>
      </w:r>
      <w:r>
        <w:rPr>
          <w:rFonts w:ascii="Arial Narrow" w:hAnsi="Arial Narrow" w:cs="Arial Narrow"/>
        </w:rPr>
        <w:t>4</w:t>
      </w:r>
      <w:r>
        <w:rPr>
          <w:rFonts w:ascii="Arial Narrow" w:hAnsi="Arial Narrow" w:cs="Arial Narrow"/>
        </w:rPr>
        <w:t>次考核，责任书签订率为</w:t>
      </w:r>
      <w:r>
        <w:rPr>
          <w:rFonts w:ascii="Arial Narrow" w:hAnsi="Arial Narrow" w:cs="Arial Narrow"/>
        </w:rPr>
        <w:t>100.00%</w:t>
      </w:r>
      <w:r>
        <w:rPr>
          <w:rFonts w:ascii="Arial Narrow" w:hAnsi="Arial Narrow" w:cs="Arial Narrow"/>
        </w:rPr>
        <w:t>，每月进行执法理论学习和军事训练，</w:t>
      </w:r>
      <w:r>
        <w:rPr>
          <w:rFonts w:ascii="Arial Narrow" w:hAnsi="Arial Narrow" w:cs="Arial Narrow"/>
        </w:rPr>
        <w:t>2018</w:t>
      </w:r>
      <w:r>
        <w:rPr>
          <w:rFonts w:ascii="Arial Narrow" w:hAnsi="Arial Narrow" w:cs="Arial Narrow"/>
        </w:rPr>
        <w:t>年车辆超限率为</w:t>
      </w:r>
      <w:r>
        <w:rPr>
          <w:rFonts w:ascii="Arial Narrow" w:hAnsi="Arial Narrow" w:cs="Arial Narrow"/>
        </w:rPr>
        <w:t>3.63%</w:t>
      </w:r>
      <w:r>
        <w:rPr>
          <w:rFonts w:ascii="Arial Narrow" w:hAnsi="Arial Narrow" w:cs="Arial Narrow"/>
        </w:rPr>
        <w:t>，项目完成及时率为</w:t>
      </w:r>
      <w:r>
        <w:rPr>
          <w:rFonts w:ascii="Arial Narrow" w:hAnsi="Arial Narrow" w:cs="Arial Narrow"/>
        </w:rPr>
        <w:t>100.00%</w:t>
      </w:r>
      <w:r>
        <w:rPr>
          <w:rFonts w:ascii="Arial Narrow" w:hAnsi="Arial Narrow" w:cs="Arial Narrow"/>
        </w:rPr>
        <w:t>；资金使用率为</w:t>
      </w:r>
      <w:r>
        <w:rPr>
          <w:rFonts w:ascii="Arial Narrow" w:hAnsi="Arial Narrow" w:cs="Arial Narrow"/>
        </w:rPr>
        <w:t>43.24%</w:t>
      </w:r>
      <w:r>
        <w:rPr>
          <w:rFonts w:ascii="Arial Narrow" w:hAnsi="Arial Narrow" w:cs="Arial Narrow"/>
        </w:rPr>
        <w:t>，全年执法覆盖率</w:t>
      </w:r>
      <w:r>
        <w:rPr>
          <w:rFonts w:ascii="Arial Narrow" w:hAnsi="Arial Narrow" w:cs="Arial Narrow"/>
        </w:rPr>
        <w:t>100.00%</w:t>
      </w:r>
      <w:r>
        <w:rPr>
          <w:rFonts w:ascii="Arial Narrow" w:hAnsi="Arial Narrow" w:cs="Arial Narrow"/>
        </w:rPr>
        <w:t>，采取固定检测与流动巡查两种治超方式，治超工作合规，车辆超限率下降，有充足人员支持项目后续运行。</w:t>
      </w:r>
    </w:p>
    <w:p w:rsidR="003D2C75" w:rsidRDefault="00000000">
      <w:pPr>
        <w:pStyle w:val="3"/>
        <w:adjustRightInd w:val="0"/>
        <w:snapToGrid w:val="0"/>
        <w:spacing w:beforeLines="50" w:before="163" w:afterLines="90" w:after="293" w:line="360" w:lineRule="auto"/>
        <w:ind w:firstLine="480"/>
        <w:rPr>
          <w:rFonts w:ascii="Arial Narrow" w:hAnsi="Arial Narrow" w:cs="Arial Narrow"/>
          <w:b w:val="0"/>
          <w:sz w:val="24"/>
          <w:szCs w:val="24"/>
        </w:rPr>
      </w:pPr>
      <w:bookmarkStart w:id="31" w:name="_Toc26867"/>
      <w:bookmarkStart w:id="32" w:name="_Toc481590356"/>
      <w:bookmarkStart w:id="33" w:name="_Toc24012"/>
      <w:r>
        <w:rPr>
          <w:rFonts w:ascii="Arial Narrow" w:hAnsi="Arial Narrow" w:cs="Arial Narrow"/>
          <w:b w:val="0"/>
          <w:sz w:val="24"/>
          <w:szCs w:val="24"/>
        </w:rPr>
        <w:t>3</w:t>
      </w:r>
      <w:r>
        <w:rPr>
          <w:rFonts w:ascii="Arial Narrow" w:hAnsi="Arial Narrow" w:cs="Arial Narrow"/>
          <w:b w:val="0"/>
          <w:sz w:val="24"/>
          <w:szCs w:val="24"/>
        </w:rPr>
        <w:t>、项目经费来源和使用情况</w:t>
      </w:r>
      <w:bookmarkEnd w:id="31"/>
      <w:bookmarkEnd w:id="32"/>
      <w:bookmarkEnd w:id="33"/>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3D2C75" w:rsidRDefault="00000000">
      <w:pPr>
        <w:snapToGrid w:val="0"/>
        <w:ind w:firstLine="480"/>
        <w:rPr>
          <w:rFonts w:ascii="Arial Narrow" w:hAnsi="Arial Narrow" w:cs="Arial Narrow"/>
        </w:rPr>
      </w:pPr>
      <w:r>
        <w:rPr>
          <w:rFonts w:ascii="Arial Narrow" w:hAnsi="Arial Narrow" w:cs="Arial Narrow"/>
        </w:rPr>
        <w:t>开发区（汉南区）财政局关于批复开发区（汉南区）城乡建设局</w:t>
      </w:r>
      <w:r>
        <w:rPr>
          <w:rFonts w:ascii="Arial Narrow" w:hAnsi="Arial Narrow" w:cs="Arial Narrow"/>
        </w:rPr>
        <w:t>2018</w:t>
      </w:r>
      <w:r>
        <w:rPr>
          <w:rFonts w:ascii="Arial Narrow" w:hAnsi="Arial Narrow" w:cs="Arial Narrow"/>
        </w:rPr>
        <w:t>年预算的函（武经开财预</w:t>
      </w:r>
      <w:r>
        <w:rPr>
          <w:rFonts w:ascii="Arial Narrow" w:hAnsi="Arial Narrow" w:cs="Arial Narrow"/>
        </w:rPr>
        <w:t>[2018]36</w:t>
      </w:r>
      <w:r>
        <w:rPr>
          <w:rFonts w:ascii="Arial Narrow" w:hAnsi="Arial Narrow" w:cs="Arial Narrow"/>
        </w:rPr>
        <w:t>号）中批复了</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项目年初预算资金</w:t>
      </w:r>
      <w:r>
        <w:rPr>
          <w:rFonts w:ascii="Arial Narrow" w:hAnsi="Arial Narrow" w:cs="Arial Narrow"/>
        </w:rPr>
        <w:t>110.00</w:t>
      </w:r>
      <w:r>
        <w:rPr>
          <w:rFonts w:ascii="Arial Narrow" w:hAnsi="Arial Narrow" w:cs="Arial Narrow"/>
        </w:rPr>
        <w:t>万元，实际下达预算资金</w:t>
      </w:r>
      <w:r>
        <w:rPr>
          <w:rFonts w:ascii="Arial Narrow" w:hAnsi="Arial Narrow" w:cs="Arial Narrow"/>
        </w:rPr>
        <w:t>110.00</w:t>
      </w:r>
      <w:r>
        <w:rPr>
          <w:rFonts w:ascii="Arial Narrow" w:hAnsi="Arial Narrow" w:cs="Arial Narrow"/>
        </w:rPr>
        <w:t>万元，实际支出资金为</w:t>
      </w:r>
      <w:r>
        <w:rPr>
          <w:rFonts w:ascii="Arial Narrow" w:hAnsi="Arial Narrow" w:cs="Arial Narrow"/>
        </w:rPr>
        <w:t>47.56</w:t>
      </w:r>
      <w:r>
        <w:rPr>
          <w:rFonts w:ascii="Arial Narrow" w:hAnsi="Arial Narrow" w:cs="Arial Narrow"/>
        </w:rPr>
        <w:t>万元，资金使用率为</w:t>
      </w:r>
      <w:r>
        <w:rPr>
          <w:rFonts w:ascii="Arial Narrow" w:hAnsi="Arial Narrow" w:cs="Arial Narrow"/>
        </w:rPr>
        <w:t>43.24%</w:t>
      </w:r>
      <w:r>
        <w:rPr>
          <w:rFonts w:ascii="Arial Narrow" w:hAnsi="Arial Narrow" w:cs="Arial Narrow"/>
        </w:rPr>
        <w:t>。</w:t>
      </w:r>
    </w:p>
    <w:p w:rsidR="003D2C75" w:rsidRDefault="00000000">
      <w:pPr>
        <w:numPr>
          <w:ilvl w:val="0"/>
          <w:numId w:val="4"/>
        </w:numPr>
        <w:adjustRightInd w:val="0"/>
        <w:snapToGrid w:val="0"/>
        <w:ind w:firstLine="480"/>
        <w:rPr>
          <w:rFonts w:ascii="Arial Narrow" w:hAnsi="Arial Narrow" w:cs="Arial Narrow"/>
        </w:rPr>
      </w:pPr>
      <w:r>
        <w:rPr>
          <w:rFonts w:ascii="Arial Narrow" w:hAnsi="Arial Narrow" w:cs="Arial Narrow"/>
        </w:rPr>
        <w:t>项目资金使用概况</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实际支出</w:t>
      </w:r>
      <w:r>
        <w:rPr>
          <w:rFonts w:ascii="Arial Narrow" w:hAnsi="Arial Narrow" w:cs="Arial Narrow"/>
        </w:rPr>
        <w:t>47.56</w:t>
      </w:r>
      <w:r>
        <w:rPr>
          <w:rFonts w:ascii="Arial Narrow" w:hAnsi="Arial Narrow" w:cs="Arial Narrow"/>
        </w:rPr>
        <w:t>万元，支出明细如下：</w:t>
      </w:r>
    </w:p>
    <w:tbl>
      <w:tblPr>
        <w:tblStyle w:val="af"/>
        <w:tblW w:w="8075" w:type="dxa"/>
        <w:tblLayout w:type="fixed"/>
        <w:tblLook w:val="04A0" w:firstRow="1" w:lastRow="0" w:firstColumn="1" w:lastColumn="0" w:noHBand="0" w:noVBand="1"/>
      </w:tblPr>
      <w:tblGrid>
        <w:gridCol w:w="3336"/>
        <w:gridCol w:w="1419"/>
        <w:gridCol w:w="1419"/>
        <w:gridCol w:w="1901"/>
      </w:tblGrid>
      <w:tr w:rsidR="003D2C75">
        <w:trPr>
          <w:tblHeader/>
        </w:trPr>
        <w:tc>
          <w:tcPr>
            <w:tcW w:w="3336" w:type="dxa"/>
            <w:vAlign w:val="center"/>
          </w:tcPr>
          <w:p w:rsidR="003D2C75" w:rsidRDefault="00000000">
            <w:pPr>
              <w:widowControl/>
              <w:ind w:firstLine="408"/>
              <w:jc w:val="left"/>
              <w:textAlignment w:val="center"/>
              <w:rPr>
                <w:rFonts w:ascii="Arial Narrow" w:hAnsi="Arial Narrow" w:cs="Arial Narrow"/>
                <w:sz w:val="20"/>
                <w:szCs w:val="20"/>
              </w:rPr>
            </w:pPr>
            <w:r>
              <w:rPr>
                <w:rFonts w:ascii="Arial Narrow" w:hAnsi="Arial Narrow" w:cs="Arial Narrow"/>
                <w:b/>
                <w:kern w:val="0"/>
                <w:sz w:val="20"/>
                <w:szCs w:val="20"/>
                <w:lang w:bidi="ar"/>
              </w:rPr>
              <w:t>项目</w:t>
            </w:r>
          </w:p>
        </w:tc>
        <w:tc>
          <w:tcPr>
            <w:tcW w:w="1419" w:type="dxa"/>
            <w:vAlign w:val="center"/>
          </w:tcPr>
          <w:p w:rsidR="003D2C75" w:rsidRDefault="00000000">
            <w:pPr>
              <w:widowControl/>
              <w:ind w:firstLine="408"/>
              <w:jc w:val="left"/>
              <w:textAlignment w:val="center"/>
              <w:rPr>
                <w:rFonts w:ascii="Arial Narrow" w:hAnsi="Arial Narrow" w:cs="Arial Narrow"/>
                <w:sz w:val="20"/>
                <w:szCs w:val="20"/>
              </w:rPr>
            </w:pPr>
            <w:r>
              <w:rPr>
                <w:rFonts w:ascii="Arial Narrow" w:hAnsi="Arial Narrow" w:cs="Arial Narrow"/>
                <w:b/>
                <w:kern w:val="0"/>
                <w:sz w:val="20"/>
                <w:szCs w:val="20"/>
                <w:lang w:bidi="ar"/>
              </w:rPr>
              <w:t>预算数</w:t>
            </w:r>
          </w:p>
        </w:tc>
        <w:tc>
          <w:tcPr>
            <w:tcW w:w="1419" w:type="dxa"/>
            <w:vAlign w:val="center"/>
          </w:tcPr>
          <w:p w:rsidR="003D2C75" w:rsidRDefault="00000000">
            <w:pPr>
              <w:widowControl/>
              <w:ind w:firstLine="408"/>
              <w:jc w:val="left"/>
              <w:textAlignment w:val="center"/>
              <w:rPr>
                <w:rFonts w:ascii="Arial Narrow" w:hAnsi="Arial Narrow" w:cs="Arial Narrow"/>
                <w:sz w:val="20"/>
                <w:szCs w:val="20"/>
              </w:rPr>
            </w:pPr>
            <w:r>
              <w:rPr>
                <w:rFonts w:ascii="Arial Narrow" w:hAnsi="Arial Narrow" w:cs="Arial Narrow"/>
                <w:b/>
                <w:kern w:val="0"/>
                <w:sz w:val="20"/>
                <w:szCs w:val="20"/>
                <w:lang w:bidi="ar"/>
              </w:rPr>
              <w:t>执行数</w:t>
            </w:r>
          </w:p>
        </w:tc>
        <w:tc>
          <w:tcPr>
            <w:tcW w:w="1901" w:type="dxa"/>
            <w:vAlign w:val="center"/>
          </w:tcPr>
          <w:p w:rsidR="003D2C75" w:rsidRDefault="00000000">
            <w:pPr>
              <w:widowControl/>
              <w:ind w:firstLine="408"/>
              <w:jc w:val="left"/>
              <w:textAlignment w:val="center"/>
              <w:rPr>
                <w:rFonts w:ascii="Arial Narrow" w:hAnsi="Arial Narrow" w:cs="Arial Narrow"/>
                <w:sz w:val="20"/>
                <w:szCs w:val="20"/>
              </w:rPr>
            </w:pPr>
            <w:r>
              <w:rPr>
                <w:rFonts w:ascii="Arial Narrow" w:hAnsi="Arial Narrow" w:cs="Arial Narrow"/>
                <w:b/>
                <w:kern w:val="0"/>
                <w:sz w:val="20"/>
                <w:szCs w:val="20"/>
                <w:lang w:bidi="ar"/>
              </w:rPr>
              <w:t>预算执行率</w:t>
            </w:r>
          </w:p>
        </w:tc>
      </w:tr>
      <w:tr w:rsidR="003D2C75">
        <w:trPr>
          <w:trHeight w:val="344"/>
        </w:trPr>
        <w:tc>
          <w:tcPr>
            <w:tcW w:w="3336" w:type="dxa"/>
            <w:vAlign w:val="center"/>
          </w:tcPr>
          <w:p w:rsidR="003D2C75" w:rsidRDefault="00000000">
            <w:pPr>
              <w:widowControl/>
              <w:ind w:firstLine="408"/>
              <w:jc w:val="left"/>
              <w:textAlignment w:val="center"/>
              <w:rPr>
                <w:rFonts w:ascii="Arial Narrow" w:hAnsi="Arial Narrow" w:cs="Arial Narrow"/>
                <w:sz w:val="20"/>
                <w:szCs w:val="20"/>
              </w:rPr>
            </w:pPr>
            <w:r>
              <w:rPr>
                <w:rFonts w:ascii="Arial Narrow" w:hAnsi="Arial Narrow" w:cs="Arial Narrow"/>
                <w:b/>
                <w:bCs/>
                <w:kern w:val="0"/>
                <w:sz w:val="20"/>
                <w:szCs w:val="20"/>
                <w:lang w:bidi="ar"/>
              </w:rPr>
              <w:t>治超整治专项经费</w:t>
            </w:r>
          </w:p>
        </w:tc>
        <w:tc>
          <w:tcPr>
            <w:tcW w:w="1419" w:type="dxa"/>
            <w:vAlign w:val="center"/>
          </w:tcPr>
          <w:p w:rsidR="003D2C75" w:rsidRDefault="003D2C75">
            <w:pPr>
              <w:ind w:firstLine="400"/>
              <w:rPr>
                <w:rFonts w:ascii="Arial Narrow" w:hAnsi="Arial Narrow" w:cs="Arial Narrow"/>
                <w:sz w:val="20"/>
                <w:szCs w:val="20"/>
              </w:rPr>
            </w:pPr>
          </w:p>
        </w:tc>
        <w:tc>
          <w:tcPr>
            <w:tcW w:w="1419" w:type="dxa"/>
            <w:vAlign w:val="center"/>
          </w:tcPr>
          <w:p w:rsidR="003D2C75" w:rsidRDefault="003D2C75">
            <w:pPr>
              <w:ind w:firstLine="400"/>
              <w:rPr>
                <w:rFonts w:ascii="Arial Narrow" w:hAnsi="Arial Narrow" w:cs="Arial Narrow"/>
                <w:sz w:val="20"/>
                <w:szCs w:val="20"/>
              </w:rPr>
            </w:pPr>
          </w:p>
        </w:tc>
        <w:tc>
          <w:tcPr>
            <w:tcW w:w="1901" w:type="dxa"/>
            <w:vAlign w:val="center"/>
          </w:tcPr>
          <w:p w:rsidR="003D2C75" w:rsidRDefault="003D2C75">
            <w:pPr>
              <w:ind w:firstLine="400"/>
              <w:rPr>
                <w:rFonts w:ascii="Arial Narrow" w:hAnsi="Arial Narrow" w:cs="Arial Narrow"/>
                <w:sz w:val="20"/>
                <w:szCs w:val="20"/>
              </w:rPr>
            </w:pP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1.</w:t>
            </w:r>
            <w:r>
              <w:rPr>
                <w:rFonts w:ascii="Arial Narrow" w:hAnsi="Arial Narrow" w:cs="Arial Narrow"/>
                <w:kern w:val="0"/>
                <w:sz w:val="20"/>
                <w:szCs w:val="20"/>
                <w:lang w:bidi="ar"/>
              </w:rPr>
              <w:t>整治安全装备</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1.10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0.00%</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2.</w:t>
            </w:r>
            <w:r>
              <w:rPr>
                <w:rFonts w:ascii="Arial Narrow" w:hAnsi="Arial Narrow" w:cs="Arial Narrow"/>
                <w:kern w:val="0"/>
                <w:sz w:val="20"/>
                <w:szCs w:val="20"/>
                <w:lang w:bidi="ar"/>
              </w:rPr>
              <w:t>专项整治租赁场地费用</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19.92</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13.50</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67.77%</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lastRenderedPageBreak/>
              <w:t>3.</w:t>
            </w:r>
            <w:r>
              <w:rPr>
                <w:rFonts w:ascii="Arial Narrow" w:hAnsi="Arial Narrow" w:cs="Arial Narrow"/>
                <w:kern w:val="0"/>
                <w:sz w:val="20"/>
                <w:szCs w:val="20"/>
                <w:lang w:bidi="ar"/>
              </w:rPr>
              <w:t>治超卡点运行费用</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69.46</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22.44</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32.31%</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4.</w:t>
            </w:r>
            <w:r>
              <w:rPr>
                <w:rFonts w:ascii="Arial Narrow" w:hAnsi="Arial Narrow" w:cs="Arial Narrow"/>
                <w:kern w:val="0"/>
                <w:sz w:val="20"/>
                <w:szCs w:val="20"/>
                <w:lang w:bidi="ar"/>
              </w:rPr>
              <w:t>治超办其他各项费用</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9.52</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1.66</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17.44%</w:t>
            </w:r>
          </w:p>
        </w:tc>
      </w:tr>
      <w:tr w:rsidR="003D2C75">
        <w:tc>
          <w:tcPr>
            <w:tcW w:w="3336" w:type="dxa"/>
            <w:vAlign w:val="center"/>
          </w:tcPr>
          <w:p w:rsidR="003D2C75" w:rsidRDefault="00000000">
            <w:pPr>
              <w:widowControl/>
              <w:ind w:firstLine="408"/>
              <w:jc w:val="left"/>
              <w:textAlignment w:val="center"/>
              <w:rPr>
                <w:rFonts w:ascii="Arial Narrow" w:hAnsi="Arial Narrow" w:cs="Arial Narrow"/>
                <w:b/>
                <w:sz w:val="20"/>
                <w:szCs w:val="20"/>
              </w:rPr>
            </w:pPr>
            <w:r>
              <w:rPr>
                <w:rFonts w:ascii="Arial Narrow" w:hAnsi="Arial Narrow" w:cs="Arial Narrow"/>
                <w:b/>
                <w:kern w:val="0"/>
                <w:sz w:val="20"/>
                <w:szCs w:val="20"/>
                <w:lang w:bidi="ar"/>
              </w:rPr>
              <w:t>小计</w:t>
            </w:r>
          </w:p>
        </w:tc>
        <w:tc>
          <w:tcPr>
            <w:tcW w:w="1419"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100.00</w:t>
            </w:r>
          </w:p>
        </w:tc>
        <w:tc>
          <w:tcPr>
            <w:tcW w:w="1419"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37.60</w:t>
            </w:r>
          </w:p>
        </w:tc>
        <w:tc>
          <w:tcPr>
            <w:tcW w:w="1901"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37.60%</w:t>
            </w:r>
          </w:p>
        </w:tc>
      </w:tr>
      <w:tr w:rsidR="003D2C75">
        <w:tc>
          <w:tcPr>
            <w:tcW w:w="3336" w:type="dxa"/>
            <w:vAlign w:val="center"/>
          </w:tcPr>
          <w:p w:rsidR="003D2C75" w:rsidRDefault="00000000">
            <w:pPr>
              <w:widowControl/>
              <w:ind w:firstLine="408"/>
              <w:jc w:val="left"/>
              <w:textAlignment w:val="center"/>
              <w:rPr>
                <w:rFonts w:ascii="Arial Narrow" w:hAnsi="Arial Narrow" w:cs="Arial Narrow"/>
                <w:sz w:val="20"/>
                <w:szCs w:val="20"/>
              </w:rPr>
            </w:pPr>
            <w:r>
              <w:rPr>
                <w:rFonts w:ascii="Arial Narrow" w:hAnsi="Arial Narrow" w:cs="Arial Narrow"/>
                <w:b/>
                <w:bCs/>
                <w:kern w:val="0"/>
                <w:sz w:val="20"/>
                <w:szCs w:val="20"/>
                <w:lang w:bidi="ar"/>
              </w:rPr>
              <w:t>路政管理专项资金</w:t>
            </w:r>
          </w:p>
        </w:tc>
        <w:tc>
          <w:tcPr>
            <w:tcW w:w="1419" w:type="dxa"/>
            <w:vAlign w:val="center"/>
          </w:tcPr>
          <w:p w:rsidR="003D2C75" w:rsidRDefault="003D2C75">
            <w:pPr>
              <w:ind w:firstLine="400"/>
              <w:jc w:val="right"/>
              <w:rPr>
                <w:rFonts w:ascii="Arial Narrow" w:hAnsi="Arial Narrow" w:cs="Arial Narrow"/>
                <w:sz w:val="20"/>
                <w:szCs w:val="20"/>
              </w:rPr>
            </w:pPr>
          </w:p>
        </w:tc>
        <w:tc>
          <w:tcPr>
            <w:tcW w:w="1419" w:type="dxa"/>
            <w:vAlign w:val="center"/>
          </w:tcPr>
          <w:p w:rsidR="003D2C75" w:rsidRDefault="003D2C75">
            <w:pPr>
              <w:ind w:firstLine="400"/>
              <w:jc w:val="right"/>
              <w:rPr>
                <w:rFonts w:ascii="Arial Narrow" w:hAnsi="Arial Narrow" w:cs="Arial Narrow"/>
                <w:sz w:val="20"/>
                <w:szCs w:val="20"/>
              </w:rPr>
            </w:pPr>
          </w:p>
        </w:tc>
        <w:tc>
          <w:tcPr>
            <w:tcW w:w="1901" w:type="dxa"/>
            <w:vAlign w:val="center"/>
          </w:tcPr>
          <w:p w:rsidR="003D2C75" w:rsidRDefault="003D2C75">
            <w:pPr>
              <w:ind w:firstLine="400"/>
              <w:jc w:val="right"/>
              <w:rPr>
                <w:rFonts w:ascii="Arial Narrow" w:hAnsi="Arial Narrow" w:cs="Arial Narrow"/>
                <w:sz w:val="20"/>
                <w:szCs w:val="20"/>
              </w:rPr>
            </w:pP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1.</w:t>
            </w:r>
            <w:r>
              <w:rPr>
                <w:rFonts w:ascii="Arial Narrow" w:hAnsi="Arial Narrow" w:cs="Arial Narrow"/>
                <w:kern w:val="0"/>
                <w:sz w:val="20"/>
                <w:szCs w:val="20"/>
                <w:lang w:bidi="ar"/>
              </w:rPr>
              <w:t>办公费</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2.00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2.28</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113.78%</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2.</w:t>
            </w:r>
            <w:r>
              <w:rPr>
                <w:rFonts w:ascii="Arial Narrow" w:hAnsi="Arial Narrow" w:cs="Arial Narrow"/>
                <w:kern w:val="0"/>
                <w:sz w:val="20"/>
                <w:szCs w:val="20"/>
                <w:lang w:bidi="ar"/>
              </w:rPr>
              <w:t>印刷费</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0.80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0.00%</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3.</w:t>
            </w:r>
            <w:r>
              <w:rPr>
                <w:rFonts w:ascii="Arial Narrow" w:hAnsi="Arial Narrow" w:cs="Arial Narrow"/>
                <w:kern w:val="0"/>
                <w:sz w:val="20"/>
                <w:szCs w:val="20"/>
                <w:lang w:bidi="ar"/>
              </w:rPr>
              <w:t>培训费</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2.00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0.00%</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4.</w:t>
            </w:r>
            <w:r>
              <w:rPr>
                <w:rFonts w:ascii="Arial Narrow" w:hAnsi="Arial Narrow" w:cs="Arial Narrow"/>
                <w:kern w:val="0"/>
                <w:sz w:val="20"/>
                <w:szCs w:val="20"/>
                <w:lang w:bidi="ar"/>
              </w:rPr>
              <w:t>其他交通费</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4.00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7.69</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192.17%</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5.</w:t>
            </w:r>
            <w:r>
              <w:rPr>
                <w:rFonts w:ascii="Arial Narrow" w:hAnsi="Arial Narrow" w:cs="Arial Narrow"/>
                <w:kern w:val="0"/>
                <w:sz w:val="20"/>
                <w:szCs w:val="20"/>
                <w:lang w:bidi="ar"/>
              </w:rPr>
              <w:t>其他商品和服务支出</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0.20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0.00%</w:t>
            </w:r>
          </w:p>
        </w:tc>
      </w:tr>
      <w:tr w:rsidR="003D2C75">
        <w:tc>
          <w:tcPr>
            <w:tcW w:w="3336" w:type="dxa"/>
            <w:vAlign w:val="center"/>
          </w:tcPr>
          <w:p w:rsidR="003D2C75" w:rsidRDefault="00000000">
            <w:pPr>
              <w:widowControl/>
              <w:ind w:firstLine="400"/>
              <w:jc w:val="left"/>
              <w:textAlignment w:val="center"/>
              <w:rPr>
                <w:rFonts w:ascii="Arial Narrow" w:hAnsi="Arial Narrow" w:cs="Arial Narrow"/>
                <w:sz w:val="20"/>
                <w:szCs w:val="20"/>
              </w:rPr>
            </w:pPr>
            <w:r>
              <w:rPr>
                <w:rFonts w:ascii="Arial Narrow" w:hAnsi="Arial Narrow" w:cs="Arial Narrow"/>
                <w:kern w:val="0"/>
                <w:sz w:val="20"/>
                <w:szCs w:val="20"/>
                <w:lang w:bidi="ar"/>
              </w:rPr>
              <w:t>6.</w:t>
            </w:r>
            <w:r>
              <w:rPr>
                <w:rFonts w:ascii="Arial Narrow" w:hAnsi="Arial Narrow" w:cs="Arial Narrow"/>
                <w:kern w:val="0"/>
                <w:sz w:val="20"/>
                <w:szCs w:val="20"/>
                <w:lang w:bidi="ar"/>
              </w:rPr>
              <w:t>办公设备购置</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419"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w:t>
            </w:r>
          </w:p>
        </w:tc>
        <w:tc>
          <w:tcPr>
            <w:tcW w:w="1901" w:type="dxa"/>
            <w:vAlign w:val="center"/>
          </w:tcPr>
          <w:p w:rsidR="003D2C75" w:rsidRDefault="00000000">
            <w:pPr>
              <w:widowControl/>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0.00%</w:t>
            </w:r>
          </w:p>
        </w:tc>
      </w:tr>
      <w:tr w:rsidR="003D2C75">
        <w:tc>
          <w:tcPr>
            <w:tcW w:w="3336" w:type="dxa"/>
            <w:vAlign w:val="center"/>
          </w:tcPr>
          <w:p w:rsidR="003D2C75" w:rsidRDefault="00000000">
            <w:pPr>
              <w:widowControl/>
              <w:ind w:firstLine="408"/>
              <w:jc w:val="left"/>
              <w:textAlignment w:val="center"/>
              <w:rPr>
                <w:rFonts w:ascii="Arial Narrow" w:hAnsi="Arial Narrow" w:cs="Arial Narrow"/>
                <w:b/>
                <w:sz w:val="20"/>
                <w:szCs w:val="20"/>
              </w:rPr>
            </w:pPr>
            <w:r>
              <w:rPr>
                <w:rFonts w:ascii="Arial Narrow" w:hAnsi="Arial Narrow" w:cs="Arial Narrow"/>
                <w:b/>
                <w:kern w:val="0"/>
                <w:sz w:val="20"/>
                <w:szCs w:val="20"/>
                <w:lang w:bidi="ar"/>
              </w:rPr>
              <w:t>小计</w:t>
            </w:r>
          </w:p>
        </w:tc>
        <w:tc>
          <w:tcPr>
            <w:tcW w:w="1419"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10.00</w:t>
            </w:r>
          </w:p>
        </w:tc>
        <w:tc>
          <w:tcPr>
            <w:tcW w:w="1419"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9.96</w:t>
            </w:r>
          </w:p>
        </w:tc>
        <w:tc>
          <w:tcPr>
            <w:tcW w:w="1901"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99.62%</w:t>
            </w:r>
          </w:p>
        </w:tc>
      </w:tr>
      <w:tr w:rsidR="003D2C75">
        <w:tc>
          <w:tcPr>
            <w:tcW w:w="3336" w:type="dxa"/>
            <w:vAlign w:val="center"/>
          </w:tcPr>
          <w:p w:rsidR="003D2C75" w:rsidRDefault="00000000">
            <w:pPr>
              <w:widowControl/>
              <w:ind w:firstLine="408"/>
              <w:jc w:val="left"/>
              <w:textAlignment w:val="center"/>
              <w:rPr>
                <w:rFonts w:ascii="Arial Narrow" w:hAnsi="Arial Narrow" w:cs="Arial Narrow"/>
                <w:b/>
                <w:sz w:val="20"/>
                <w:szCs w:val="20"/>
              </w:rPr>
            </w:pPr>
            <w:r>
              <w:rPr>
                <w:rFonts w:ascii="Arial Narrow" w:hAnsi="Arial Narrow" w:cs="Arial Narrow"/>
                <w:b/>
                <w:kern w:val="0"/>
                <w:sz w:val="20"/>
                <w:szCs w:val="20"/>
                <w:lang w:bidi="ar"/>
              </w:rPr>
              <w:t>合计</w:t>
            </w:r>
          </w:p>
        </w:tc>
        <w:tc>
          <w:tcPr>
            <w:tcW w:w="1419"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110.00</w:t>
            </w:r>
          </w:p>
        </w:tc>
        <w:tc>
          <w:tcPr>
            <w:tcW w:w="1419"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47.56</w:t>
            </w:r>
          </w:p>
        </w:tc>
        <w:tc>
          <w:tcPr>
            <w:tcW w:w="1901" w:type="dxa"/>
            <w:vAlign w:val="center"/>
          </w:tcPr>
          <w:p w:rsidR="003D2C75" w:rsidRDefault="00000000">
            <w:pPr>
              <w:widowControl/>
              <w:ind w:firstLine="408"/>
              <w:jc w:val="right"/>
              <w:textAlignment w:val="center"/>
              <w:rPr>
                <w:rFonts w:ascii="Arial Narrow" w:hAnsi="Arial Narrow" w:cs="Arial Narrow"/>
                <w:b/>
                <w:sz w:val="20"/>
                <w:szCs w:val="20"/>
              </w:rPr>
            </w:pPr>
            <w:r>
              <w:rPr>
                <w:rFonts w:ascii="Arial Narrow" w:hAnsi="Arial Narrow" w:cs="Arial Narrow"/>
                <w:b/>
                <w:kern w:val="0"/>
                <w:sz w:val="20"/>
                <w:szCs w:val="20"/>
                <w:lang w:bidi="ar"/>
              </w:rPr>
              <w:t>43.24%</w:t>
            </w:r>
          </w:p>
        </w:tc>
      </w:tr>
    </w:tbl>
    <w:p w:rsidR="003D2C75" w:rsidRDefault="003D2C75">
      <w:pPr>
        <w:adjustRightInd w:val="0"/>
        <w:snapToGrid w:val="0"/>
        <w:ind w:firstLineChars="0" w:firstLine="0"/>
        <w:jc w:val="center"/>
        <w:rPr>
          <w:rFonts w:ascii="Arial Narrow" w:hAnsi="Arial Narrow" w:cs="Arial Narrow"/>
        </w:rPr>
      </w:pPr>
    </w:p>
    <w:p w:rsidR="003D2C75" w:rsidRDefault="00000000">
      <w:pPr>
        <w:pStyle w:val="3"/>
        <w:adjustRightInd w:val="0"/>
        <w:snapToGrid w:val="0"/>
        <w:spacing w:beforeLines="50" w:before="163" w:afterLines="90" w:after="293" w:line="360" w:lineRule="auto"/>
        <w:ind w:firstLine="480"/>
        <w:rPr>
          <w:rFonts w:ascii="Arial Narrow" w:hAnsi="Arial Narrow" w:cs="Arial Narrow"/>
          <w:b w:val="0"/>
          <w:sz w:val="24"/>
        </w:rPr>
      </w:pPr>
      <w:bookmarkStart w:id="34" w:name="_Toc18667"/>
      <w:bookmarkStart w:id="35" w:name="_Toc481590357"/>
      <w:bookmarkStart w:id="36" w:name="_Toc2112"/>
      <w:r>
        <w:rPr>
          <w:rFonts w:ascii="Arial Narrow" w:hAnsi="Arial Narrow" w:cs="Arial Narrow"/>
          <w:b w:val="0"/>
          <w:sz w:val="24"/>
        </w:rPr>
        <w:t>4</w:t>
      </w:r>
      <w:r>
        <w:rPr>
          <w:rFonts w:ascii="Arial Narrow" w:hAnsi="Arial Narrow" w:cs="Arial Narrow"/>
          <w:b w:val="0"/>
          <w:sz w:val="24"/>
        </w:rPr>
        <w:t>、项目实施情况</w:t>
      </w:r>
      <w:bookmarkEnd w:id="34"/>
      <w:bookmarkEnd w:id="35"/>
      <w:bookmarkEnd w:id="36"/>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）项目实施单位：武汉经济技术开发区（汉南区）城乡建设局</w:t>
      </w:r>
      <w:r>
        <w:rPr>
          <w:rFonts w:ascii="Arial Narrow" w:hAnsi="Arial Narrow" w:cs="Arial Narrow"/>
        </w:rPr>
        <w:t xml:space="preserve"> </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3D2C75" w:rsidRDefault="00000000">
      <w:pPr>
        <w:pStyle w:val="a5"/>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）项目主要内容：为充分发挥办公室职能作用，努力提高工作质量和服务水平，项目的主要内容是加强治超督查，监督目标责任书的签订，强化执法队伍培训并实行</w:t>
      </w:r>
      <w:r>
        <w:rPr>
          <w:rFonts w:ascii="Arial Narrow" w:hAnsi="Arial Narrow" w:cs="Arial Narrow"/>
        </w:rPr>
        <w:t>24</w:t>
      </w:r>
      <w:r>
        <w:rPr>
          <w:rFonts w:ascii="Arial Narrow" w:hAnsi="Arial Narrow" w:cs="Arial Narrow"/>
        </w:rPr>
        <w:t>小时巡查，治超工作合规、方式多样。完善道路监控网络建设，减少车辆超限超载现象，提高道路安全。</w:t>
      </w:r>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）项目完成概况：截止到</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日为止，项目实施单位全年实行多次检查与考核，与全部</w:t>
      </w:r>
      <w:r>
        <w:rPr>
          <w:rFonts w:ascii="Arial Narrow" w:hAnsi="Arial Narrow" w:cs="Arial Narrow"/>
        </w:rPr>
        <w:t>9</w:t>
      </w:r>
      <w:r>
        <w:rPr>
          <w:rFonts w:ascii="Arial Narrow" w:hAnsi="Arial Narrow" w:cs="Arial Narrow"/>
        </w:rPr>
        <w:t>家联合治超单位签订目标责任书，每月进行执法理论学习与军事训练并考核训练情况，实现了</w:t>
      </w:r>
      <w:r>
        <w:rPr>
          <w:rFonts w:ascii="Arial Narrow" w:hAnsi="Arial Narrow" w:cs="Arial Narrow"/>
        </w:rPr>
        <w:t>24</w:t>
      </w:r>
      <w:r>
        <w:rPr>
          <w:rFonts w:ascii="Arial Narrow" w:hAnsi="Arial Narrow" w:cs="Arial Narrow"/>
        </w:rPr>
        <w:t>小时巡查，采用固定检测与流动巡查</w:t>
      </w:r>
      <w:r>
        <w:rPr>
          <w:rFonts w:ascii="Arial Narrow" w:hAnsi="Arial Narrow" w:cs="Arial Narrow"/>
        </w:rPr>
        <w:lastRenderedPageBreak/>
        <w:t>进行合规治超工作，遏制了超载超限现象，及时完成了路面治超、专项整治、源头治超等工作并取得成果。</w:t>
      </w:r>
    </w:p>
    <w:p w:rsidR="003D2C75" w:rsidRDefault="00000000">
      <w:pPr>
        <w:pStyle w:val="2"/>
        <w:adjustRightInd w:val="0"/>
        <w:snapToGrid w:val="0"/>
        <w:spacing w:line="360" w:lineRule="auto"/>
        <w:ind w:firstLine="489"/>
        <w:rPr>
          <w:rFonts w:ascii="Arial Narrow" w:eastAsia="仿宋_GB2312" w:hAnsi="Arial Narrow" w:cs="Arial Narrow"/>
          <w:sz w:val="24"/>
        </w:rPr>
      </w:pPr>
      <w:bookmarkStart w:id="37" w:name="_Toc481590358"/>
      <w:bookmarkStart w:id="38" w:name="_Toc5852"/>
      <w:bookmarkStart w:id="39" w:name="_Toc25945"/>
      <w:r>
        <w:rPr>
          <w:rFonts w:ascii="Arial Narrow" w:eastAsia="仿宋_GB2312" w:hAnsi="Arial Narrow" w:cs="Arial Narrow"/>
          <w:sz w:val="24"/>
        </w:rPr>
        <w:t>（二）绩效评价工作情况</w:t>
      </w:r>
      <w:bookmarkEnd w:id="37"/>
      <w:bookmarkEnd w:id="38"/>
      <w:bookmarkEnd w:id="39"/>
    </w:p>
    <w:p w:rsidR="003D2C75" w:rsidRDefault="00000000">
      <w:pPr>
        <w:pStyle w:val="3"/>
        <w:adjustRightInd w:val="0"/>
        <w:snapToGrid w:val="0"/>
        <w:spacing w:line="360" w:lineRule="auto"/>
        <w:ind w:firstLine="480"/>
        <w:rPr>
          <w:rFonts w:ascii="Arial Narrow" w:hAnsi="Arial Narrow" w:cs="Arial Narrow"/>
          <w:b w:val="0"/>
          <w:sz w:val="24"/>
        </w:rPr>
      </w:pPr>
      <w:bookmarkStart w:id="40" w:name="_Toc481590359"/>
      <w:bookmarkStart w:id="41" w:name="_Toc21841"/>
      <w:bookmarkStart w:id="42" w:name="_Toc5054"/>
      <w:r>
        <w:rPr>
          <w:rFonts w:ascii="Arial Narrow" w:hAnsi="Arial Narrow" w:cs="Arial Narrow"/>
          <w:b w:val="0"/>
          <w:sz w:val="24"/>
        </w:rPr>
        <w:t>1</w:t>
      </w:r>
      <w:r>
        <w:rPr>
          <w:rFonts w:ascii="Arial Narrow" w:hAnsi="Arial Narrow" w:cs="Arial Narrow"/>
          <w:b w:val="0"/>
          <w:sz w:val="24"/>
        </w:rPr>
        <w:t>、绩效评价目的</w:t>
      </w:r>
      <w:bookmarkStart w:id="43" w:name="_Toc481590360"/>
      <w:bookmarkEnd w:id="40"/>
      <w:bookmarkEnd w:id="41"/>
      <w:bookmarkEnd w:id="42"/>
    </w:p>
    <w:p w:rsidR="003D2C75" w:rsidRDefault="00000000">
      <w:pPr>
        <w:snapToGrid w:val="0"/>
        <w:ind w:firstLine="480"/>
        <w:rPr>
          <w:rFonts w:ascii="Arial Narrow" w:hAnsi="Arial Narrow" w:cs="Arial Narrow"/>
        </w:rPr>
      </w:pPr>
      <w:r>
        <w:rPr>
          <w:rFonts w:ascii="Arial Narrow" w:hAnsi="Arial Narrow" w:cs="Arial Narrow"/>
        </w:rPr>
        <w:t>为深化预算管理改革，进一步加强武汉经济技术开发区（汉南区）城乡建设局</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的监督管理，提高财政资金使用效益，根据《中华人民共和国预算法》、《财政支出绩效评价管理暂行办法》和国家有关财务规章制度，结合武汉经济技术开发区</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的具体情况，进行此次绩效评价。同时，本次绩效评价还力争实现以下目的：</w:t>
      </w:r>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3D2C75"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）通过绩效评价总结前一年度项目实施的经验教训，为进一步加强公益服务项目管理，提高项目建设水平，发挥财政资金效益提供重要的参考依据，也为将来</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提供借鉴。</w:t>
      </w:r>
    </w:p>
    <w:p w:rsidR="003D2C75" w:rsidRDefault="00000000">
      <w:pPr>
        <w:pStyle w:val="3"/>
        <w:adjustRightInd w:val="0"/>
        <w:snapToGrid w:val="0"/>
        <w:spacing w:line="360" w:lineRule="auto"/>
        <w:ind w:firstLine="480"/>
        <w:rPr>
          <w:rFonts w:ascii="Arial Narrow" w:hAnsi="Arial Narrow" w:cs="Arial Narrow"/>
          <w:b w:val="0"/>
          <w:sz w:val="24"/>
        </w:rPr>
      </w:pPr>
      <w:bookmarkStart w:id="44" w:name="_Toc4984"/>
      <w:bookmarkStart w:id="45" w:name="_Toc24196"/>
      <w:r>
        <w:rPr>
          <w:rFonts w:ascii="Arial Narrow" w:hAnsi="Arial Narrow" w:cs="Arial Narrow"/>
          <w:b w:val="0"/>
          <w:sz w:val="24"/>
        </w:rPr>
        <w:t>2</w:t>
      </w:r>
      <w:r>
        <w:rPr>
          <w:rFonts w:ascii="Arial Narrow" w:hAnsi="Arial Narrow" w:cs="Arial Narrow"/>
          <w:b w:val="0"/>
          <w:sz w:val="24"/>
        </w:rPr>
        <w:t>、绩效评价框架</w:t>
      </w:r>
      <w:bookmarkEnd w:id="43"/>
      <w:bookmarkEnd w:id="44"/>
      <w:bookmarkEnd w:id="45"/>
    </w:p>
    <w:p w:rsidR="003D2C75" w:rsidRDefault="00000000">
      <w:pPr>
        <w:adjustRightInd w:val="0"/>
        <w:snapToGrid w:val="0"/>
        <w:ind w:firstLine="480"/>
        <w:rPr>
          <w:rFonts w:ascii="Arial Narrow" w:hAnsi="Arial Narrow" w:cs="Arial Narrow"/>
        </w:rPr>
      </w:pPr>
      <w:r>
        <w:rPr>
          <w:rFonts w:ascii="Arial Narrow" w:hAnsi="Arial Narrow" w:cs="Arial Narrow"/>
        </w:rPr>
        <w:t>2.1</w:t>
      </w:r>
      <w:r>
        <w:rPr>
          <w:rFonts w:ascii="Arial Narrow" w:hAnsi="Arial Narrow" w:cs="Arial Narrow"/>
        </w:rPr>
        <w:t>评价原则</w:t>
      </w:r>
    </w:p>
    <w:p w:rsidR="003D2C75" w:rsidRDefault="00000000">
      <w:pPr>
        <w:adjustRightInd w:val="0"/>
        <w:snapToGrid w:val="0"/>
        <w:ind w:firstLineChars="183" w:firstLine="448"/>
        <w:rPr>
          <w:rFonts w:ascii="Arial Narrow" w:hAnsi="Arial Narrow" w:cs="Arial Narrow"/>
        </w:rPr>
      </w:pPr>
      <w:r>
        <w:rPr>
          <w:rFonts w:ascii="Arial Narrow" w:hAnsi="Arial Narrow" w:cs="Arial Narrow"/>
          <w:b/>
          <w:bCs/>
          <w:noProof/>
        </w:rPr>
        <w:lastRenderedPageBreak/>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6"/>
                    <a:stretch>
                      <a:fillRect/>
                    </a:stretch>
                  </pic:blipFill>
                  <pic:spPr>
                    <a:xfrm>
                      <a:off x="0" y="0"/>
                      <a:ext cx="4895215" cy="1419225"/>
                    </a:xfrm>
                    <a:prstGeom prst="rect">
                      <a:avLst/>
                    </a:prstGeom>
                    <a:noFill/>
                    <a:ln w="9525">
                      <a:noFill/>
                    </a:ln>
                  </pic:spPr>
                </pic:pic>
              </a:graphicData>
            </a:graphic>
          </wp:inline>
        </w:drawing>
      </w:r>
    </w:p>
    <w:p w:rsidR="003D2C75" w:rsidRDefault="00000000">
      <w:pPr>
        <w:snapToGrid w:val="0"/>
        <w:ind w:firstLine="480"/>
        <w:jc w:val="left"/>
        <w:rPr>
          <w:rFonts w:ascii="Arial Narrow" w:hAnsi="Arial Narrow" w:cs="Arial Narrow"/>
        </w:rPr>
      </w:pPr>
      <w:r>
        <w:rPr>
          <w:rFonts w:ascii="Arial Narrow" w:hAnsi="Arial Narrow" w:cs="Arial Narrow"/>
        </w:rPr>
        <w:t>本次绩效评价，我们遵循科学规范原则、公正公开原则、分级分类原则和绩效相关原则。</w:t>
      </w:r>
    </w:p>
    <w:p w:rsidR="003D2C75" w:rsidRDefault="00000000">
      <w:pPr>
        <w:numPr>
          <w:ilvl w:val="0"/>
          <w:numId w:val="5"/>
        </w:numPr>
        <w:snapToGrid w:val="0"/>
        <w:ind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及时转办率、值班室设备购置率、节日慰问次数等。</w:t>
      </w:r>
    </w:p>
    <w:p w:rsidR="003D2C75"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3D2C75"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3D2C75"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）绩效相关原则。绩效评价应当针对具体支出及其产出绩效进行，评价结构应清晰反映支出和产出绩效之间的紧密对应关系。如责任书签订率、车辆超限率等，均为能够反映项目目标实现程度的绩效指标。</w:t>
      </w:r>
    </w:p>
    <w:p w:rsidR="003D2C75" w:rsidRDefault="00000000">
      <w:pPr>
        <w:adjustRightInd w:val="0"/>
        <w:snapToGrid w:val="0"/>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3D2C75" w:rsidRDefault="00000000">
      <w:pPr>
        <w:adjustRightInd w:val="0"/>
        <w:snapToGrid w:val="0"/>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30</w:t>
      </w:r>
      <w:r>
        <w:rPr>
          <w:rFonts w:ascii="Arial Narrow" w:hAnsi="Arial Narrow" w:cs="Arial Narrow"/>
        </w:rPr>
        <w:t>号），结合</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的特点，运用定量定性原则，确定了绩效评价一级指标、二级指标和三级指标。</w:t>
      </w:r>
    </w:p>
    <w:p w:rsidR="003D2C75" w:rsidRDefault="00000000">
      <w:pPr>
        <w:adjustRightInd w:val="0"/>
        <w:snapToGrid w:val="0"/>
        <w:ind w:firstLine="480"/>
        <w:rPr>
          <w:rFonts w:ascii="Arial Narrow" w:hAnsi="Arial Narrow" w:cs="Arial Narrow"/>
        </w:rPr>
      </w:pPr>
      <w:r>
        <w:rPr>
          <w:rFonts w:ascii="Arial Narrow" w:hAnsi="Arial Narrow" w:cs="Arial Narrow"/>
        </w:rPr>
        <w:t>绩效评价指标体系包括投入、过程、产出、效果四个方面。</w:t>
      </w:r>
    </w:p>
    <w:p w:rsidR="003D2C75" w:rsidRDefault="00000000">
      <w:pPr>
        <w:adjustRightInd w:val="0"/>
        <w:snapToGrid w:val="0"/>
        <w:ind w:left="480" w:firstLineChars="0" w:firstLine="0"/>
        <w:rPr>
          <w:rFonts w:ascii="Arial Narrow" w:hAnsi="Arial Narrow" w:cs="Arial Narrow"/>
        </w:rPr>
      </w:pPr>
      <w:r>
        <w:rPr>
          <w:rFonts w:ascii="Arial Narrow" w:hAnsi="Arial Narrow" w:cs="Arial Narrow"/>
          <w:noProof/>
          <w:kern w:val="0"/>
        </w:rPr>
        <w:lastRenderedPageBreak/>
        <w:drawing>
          <wp:inline distT="0" distB="0" distL="0" distR="0">
            <wp:extent cx="5278120" cy="3361055"/>
            <wp:effectExtent l="12700" t="0" r="5080" b="0"/>
            <wp:docPr id="11" name="图示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16</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，主要评价项目立项规范性、绩效目标合理性和绩效指标明确性、资金到位率和到位及时率，下设</w:t>
      </w:r>
      <w:r>
        <w:rPr>
          <w:rFonts w:ascii="Arial Narrow" w:hAnsi="Arial Narrow" w:cs="Arial Narrow"/>
        </w:rPr>
        <w:t>4</w:t>
      </w:r>
      <w:r>
        <w:rPr>
          <w:rFonts w:ascii="Arial Narrow" w:hAnsi="Arial Narrow" w:cs="Arial Narrow"/>
        </w:rPr>
        <w:t>个三级指标具体评价；</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24</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，主要评价项目管理制度的执行、资金使用情况和项目具体实施情况，下设</w:t>
      </w:r>
      <w:r>
        <w:rPr>
          <w:rFonts w:ascii="Arial Narrow" w:hAnsi="Arial Narrow" w:cs="Arial Narrow"/>
        </w:rPr>
        <w:t>6</w:t>
      </w:r>
      <w:r>
        <w:rPr>
          <w:rFonts w:ascii="Arial Narrow" w:hAnsi="Arial Narrow" w:cs="Arial Narrow"/>
        </w:rPr>
        <w:t>个三级指标具体评价；</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36</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7</w:t>
      </w:r>
      <w:r>
        <w:rPr>
          <w:rFonts w:ascii="Arial Narrow" w:hAnsi="Arial Narrow" w:cs="Arial Narrow"/>
        </w:rPr>
        <w:t>个三级指标具体评价；</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24</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，主要评价项目实施后的社会效益、可持续影响、社会公众或服务对象满意度，下设</w:t>
      </w:r>
      <w:r>
        <w:rPr>
          <w:rFonts w:ascii="Arial Narrow" w:hAnsi="Arial Narrow" w:cs="Arial Narrow"/>
        </w:rPr>
        <w:t>5</w:t>
      </w:r>
      <w:r>
        <w:rPr>
          <w:rFonts w:ascii="Arial Narrow" w:hAnsi="Arial Narrow" w:cs="Arial Narrow"/>
        </w:rPr>
        <w:t>个三级指标具体评价。</w:t>
      </w:r>
    </w:p>
    <w:p w:rsidR="003D2C75" w:rsidRDefault="00000000">
      <w:pPr>
        <w:adjustRightInd w:val="0"/>
        <w:snapToGrid w:val="0"/>
        <w:ind w:firstLine="480"/>
        <w:rPr>
          <w:rFonts w:ascii="Arial Narrow" w:hAnsi="Arial Narrow" w:cs="Arial Narrow"/>
        </w:rPr>
      </w:pPr>
      <w:r>
        <w:rPr>
          <w:rFonts w:ascii="Arial Narrow" w:hAnsi="Arial Narrow" w:cs="Arial Narrow"/>
        </w:rPr>
        <w:t>具体指标的分布情况、权重、指标解释、指标说明如下表所示：</w:t>
      </w:r>
    </w:p>
    <w:tbl>
      <w:tblPr>
        <w:tblW w:w="8721" w:type="dxa"/>
        <w:tblLayout w:type="fixed"/>
        <w:tblLook w:val="04A0" w:firstRow="1" w:lastRow="0" w:firstColumn="1" w:lastColumn="0" w:noHBand="0" w:noVBand="1"/>
      </w:tblPr>
      <w:tblGrid>
        <w:gridCol w:w="457"/>
        <w:gridCol w:w="1318"/>
        <w:gridCol w:w="3225"/>
        <w:gridCol w:w="3721"/>
      </w:tblGrid>
      <w:tr w:rsidR="003D2C75">
        <w:trPr>
          <w:trHeight w:val="550"/>
          <w:tblHeader/>
        </w:trPr>
        <w:tc>
          <w:tcPr>
            <w:tcW w:w="177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3225" w:type="dxa"/>
            <w:tcBorders>
              <w:top w:val="single" w:sz="4" w:space="0" w:color="auto"/>
              <w:left w:val="nil"/>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721" w:type="dxa"/>
            <w:tcBorders>
              <w:top w:val="single" w:sz="4" w:space="0" w:color="auto"/>
              <w:left w:val="nil"/>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3D2C75">
        <w:trPr>
          <w:trHeight w:val="1795"/>
        </w:trPr>
        <w:tc>
          <w:tcPr>
            <w:tcW w:w="4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p>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立项</w:t>
            </w:r>
          </w:p>
        </w:tc>
        <w:tc>
          <w:tcPr>
            <w:tcW w:w="1318" w:type="dxa"/>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项目的申请、设立过程是否符合相关要求，用以反映和考核项目立项的规范情况。</w:t>
            </w:r>
          </w:p>
        </w:tc>
        <w:tc>
          <w:tcPr>
            <w:tcW w:w="3721" w:type="dxa"/>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①</w:t>
            </w:r>
            <w:r>
              <w:rPr>
                <w:rFonts w:ascii="Arial Narrow" w:hAnsi="Arial Narrow" w:cs="Arial Narrow"/>
                <w:kern w:val="0"/>
                <w:sz w:val="20"/>
                <w:szCs w:val="20"/>
                <w:lang w:bidi="ar"/>
              </w:rPr>
              <w:t>是否有规划；</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②</w:t>
            </w:r>
            <w:r>
              <w:rPr>
                <w:rFonts w:ascii="Arial Narrow" w:hAnsi="Arial Narrow" w:cs="Arial Narrow"/>
                <w:kern w:val="0"/>
                <w:sz w:val="20"/>
                <w:szCs w:val="20"/>
                <w:lang w:bidi="ar"/>
              </w:rPr>
              <w:t>项目是否按照规定的程序申请设立；</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③</w:t>
            </w:r>
            <w:r>
              <w:rPr>
                <w:rFonts w:ascii="Arial Narrow" w:hAnsi="Arial Narrow" w:cs="Arial Narrow"/>
                <w:kern w:val="0"/>
                <w:sz w:val="20"/>
                <w:szCs w:val="20"/>
                <w:lang w:bidi="ar"/>
              </w:rPr>
              <w:t>所提交的文件、材料是否符合相关要求；</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lastRenderedPageBreak/>
              <w:t>④</w:t>
            </w:r>
            <w:r>
              <w:rPr>
                <w:rFonts w:ascii="Arial Narrow" w:hAnsi="Arial Narrow" w:cs="Arial Narrow"/>
                <w:kern w:val="0"/>
                <w:sz w:val="20"/>
                <w:szCs w:val="20"/>
                <w:lang w:bidi="ar"/>
              </w:rPr>
              <w:t>事前是否已经过必要的可行性研究、专家论证、风险评估、集体决策等；</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⑤</w:t>
            </w:r>
            <w:r>
              <w:rPr>
                <w:rFonts w:ascii="Arial Narrow" w:hAnsi="Arial Narrow" w:cs="Arial Narrow"/>
                <w:kern w:val="0"/>
                <w:sz w:val="20"/>
                <w:szCs w:val="20"/>
                <w:lang w:bidi="ar"/>
              </w:rPr>
              <w:t>项目执行时是否发生重大调整。</w:t>
            </w:r>
          </w:p>
        </w:tc>
      </w:tr>
      <w:tr w:rsidR="003D2C75">
        <w:trPr>
          <w:trHeight w:val="1755"/>
        </w:trPr>
        <w:tc>
          <w:tcPr>
            <w:tcW w:w="457" w:type="dxa"/>
            <w:vMerge/>
            <w:tcBorders>
              <w:top w:val="single" w:sz="4" w:space="0" w:color="auto"/>
              <w:left w:val="single" w:sz="4" w:space="0" w:color="auto"/>
              <w:bottom w:val="single" w:sz="4" w:space="0" w:color="auto"/>
              <w:right w:val="single" w:sz="4" w:space="0" w:color="auto"/>
            </w:tcBorders>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3721" w:type="dxa"/>
            <w:tcBorders>
              <w:top w:val="single" w:sz="4" w:space="0" w:color="auto"/>
              <w:left w:val="nil"/>
              <w:bottom w:val="single" w:sz="4" w:space="0" w:color="auto"/>
              <w:right w:val="single" w:sz="4" w:space="0" w:color="auto"/>
            </w:tcBorders>
            <w:shd w:val="clear" w:color="000000" w:fill="FFFFFF"/>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①</w:t>
            </w:r>
            <w:r>
              <w:rPr>
                <w:rFonts w:ascii="Arial Narrow" w:hAnsi="Arial Narrow" w:cs="Arial Narrow"/>
                <w:kern w:val="0"/>
                <w:sz w:val="20"/>
                <w:szCs w:val="20"/>
                <w:lang w:bidi="ar"/>
              </w:rPr>
              <w:t>是否设定长期目标、年度目标和绩效指标；</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②</w:t>
            </w:r>
            <w:r>
              <w:rPr>
                <w:rFonts w:ascii="Arial Narrow" w:hAnsi="Arial Narrow" w:cs="Arial Narrow"/>
                <w:kern w:val="0"/>
                <w:sz w:val="20"/>
                <w:szCs w:val="20"/>
                <w:lang w:bidi="ar"/>
              </w:rPr>
              <w:t>目标和指标的设计是否符合目标管理规范；</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③</w:t>
            </w:r>
            <w:r>
              <w:rPr>
                <w:rFonts w:ascii="Arial Narrow" w:hAnsi="Arial Narrow" w:cs="Arial Narrow"/>
                <w:kern w:val="0"/>
                <w:sz w:val="20"/>
                <w:szCs w:val="20"/>
                <w:lang w:bidi="ar"/>
              </w:rPr>
              <w:t>根据绩效目标和完成情况的对比考核目标设立的合理性；</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④</w:t>
            </w:r>
            <w:r>
              <w:rPr>
                <w:rFonts w:ascii="Arial Narrow" w:hAnsi="Arial Narrow" w:cs="Arial Narrow"/>
                <w:kern w:val="0"/>
                <w:sz w:val="20"/>
                <w:szCs w:val="20"/>
                <w:lang w:bidi="ar"/>
              </w:rPr>
              <w:t>绩效指标是否具有可测性。</w:t>
            </w:r>
          </w:p>
        </w:tc>
      </w:tr>
      <w:tr w:rsidR="003D2C75">
        <w:trPr>
          <w:trHeight w:val="1965"/>
        </w:trPr>
        <w:tc>
          <w:tcPr>
            <w:tcW w:w="4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p>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落实</w:t>
            </w: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实际到位资金与计划投入资金的比率，用以反映和考核资金落实情况对项目实施的总体保障程度。</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资金到位率</w:t>
            </w:r>
            <w:r>
              <w:rPr>
                <w:rFonts w:ascii="Arial Narrow" w:hAnsi="Arial Narrow" w:cs="Arial Narrow"/>
                <w:kern w:val="0"/>
                <w:sz w:val="20"/>
                <w:szCs w:val="20"/>
                <w:lang w:bidi="ar"/>
              </w:rPr>
              <w:t>=</w:t>
            </w:r>
            <w:r>
              <w:rPr>
                <w:rFonts w:ascii="Arial Narrow" w:hAnsi="Arial Narrow" w:cs="Arial Narrow"/>
                <w:kern w:val="0"/>
                <w:sz w:val="20"/>
                <w:szCs w:val="20"/>
                <w:lang w:bidi="ar"/>
              </w:rPr>
              <w:t>（实际到位资金</w:t>
            </w:r>
            <w:r>
              <w:rPr>
                <w:rFonts w:ascii="Arial Narrow" w:hAnsi="Arial Narrow" w:cs="Arial Narrow"/>
                <w:kern w:val="0"/>
                <w:sz w:val="20"/>
                <w:szCs w:val="20"/>
                <w:lang w:bidi="ar"/>
              </w:rPr>
              <w:t>/</w:t>
            </w:r>
            <w:r>
              <w:rPr>
                <w:rFonts w:ascii="Arial Narrow" w:hAnsi="Arial Narrow" w:cs="Arial Narrow"/>
                <w:kern w:val="0"/>
                <w:sz w:val="20"/>
                <w:szCs w:val="20"/>
                <w:lang w:bidi="ar"/>
              </w:rPr>
              <w:t>计划投入资金）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实际到位资金：一定时期（本年度或项目期）内实际落实到具体项目的资金；</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计划投入资金：一定时期（本年度或项目期）内计划投入到具体项目的资金。</w:t>
            </w:r>
          </w:p>
        </w:tc>
      </w:tr>
      <w:tr w:rsidR="003D2C75">
        <w:trPr>
          <w:trHeight w:val="1654"/>
        </w:trPr>
        <w:tc>
          <w:tcPr>
            <w:tcW w:w="457" w:type="dxa"/>
            <w:vMerge/>
            <w:tcBorders>
              <w:top w:val="nil"/>
              <w:left w:val="single" w:sz="4" w:space="0" w:color="auto"/>
              <w:bottom w:val="single" w:sz="4" w:space="0" w:color="auto"/>
              <w:right w:val="single" w:sz="4" w:space="0" w:color="auto"/>
            </w:tcBorders>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及时到位资金与应到位资金的比率，用以反映和考核项目资金落实的及时性程度。</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到位及时率</w:t>
            </w:r>
            <w:r>
              <w:rPr>
                <w:rFonts w:ascii="Arial Narrow" w:hAnsi="Arial Narrow" w:cs="Arial Narrow"/>
                <w:kern w:val="0"/>
                <w:sz w:val="20"/>
                <w:szCs w:val="20"/>
                <w:lang w:bidi="ar"/>
              </w:rPr>
              <w:t>=</w:t>
            </w:r>
            <w:r>
              <w:rPr>
                <w:rFonts w:ascii="Arial Narrow" w:hAnsi="Arial Narrow" w:cs="Arial Narrow"/>
                <w:kern w:val="0"/>
                <w:sz w:val="20"/>
                <w:szCs w:val="20"/>
                <w:lang w:bidi="ar"/>
              </w:rPr>
              <w:t>（及时到位资金</w:t>
            </w:r>
            <w:r>
              <w:rPr>
                <w:rFonts w:ascii="Arial Narrow" w:hAnsi="Arial Narrow" w:cs="Arial Narrow"/>
                <w:kern w:val="0"/>
                <w:sz w:val="20"/>
                <w:szCs w:val="20"/>
                <w:lang w:bidi="ar"/>
              </w:rPr>
              <w:t>/</w:t>
            </w:r>
            <w:r>
              <w:rPr>
                <w:rFonts w:ascii="Arial Narrow" w:hAnsi="Arial Narrow" w:cs="Arial Narrow"/>
                <w:kern w:val="0"/>
                <w:sz w:val="20"/>
                <w:szCs w:val="20"/>
                <w:lang w:bidi="ar"/>
              </w:rPr>
              <w:t>应到位资金）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及时到位资金：截至规定时点实际落实到具体项目的资金；</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应到位资金：按照合同或项目进度要求截至规定时点应落实到具体项目的资金。</w:t>
            </w:r>
          </w:p>
        </w:tc>
      </w:tr>
      <w:tr w:rsidR="003D2C75">
        <w:trPr>
          <w:trHeight w:val="2130"/>
        </w:trPr>
        <w:tc>
          <w:tcPr>
            <w:tcW w:w="4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p>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w:t>
            </w: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single" w:sz="4" w:space="0" w:color="auto"/>
              <w:left w:val="nil"/>
              <w:bottom w:val="single" w:sz="4" w:space="0" w:color="auto"/>
              <w:right w:val="single" w:sz="4" w:space="0" w:color="auto"/>
            </w:tcBorders>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项目管理制度是否健全，用以反映和考核项目管理制度对项目顺利实施的保障情况。</w:t>
            </w:r>
          </w:p>
        </w:tc>
        <w:tc>
          <w:tcPr>
            <w:tcW w:w="3721" w:type="dxa"/>
            <w:tcBorders>
              <w:top w:val="single" w:sz="4" w:space="0" w:color="auto"/>
              <w:left w:val="nil"/>
              <w:bottom w:val="single" w:sz="4" w:space="0" w:color="auto"/>
              <w:right w:val="single" w:sz="4" w:space="0" w:color="auto"/>
            </w:tcBorders>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①</w:t>
            </w:r>
            <w:r>
              <w:rPr>
                <w:rStyle w:val="font31"/>
                <w:rFonts w:ascii="Arial Narrow" w:hAnsi="Arial Narrow" w:cs="Arial Narrow"/>
                <w:color w:val="auto"/>
                <w:lang w:bidi="ar"/>
              </w:rPr>
              <w:t>是否已制定或具有相应的项目管理制度，例如工作考核制、会议制度、责任追究制、投诉举报处理制等；</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②</w:t>
            </w:r>
            <w:r>
              <w:rPr>
                <w:rStyle w:val="font31"/>
                <w:rFonts w:ascii="Arial Narrow" w:hAnsi="Arial Narrow" w:cs="Arial Narrow"/>
                <w:color w:val="auto"/>
                <w:lang w:bidi="ar"/>
              </w:rPr>
              <w:t>项目管理制度是否合法、合规、完整。</w:t>
            </w:r>
          </w:p>
        </w:tc>
      </w:tr>
      <w:tr w:rsidR="003D2C75">
        <w:trPr>
          <w:trHeight w:val="90"/>
        </w:trPr>
        <w:tc>
          <w:tcPr>
            <w:tcW w:w="457" w:type="dxa"/>
            <w:vMerge/>
            <w:tcBorders>
              <w:top w:val="single" w:sz="4" w:space="0" w:color="auto"/>
              <w:left w:val="single" w:sz="4" w:space="0" w:color="auto"/>
              <w:bottom w:val="single" w:sz="4" w:space="0" w:color="auto"/>
              <w:right w:val="single" w:sz="4" w:space="0" w:color="auto"/>
            </w:tcBorders>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single" w:sz="4" w:space="0" w:color="auto"/>
              <w:left w:val="nil"/>
              <w:bottom w:val="single" w:sz="4" w:space="0" w:color="auto"/>
              <w:right w:val="single" w:sz="4" w:space="0" w:color="auto"/>
            </w:tcBorders>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项目实施是否符合相关项目管理规定，用以反映和考核项目管理制度</w:t>
            </w:r>
            <w:r>
              <w:rPr>
                <w:rStyle w:val="font31"/>
                <w:rFonts w:ascii="Arial Narrow" w:hAnsi="Arial Narrow" w:cs="Arial Narrow"/>
                <w:color w:val="auto"/>
                <w:lang w:bidi="ar"/>
              </w:rPr>
              <w:lastRenderedPageBreak/>
              <w:t>的有效执行情况。</w:t>
            </w:r>
          </w:p>
        </w:tc>
        <w:tc>
          <w:tcPr>
            <w:tcW w:w="3721" w:type="dxa"/>
            <w:tcBorders>
              <w:top w:val="single" w:sz="4" w:space="0" w:color="auto"/>
              <w:left w:val="nil"/>
              <w:bottom w:val="single" w:sz="4" w:space="0" w:color="auto"/>
              <w:right w:val="single" w:sz="4" w:space="0" w:color="auto"/>
            </w:tcBorders>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lastRenderedPageBreak/>
              <w:t>评价要点：</w:t>
            </w:r>
          </w:p>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①</w:t>
            </w:r>
            <w:r>
              <w:rPr>
                <w:rStyle w:val="font31"/>
                <w:rFonts w:ascii="Arial Narrow" w:hAnsi="Arial Narrow" w:cs="Arial Narrow"/>
                <w:color w:val="auto"/>
                <w:lang w:bidi="ar"/>
              </w:rPr>
              <w:t>是否遵守相关法律法规和项目管理规</w:t>
            </w:r>
            <w:r>
              <w:rPr>
                <w:rStyle w:val="font31"/>
                <w:rFonts w:ascii="Arial Narrow" w:hAnsi="Arial Narrow" w:cs="Arial Narrow"/>
                <w:color w:val="auto"/>
                <w:lang w:bidi="ar"/>
              </w:rPr>
              <w:lastRenderedPageBreak/>
              <w:t>定；</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②</w:t>
            </w:r>
            <w:r>
              <w:rPr>
                <w:rStyle w:val="font31"/>
                <w:rFonts w:ascii="Arial Narrow" w:hAnsi="Arial Narrow" w:cs="Arial Narrow"/>
                <w:color w:val="auto"/>
                <w:lang w:bidi="ar"/>
              </w:rPr>
              <w:t>是否严格执行项目管理程序，执行了工作考核制、会议制度、责任追究制、投诉举报处理制等。</w:t>
            </w:r>
          </w:p>
        </w:tc>
      </w:tr>
      <w:tr w:rsidR="003D2C75">
        <w:trPr>
          <w:trHeight w:val="1421"/>
        </w:trPr>
        <w:tc>
          <w:tcPr>
            <w:tcW w:w="457" w:type="dxa"/>
            <w:vMerge/>
            <w:tcBorders>
              <w:top w:val="nil"/>
              <w:left w:val="single" w:sz="4" w:space="0" w:color="auto"/>
              <w:bottom w:val="single" w:sz="4" w:space="0" w:color="auto"/>
              <w:right w:val="single" w:sz="4" w:space="0" w:color="auto"/>
            </w:tcBorders>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nil"/>
              <w:left w:val="nil"/>
              <w:bottom w:val="single" w:sz="4" w:space="0" w:color="auto"/>
              <w:right w:val="single" w:sz="4" w:space="0" w:color="auto"/>
            </w:tcBorders>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项目实施单位是否为达到项目质量要求而采取了必需的措施</w:t>
            </w:r>
            <w:r>
              <w:rPr>
                <w:rFonts w:ascii="Arial Narrow" w:hAnsi="Arial Narrow" w:cs="Arial Narrow"/>
                <w:kern w:val="0"/>
                <w:sz w:val="20"/>
                <w:szCs w:val="20"/>
                <w:lang w:bidi="ar"/>
              </w:rPr>
              <w:t>,</w:t>
            </w:r>
            <w:r>
              <w:rPr>
                <w:rFonts w:ascii="Arial Narrow" w:hAnsi="Arial Narrow" w:cs="Arial Narrow"/>
                <w:kern w:val="0"/>
                <w:sz w:val="20"/>
                <w:szCs w:val="20"/>
                <w:lang w:bidi="ar"/>
              </w:rPr>
              <w:t>用以反映和考核项目实施单位对项目质量的控制情况。</w:t>
            </w:r>
          </w:p>
        </w:tc>
        <w:tc>
          <w:tcPr>
            <w:tcW w:w="3721" w:type="dxa"/>
            <w:tcBorders>
              <w:top w:val="nil"/>
              <w:left w:val="nil"/>
              <w:bottom w:val="single" w:sz="4" w:space="0" w:color="auto"/>
              <w:right w:val="single" w:sz="4" w:space="0" w:color="auto"/>
            </w:tcBorders>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①</w:t>
            </w:r>
            <w:r>
              <w:rPr>
                <w:rFonts w:ascii="Arial Narrow" w:hAnsi="Arial Narrow" w:cs="Arial Narrow"/>
                <w:kern w:val="0"/>
                <w:sz w:val="20"/>
                <w:szCs w:val="20"/>
                <w:lang w:bidi="ar"/>
              </w:rPr>
              <w:t>是否已制定或具有相应的项目质量要求或标准；</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②</w:t>
            </w:r>
            <w:r>
              <w:rPr>
                <w:rFonts w:ascii="Arial Narrow" w:hAnsi="Arial Narrow" w:cs="Arial Narrow"/>
                <w:kern w:val="0"/>
                <w:sz w:val="20"/>
                <w:szCs w:val="20"/>
                <w:lang w:bidi="ar"/>
              </w:rPr>
              <w:t>是否采取了相应的项目质量检查等必需的控制措施或手段。</w:t>
            </w:r>
          </w:p>
        </w:tc>
      </w:tr>
      <w:tr w:rsidR="003D2C75">
        <w:trPr>
          <w:trHeight w:val="90"/>
        </w:trPr>
        <w:tc>
          <w:tcPr>
            <w:tcW w:w="4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p>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w:t>
            </w:r>
          </w:p>
          <w:p w:rsidR="003D2C75" w:rsidRDefault="003D2C75">
            <w:pPr>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项目实施单位的财务制度是否健全，用以反映和考核财务管理制度对资金规范、安全运行的保障情况。</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评价要点：</w:t>
            </w:r>
          </w:p>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①</w:t>
            </w:r>
            <w:r>
              <w:rPr>
                <w:rStyle w:val="font31"/>
                <w:rFonts w:ascii="Arial Narrow" w:hAnsi="Arial Narrow" w:cs="Arial Narrow"/>
                <w:color w:val="auto"/>
                <w:lang w:bidi="ar"/>
              </w:rPr>
              <w:t>是否已制定或具有相应的项目资金管理办法；</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②</w:t>
            </w:r>
            <w:r>
              <w:rPr>
                <w:rStyle w:val="font31"/>
                <w:rFonts w:ascii="Arial Narrow" w:hAnsi="Arial Narrow" w:cs="Arial Narrow"/>
                <w:color w:val="auto"/>
                <w:lang w:bidi="ar"/>
              </w:rPr>
              <w:t>项目资金管理办法是否符合相关财务会计制度的规定。</w:t>
            </w:r>
          </w:p>
        </w:tc>
      </w:tr>
      <w:tr w:rsidR="003D2C75">
        <w:trPr>
          <w:trHeight w:val="1797"/>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项目资金使用是否符合相关的财务管理制度规定，用以反映和考核项目资金的规范运行情况。</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评价要点：</w:t>
            </w:r>
          </w:p>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①</w:t>
            </w:r>
            <w:r>
              <w:rPr>
                <w:rStyle w:val="font31"/>
                <w:rFonts w:ascii="Arial Narrow" w:hAnsi="Arial Narrow" w:cs="Arial Narrow"/>
                <w:color w:val="auto"/>
                <w:lang w:bidi="ar"/>
              </w:rPr>
              <w:t>是否符合国家财经法规和财务管理制度以及有关专项资金管理办法的规定；</w:t>
            </w:r>
          </w:p>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②</w:t>
            </w:r>
            <w:r>
              <w:rPr>
                <w:rStyle w:val="font31"/>
                <w:rFonts w:ascii="Arial Narrow" w:hAnsi="Arial Narrow" w:cs="Arial Narrow"/>
                <w:color w:val="auto"/>
                <w:lang w:bidi="ar"/>
              </w:rPr>
              <w:t>是否符合项目预算批复或合同规定的用途；</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③</w:t>
            </w:r>
            <w:r>
              <w:rPr>
                <w:rStyle w:val="font31"/>
                <w:rFonts w:ascii="Arial Narrow" w:hAnsi="Arial Narrow" w:cs="Arial Narrow"/>
                <w:color w:val="auto"/>
                <w:lang w:bidi="ar"/>
              </w:rPr>
              <w:t>是否存在截留、挤占、挪用、虚列支出等情况。</w:t>
            </w:r>
          </w:p>
        </w:tc>
      </w:tr>
      <w:tr w:rsidR="003D2C75">
        <w:trPr>
          <w:trHeight w:val="1300"/>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项目实施单位是否为保障资金的安全、规范运行而采取了必要的监控措施，用以反映和考核项目实施单位对资金运行的控制情况。</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评价要点：</w:t>
            </w:r>
          </w:p>
          <w:p w:rsidR="003D2C75" w:rsidRDefault="00000000">
            <w:pPr>
              <w:widowControl/>
              <w:spacing w:line="240" w:lineRule="auto"/>
              <w:ind w:firstLineChars="0" w:firstLine="0"/>
              <w:jc w:val="left"/>
              <w:textAlignment w:val="center"/>
              <w:rPr>
                <w:rStyle w:val="font31"/>
                <w:rFonts w:ascii="Arial Narrow" w:hAnsi="Arial Narrow" w:cs="Arial Narrow"/>
                <w:color w:val="auto"/>
                <w:lang w:bidi="ar"/>
              </w:rPr>
            </w:pPr>
            <w:r>
              <w:rPr>
                <w:rStyle w:val="font31"/>
                <w:rFonts w:ascii="Arial Narrow" w:hAnsi="Arial Narrow" w:cs="Arial Narrow"/>
                <w:color w:val="auto"/>
                <w:lang w:bidi="ar"/>
              </w:rPr>
              <w:t>①</w:t>
            </w:r>
            <w:r>
              <w:rPr>
                <w:rStyle w:val="font31"/>
                <w:rFonts w:ascii="Arial Narrow" w:hAnsi="Arial Narrow" w:cs="Arial Narrow"/>
                <w:color w:val="auto"/>
                <w:lang w:bidi="ar"/>
              </w:rPr>
              <w:t>是否已制定或具有相应的监控机制；</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31"/>
                <w:rFonts w:ascii="Arial Narrow" w:hAnsi="Arial Narrow" w:cs="Arial Narrow"/>
                <w:color w:val="auto"/>
                <w:lang w:bidi="ar"/>
              </w:rPr>
              <w:t>②</w:t>
            </w:r>
            <w:r>
              <w:rPr>
                <w:rStyle w:val="font31"/>
                <w:rFonts w:ascii="Arial Narrow" w:hAnsi="Arial Narrow" w:cs="Arial Narrow"/>
                <w:color w:val="auto"/>
                <w:lang w:bidi="ar"/>
              </w:rPr>
              <w:t>是否采取了相应的财务检查等必要的监控措施或手段。</w:t>
            </w:r>
          </w:p>
        </w:tc>
      </w:tr>
      <w:tr w:rsidR="003D2C75">
        <w:trPr>
          <w:trHeight w:val="1440"/>
        </w:trPr>
        <w:tc>
          <w:tcPr>
            <w:tcW w:w="457" w:type="dxa"/>
            <w:vMerge w:val="restart"/>
            <w:tcBorders>
              <w:top w:val="single" w:sz="4" w:space="0" w:color="auto"/>
              <w:left w:val="single" w:sz="4" w:space="0" w:color="auto"/>
              <w:bottom w:val="single" w:sz="4" w:space="0" w:color="auto"/>
              <w:right w:val="single" w:sz="4" w:space="0" w:color="auto"/>
            </w:tcBorders>
            <w:vAlign w:val="center"/>
          </w:tcPr>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p>
          <w:p w:rsidR="003D2C75" w:rsidRDefault="00000000">
            <w:pPr>
              <w:widowControl/>
              <w:adjustRightInd w:val="0"/>
              <w:snapToGrid w:val="0"/>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产出</w:t>
            </w:r>
          </w:p>
        </w:tc>
        <w:tc>
          <w:tcPr>
            <w:tcW w:w="1318"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全年督察情况（</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项目实施单位是否对各相关单位治超工作进行检查与考核，用以反映和考核项目产出数量目标的实现程度。</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①</w:t>
            </w:r>
            <w:r>
              <w:rPr>
                <w:rFonts w:ascii="Arial Narrow" w:hAnsi="Arial Narrow" w:cs="Arial Narrow"/>
                <w:kern w:val="0"/>
                <w:sz w:val="20"/>
                <w:szCs w:val="20"/>
                <w:lang w:bidi="ar"/>
              </w:rPr>
              <w:t>全年是否进行</w:t>
            </w:r>
            <w:r>
              <w:rPr>
                <w:rFonts w:ascii="Arial Narrow" w:hAnsi="Arial Narrow" w:cs="Arial Narrow"/>
                <w:kern w:val="0"/>
                <w:sz w:val="20"/>
                <w:szCs w:val="20"/>
                <w:lang w:bidi="ar"/>
              </w:rPr>
              <w:t>12</w:t>
            </w:r>
            <w:r>
              <w:rPr>
                <w:rFonts w:ascii="Arial Narrow" w:hAnsi="Arial Narrow" w:cs="Arial Narrow"/>
                <w:kern w:val="0"/>
                <w:sz w:val="20"/>
                <w:szCs w:val="20"/>
                <w:lang w:bidi="ar"/>
              </w:rPr>
              <w:t>次及以上检查；</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②</w:t>
            </w:r>
            <w:r>
              <w:rPr>
                <w:rFonts w:ascii="Arial Narrow" w:hAnsi="Arial Narrow" w:cs="Arial Narrow"/>
                <w:kern w:val="0"/>
                <w:sz w:val="20"/>
                <w:szCs w:val="20"/>
                <w:lang w:bidi="ar"/>
              </w:rPr>
              <w:t>全年是否进行</w:t>
            </w:r>
            <w:r>
              <w:rPr>
                <w:rFonts w:ascii="Arial Narrow" w:hAnsi="Arial Narrow" w:cs="Arial Narrow"/>
                <w:kern w:val="0"/>
                <w:sz w:val="20"/>
                <w:szCs w:val="20"/>
                <w:lang w:bidi="ar"/>
              </w:rPr>
              <w:t>4</w:t>
            </w:r>
            <w:r>
              <w:rPr>
                <w:rFonts w:ascii="Arial Narrow" w:hAnsi="Arial Narrow" w:cs="Arial Narrow"/>
                <w:kern w:val="0"/>
                <w:sz w:val="20"/>
                <w:szCs w:val="20"/>
                <w:lang w:bidi="ar"/>
              </w:rPr>
              <w:t>次及以上考核。</w:t>
            </w:r>
          </w:p>
        </w:tc>
      </w:tr>
      <w:tr w:rsidR="003D2C75">
        <w:trPr>
          <w:trHeight w:val="1230"/>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责任书签订率（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项目实施后，项目实施单位是否签订治理货车非法改装和超限超载工作目标责任书，用以反映和考核项目产出数量目标的实现程度。</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项目实施单位是否签订签订治理货车非法改装和超限超载工作目标责任书。</w:t>
            </w:r>
          </w:p>
        </w:tc>
      </w:tr>
      <w:tr w:rsidR="003D2C75">
        <w:trPr>
          <w:trHeight w:val="1300"/>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执法队伍培训情况（</w:t>
            </w:r>
            <w:r>
              <w:rPr>
                <w:rFonts w:ascii="Arial Narrow" w:hAnsi="Arial Narrow" w:cs="Arial Narrow"/>
                <w:kern w:val="0"/>
                <w:sz w:val="20"/>
                <w:szCs w:val="20"/>
                <w:lang w:bidi="ar"/>
              </w:rPr>
              <w:t>6</w:t>
            </w:r>
            <w:r>
              <w:rPr>
                <w:rFonts w:ascii="Arial Narrow" w:hAnsi="Arial Narrow" w:cs="Arial Narrow"/>
                <w:kern w:val="0"/>
                <w:sz w:val="20"/>
                <w:szCs w:val="20"/>
                <w:lang w:bidi="ar"/>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项目实施后，协助治超成员单位是否开展执法队伍培训工作，用以反映和考核项目产出质量指标的实现程度。</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项目实施单位是否每月进行执法理论学习和军事训练。</w:t>
            </w:r>
          </w:p>
        </w:tc>
      </w:tr>
      <w:tr w:rsidR="003D2C75">
        <w:trPr>
          <w:trHeight w:val="755"/>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道路监控网络建设情况（</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项目实施单位是否进一步完善农村公路限宽限高保护措施，用以反映和考核项目产出质量指标的实现程度。</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项目实施单位是否进一步完善农村公路限宽限高保护措施。</w:t>
            </w:r>
          </w:p>
        </w:tc>
      </w:tr>
      <w:tr w:rsidR="003D2C75">
        <w:trPr>
          <w:trHeight w:val="1083"/>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车辆超限率（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项目实施后，车辆超限率是否控制在</w:t>
            </w:r>
            <w:r>
              <w:rPr>
                <w:rFonts w:ascii="Arial Narrow" w:hAnsi="Arial Narrow" w:cs="Arial Narrow"/>
                <w:kern w:val="0"/>
                <w:sz w:val="20"/>
                <w:szCs w:val="20"/>
                <w:lang w:bidi="ar"/>
              </w:rPr>
              <w:t>2%</w:t>
            </w:r>
            <w:r>
              <w:rPr>
                <w:rFonts w:ascii="Arial Narrow" w:hAnsi="Arial Narrow" w:cs="Arial Narrow"/>
                <w:kern w:val="0"/>
                <w:sz w:val="20"/>
                <w:szCs w:val="20"/>
                <w:lang w:bidi="ar"/>
              </w:rPr>
              <w:t>左右，用以反映和考核项目产出质量指标的实现程度。</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车辆超限率</w:t>
            </w:r>
            <w:r>
              <w:rPr>
                <w:rFonts w:ascii="Arial Narrow" w:hAnsi="Arial Narrow" w:cs="Arial Narrow"/>
                <w:kern w:val="0"/>
                <w:sz w:val="20"/>
                <w:szCs w:val="20"/>
                <w:lang w:bidi="ar"/>
              </w:rPr>
              <w:t>=</w:t>
            </w:r>
            <w:r>
              <w:rPr>
                <w:rFonts w:ascii="Arial Narrow" w:hAnsi="Arial Narrow" w:cs="Arial Narrow"/>
                <w:kern w:val="0"/>
                <w:sz w:val="20"/>
                <w:szCs w:val="20"/>
                <w:lang w:bidi="ar"/>
              </w:rPr>
              <w:t>（查处超限超载车辆</w:t>
            </w:r>
            <w:r>
              <w:rPr>
                <w:rFonts w:ascii="Arial Narrow" w:hAnsi="Arial Narrow" w:cs="Arial Narrow"/>
                <w:kern w:val="0"/>
                <w:sz w:val="20"/>
                <w:szCs w:val="20"/>
                <w:lang w:bidi="ar"/>
              </w:rPr>
              <w:t>/</w:t>
            </w:r>
            <w:r>
              <w:rPr>
                <w:rFonts w:ascii="Arial Narrow" w:hAnsi="Arial Narrow" w:cs="Arial Narrow"/>
                <w:kern w:val="0"/>
                <w:sz w:val="20"/>
                <w:szCs w:val="20"/>
                <w:lang w:bidi="ar"/>
              </w:rPr>
              <w:t>检查车辆）</w:t>
            </w:r>
            <w:r>
              <w:rPr>
                <w:rFonts w:ascii="Arial Narrow" w:hAnsi="Arial Narrow" w:cs="Arial Narrow"/>
                <w:kern w:val="0"/>
                <w:sz w:val="20"/>
                <w:szCs w:val="20"/>
                <w:lang w:bidi="ar"/>
              </w:rPr>
              <w:t>*100%</w:t>
            </w:r>
          </w:p>
        </w:tc>
      </w:tr>
      <w:tr w:rsidR="003D2C75">
        <w:trPr>
          <w:trHeight w:val="1259"/>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完成及时率（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项目实施后，项目实施单位治超工作是否在规定时间内完成，用以反映和考核项目产出时效指标的实现程度。</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项目是否按《城乡建设局治超办</w:t>
            </w:r>
            <w:r>
              <w:rPr>
                <w:rFonts w:ascii="Arial Narrow" w:hAnsi="Arial Narrow" w:cs="Arial Narrow"/>
                <w:kern w:val="0"/>
                <w:sz w:val="20"/>
                <w:szCs w:val="20"/>
                <w:lang w:bidi="ar"/>
              </w:rPr>
              <w:t>2018</w:t>
            </w:r>
            <w:r>
              <w:rPr>
                <w:rFonts w:ascii="Arial Narrow" w:hAnsi="Arial Narrow" w:cs="Arial Narrow"/>
                <w:kern w:val="0"/>
                <w:sz w:val="20"/>
                <w:szCs w:val="20"/>
                <w:lang w:bidi="ar"/>
              </w:rPr>
              <w:t>年度绩效目标》的计划时间完成。</w:t>
            </w:r>
          </w:p>
        </w:tc>
      </w:tr>
      <w:tr w:rsidR="003D2C75">
        <w:trPr>
          <w:trHeight w:val="1259"/>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w:t>
            </w:r>
            <w:r>
              <w:rPr>
                <w:rFonts w:ascii="Arial Narrow" w:hAnsi="Arial Narrow" w:cs="Arial Narrow"/>
                <w:kern w:val="0"/>
                <w:sz w:val="20"/>
                <w:szCs w:val="20"/>
                <w:lang w:bidi="ar"/>
              </w:rPr>
              <w:t>6</w:t>
            </w:r>
            <w:r>
              <w:rPr>
                <w:rFonts w:ascii="Arial Narrow" w:hAnsi="Arial Narrow" w:cs="Arial Narrow"/>
                <w:kern w:val="0"/>
                <w:sz w:val="20"/>
                <w:szCs w:val="20"/>
                <w:lang w:bidi="ar"/>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Style w:val="font51"/>
                <w:rFonts w:ascii="Arial Narrow" w:hAnsi="Arial Narrow" w:cs="Arial Narrow"/>
                <w:color w:val="auto"/>
                <w:lang w:bidi="ar"/>
              </w:rPr>
              <w:t>项目实际支出与项目到位资金的比率，用以反映和考核项目资金使用情况。</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Style w:val="font51"/>
                <w:rFonts w:ascii="Arial Narrow" w:hAnsi="Arial Narrow" w:cs="Arial Narrow"/>
                <w:color w:val="auto"/>
                <w:lang w:bidi="ar"/>
              </w:rPr>
            </w:pPr>
            <w:r>
              <w:rPr>
                <w:rStyle w:val="font51"/>
                <w:rFonts w:ascii="Arial Narrow" w:hAnsi="Arial Narrow" w:cs="Arial Narrow"/>
                <w:color w:val="auto"/>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rPr>
            </w:pPr>
            <w:r>
              <w:rPr>
                <w:rStyle w:val="font51"/>
                <w:rFonts w:ascii="Arial Narrow" w:hAnsi="Arial Narrow" w:cs="Arial Narrow"/>
                <w:color w:val="auto"/>
                <w:lang w:bidi="ar"/>
              </w:rPr>
              <w:t>资金使用率</w:t>
            </w:r>
            <w:r>
              <w:rPr>
                <w:rStyle w:val="font01"/>
                <w:rFonts w:eastAsia="仿宋_GB2312"/>
                <w:color w:val="auto"/>
                <w:lang w:bidi="ar"/>
              </w:rPr>
              <w:t>=</w:t>
            </w:r>
            <w:r>
              <w:rPr>
                <w:rStyle w:val="font51"/>
                <w:rFonts w:ascii="Arial Narrow" w:hAnsi="Arial Narrow" w:cs="Arial Narrow"/>
                <w:color w:val="auto"/>
                <w:lang w:bidi="ar"/>
              </w:rPr>
              <w:t>项目实际支出金额</w:t>
            </w:r>
            <w:r>
              <w:rPr>
                <w:rStyle w:val="font01"/>
                <w:rFonts w:eastAsia="仿宋_GB2312"/>
                <w:color w:val="auto"/>
                <w:lang w:bidi="ar"/>
              </w:rPr>
              <w:t>/</w:t>
            </w:r>
            <w:r>
              <w:rPr>
                <w:rStyle w:val="font51"/>
                <w:rFonts w:ascii="Arial Narrow" w:hAnsi="Arial Narrow" w:cs="Arial Narrow"/>
                <w:color w:val="auto"/>
                <w:lang w:bidi="ar"/>
              </w:rPr>
              <w:t>项目计划支出额</w:t>
            </w:r>
            <w:r>
              <w:rPr>
                <w:rStyle w:val="font01"/>
                <w:rFonts w:eastAsia="仿宋_GB2312"/>
                <w:color w:val="auto"/>
                <w:lang w:bidi="ar"/>
              </w:rPr>
              <w:t>×100%</w:t>
            </w:r>
          </w:p>
        </w:tc>
      </w:tr>
      <w:tr w:rsidR="003D2C75">
        <w:trPr>
          <w:trHeight w:val="1764"/>
        </w:trPr>
        <w:tc>
          <w:tcPr>
            <w:tcW w:w="4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000000">
            <w:pPr>
              <w:widowControl/>
              <w:adjustRightInd w:val="0"/>
              <w:snapToGrid w:val="0"/>
              <w:spacing w:line="240" w:lineRule="auto"/>
              <w:ind w:firstLineChars="0" w:firstLine="0"/>
              <w:rPr>
                <w:rFonts w:ascii="Arial Narrow" w:hAnsi="Arial Narrow" w:cs="Arial Narrow"/>
                <w:kern w:val="0"/>
                <w:sz w:val="20"/>
                <w:szCs w:val="20"/>
              </w:rPr>
            </w:pPr>
            <w:r>
              <w:rPr>
                <w:rFonts w:ascii="Arial Narrow" w:hAnsi="Arial Narrow" w:cs="Arial Narrow"/>
                <w:kern w:val="0"/>
                <w:sz w:val="20"/>
                <w:szCs w:val="20"/>
              </w:rPr>
              <w:t>项目</w:t>
            </w:r>
          </w:p>
          <w:p w:rsidR="003D2C75" w:rsidRDefault="00000000">
            <w:pPr>
              <w:widowControl/>
              <w:adjustRightInd w:val="0"/>
              <w:snapToGrid w:val="0"/>
              <w:spacing w:line="240" w:lineRule="auto"/>
              <w:ind w:firstLineChars="0" w:firstLine="0"/>
              <w:rPr>
                <w:rFonts w:ascii="Arial Narrow" w:hAnsi="Arial Narrow" w:cs="Arial Narrow"/>
                <w:kern w:val="0"/>
                <w:sz w:val="20"/>
                <w:szCs w:val="20"/>
              </w:rPr>
            </w:pPr>
            <w:r>
              <w:rPr>
                <w:rFonts w:ascii="Arial Narrow" w:hAnsi="Arial Narrow" w:cs="Arial Narrow"/>
                <w:kern w:val="0"/>
                <w:sz w:val="20"/>
                <w:szCs w:val="20"/>
              </w:rPr>
              <w:t>效果</w:t>
            </w:r>
          </w:p>
        </w:tc>
        <w:tc>
          <w:tcPr>
            <w:tcW w:w="1318" w:type="dxa"/>
            <w:tcBorders>
              <w:top w:val="single" w:sz="4" w:space="0" w:color="auto"/>
              <w:left w:val="single" w:sz="4" w:space="0" w:color="auto"/>
              <w:bottom w:val="single" w:sz="4" w:space="0" w:color="auto"/>
              <w:right w:val="single" w:sz="4" w:space="0" w:color="auto"/>
            </w:tcBorders>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全年执法覆盖率（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3225" w:type="dxa"/>
            <w:tcBorders>
              <w:top w:val="single" w:sz="4" w:space="0" w:color="auto"/>
              <w:left w:val="single" w:sz="4" w:space="0" w:color="auto"/>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项目实施后，项目实施单位是否对在全区范围内</w:t>
            </w:r>
            <w:r>
              <w:rPr>
                <w:rFonts w:ascii="Arial Narrow" w:hAnsi="Arial Narrow" w:cs="Arial Narrow"/>
                <w:kern w:val="0"/>
                <w:sz w:val="20"/>
                <w:szCs w:val="20"/>
                <w:lang w:bidi="ar"/>
              </w:rPr>
              <w:t>24</w:t>
            </w:r>
            <w:r>
              <w:rPr>
                <w:rFonts w:ascii="Arial Narrow" w:hAnsi="Arial Narrow" w:cs="Arial Narrow"/>
                <w:kern w:val="0"/>
                <w:sz w:val="20"/>
                <w:szCs w:val="20"/>
                <w:lang w:bidi="ar"/>
              </w:rPr>
              <w:t>小时不间断或间断进行治超专项工作，用以反映和考核项目的社会效益。</w:t>
            </w:r>
          </w:p>
        </w:tc>
        <w:tc>
          <w:tcPr>
            <w:tcW w:w="3721" w:type="dxa"/>
            <w:tcBorders>
              <w:top w:val="single" w:sz="4" w:space="0" w:color="auto"/>
              <w:left w:val="single" w:sz="4" w:space="0" w:color="auto"/>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rPr>
            </w:pPr>
            <w:r>
              <w:rPr>
                <w:rFonts w:ascii="Arial Narrow" w:hAnsi="Arial Narrow" w:cs="Arial Narrow"/>
                <w:kern w:val="0"/>
                <w:sz w:val="20"/>
                <w:szCs w:val="20"/>
                <w:lang w:bidi="ar"/>
              </w:rPr>
              <w:t>是否组织城乡建设（交通）、公安、城管等部门有阶段性、有重点性在全区范围内</w:t>
            </w:r>
            <w:r>
              <w:rPr>
                <w:rFonts w:ascii="Arial Narrow" w:hAnsi="Arial Narrow" w:cs="Arial Narrow"/>
                <w:kern w:val="0"/>
                <w:sz w:val="20"/>
                <w:szCs w:val="20"/>
                <w:lang w:bidi="ar"/>
              </w:rPr>
              <w:t>24</w:t>
            </w:r>
            <w:r>
              <w:rPr>
                <w:rFonts w:ascii="Arial Narrow" w:hAnsi="Arial Narrow" w:cs="Arial Narrow"/>
                <w:kern w:val="0"/>
                <w:sz w:val="20"/>
                <w:szCs w:val="20"/>
                <w:lang w:bidi="ar"/>
              </w:rPr>
              <w:t>小时不间断或间断进行治超专项行动。</w:t>
            </w:r>
          </w:p>
        </w:tc>
      </w:tr>
      <w:tr w:rsidR="003D2C75">
        <w:trPr>
          <w:trHeight w:val="1020"/>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widowControl/>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治超方式多样性（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3225"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项目实施后，项目实施单位是否采取多种方式开展治超工作，用以反映和考核项目的社会效益。</w:t>
            </w:r>
          </w:p>
        </w:tc>
        <w:tc>
          <w:tcPr>
            <w:tcW w:w="3721" w:type="dxa"/>
            <w:tcBorders>
              <w:top w:val="single" w:sz="4" w:space="0" w:color="auto"/>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rPr>
            </w:pPr>
            <w:r>
              <w:rPr>
                <w:rFonts w:ascii="Arial Narrow" w:hAnsi="Arial Narrow" w:cs="Arial Narrow"/>
                <w:kern w:val="0"/>
                <w:sz w:val="20"/>
                <w:szCs w:val="20"/>
                <w:lang w:bidi="ar"/>
              </w:rPr>
              <w:t>项目实施单位是否采取固定检测与流动巡查等多种方式开展治超工作。</w:t>
            </w:r>
          </w:p>
        </w:tc>
      </w:tr>
      <w:tr w:rsidR="003D2C75">
        <w:trPr>
          <w:trHeight w:val="1320"/>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治超工作合规性（</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项目实施后，项目实施单位是否发生因乱罚款、乱设卡而发生投诉事件，用以反映和考核项目的社会效益。</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项目实施单位是否发生因乱罚款、乱设卡而发生投诉事件。</w:t>
            </w:r>
          </w:p>
        </w:tc>
      </w:tr>
      <w:tr w:rsidR="003D2C75">
        <w:trPr>
          <w:trHeight w:val="1010"/>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通行安全提升度（</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项目实施后，车辆超限率是否呈下降趋势，用以反映和考核项目的社会效益。</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项目实施后，车辆超限率是否呈下降趋势。</w:t>
            </w:r>
          </w:p>
        </w:tc>
      </w:tr>
      <w:tr w:rsidR="003D2C75">
        <w:trPr>
          <w:trHeight w:val="911"/>
        </w:trPr>
        <w:tc>
          <w:tcPr>
            <w:tcW w:w="45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2C75" w:rsidRDefault="003D2C75">
            <w:pPr>
              <w:adjustRightInd w:val="0"/>
              <w:snapToGrid w:val="0"/>
              <w:spacing w:line="240" w:lineRule="auto"/>
              <w:ind w:firstLineChars="0" w:firstLine="0"/>
              <w:jc w:val="left"/>
              <w:rPr>
                <w:rFonts w:ascii="Arial Narrow" w:hAnsi="Arial Narrow" w:cs="Arial Narrow"/>
                <w:kern w:val="0"/>
                <w:sz w:val="20"/>
                <w:szCs w:val="20"/>
              </w:rPr>
            </w:pPr>
          </w:p>
        </w:tc>
        <w:tc>
          <w:tcPr>
            <w:tcW w:w="1318"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可持续影响（</w:t>
            </w:r>
            <w:r>
              <w:rPr>
                <w:rFonts w:ascii="Arial Narrow" w:hAnsi="Arial Narrow" w:cs="Arial Narrow"/>
                <w:kern w:val="0"/>
                <w:sz w:val="20"/>
                <w:szCs w:val="20"/>
                <w:lang w:bidi="ar"/>
              </w:rPr>
              <w:t>6</w:t>
            </w:r>
            <w:r>
              <w:rPr>
                <w:rFonts w:ascii="Arial Narrow" w:hAnsi="Arial Narrow" w:cs="Arial Narrow"/>
                <w:kern w:val="0"/>
                <w:sz w:val="20"/>
                <w:szCs w:val="20"/>
                <w:lang w:bidi="ar"/>
              </w:rPr>
              <w:t>分）</w:t>
            </w:r>
          </w:p>
        </w:tc>
        <w:tc>
          <w:tcPr>
            <w:tcW w:w="3225"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项目实施单位配备充足的人员支持项目后续运行，并将完整的档案资料及时整理归档，用以反映和考核项目的可持续性。</w:t>
            </w:r>
            <w:r>
              <w:rPr>
                <w:rFonts w:ascii="Arial Narrow" w:hAnsi="Arial Narrow" w:cs="Arial Narrow"/>
                <w:kern w:val="0"/>
                <w:sz w:val="20"/>
                <w:szCs w:val="20"/>
                <w:lang w:bidi="ar"/>
              </w:rPr>
              <w:t xml:space="preserve">  </w:t>
            </w:r>
          </w:p>
        </w:tc>
        <w:tc>
          <w:tcPr>
            <w:tcW w:w="3721" w:type="dxa"/>
            <w:tcBorders>
              <w:top w:val="nil"/>
              <w:left w:val="nil"/>
              <w:bottom w:val="single" w:sz="4" w:space="0" w:color="auto"/>
              <w:right w:val="single" w:sz="4" w:space="0" w:color="auto"/>
            </w:tcBorders>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①</w:t>
            </w:r>
            <w:r>
              <w:rPr>
                <w:rFonts w:ascii="Arial Narrow" w:hAnsi="Arial Narrow" w:cs="Arial Narrow"/>
                <w:kern w:val="0"/>
                <w:sz w:val="20"/>
                <w:szCs w:val="20"/>
                <w:lang w:bidi="ar"/>
              </w:rPr>
              <w:t>项目实施单位是否配备充足的人员支持县乡道养护、农村公路、桥梁日常维护及农村公路大修工程项目实施的后续运行；</w:t>
            </w:r>
          </w:p>
          <w:p w:rsidR="003D2C75"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②</w:t>
            </w:r>
            <w:r>
              <w:rPr>
                <w:rFonts w:ascii="Arial Narrow" w:hAnsi="Arial Narrow" w:cs="Arial Narrow"/>
                <w:kern w:val="0"/>
                <w:sz w:val="20"/>
                <w:szCs w:val="20"/>
                <w:lang w:bidi="ar"/>
              </w:rPr>
              <w:t>项目相关档案的保存是否完整并及时归档。</w:t>
            </w:r>
          </w:p>
        </w:tc>
      </w:tr>
    </w:tbl>
    <w:p w:rsidR="003D2C75" w:rsidRDefault="003D2C75">
      <w:pPr>
        <w:adjustRightInd w:val="0"/>
        <w:snapToGrid w:val="0"/>
        <w:ind w:firstLineChars="0" w:firstLine="0"/>
        <w:rPr>
          <w:rFonts w:ascii="Arial Narrow" w:hAnsi="Arial Narrow" w:cs="Arial Narrow"/>
        </w:rPr>
      </w:pPr>
    </w:p>
    <w:p w:rsidR="003D2C75" w:rsidRDefault="00000000">
      <w:pPr>
        <w:adjustRightInd w:val="0"/>
        <w:snapToGrid w:val="0"/>
        <w:ind w:firstLineChars="0" w:firstLine="0"/>
        <w:rPr>
          <w:rFonts w:ascii="Arial Narrow" w:hAnsi="Arial Narrow" w:cs="Arial Narrow"/>
        </w:rPr>
      </w:pPr>
      <w:r>
        <w:rPr>
          <w:rFonts w:ascii="Arial Narrow" w:hAnsi="Arial Narrow" w:cs="Arial Narrow"/>
        </w:rPr>
        <w:t>具体指标目标值、绩效标准、评分细则如下表所示：</w:t>
      </w:r>
    </w:p>
    <w:tbl>
      <w:tblPr>
        <w:tblStyle w:val="af"/>
        <w:tblW w:w="8754" w:type="dxa"/>
        <w:tblInd w:w="-33" w:type="dxa"/>
        <w:tblLayout w:type="fixed"/>
        <w:tblLook w:val="04A0" w:firstRow="1" w:lastRow="0" w:firstColumn="1" w:lastColumn="0" w:noHBand="0" w:noVBand="1"/>
      </w:tblPr>
      <w:tblGrid>
        <w:gridCol w:w="463"/>
        <w:gridCol w:w="1066"/>
        <w:gridCol w:w="1087"/>
        <w:gridCol w:w="1063"/>
        <w:gridCol w:w="5075"/>
      </w:tblGrid>
      <w:tr w:rsidR="003D2C75">
        <w:trPr>
          <w:trHeight w:val="543"/>
          <w:tblHeader/>
        </w:trPr>
        <w:tc>
          <w:tcPr>
            <w:tcW w:w="1529" w:type="dxa"/>
            <w:gridSpan w:val="2"/>
            <w:vAlign w:val="center"/>
          </w:tcPr>
          <w:p w:rsidR="003D2C75" w:rsidRDefault="00000000">
            <w:pPr>
              <w:adjustRightInd w:val="0"/>
              <w:snapToGrid w:val="0"/>
              <w:spacing w:line="240" w:lineRule="auto"/>
              <w:ind w:firstLineChars="0" w:firstLine="0"/>
              <w:rPr>
                <w:rFonts w:ascii="Arial Narrow" w:hAnsi="Arial Narrow" w:cs="Arial Narrow"/>
                <w:b/>
                <w:bCs/>
                <w:sz w:val="20"/>
              </w:rPr>
            </w:pPr>
            <w:r>
              <w:rPr>
                <w:rFonts w:ascii="Arial Narrow" w:hAnsi="Arial Narrow" w:cs="Arial Narrow"/>
                <w:b/>
                <w:bCs/>
                <w:sz w:val="20"/>
              </w:rPr>
              <w:t>指标名称（权重）</w:t>
            </w:r>
          </w:p>
        </w:tc>
        <w:tc>
          <w:tcPr>
            <w:tcW w:w="1087" w:type="dxa"/>
            <w:vAlign w:val="center"/>
          </w:tcPr>
          <w:p w:rsidR="003D2C75" w:rsidRDefault="00000000">
            <w:pPr>
              <w:adjustRightInd w:val="0"/>
              <w:snapToGrid w:val="0"/>
              <w:spacing w:line="240" w:lineRule="auto"/>
              <w:ind w:firstLineChars="0" w:firstLine="0"/>
              <w:rPr>
                <w:rFonts w:ascii="Arial Narrow" w:hAnsi="Arial Narrow" w:cs="Arial Narrow"/>
                <w:b/>
                <w:bCs/>
                <w:sz w:val="20"/>
              </w:rPr>
            </w:pPr>
            <w:r>
              <w:rPr>
                <w:rFonts w:ascii="Arial Narrow" w:hAnsi="Arial Narrow" w:cs="Arial Narrow"/>
                <w:b/>
                <w:bCs/>
                <w:sz w:val="20"/>
              </w:rPr>
              <w:t>参考值</w:t>
            </w:r>
          </w:p>
          <w:p w:rsidR="003D2C75" w:rsidRDefault="00000000">
            <w:pPr>
              <w:adjustRightInd w:val="0"/>
              <w:snapToGrid w:val="0"/>
              <w:spacing w:line="240" w:lineRule="auto"/>
              <w:ind w:firstLineChars="0" w:firstLine="0"/>
              <w:rPr>
                <w:rFonts w:ascii="Arial Narrow" w:hAnsi="Arial Narrow" w:cs="Arial Narrow"/>
                <w:b/>
                <w:bCs/>
                <w:sz w:val="20"/>
              </w:rPr>
            </w:pPr>
            <w:r>
              <w:rPr>
                <w:rFonts w:ascii="Arial Narrow" w:hAnsi="Arial Narrow" w:cs="Arial Narrow"/>
                <w:b/>
                <w:bCs/>
                <w:sz w:val="20"/>
              </w:rPr>
              <w:t>(</w:t>
            </w:r>
            <w:r>
              <w:rPr>
                <w:rFonts w:ascii="Arial Narrow" w:hAnsi="Arial Narrow" w:cs="Arial Narrow"/>
                <w:b/>
                <w:bCs/>
                <w:sz w:val="20"/>
              </w:rPr>
              <w:t>目标值</w:t>
            </w:r>
            <w:r>
              <w:rPr>
                <w:rFonts w:ascii="Arial Narrow" w:hAnsi="Arial Narrow" w:cs="Arial Narrow"/>
                <w:b/>
                <w:bCs/>
                <w:sz w:val="20"/>
              </w:rPr>
              <w:t>)</w:t>
            </w:r>
          </w:p>
        </w:tc>
        <w:tc>
          <w:tcPr>
            <w:tcW w:w="1063" w:type="dxa"/>
            <w:vAlign w:val="center"/>
          </w:tcPr>
          <w:p w:rsidR="003D2C75" w:rsidRDefault="00000000">
            <w:pPr>
              <w:adjustRightInd w:val="0"/>
              <w:snapToGrid w:val="0"/>
              <w:spacing w:line="240" w:lineRule="auto"/>
              <w:ind w:firstLineChars="0" w:firstLine="0"/>
              <w:rPr>
                <w:rFonts w:ascii="Arial Narrow" w:hAnsi="Arial Narrow" w:cs="Arial Narrow"/>
                <w:b/>
                <w:bCs/>
                <w:sz w:val="20"/>
              </w:rPr>
            </w:pPr>
            <w:r>
              <w:rPr>
                <w:rFonts w:ascii="Arial Narrow" w:hAnsi="Arial Narrow" w:cs="Arial Narrow"/>
                <w:b/>
                <w:bCs/>
                <w:sz w:val="20"/>
              </w:rPr>
              <w:t>绩效标准</w:t>
            </w:r>
          </w:p>
        </w:tc>
        <w:tc>
          <w:tcPr>
            <w:tcW w:w="5075" w:type="dxa"/>
            <w:vAlign w:val="center"/>
          </w:tcPr>
          <w:p w:rsidR="003D2C75" w:rsidRDefault="00000000">
            <w:pPr>
              <w:adjustRightInd w:val="0"/>
              <w:snapToGrid w:val="0"/>
              <w:spacing w:line="240" w:lineRule="auto"/>
              <w:ind w:firstLineChars="0" w:firstLine="0"/>
              <w:rPr>
                <w:rFonts w:ascii="Arial Narrow" w:hAnsi="Arial Narrow" w:cs="Arial Narrow"/>
                <w:b/>
                <w:bCs/>
                <w:sz w:val="20"/>
              </w:rPr>
            </w:pPr>
            <w:r>
              <w:rPr>
                <w:rFonts w:ascii="Arial Narrow" w:hAnsi="Arial Narrow" w:cs="Arial Narrow"/>
                <w:b/>
                <w:bCs/>
                <w:sz w:val="20"/>
              </w:rPr>
              <w:t>评分细则</w:t>
            </w:r>
          </w:p>
        </w:tc>
      </w:tr>
      <w:tr w:rsidR="003D2C75">
        <w:trPr>
          <w:trHeight w:val="1175"/>
        </w:trPr>
        <w:tc>
          <w:tcPr>
            <w:tcW w:w="463" w:type="dxa"/>
            <w:vMerge w:val="restart"/>
            <w:vAlign w:val="center"/>
          </w:tcPr>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项目</w:t>
            </w:r>
          </w:p>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立项</w:t>
            </w: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项目是否按照规定的程序申请设立，计</w:t>
            </w:r>
            <w:r>
              <w:rPr>
                <w:rFonts w:ascii="Arial Narrow" w:hAnsi="Arial Narrow" w:cs="Arial Narrow"/>
                <w:kern w:val="0"/>
                <w:sz w:val="20"/>
                <w:szCs w:val="20"/>
                <w:lang w:bidi="ar"/>
              </w:rPr>
              <w:t>1</w:t>
            </w:r>
            <w:r>
              <w:rPr>
                <w:rFonts w:ascii="Arial Narrow" w:hAnsi="Arial Narrow" w:cs="Arial Narrow"/>
                <w:kern w:val="0"/>
                <w:sz w:val="20"/>
                <w:szCs w:val="20"/>
                <w:lang w:bidi="ar"/>
              </w:rPr>
              <w:t>分；所提交的文件、材料是否符合相关要求，计</w:t>
            </w:r>
            <w:r>
              <w:rPr>
                <w:rFonts w:ascii="Arial Narrow" w:hAnsi="Arial Narrow" w:cs="Arial Narrow"/>
                <w:kern w:val="0"/>
                <w:sz w:val="20"/>
                <w:szCs w:val="20"/>
                <w:lang w:bidi="ar"/>
              </w:rPr>
              <w:t>1</w:t>
            </w:r>
            <w:r>
              <w:rPr>
                <w:rFonts w:ascii="Arial Narrow" w:hAnsi="Arial Narrow" w:cs="Arial Narrow"/>
                <w:kern w:val="0"/>
                <w:sz w:val="20"/>
                <w:szCs w:val="20"/>
                <w:lang w:bidi="ar"/>
              </w:rPr>
              <w:t>分；事前是否已经过必要的可行性研究、专家论证、风险评估、集体决策等，计</w:t>
            </w:r>
            <w:r>
              <w:rPr>
                <w:rFonts w:ascii="Arial Narrow" w:hAnsi="Arial Narrow" w:cs="Arial Narrow"/>
                <w:kern w:val="0"/>
                <w:sz w:val="20"/>
                <w:szCs w:val="20"/>
                <w:lang w:bidi="ar"/>
              </w:rPr>
              <w:t>1</w:t>
            </w:r>
            <w:r>
              <w:rPr>
                <w:rFonts w:ascii="Arial Narrow" w:hAnsi="Arial Narrow" w:cs="Arial Narrow"/>
                <w:kern w:val="0"/>
                <w:sz w:val="20"/>
                <w:szCs w:val="20"/>
                <w:lang w:bidi="ar"/>
              </w:rPr>
              <w:t>分；项目执行时是否发生重大调整，调整手续规范，计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1064"/>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项目设定长期目标、年度目标和绩效指标，计</w:t>
            </w:r>
            <w:r>
              <w:rPr>
                <w:rFonts w:ascii="Arial Narrow" w:hAnsi="Arial Narrow" w:cs="Arial Narrow"/>
                <w:kern w:val="0"/>
                <w:sz w:val="20"/>
                <w:szCs w:val="20"/>
                <w:lang w:bidi="ar"/>
              </w:rPr>
              <w:t>1</w:t>
            </w:r>
            <w:r>
              <w:rPr>
                <w:rFonts w:ascii="Arial Narrow" w:hAnsi="Arial Narrow" w:cs="Arial Narrow"/>
                <w:kern w:val="0"/>
                <w:sz w:val="20"/>
                <w:szCs w:val="20"/>
                <w:lang w:bidi="ar"/>
              </w:rPr>
              <w:t>分；目标和指标的设计符合目标管理规范，计</w:t>
            </w:r>
            <w:r>
              <w:rPr>
                <w:rFonts w:ascii="Arial Narrow" w:hAnsi="Arial Narrow" w:cs="Arial Narrow"/>
                <w:kern w:val="0"/>
                <w:sz w:val="20"/>
                <w:szCs w:val="20"/>
                <w:lang w:bidi="ar"/>
              </w:rPr>
              <w:t>1</w:t>
            </w:r>
            <w:r>
              <w:rPr>
                <w:rFonts w:ascii="Arial Narrow" w:hAnsi="Arial Narrow" w:cs="Arial Narrow"/>
                <w:kern w:val="0"/>
                <w:sz w:val="20"/>
                <w:szCs w:val="20"/>
                <w:lang w:bidi="ar"/>
              </w:rPr>
              <w:t>分；绩效目标设置合理，计</w:t>
            </w:r>
            <w:r>
              <w:rPr>
                <w:rFonts w:ascii="Arial Narrow" w:hAnsi="Arial Narrow" w:cs="Arial Narrow"/>
                <w:kern w:val="0"/>
                <w:sz w:val="20"/>
                <w:szCs w:val="20"/>
                <w:lang w:bidi="ar"/>
              </w:rPr>
              <w:t>1</w:t>
            </w:r>
            <w:r>
              <w:rPr>
                <w:rFonts w:ascii="Arial Narrow" w:hAnsi="Arial Narrow" w:cs="Arial Narrow"/>
                <w:kern w:val="0"/>
                <w:sz w:val="20"/>
                <w:szCs w:val="20"/>
                <w:lang w:bidi="ar"/>
              </w:rPr>
              <w:t>分；绩效指标可测，计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518"/>
        </w:trPr>
        <w:tc>
          <w:tcPr>
            <w:tcW w:w="463" w:type="dxa"/>
            <w:vMerge w:val="restart"/>
            <w:vAlign w:val="center"/>
          </w:tcPr>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资金</w:t>
            </w:r>
          </w:p>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落实</w:t>
            </w: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资金到位率</w:t>
            </w:r>
            <w:r>
              <w:rPr>
                <w:rFonts w:ascii="Arial Narrow" w:hAnsi="Arial Narrow" w:cs="Arial Narrow"/>
                <w:kern w:val="0"/>
                <w:sz w:val="20"/>
                <w:szCs w:val="20"/>
                <w:lang w:bidi="ar"/>
              </w:rPr>
              <w:t>=</w:t>
            </w:r>
            <w:r>
              <w:rPr>
                <w:rFonts w:ascii="Arial Narrow" w:hAnsi="Arial Narrow" w:cs="Arial Narrow"/>
                <w:kern w:val="0"/>
                <w:sz w:val="20"/>
                <w:szCs w:val="20"/>
                <w:lang w:bidi="ar"/>
              </w:rPr>
              <w:t>（实际到位资金</w:t>
            </w:r>
            <w:r>
              <w:rPr>
                <w:rFonts w:ascii="Arial Narrow" w:hAnsi="Arial Narrow" w:cs="Arial Narrow"/>
                <w:kern w:val="0"/>
                <w:sz w:val="20"/>
                <w:szCs w:val="20"/>
                <w:lang w:bidi="ar"/>
              </w:rPr>
              <w:t>/</w:t>
            </w:r>
            <w:r>
              <w:rPr>
                <w:rFonts w:ascii="Arial Narrow" w:hAnsi="Arial Narrow" w:cs="Arial Narrow"/>
                <w:kern w:val="0"/>
                <w:sz w:val="20"/>
                <w:szCs w:val="20"/>
                <w:lang w:bidi="ar"/>
              </w:rPr>
              <w:t>计划投入资金）</w:t>
            </w:r>
            <w:r>
              <w:rPr>
                <w:rFonts w:ascii="Arial Narrow" w:hAnsi="Arial Narrow" w:cs="Arial Narrow"/>
                <w:kern w:val="0"/>
                <w:sz w:val="20"/>
                <w:szCs w:val="20"/>
                <w:lang w:bidi="ar"/>
              </w:rPr>
              <w:t>×100%</w:t>
            </w:r>
            <w:r>
              <w:rPr>
                <w:rFonts w:ascii="Arial Narrow" w:hAnsi="Arial Narrow" w:cs="Arial Narrow"/>
                <w:kern w:val="0"/>
                <w:sz w:val="20"/>
                <w:szCs w:val="20"/>
                <w:lang w:bidi="ar"/>
              </w:rPr>
              <w:t>，达到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3D2C75">
        <w:trPr>
          <w:trHeight w:val="548"/>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到位及时率</w:t>
            </w:r>
            <w:r>
              <w:rPr>
                <w:rFonts w:ascii="Arial Narrow" w:hAnsi="Arial Narrow" w:cs="Arial Narrow"/>
                <w:kern w:val="0"/>
                <w:sz w:val="20"/>
                <w:szCs w:val="20"/>
                <w:lang w:bidi="ar"/>
              </w:rPr>
              <w:t>=</w:t>
            </w:r>
            <w:r>
              <w:rPr>
                <w:rFonts w:ascii="Arial Narrow" w:hAnsi="Arial Narrow" w:cs="Arial Narrow"/>
                <w:kern w:val="0"/>
                <w:sz w:val="20"/>
                <w:szCs w:val="20"/>
                <w:lang w:bidi="ar"/>
              </w:rPr>
              <w:t>（及时到位资金</w:t>
            </w:r>
            <w:r>
              <w:rPr>
                <w:rFonts w:ascii="Arial Narrow" w:hAnsi="Arial Narrow" w:cs="Arial Narrow"/>
                <w:kern w:val="0"/>
                <w:sz w:val="20"/>
                <w:szCs w:val="20"/>
                <w:lang w:bidi="ar"/>
              </w:rPr>
              <w:t>/</w:t>
            </w:r>
            <w:r>
              <w:rPr>
                <w:rFonts w:ascii="Arial Narrow" w:hAnsi="Arial Narrow" w:cs="Arial Narrow"/>
                <w:kern w:val="0"/>
                <w:sz w:val="20"/>
                <w:szCs w:val="20"/>
                <w:lang w:bidi="ar"/>
              </w:rPr>
              <w:t>应到位资金）</w:t>
            </w:r>
            <w:r>
              <w:rPr>
                <w:rFonts w:ascii="Arial Narrow" w:hAnsi="Arial Narrow" w:cs="Arial Narrow"/>
                <w:kern w:val="0"/>
                <w:sz w:val="20"/>
                <w:szCs w:val="20"/>
                <w:lang w:bidi="ar"/>
              </w:rPr>
              <w:t>×100%</w:t>
            </w:r>
            <w:r>
              <w:rPr>
                <w:rFonts w:ascii="Arial Narrow" w:hAnsi="Arial Narrow" w:cs="Arial Narrow"/>
                <w:kern w:val="0"/>
                <w:sz w:val="20"/>
                <w:szCs w:val="20"/>
                <w:lang w:bidi="ar"/>
              </w:rPr>
              <w:t>，达到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3D2C75">
        <w:trPr>
          <w:trHeight w:val="748"/>
        </w:trPr>
        <w:tc>
          <w:tcPr>
            <w:tcW w:w="463" w:type="dxa"/>
            <w:vMerge w:val="restart"/>
            <w:vAlign w:val="center"/>
          </w:tcPr>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项目</w:t>
            </w:r>
          </w:p>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管理</w:t>
            </w: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项目实施单位制定了具体的项目管理制度，例如工作考核制、会议制度、责任追究制、投诉举报处理制等，计</w:t>
            </w:r>
            <w:r>
              <w:rPr>
                <w:rFonts w:ascii="Arial Narrow" w:hAnsi="Arial Narrow" w:cs="Arial Narrow"/>
                <w:kern w:val="0"/>
                <w:sz w:val="20"/>
                <w:szCs w:val="20"/>
                <w:lang w:bidi="ar"/>
              </w:rPr>
              <w:t>3</w:t>
            </w:r>
            <w:r>
              <w:rPr>
                <w:rFonts w:ascii="Arial Narrow" w:hAnsi="Arial Narrow" w:cs="Arial Narrow"/>
                <w:kern w:val="0"/>
                <w:sz w:val="20"/>
                <w:szCs w:val="20"/>
                <w:lang w:bidi="ar"/>
              </w:rPr>
              <w:t>分，每少一种，扣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项目管理制度合法、合规、完整，计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823"/>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遵守相关法律法规和项目管理规定，计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严格执行项目管理程序，执行了工作考核制、会议制度、责任追究制、投诉举报处理制等，计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p>
        </w:tc>
      </w:tr>
      <w:tr w:rsidR="003D2C75">
        <w:trPr>
          <w:trHeight w:val="864"/>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已制定或具有相应的项目质量要求或标准，计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采取了相应的项目质量检查，必需的控制措施或手段，计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3D2C75">
        <w:trPr>
          <w:trHeight w:val="980"/>
        </w:trPr>
        <w:tc>
          <w:tcPr>
            <w:tcW w:w="463" w:type="dxa"/>
            <w:vMerge w:val="restart"/>
            <w:vAlign w:val="center"/>
          </w:tcPr>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lastRenderedPageBreak/>
              <w:t>财务</w:t>
            </w:r>
          </w:p>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管理</w:t>
            </w: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项目实施单位已制定或具有相应的项目资金管理办法计</w:t>
            </w:r>
            <w:r>
              <w:rPr>
                <w:rFonts w:ascii="Arial Narrow" w:hAnsi="Arial Narrow" w:cs="Arial Narrow"/>
                <w:kern w:val="0"/>
                <w:sz w:val="20"/>
                <w:szCs w:val="20"/>
                <w:lang w:bidi="ar"/>
              </w:rPr>
              <w:t>2</w:t>
            </w:r>
            <w:r>
              <w:rPr>
                <w:rFonts w:ascii="Arial Narrow" w:hAnsi="Arial Narrow" w:cs="Arial Narrow"/>
                <w:kern w:val="0"/>
                <w:sz w:val="20"/>
                <w:szCs w:val="20"/>
                <w:lang w:bidi="ar"/>
              </w:rPr>
              <w:t>分；项目资金管理办法符合相关财务会计制度的规定计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3D2C75">
        <w:trPr>
          <w:trHeight w:val="1273"/>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项目支出符合国家财经法规和财务管理制度以及有关专项资金管理办法的规定计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分；资金的拨付有完整的审批程序和手续计</w:t>
            </w:r>
            <w:r>
              <w:rPr>
                <w:rFonts w:ascii="Arial Narrow" w:hAnsi="Arial Narrow" w:cs="Arial Narrow"/>
                <w:kern w:val="0"/>
                <w:sz w:val="20"/>
                <w:szCs w:val="20"/>
                <w:lang w:bidi="ar"/>
              </w:rPr>
              <w:t>1</w:t>
            </w:r>
            <w:r>
              <w:rPr>
                <w:rFonts w:ascii="Arial Narrow" w:hAnsi="Arial Narrow" w:cs="Arial Narrow"/>
                <w:kern w:val="0"/>
                <w:sz w:val="20"/>
                <w:szCs w:val="20"/>
                <w:lang w:bidi="ar"/>
              </w:rPr>
              <w:t>分；符合项目预算批复或合同规定的用途计</w:t>
            </w:r>
            <w:r>
              <w:rPr>
                <w:rFonts w:ascii="Arial Narrow" w:hAnsi="Arial Narrow" w:cs="Arial Narrow"/>
                <w:kern w:val="0"/>
                <w:sz w:val="20"/>
                <w:szCs w:val="20"/>
                <w:lang w:bidi="ar"/>
              </w:rPr>
              <w:t>1</w:t>
            </w:r>
            <w:r>
              <w:rPr>
                <w:rFonts w:ascii="Arial Narrow" w:hAnsi="Arial Narrow" w:cs="Arial Narrow"/>
                <w:kern w:val="0"/>
                <w:sz w:val="20"/>
                <w:szCs w:val="20"/>
                <w:lang w:bidi="ar"/>
              </w:rPr>
              <w:t>分，不存在截留、挤占、挪用、虚列支出等情况计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adjustRightInd w:val="0"/>
              <w:snapToGrid w:val="0"/>
              <w:spacing w:line="240" w:lineRule="auto"/>
              <w:ind w:firstLineChars="0" w:firstLine="0"/>
              <w:jc w:val="left"/>
              <w:rPr>
                <w:rFonts w:ascii="Arial Narrow" w:hAnsi="Arial Narrow" w:cs="Arial Narrow"/>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项目实施单位已制定或具有相应的监控机制计</w:t>
            </w:r>
            <w:r>
              <w:rPr>
                <w:rFonts w:ascii="Arial Narrow" w:hAnsi="Arial Narrow" w:cs="Arial Narrow"/>
                <w:kern w:val="0"/>
                <w:sz w:val="20"/>
                <w:szCs w:val="20"/>
                <w:lang w:bidi="ar"/>
              </w:rPr>
              <w:t>2</w:t>
            </w:r>
            <w:r>
              <w:rPr>
                <w:rFonts w:ascii="Arial Narrow" w:hAnsi="Arial Narrow" w:cs="Arial Narrow"/>
                <w:kern w:val="0"/>
                <w:sz w:val="20"/>
                <w:szCs w:val="20"/>
                <w:lang w:bidi="ar"/>
              </w:rPr>
              <w:t>分；采取了相应的财务检查等必要的监控措施或手段计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3D2C75">
        <w:trPr>
          <w:trHeight w:val="281"/>
        </w:trPr>
        <w:tc>
          <w:tcPr>
            <w:tcW w:w="463" w:type="dxa"/>
            <w:vMerge w:val="restart"/>
            <w:vAlign w:val="center"/>
          </w:tcPr>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项目</w:t>
            </w:r>
          </w:p>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产出</w:t>
            </w: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全年督察情况（</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≥12</w:t>
            </w:r>
            <w:r>
              <w:rPr>
                <w:rFonts w:ascii="Arial Narrow" w:hAnsi="Arial Narrow" w:cs="Arial Narrow"/>
                <w:kern w:val="0"/>
                <w:sz w:val="20"/>
                <w:szCs w:val="20"/>
                <w:lang w:bidi="ar"/>
              </w:rPr>
              <w:t>次；</w:t>
            </w:r>
          </w:p>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≥4</w:t>
            </w:r>
            <w:r>
              <w:rPr>
                <w:rFonts w:ascii="Arial Narrow" w:hAnsi="Arial Narrow" w:cs="Arial Narrow"/>
                <w:kern w:val="0"/>
                <w:sz w:val="20"/>
                <w:szCs w:val="20"/>
                <w:lang w:bidi="ar"/>
              </w:rPr>
              <w:t>次</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项目实施单位全年进行</w:t>
            </w:r>
            <w:r>
              <w:rPr>
                <w:rFonts w:ascii="Arial Narrow" w:hAnsi="Arial Narrow" w:cs="Arial Narrow"/>
                <w:kern w:val="0"/>
                <w:sz w:val="20"/>
                <w:szCs w:val="20"/>
                <w:lang w:bidi="ar"/>
              </w:rPr>
              <w:t>12</w:t>
            </w:r>
            <w:r>
              <w:rPr>
                <w:rFonts w:ascii="Arial Narrow" w:hAnsi="Arial Narrow" w:cs="Arial Narrow"/>
                <w:kern w:val="0"/>
                <w:sz w:val="20"/>
                <w:szCs w:val="20"/>
                <w:lang w:bidi="ar"/>
              </w:rPr>
              <w:t>次及以上检查，计</w:t>
            </w:r>
            <w:r>
              <w:rPr>
                <w:rFonts w:ascii="Arial Narrow" w:hAnsi="Arial Narrow" w:cs="Arial Narrow"/>
                <w:kern w:val="0"/>
                <w:sz w:val="20"/>
                <w:szCs w:val="20"/>
                <w:lang w:bidi="ar"/>
              </w:rPr>
              <w:t>3</w:t>
            </w:r>
            <w:r>
              <w:rPr>
                <w:rFonts w:ascii="Arial Narrow" w:hAnsi="Arial Narrow" w:cs="Arial Narrow"/>
                <w:kern w:val="0"/>
                <w:sz w:val="20"/>
                <w:szCs w:val="20"/>
                <w:lang w:bidi="ar"/>
              </w:rPr>
              <w:t>分，每少</w:t>
            </w:r>
            <w:r>
              <w:rPr>
                <w:rFonts w:ascii="Arial Narrow" w:hAnsi="Arial Narrow" w:cs="Arial Narrow"/>
                <w:kern w:val="0"/>
                <w:sz w:val="20"/>
                <w:szCs w:val="20"/>
                <w:lang w:bidi="ar"/>
              </w:rPr>
              <w:t>2</w:t>
            </w:r>
            <w:r>
              <w:rPr>
                <w:rFonts w:ascii="Arial Narrow" w:hAnsi="Arial Narrow" w:cs="Arial Narrow"/>
                <w:kern w:val="0"/>
                <w:sz w:val="20"/>
                <w:szCs w:val="20"/>
                <w:lang w:bidi="ar"/>
              </w:rPr>
              <w:t>次检查，扣</w:t>
            </w:r>
            <w:r>
              <w:rPr>
                <w:rFonts w:ascii="Arial Narrow" w:hAnsi="Arial Narrow" w:cs="Arial Narrow"/>
                <w:kern w:val="0"/>
                <w:sz w:val="20"/>
                <w:szCs w:val="20"/>
                <w:lang w:bidi="ar"/>
              </w:rPr>
              <w:t>0.5</w:t>
            </w:r>
            <w:r>
              <w:rPr>
                <w:rFonts w:ascii="Arial Narrow" w:hAnsi="Arial Narrow" w:cs="Arial Narrow"/>
                <w:kern w:val="0"/>
                <w:sz w:val="20"/>
                <w:szCs w:val="20"/>
                <w:lang w:bidi="ar"/>
              </w:rPr>
              <w:t>分。全年进行</w:t>
            </w:r>
            <w:r>
              <w:rPr>
                <w:rFonts w:ascii="Arial Narrow" w:hAnsi="Arial Narrow" w:cs="Arial Narrow"/>
                <w:kern w:val="0"/>
                <w:sz w:val="20"/>
                <w:szCs w:val="20"/>
                <w:lang w:bidi="ar"/>
              </w:rPr>
              <w:t>4</w:t>
            </w:r>
            <w:r>
              <w:rPr>
                <w:rFonts w:ascii="Arial Narrow" w:hAnsi="Arial Narrow" w:cs="Arial Narrow"/>
                <w:kern w:val="0"/>
                <w:sz w:val="20"/>
                <w:szCs w:val="20"/>
                <w:lang w:bidi="ar"/>
              </w:rPr>
              <w:t>次及以上考核，计</w:t>
            </w:r>
            <w:r>
              <w:rPr>
                <w:rFonts w:ascii="Arial Narrow" w:hAnsi="Arial Narrow" w:cs="Arial Narrow"/>
                <w:kern w:val="0"/>
                <w:sz w:val="20"/>
                <w:szCs w:val="20"/>
                <w:lang w:bidi="ar"/>
              </w:rPr>
              <w:t>2</w:t>
            </w:r>
            <w:r>
              <w:rPr>
                <w:rFonts w:ascii="Arial Narrow" w:hAnsi="Arial Narrow" w:cs="Arial Narrow"/>
                <w:kern w:val="0"/>
                <w:sz w:val="20"/>
                <w:szCs w:val="20"/>
                <w:lang w:bidi="ar"/>
              </w:rPr>
              <w:t>分，每少</w:t>
            </w:r>
            <w:r>
              <w:rPr>
                <w:rFonts w:ascii="Arial Narrow" w:hAnsi="Arial Narrow" w:cs="Arial Narrow"/>
                <w:kern w:val="0"/>
                <w:sz w:val="20"/>
                <w:szCs w:val="20"/>
                <w:lang w:bidi="ar"/>
              </w:rPr>
              <w:t>1</w:t>
            </w:r>
            <w:r>
              <w:rPr>
                <w:rFonts w:ascii="Arial Narrow" w:hAnsi="Arial Narrow" w:cs="Arial Narrow"/>
                <w:kern w:val="0"/>
                <w:sz w:val="20"/>
                <w:szCs w:val="20"/>
                <w:lang w:bidi="ar"/>
              </w:rPr>
              <w:t>次考核，扣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责任书签订率（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责任书签订率达到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分，每减少</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423"/>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执法队伍培训情况（</w:t>
            </w:r>
            <w:r>
              <w:rPr>
                <w:rFonts w:ascii="Arial Narrow" w:hAnsi="Arial Narrow" w:cs="Arial Narrow"/>
                <w:kern w:val="0"/>
                <w:sz w:val="20"/>
                <w:szCs w:val="20"/>
                <w:lang w:bidi="ar"/>
              </w:rPr>
              <w:t>6</w:t>
            </w:r>
            <w:r>
              <w:rPr>
                <w:rFonts w:ascii="Arial Narrow" w:hAnsi="Arial Narrow" w:cs="Arial Narrow"/>
                <w:kern w:val="0"/>
                <w:sz w:val="20"/>
                <w:szCs w:val="20"/>
                <w:lang w:bidi="ar"/>
              </w:rPr>
              <w:t>分）</w:t>
            </w:r>
          </w:p>
        </w:tc>
        <w:tc>
          <w:tcPr>
            <w:tcW w:w="1087" w:type="dxa"/>
            <w:shd w:val="clear" w:color="auto" w:fill="auto"/>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shd w:val="clear" w:color="auto" w:fill="auto"/>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shd w:val="clear" w:color="auto" w:fill="auto"/>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每月进行培训，计</w:t>
            </w:r>
            <w:r>
              <w:rPr>
                <w:rFonts w:ascii="Arial Narrow" w:hAnsi="Arial Narrow" w:cs="Arial Narrow"/>
                <w:kern w:val="0"/>
                <w:sz w:val="20"/>
                <w:szCs w:val="20"/>
                <w:lang w:bidi="ar"/>
              </w:rPr>
              <w:t>6</w:t>
            </w:r>
            <w:r>
              <w:rPr>
                <w:rFonts w:ascii="Arial Narrow" w:hAnsi="Arial Narrow" w:cs="Arial Narrow"/>
                <w:kern w:val="0"/>
                <w:sz w:val="20"/>
                <w:szCs w:val="20"/>
                <w:lang w:bidi="ar"/>
              </w:rPr>
              <w:t>分，每少一个月，扣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道路监控网络建设情况（</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完成农村公路限宽限高保护措施，计</w:t>
            </w:r>
            <w:r>
              <w:rPr>
                <w:rFonts w:ascii="Arial Narrow" w:hAnsi="Arial Narrow" w:cs="Arial Narrow"/>
                <w:kern w:val="0"/>
                <w:sz w:val="20"/>
                <w:szCs w:val="20"/>
                <w:lang w:bidi="ar"/>
              </w:rPr>
              <w:t>5</w:t>
            </w:r>
            <w:r>
              <w:rPr>
                <w:rFonts w:ascii="Arial Narrow" w:hAnsi="Arial Narrow" w:cs="Arial Narrow"/>
                <w:kern w:val="0"/>
                <w:sz w:val="20"/>
                <w:szCs w:val="20"/>
                <w:lang w:bidi="ar"/>
              </w:rPr>
              <w:t>分，完成部分农村公路限宽限高保护措施，计</w:t>
            </w:r>
            <w:r>
              <w:rPr>
                <w:rFonts w:ascii="Arial Narrow" w:hAnsi="Arial Narrow" w:cs="Arial Narrow"/>
                <w:kern w:val="0"/>
                <w:sz w:val="20"/>
                <w:szCs w:val="20"/>
                <w:lang w:bidi="ar"/>
              </w:rPr>
              <w:t>2</w:t>
            </w:r>
            <w:r>
              <w:rPr>
                <w:rFonts w:ascii="Arial Narrow" w:hAnsi="Arial Narrow" w:cs="Arial Narrow"/>
                <w:kern w:val="0"/>
                <w:sz w:val="20"/>
                <w:szCs w:val="20"/>
                <w:lang w:bidi="ar"/>
              </w:rPr>
              <w:t>分，否则扣</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r>
      <w:tr w:rsidR="003D2C75">
        <w:trPr>
          <w:trHeight w:val="126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车辆超限率（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≤2%</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车辆超限率未超过</w:t>
            </w:r>
            <w:r>
              <w:rPr>
                <w:rFonts w:ascii="Arial Narrow" w:hAnsi="Arial Narrow" w:cs="Arial Narrow"/>
                <w:kern w:val="0"/>
                <w:sz w:val="20"/>
                <w:szCs w:val="20"/>
                <w:lang w:bidi="ar"/>
              </w:rPr>
              <w:t>2%</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分，每超过</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kern w:val="0"/>
                <w:sz w:val="20"/>
                <w:szCs w:val="20"/>
              </w:rPr>
            </w:pPr>
            <w:r>
              <w:rPr>
                <w:rFonts w:ascii="Arial Narrow" w:hAnsi="Arial Narrow" w:cs="Arial Narrow"/>
                <w:kern w:val="0"/>
                <w:sz w:val="20"/>
                <w:szCs w:val="20"/>
                <w:lang w:bidi="ar"/>
              </w:rPr>
              <w:t>完成及时率（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大部分工作均在</w:t>
            </w:r>
            <w:r>
              <w:rPr>
                <w:rFonts w:ascii="Arial Narrow" w:hAnsi="Arial Narrow" w:cs="Arial Narrow"/>
                <w:kern w:val="0"/>
                <w:sz w:val="20"/>
                <w:szCs w:val="20"/>
                <w:lang w:bidi="ar"/>
              </w:rPr>
              <w:t>2018</w:t>
            </w:r>
            <w:r>
              <w:rPr>
                <w:rFonts w:ascii="Arial Narrow" w:hAnsi="Arial Narrow" w:cs="Arial Narrow"/>
                <w:kern w:val="0"/>
                <w:sz w:val="20"/>
                <w:szCs w:val="20"/>
                <w:lang w:bidi="ar"/>
              </w:rPr>
              <w:t>年按时完成，计</w:t>
            </w:r>
            <w:r>
              <w:rPr>
                <w:rFonts w:ascii="Arial Narrow" w:hAnsi="Arial Narrow" w:cs="Arial Narrow"/>
                <w:kern w:val="0"/>
                <w:sz w:val="20"/>
                <w:szCs w:val="20"/>
                <w:lang w:bidi="ar"/>
              </w:rPr>
              <w:t>5</w:t>
            </w:r>
            <w:r>
              <w:rPr>
                <w:rFonts w:ascii="Arial Narrow" w:hAnsi="Arial Narrow" w:cs="Arial Narrow"/>
                <w:kern w:val="0"/>
                <w:sz w:val="20"/>
                <w:szCs w:val="20"/>
                <w:lang w:bidi="ar"/>
              </w:rPr>
              <w:t>分，部分工作按时完成计</w:t>
            </w:r>
            <w:r>
              <w:rPr>
                <w:rFonts w:ascii="Arial Narrow" w:hAnsi="Arial Narrow" w:cs="Arial Narrow"/>
                <w:kern w:val="0"/>
                <w:sz w:val="20"/>
                <w:szCs w:val="20"/>
                <w:lang w:bidi="ar"/>
              </w:rPr>
              <w:t>3</w:t>
            </w:r>
            <w:r>
              <w:rPr>
                <w:rFonts w:ascii="Arial Narrow" w:hAnsi="Arial Narrow" w:cs="Arial Narrow"/>
                <w:kern w:val="0"/>
                <w:sz w:val="20"/>
                <w:szCs w:val="20"/>
                <w:lang w:bidi="ar"/>
              </w:rPr>
              <w:t>分，大部分工作未按时完成，计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资金使用率（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≥95%</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资金使用率超过</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52"/>
        </w:trPr>
        <w:tc>
          <w:tcPr>
            <w:tcW w:w="463" w:type="dxa"/>
            <w:vMerge w:val="restart"/>
            <w:vAlign w:val="center"/>
          </w:tcPr>
          <w:p w:rsidR="003D2C75" w:rsidRDefault="00000000">
            <w:pPr>
              <w:adjustRightInd w:val="0"/>
              <w:snapToGrid w:val="0"/>
              <w:spacing w:line="240" w:lineRule="auto"/>
              <w:ind w:firstLineChars="0" w:firstLine="0"/>
              <w:rPr>
                <w:rFonts w:ascii="Arial Narrow" w:hAnsi="Arial Narrow" w:cs="Arial Narrow"/>
                <w:sz w:val="20"/>
                <w:szCs w:val="20"/>
              </w:rPr>
            </w:pPr>
            <w:r>
              <w:rPr>
                <w:rFonts w:ascii="Arial Narrow" w:hAnsi="Arial Narrow" w:cs="Arial Narrow"/>
                <w:sz w:val="20"/>
                <w:szCs w:val="20"/>
              </w:rPr>
              <w:t>项目效</w:t>
            </w:r>
            <w:r>
              <w:rPr>
                <w:rFonts w:ascii="Arial Narrow" w:hAnsi="Arial Narrow" w:cs="Arial Narrow"/>
                <w:sz w:val="20"/>
                <w:szCs w:val="20"/>
              </w:rPr>
              <w:t xml:space="preserve"> </w:t>
            </w:r>
            <w:r>
              <w:rPr>
                <w:rFonts w:ascii="Arial Narrow" w:hAnsi="Arial Narrow" w:cs="Arial Narrow"/>
                <w:sz w:val="20"/>
                <w:szCs w:val="20"/>
              </w:rPr>
              <w:lastRenderedPageBreak/>
              <w:t>果</w:t>
            </w:r>
          </w:p>
        </w:tc>
        <w:tc>
          <w:tcPr>
            <w:tcW w:w="1066" w:type="dxa"/>
            <w:vAlign w:val="center"/>
          </w:tcPr>
          <w:p w:rsidR="003D2C75" w:rsidRDefault="00000000">
            <w:pPr>
              <w:widowControl/>
              <w:spacing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lastRenderedPageBreak/>
              <w:t>全年执法覆盖率（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365</w:t>
            </w:r>
            <w:r>
              <w:rPr>
                <w:rFonts w:ascii="Arial Narrow" w:hAnsi="Arial Narrow" w:cs="Arial Narrow"/>
                <w:kern w:val="0"/>
                <w:sz w:val="20"/>
                <w:szCs w:val="20"/>
                <w:lang w:bidi="ar"/>
              </w:rPr>
              <w:t>天</w:t>
            </w: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全年每天均进行治超工作，计</w:t>
            </w:r>
            <w:r>
              <w:rPr>
                <w:rFonts w:ascii="Arial Narrow" w:hAnsi="Arial Narrow" w:cs="Arial Narrow"/>
                <w:kern w:val="0"/>
                <w:sz w:val="20"/>
                <w:szCs w:val="20"/>
                <w:lang w:bidi="ar"/>
              </w:rPr>
              <w:t>4</w:t>
            </w:r>
            <w:r>
              <w:rPr>
                <w:rFonts w:ascii="Arial Narrow" w:hAnsi="Arial Narrow" w:cs="Arial Narrow"/>
                <w:kern w:val="0"/>
                <w:sz w:val="20"/>
                <w:szCs w:val="20"/>
                <w:lang w:bidi="ar"/>
              </w:rPr>
              <w:t>分，每少</w:t>
            </w:r>
            <w:r>
              <w:rPr>
                <w:rFonts w:ascii="Arial Narrow" w:hAnsi="Arial Narrow" w:cs="Arial Narrow"/>
                <w:kern w:val="0"/>
                <w:sz w:val="20"/>
                <w:szCs w:val="20"/>
                <w:lang w:bidi="ar"/>
              </w:rPr>
              <w:t>30</w:t>
            </w:r>
            <w:r>
              <w:rPr>
                <w:rFonts w:ascii="Arial Narrow" w:hAnsi="Arial Narrow" w:cs="Arial Narrow"/>
                <w:kern w:val="0"/>
                <w:sz w:val="20"/>
                <w:szCs w:val="20"/>
                <w:lang w:bidi="ar"/>
              </w:rPr>
              <w:t>天扣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3D2C75">
        <w:trPr>
          <w:trHeight w:val="928"/>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治超方式多样性（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采取两种方式开展治超工作，计</w:t>
            </w:r>
            <w:r>
              <w:rPr>
                <w:rFonts w:ascii="Arial Narrow" w:hAnsi="Arial Narrow" w:cs="Arial Narrow"/>
                <w:kern w:val="0"/>
                <w:sz w:val="20"/>
                <w:szCs w:val="20"/>
                <w:lang w:bidi="ar"/>
              </w:rPr>
              <w:t>4</w:t>
            </w:r>
            <w:r>
              <w:rPr>
                <w:rFonts w:ascii="Arial Narrow" w:hAnsi="Arial Narrow" w:cs="Arial Narrow"/>
                <w:kern w:val="0"/>
                <w:sz w:val="20"/>
                <w:szCs w:val="20"/>
                <w:lang w:bidi="ar"/>
              </w:rPr>
              <w:t>分。每少一种扣</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治超工作合规性（</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全年未发生因乱罚款、乱设卡而发生投诉事件，计</w:t>
            </w:r>
            <w:r>
              <w:rPr>
                <w:rFonts w:ascii="Arial Narrow" w:hAnsi="Arial Narrow" w:cs="Arial Narrow"/>
                <w:kern w:val="0"/>
                <w:sz w:val="20"/>
                <w:szCs w:val="20"/>
                <w:lang w:bidi="ar"/>
              </w:rPr>
              <w:t>5</w:t>
            </w:r>
            <w:r>
              <w:rPr>
                <w:rFonts w:ascii="Arial Narrow" w:hAnsi="Arial Narrow" w:cs="Arial Narrow"/>
                <w:kern w:val="0"/>
                <w:sz w:val="20"/>
                <w:szCs w:val="20"/>
                <w:lang w:bidi="ar"/>
              </w:rPr>
              <w:t>分，否则扣</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通行安全提升度（</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087"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1063" w:type="dxa"/>
            <w:vAlign w:val="center"/>
          </w:tcPr>
          <w:p w:rsidR="003D2C75" w:rsidRDefault="003D2C75">
            <w:pPr>
              <w:spacing w:line="240" w:lineRule="auto"/>
              <w:ind w:firstLineChars="0" w:firstLine="0"/>
              <w:jc w:val="center"/>
              <w:rPr>
                <w:rFonts w:ascii="Arial Narrow" w:hAnsi="Arial Narrow" w:cs="Arial Narrow"/>
                <w:sz w:val="20"/>
                <w:szCs w:val="20"/>
              </w:rPr>
            </w:pP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项目实施后，经开区车辆超限率呈下降趋势，计</w:t>
            </w:r>
            <w:r>
              <w:rPr>
                <w:rFonts w:ascii="Arial Narrow" w:hAnsi="Arial Narrow" w:cs="Arial Narrow"/>
                <w:kern w:val="0"/>
                <w:sz w:val="20"/>
                <w:szCs w:val="20"/>
                <w:lang w:bidi="ar"/>
              </w:rPr>
              <w:t>5</w:t>
            </w:r>
            <w:r>
              <w:rPr>
                <w:rFonts w:ascii="Arial Narrow" w:hAnsi="Arial Narrow" w:cs="Arial Narrow"/>
                <w:kern w:val="0"/>
                <w:sz w:val="20"/>
                <w:szCs w:val="20"/>
                <w:lang w:bidi="ar"/>
              </w:rPr>
              <w:t>分，无变化计</w:t>
            </w:r>
            <w:r>
              <w:rPr>
                <w:rFonts w:ascii="Arial Narrow" w:hAnsi="Arial Narrow" w:cs="Arial Narrow"/>
                <w:kern w:val="0"/>
                <w:sz w:val="20"/>
                <w:szCs w:val="20"/>
                <w:lang w:bidi="ar"/>
              </w:rPr>
              <w:t>2.5</w:t>
            </w:r>
            <w:r>
              <w:rPr>
                <w:rFonts w:ascii="Arial Narrow" w:hAnsi="Arial Narrow" w:cs="Arial Narrow"/>
                <w:kern w:val="0"/>
                <w:sz w:val="20"/>
                <w:szCs w:val="20"/>
                <w:lang w:bidi="ar"/>
              </w:rPr>
              <w:t>分，呈下降趋势扣</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r>
      <w:tr w:rsidR="003D2C75">
        <w:trPr>
          <w:trHeight w:val="52"/>
        </w:trPr>
        <w:tc>
          <w:tcPr>
            <w:tcW w:w="463" w:type="dxa"/>
            <w:vMerge/>
            <w:vAlign w:val="center"/>
          </w:tcPr>
          <w:p w:rsidR="003D2C75" w:rsidRDefault="003D2C75">
            <w:pPr>
              <w:adjustRightInd w:val="0"/>
              <w:snapToGrid w:val="0"/>
              <w:spacing w:line="240" w:lineRule="auto"/>
              <w:ind w:firstLineChars="0" w:firstLine="0"/>
              <w:rPr>
                <w:rFonts w:ascii="Arial Narrow" w:hAnsi="Arial Narrow" w:cs="Arial Narrow"/>
                <w:sz w:val="20"/>
                <w:szCs w:val="20"/>
              </w:rPr>
            </w:pPr>
          </w:p>
        </w:tc>
        <w:tc>
          <w:tcPr>
            <w:tcW w:w="1066"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可持续影响（</w:t>
            </w:r>
            <w:r>
              <w:rPr>
                <w:rFonts w:ascii="Arial Narrow" w:hAnsi="Arial Narrow" w:cs="Arial Narrow"/>
                <w:kern w:val="0"/>
                <w:sz w:val="20"/>
                <w:szCs w:val="20"/>
                <w:lang w:bidi="ar"/>
              </w:rPr>
              <w:t>6</w:t>
            </w:r>
            <w:r>
              <w:rPr>
                <w:rFonts w:ascii="Arial Narrow" w:hAnsi="Arial Narrow" w:cs="Arial Narrow"/>
                <w:kern w:val="0"/>
                <w:sz w:val="20"/>
                <w:szCs w:val="20"/>
                <w:lang w:bidi="ar"/>
              </w:rPr>
              <w:t>分）</w:t>
            </w:r>
          </w:p>
        </w:tc>
        <w:tc>
          <w:tcPr>
            <w:tcW w:w="1087"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063" w:type="dxa"/>
            <w:vAlign w:val="center"/>
          </w:tcPr>
          <w:p w:rsidR="003D2C75"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5075" w:type="dxa"/>
            <w:vAlign w:val="center"/>
          </w:tcPr>
          <w:p w:rsidR="003D2C75"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项目实施单位配备充足的人员进行货车非法改装和超限超载治理工作后续运行，计</w:t>
            </w:r>
            <w:r>
              <w:rPr>
                <w:rFonts w:ascii="Arial Narrow" w:hAnsi="Arial Narrow" w:cs="Arial Narrow"/>
                <w:kern w:val="0"/>
                <w:sz w:val="20"/>
                <w:szCs w:val="20"/>
                <w:lang w:bidi="ar"/>
              </w:rPr>
              <w:t>3</w:t>
            </w:r>
            <w:r>
              <w:rPr>
                <w:rFonts w:ascii="Arial Narrow" w:hAnsi="Arial Narrow" w:cs="Arial Narrow"/>
                <w:kern w:val="0"/>
                <w:sz w:val="20"/>
                <w:szCs w:val="20"/>
                <w:lang w:bidi="ar"/>
              </w:rPr>
              <w:t>分；项目相关档案的保存完整并及时归档，计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p>
        </w:tc>
      </w:tr>
    </w:tbl>
    <w:p w:rsidR="003D2C75" w:rsidRDefault="003D2C75">
      <w:pPr>
        <w:adjustRightInd w:val="0"/>
        <w:snapToGrid w:val="0"/>
        <w:ind w:firstLineChars="0" w:firstLine="0"/>
        <w:rPr>
          <w:rFonts w:ascii="Arial Narrow" w:hAnsi="Arial Narrow" w:cs="Arial Narrow"/>
        </w:rPr>
      </w:pPr>
    </w:p>
    <w:p w:rsidR="003D2C75" w:rsidRDefault="00000000">
      <w:pPr>
        <w:adjustRightInd w:val="0"/>
        <w:snapToGrid w:val="0"/>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绩效评价指标体系补充说明：</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）项目实施单位设定了年度目标和绩效指标，但是部分绩效指标设置可测性不高，故对以下指标进行调整：</w:t>
      </w:r>
    </w:p>
    <w:p w:rsidR="003D2C75"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将</w:t>
      </w:r>
      <w:r>
        <w:rPr>
          <w:rFonts w:ascii="Arial Narrow" w:hAnsi="Arial Narrow" w:cs="Arial Narrow"/>
        </w:rPr>
        <w:t>“</w:t>
      </w:r>
      <w:r>
        <w:rPr>
          <w:rFonts w:ascii="Arial Narrow" w:hAnsi="Arial Narrow" w:cs="Arial Narrow"/>
        </w:rPr>
        <w:t>基本遏制货车非法改装，控制超限超载现象</w:t>
      </w:r>
      <w:r>
        <w:rPr>
          <w:rFonts w:ascii="Arial Narrow" w:hAnsi="Arial Narrow" w:cs="Arial Narrow"/>
        </w:rPr>
        <w:t>”</w:t>
      </w:r>
      <w:r>
        <w:rPr>
          <w:rFonts w:ascii="Arial Narrow" w:hAnsi="Arial Narrow" w:cs="Arial Narrow"/>
        </w:rPr>
        <w:t>改为</w:t>
      </w:r>
      <w:r>
        <w:rPr>
          <w:rFonts w:ascii="Arial Narrow" w:hAnsi="Arial Narrow" w:cs="Arial Narrow"/>
        </w:rPr>
        <w:t>“</w:t>
      </w:r>
      <w:r>
        <w:rPr>
          <w:rFonts w:ascii="Arial Narrow" w:hAnsi="Arial Narrow" w:cs="Arial Narrow"/>
        </w:rPr>
        <w:t>通行安全提升度</w:t>
      </w:r>
      <w:r>
        <w:rPr>
          <w:rFonts w:ascii="Arial Narrow" w:hAnsi="Arial Narrow" w:cs="Arial Narrow"/>
        </w:rPr>
        <w:t>”</w:t>
      </w:r>
      <w:r>
        <w:rPr>
          <w:rFonts w:ascii="Arial Narrow" w:hAnsi="Arial Narrow" w:cs="Arial Narrow"/>
        </w:rPr>
        <w:t>，调整原因：</w:t>
      </w:r>
      <w:r>
        <w:rPr>
          <w:rFonts w:ascii="Arial Narrow" w:hAnsi="Arial Narrow" w:cs="Arial Narrow"/>
          <w:szCs w:val="21"/>
        </w:rPr>
        <w:t>后者相比前者更能清晰、简洁的反映出要考核的内容</w:t>
      </w:r>
      <w:r>
        <w:rPr>
          <w:rFonts w:ascii="Arial Narrow" w:hAnsi="Arial Narrow" w:cs="Arial Narrow"/>
        </w:rPr>
        <w:t>。</w:t>
      </w:r>
    </w:p>
    <w:p w:rsidR="003D2C75"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将</w:t>
      </w:r>
      <w:r>
        <w:rPr>
          <w:rFonts w:ascii="Arial Narrow" w:hAnsi="Arial Narrow" w:cs="Arial Narrow"/>
        </w:rPr>
        <w:t>“</w:t>
      </w:r>
      <w:r>
        <w:rPr>
          <w:rFonts w:ascii="Arial Narrow" w:hAnsi="Arial Narrow" w:cs="Arial Narrow"/>
        </w:rPr>
        <w:t>出现乱罚款、乱设卡现象</w:t>
      </w:r>
      <w:r>
        <w:rPr>
          <w:rFonts w:ascii="Arial Narrow" w:hAnsi="Arial Narrow" w:cs="Arial Narrow"/>
        </w:rPr>
        <w:t>”</w:t>
      </w:r>
      <w:r>
        <w:rPr>
          <w:rFonts w:ascii="Arial Narrow" w:hAnsi="Arial Narrow" w:cs="Arial Narrow"/>
        </w:rPr>
        <w:t>改为</w:t>
      </w:r>
      <w:r>
        <w:rPr>
          <w:rFonts w:ascii="Arial Narrow" w:hAnsi="Arial Narrow" w:cs="Arial Narrow"/>
        </w:rPr>
        <w:t>“</w:t>
      </w:r>
      <w:r>
        <w:rPr>
          <w:rFonts w:ascii="Arial Narrow" w:hAnsi="Arial Narrow" w:cs="Arial Narrow"/>
        </w:rPr>
        <w:t>治超工作合规性</w:t>
      </w:r>
      <w:r>
        <w:rPr>
          <w:rFonts w:ascii="Arial Narrow" w:hAnsi="Arial Narrow" w:cs="Arial Narrow"/>
        </w:rPr>
        <w:t>”</w:t>
      </w:r>
      <w:r>
        <w:rPr>
          <w:rFonts w:ascii="Arial Narrow" w:hAnsi="Arial Narrow" w:cs="Arial Narrow"/>
        </w:rPr>
        <w:t>，调整原因：</w:t>
      </w:r>
      <w:r>
        <w:rPr>
          <w:rFonts w:ascii="Arial Narrow" w:hAnsi="Arial Narrow" w:cs="Arial Narrow"/>
          <w:szCs w:val="21"/>
        </w:rPr>
        <w:t>后者更加清晰、明了，可以反映项目效益指标的实现程度</w:t>
      </w:r>
      <w:r>
        <w:rPr>
          <w:rFonts w:ascii="Arial Narrow" w:hAnsi="Arial Narrow" w:cs="Arial Narrow"/>
        </w:rPr>
        <w:t>。</w:t>
      </w:r>
    </w:p>
    <w:p w:rsidR="003D2C75" w:rsidRDefault="00000000">
      <w:pPr>
        <w:snapToGrid w:val="0"/>
        <w:ind w:firstLine="480"/>
        <w:rPr>
          <w:rFonts w:ascii="Arial Narrow" w:hAnsi="Arial Narrow" w:cs="Arial Narrow"/>
        </w:rPr>
      </w:pPr>
      <w:r>
        <w:rPr>
          <w:rFonts w:ascii="Arial Narrow" w:hAnsi="Arial Narrow" w:cs="Arial Narrow"/>
          <w:szCs w:val="21"/>
        </w:rPr>
        <w:t>③</w:t>
      </w:r>
      <w:r>
        <w:rPr>
          <w:rFonts w:ascii="Arial Narrow" w:hAnsi="Arial Narrow" w:cs="Arial Narrow"/>
          <w:szCs w:val="21"/>
        </w:rPr>
        <w:t>将</w:t>
      </w:r>
      <w:r>
        <w:rPr>
          <w:rFonts w:ascii="Arial Narrow" w:hAnsi="Arial Narrow" w:cs="Arial Narrow"/>
          <w:szCs w:val="21"/>
        </w:rPr>
        <w:t>“</w:t>
      </w:r>
      <w:r>
        <w:rPr>
          <w:rFonts w:ascii="Arial Narrow" w:hAnsi="Arial Narrow" w:cs="Arial Narrow"/>
          <w:szCs w:val="21"/>
        </w:rPr>
        <w:t>加大督查，考核力度</w:t>
      </w:r>
      <w:r>
        <w:rPr>
          <w:rFonts w:ascii="Arial Narrow" w:hAnsi="Arial Narrow" w:cs="Arial Narrow"/>
          <w:szCs w:val="21"/>
        </w:rPr>
        <w:t>”</w:t>
      </w:r>
      <w:r>
        <w:rPr>
          <w:rFonts w:ascii="Arial Narrow" w:hAnsi="Arial Narrow" w:cs="Arial Narrow"/>
          <w:szCs w:val="21"/>
        </w:rPr>
        <w:t>改为</w:t>
      </w:r>
      <w:r>
        <w:rPr>
          <w:rFonts w:ascii="Arial Narrow" w:hAnsi="Arial Narrow" w:cs="Arial Narrow"/>
          <w:szCs w:val="21"/>
        </w:rPr>
        <w:t>“</w:t>
      </w:r>
      <w:r>
        <w:rPr>
          <w:rFonts w:ascii="Arial Narrow" w:hAnsi="Arial Narrow" w:cs="Arial Narrow"/>
          <w:szCs w:val="21"/>
        </w:rPr>
        <w:t>全年督查情况</w:t>
      </w:r>
      <w:r>
        <w:rPr>
          <w:rFonts w:ascii="Arial Narrow" w:hAnsi="Arial Narrow" w:cs="Arial Narrow"/>
          <w:szCs w:val="21"/>
        </w:rPr>
        <w:t>”</w:t>
      </w:r>
      <w:r>
        <w:rPr>
          <w:rFonts w:ascii="Arial Narrow" w:hAnsi="Arial Narrow" w:cs="Arial Narrow"/>
          <w:szCs w:val="21"/>
        </w:rPr>
        <w:t>，调整原因：后者比前者表达更为简洁明了。</w:t>
      </w:r>
    </w:p>
    <w:p w:rsidR="003D2C75" w:rsidRDefault="00000000">
      <w:pPr>
        <w:snapToGrid w:val="0"/>
        <w:ind w:firstLine="480"/>
        <w:rPr>
          <w:rFonts w:ascii="Arial Narrow" w:hAnsi="Arial Narrow" w:cs="Arial Narrow"/>
          <w:szCs w:val="21"/>
        </w:rPr>
      </w:pPr>
      <w:r>
        <w:rPr>
          <w:rFonts w:ascii="Arial Narrow" w:hAnsi="Arial Narrow" w:cs="Arial Narrow"/>
          <w:szCs w:val="21"/>
        </w:rPr>
        <w:t>④</w:t>
      </w:r>
      <w:r>
        <w:rPr>
          <w:rFonts w:ascii="Arial Narrow" w:hAnsi="Arial Narrow" w:cs="Arial Narrow"/>
          <w:szCs w:val="21"/>
        </w:rPr>
        <w:t>新增指标：</w:t>
      </w:r>
      <w:r>
        <w:rPr>
          <w:rFonts w:ascii="Arial Narrow" w:hAnsi="Arial Narrow" w:cs="Arial Narrow"/>
          <w:szCs w:val="21"/>
        </w:rPr>
        <w:t>“</w:t>
      </w:r>
      <w:r>
        <w:rPr>
          <w:rFonts w:ascii="Arial Narrow" w:hAnsi="Arial Narrow" w:cs="Arial Narrow"/>
          <w:szCs w:val="21"/>
        </w:rPr>
        <w:t>责任书签订率</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执法队伍培训情况</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道路监控网络建设情况</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全年执法覆盖率</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治超方式多样性</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可持续影响</w:t>
      </w:r>
      <w:r>
        <w:rPr>
          <w:rFonts w:ascii="Arial Narrow" w:hAnsi="Arial Narrow" w:cs="Arial Narrow"/>
          <w:szCs w:val="21"/>
        </w:rPr>
        <w:t>”</w:t>
      </w:r>
      <w:r>
        <w:rPr>
          <w:rFonts w:ascii="Arial Narrow" w:hAnsi="Arial Narrow" w:cs="Arial Narrow"/>
          <w:szCs w:val="21"/>
        </w:rPr>
        <w:t>。新增原因：根据项目实际产出与产出质量、社会效益，新增上述指标以反映项目的质量产出和社会效益。</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）评价方法</w:t>
      </w:r>
    </w:p>
    <w:p w:rsidR="003D2C75" w:rsidRDefault="00000000">
      <w:pPr>
        <w:adjustRightInd w:val="0"/>
        <w:snapToGrid w:val="0"/>
        <w:spacing w:before="50" w:after="50"/>
        <w:ind w:firstLine="480"/>
        <w:rPr>
          <w:rFonts w:ascii="Arial Narrow" w:hAnsi="Arial Narrow" w:cs="Arial Narrow"/>
          <w:szCs w:val="28"/>
        </w:rPr>
      </w:pPr>
      <w:bookmarkStart w:id="46" w:name="_Toc4900"/>
      <w:r>
        <w:rPr>
          <w:rFonts w:ascii="Arial Narrow" w:hAnsi="Arial Narrow" w:cs="Arial Narrow"/>
          <w:szCs w:val="28"/>
        </w:rPr>
        <w:t>评价方法主要包括成本效益分析法、比较法、最低成本法、公众评判法、统计计算法等。</w:t>
      </w:r>
      <w:r>
        <w:rPr>
          <w:rFonts w:ascii="Arial Narrow" w:hAnsi="Arial Narrow" w:cs="Arial Narrow"/>
          <w:szCs w:val="28"/>
        </w:rPr>
        <w:t>“</w:t>
      </w:r>
      <w:r>
        <w:rPr>
          <w:rFonts w:ascii="Arial Narrow" w:hAnsi="Arial Narrow" w:cs="Arial Narrow"/>
          <w:szCs w:val="28"/>
        </w:rPr>
        <w:t>治超整治专项经费项目</w:t>
      </w:r>
      <w:r>
        <w:rPr>
          <w:rFonts w:ascii="Arial Narrow" w:hAnsi="Arial Narrow" w:cs="Arial Narrow"/>
          <w:szCs w:val="28"/>
        </w:rPr>
        <w:t>”</w:t>
      </w:r>
      <w:r>
        <w:rPr>
          <w:rFonts w:ascii="Arial Narrow" w:hAnsi="Arial Narrow" w:cs="Arial Narrow"/>
          <w:szCs w:val="28"/>
        </w:rPr>
        <w:t>绩效评价根据其特点和评价工作的要求，选择比较法、公众评判法、统计计算法、实地考察等方法进行绩效评价分析，与此</w:t>
      </w:r>
      <w:r>
        <w:rPr>
          <w:rFonts w:ascii="Arial Narrow" w:hAnsi="Arial Narrow" w:cs="Arial Narrow"/>
          <w:szCs w:val="28"/>
        </w:rPr>
        <w:lastRenderedPageBreak/>
        <w:t>同时，我们将收集大量直接的项目资料进行分析研究。</w:t>
      </w:r>
    </w:p>
    <w:p w:rsidR="003D2C75" w:rsidRDefault="00000000">
      <w:pPr>
        <w:adjustRightInd w:val="0"/>
        <w:snapToGrid w:val="0"/>
        <w:spacing w:before="50" w:after="50"/>
        <w:ind w:firstLine="480"/>
        <w:rPr>
          <w:rFonts w:ascii="Arial Narrow" w:hAnsi="Arial Narrow" w:cs="Arial Narrow"/>
          <w:szCs w:val="28"/>
        </w:rPr>
      </w:pPr>
      <w:r>
        <w:rPr>
          <w:rFonts w:ascii="Arial Narrow" w:hAnsi="Arial Narrow" w:cs="Arial Narrow"/>
          <w:szCs w:val="28"/>
        </w:rPr>
        <w:t>比较法。是指通过对绩效目标与实际实施效果的对比，综合分析绩效目标实现程度。评价小组根据收集的资料和实地观察，了解</w:t>
      </w:r>
      <w:r>
        <w:rPr>
          <w:rFonts w:ascii="Arial Narrow" w:hAnsi="Arial Narrow" w:cs="Arial Narrow"/>
          <w:szCs w:val="28"/>
        </w:rPr>
        <w:t>“</w:t>
      </w:r>
      <w:r>
        <w:rPr>
          <w:rFonts w:ascii="Arial Narrow" w:hAnsi="Arial Narrow" w:cs="Arial Narrow"/>
          <w:szCs w:val="28"/>
        </w:rPr>
        <w:t>治超整治专项经费项目</w:t>
      </w:r>
      <w:r>
        <w:rPr>
          <w:rFonts w:ascii="Arial Narrow" w:hAnsi="Arial Narrow" w:cs="Arial Narrow"/>
          <w:szCs w:val="28"/>
        </w:rPr>
        <w:t>”</w:t>
      </w:r>
      <w:r>
        <w:rPr>
          <w:rFonts w:ascii="Arial Narrow" w:hAnsi="Arial Narrow" w:cs="Arial Narrow"/>
          <w:szCs w:val="28"/>
        </w:rPr>
        <w:t>实际情况，与该项目申报时确定的绩效目标进行对比，评价绩效目标的实现程度。</w:t>
      </w:r>
    </w:p>
    <w:p w:rsidR="003D2C75" w:rsidRDefault="00000000">
      <w:pPr>
        <w:adjustRightInd w:val="0"/>
        <w:snapToGrid w:val="0"/>
        <w:spacing w:before="50" w:after="50"/>
        <w:ind w:firstLine="480"/>
        <w:rPr>
          <w:rFonts w:ascii="Arial Narrow" w:hAnsi="Arial Narrow" w:cs="Arial Narrow"/>
          <w:szCs w:val="28"/>
        </w:rPr>
      </w:pPr>
      <w:r>
        <w:rPr>
          <w:rFonts w:ascii="Arial Narrow" w:hAnsi="Arial Narrow" w:cs="Arial Narrow"/>
          <w:szCs w:val="28"/>
        </w:rPr>
        <w:t>公众评判法。是指通过专家评估等对财政支出效果进行评判，评价绩效目标实现程度。收集</w:t>
      </w:r>
      <w:r>
        <w:rPr>
          <w:rFonts w:ascii="Arial Narrow" w:hAnsi="Arial Narrow" w:cs="Arial Narrow"/>
          <w:szCs w:val="28"/>
        </w:rPr>
        <w:t>“</w:t>
      </w:r>
      <w:r>
        <w:rPr>
          <w:rFonts w:ascii="Arial Narrow" w:hAnsi="Arial Narrow" w:cs="Arial Narrow"/>
          <w:szCs w:val="28"/>
        </w:rPr>
        <w:t>治超整治专项经费项目</w:t>
      </w:r>
      <w:r>
        <w:rPr>
          <w:rFonts w:ascii="Arial Narrow" w:hAnsi="Arial Narrow" w:cs="Arial Narrow"/>
          <w:szCs w:val="28"/>
        </w:rPr>
        <w:t>”</w:t>
      </w:r>
      <w:r>
        <w:rPr>
          <w:rFonts w:ascii="Arial Narrow" w:hAnsi="Arial Narrow" w:cs="Arial Narrow"/>
          <w:szCs w:val="28"/>
        </w:rPr>
        <w:t>具体实施情况和效果的相关证据，为绩效分析结论提供有力支撑。</w:t>
      </w:r>
    </w:p>
    <w:p w:rsidR="003D2C75" w:rsidRDefault="00000000">
      <w:pPr>
        <w:adjustRightInd w:val="0"/>
        <w:snapToGrid w:val="0"/>
        <w:spacing w:before="50" w:after="50"/>
        <w:ind w:firstLine="480"/>
        <w:rPr>
          <w:rFonts w:ascii="Arial Narrow" w:hAnsi="Arial Narrow" w:cs="Arial Narrow"/>
          <w:szCs w:val="28"/>
        </w:rPr>
      </w:pPr>
      <w:r>
        <w:rPr>
          <w:rFonts w:ascii="Arial Narrow" w:hAnsi="Arial Narrow" w:cs="Arial Narrow"/>
          <w:szCs w:val="28"/>
        </w:rPr>
        <w:t>统计计算法。是指采用各种专业（或专门）指标的计算方法，通过收集</w:t>
      </w:r>
      <w:r>
        <w:rPr>
          <w:rFonts w:ascii="Arial Narrow" w:hAnsi="Arial Narrow" w:cs="Arial Narrow"/>
          <w:szCs w:val="28"/>
        </w:rPr>
        <w:t>“</w:t>
      </w:r>
      <w:r>
        <w:rPr>
          <w:rFonts w:ascii="Arial Narrow" w:hAnsi="Arial Narrow" w:cs="Arial Narrow"/>
          <w:szCs w:val="28"/>
        </w:rPr>
        <w:t>治超整治专项经费项目</w:t>
      </w:r>
      <w:r>
        <w:rPr>
          <w:rFonts w:ascii="Arial Narrow" w:hAnsi="Arial Narrow" w:cs="Arial Narrow"/>
          <w:szCs w:val="28"/>
        </w:rPr>
        <w:t>”</w:t>
      </w:r>
      <w:r>
        <w:rPr>
          <w:rFonts w:ascii="Arial Narrow" w:hAnsi="Arial Narrow" w:cs="Arial Narrow"/>
          <w:szCs w:val="28"/>
        </w:rPr>
        <w:t>的相关数据，采用统计或核算等方式进行计算实际完成或达到的结果，评价绩效目标实现程度。评价小组根据相关文件依据，设计符合</w:t>
      </w:r>
      <w:r>
        <w:rPr>
          <w:rFonts w:ascii="Arial Narrow" w:hAnsi="Arial Narrow" w:cs="Arial Narrow"/>
          <w:szCs w:val="28"/>
        </w:rPr>
        <w:t>“</w:t>
      </w:r>
      <w:r>
        <w:rPr>
          <w:rFonts w:ascii="Arial Narrow" w:hAnsi="Arial Narrow" w:cs="Arial Narrow"/>
          <w:szCs w:val="28"/>
        </w:rPr>
        <w:t>治超整治专项经费项目</w:t>
      </w:r>
      <w:r>
        <w:rPr>
          <w:rFonts w:ascii="Arial Narrow" w:hAnsi="Arial Narrow" w:cs="Arial Narrow"/>
          <w:szCs w:val="28"/>
        </w:rPr>
        <w:t>”</w:t>
      </w:r>
      <w:r>
        <w:rPr>
          <w:rFonts w:ascii="Arial Narrow" w:hAnsi="Arial Narrow" w:cs="Arial Narrow"/>
          <w:szCs w:val="28"/>
        </w:rPr>
        <w:t>特点的评价指标体系，然后采集数据按照计算公式进行计算分析，并根据计算结果分析项目绩效目标实现程度。</w:t>
      </w:r>
    </w:p>
    <w:p w:rsidR="003D2C75" w:rsidRDefault="00000000">
      <w:pPr>
        <w:adjustRightInd w:val="0"/>
        <w:snapToGrid w:val="0"/>
        <w:spacing w:before="50" w:after="50"/>
        <w:ind w:firstLine="480"/>
        <w:rPr>
          <w:rFonts w:ascii="Arial Narrow" w:hAnsi="Arial Narrow" w:cs="Arial Narrow"/>
          <w:szCs w:val="28"/>
        </w:rPr>
      </w:pPr>
      <w:r>
        <w:rPr>
          <w:rFonts w:ascii="Arial Narrow" w:hAnsi="Arial Narrow" w:cs="Arial Narrow"/>
          <w:szCs w:val="28"/>
        </w:rPr>
        <w:t>实地考察。是指前往具体实施地进行考察，了解</w:t>
      </w:r>
      <w:r>
        <w:rPr>
          <w:rFonts w:ascii="Arial Narrow" w:hAnsi="Arial Narrow" w:cs="Arial Narrow"/>
          <w:szCs w:val="28"/>
        </w:rPr>
        <w:t>“</w:t>
      </w:r>
      <w:r>
        <w:rPr>
          <w:rFonts w:ascii="Arial Narrow" w:hAnsi="Arial Narrow" w:cs="Arial Narrow"/>
          <w:szCs w:val="28"/>
        </w:rPr>
        <w:t>治超整治专项经费项目</w:t>
      </w:r>
      <w:r>
        <w:rPr>
          <w:rFonts w:ascii="Arial Narrow" w:hAnsi="Arial Narrow" w:cs="Arial Narrow"/>
          <w:szCs w:val="28"/>
        </w:rPr>
        <w:t>”</w:t>
      </w:r>
      <w:r>
        <w:rPr>
          <w:rFonts w:ascii="Arial Narrow" w:hAnsi="Arial Narrow" w:cs="Arial Narrow"/>
          <w:szCs w:val="28"/>
        </w:rPr>
        <w:t>的实际进展情况，评价项目的绩效目标实现程度。评价小组将前往具体实施地，核实项目实际实施情况，与收集的资料进行验证核对，并拍照留痕。</w:t>
      </w:r>
    </w:p>
    <w:p w:rsidR="003D2C75" w:rsidRDefault="00000000">
      <w:pPr>
        <w:pStyle w:val="2"/>
        <w:adjustRightInd w:val="0"/>
        <w:snapToGrid w:val="0"/>
        <w:spacing w:line="360" w:lineRule="auto"/>
        <w:ind w:firstLine="489"/>
        <w:rPr>
          <w:rFonts w:ascii="Arial Narrow" w:eastAsia="仿宋_GB2312" w:hAnsi="Arial Narrow" w:cs="Arial Narrow"/>
          <w:sz w:val="24"/>
        </w:rPr>
      </w:pPr>
      <w:bookmarkStart w:id="47" w:name="_Toc481590361"/>
      <w:bookmarkStart w:id="48" w:name="_Toc10981"/>
      <w:bookmarkStart w:id="49" w:name="_Toc29116"/>
      <w:bookmarkEnd w:id="46"/>
      <w:r>
        <w:rPr>
          <w:rFonts w:ascii="Arial Narrow" w:eastAsia="仿宋_GB2312" w:hAnsi="Arial Narrow" w:cs="Arial Narrow"/>
          <w:sz w:val="24"/>
        </w:rPr>
        <w:t>（三）绩效分析及评价结论</w:t>
      </w:r>
      <w:bookmarkEnd w:id="47"/>
      <w:bookmarkEnd w:id="48"/>
      <w:bookmarkEnd w:id="49"/>
    </w:p>
    <w:p w:rsidR="003D2C75" w:rsidRDefault="00000000">
      <w:pPr>
        <w:pStyle w:val="3"/>
        <w:adjustRightInd w:val="0"/>
        <w:snapToGrid w:val="0"/>
        <w:spacing w:line="360" w:lineRule="auto"/>
        <w:ind w:firstLine="480"/>
        <w:rPr>
          <w:rFonts w:ascii="Arial Narrow" w:hAnsi="Arial Narrow" w:cs="Arial Narrow"/>
          <w:b w:val="0"/>
          <w:sz w:val="24"/>
        </w:rPr>
      </w:pPr>
      <w:bookmarkStart w:id="50" w:name="_Toc11458"/>
      <w:bookmarkStart w:id="51" w:name="_Toc481590362"/>
      <w:bookmarkStart w:id="52" w:name="_Toc1032"/>
      <w:r>
        <w:rPr>
          <w:rFonts w:ascii="Arial Narrow" w:hAnsi="Arial Narrow" w:cs="Arial Narrow"/>
          <w:b w:val="0"/>
          <w:sz w:val="24"/>
        </w:rPr>
        <w:t>1</w:t>
      </w:r>
      <w:r>
        <w:rPr>
          <w:rFonts w:ascii="Arial Narrow" w:hAnsi="Arial Narrow" w:cs="Arial Narrow"/>
          <w:b w:val="0"/>
          <w:sz w:val="24"/>
        </w:rPr>
        <w:t>、绩效分析</w:t>
      </w:r>
      <w:bookmarkEnd w:id="50"/>
      <w:bookmarkEnd w:id="51"/>
      <w:bookmarkEnd w:id="52"/>
    </w:p>
    <w:p w:rsidR="003D2C75" w:rsidRDefault="00000000">
      <w:pPr>
        <w:adjustRightInd w:val="0"/>
        <w:snapToGrid w:val="0"/>
        <w:ind w:firstLine="480"/>
        <w:outlineLvl w:val="3"/>
        <w:rPr>
          <w:rFonts w:ascii="Arial Narrow" w:hAnsi="Arial Narrow" w:cs="Arial Narrow"/>
        </w:rPr>
      </w:pPr>
      <w:bookmarkStart w:id="53" w:name="_Toc2992"/>
      <w:bookmarkStart w:id="54" w:name="_Toc3045"/>
      <w:bookmarkStart w:id="55" w:name="_Toc406668047"/>
      <w:bookmarkStart w:id="56" w:name="_Toc387957822"/>
      <w:bookmarkStart w:id="57" w:name="_Toc361304697"/>
      <w:bookmarkStart w:id="58" w:name="_Toc406666373"/>
      <w:bookmarkStart w:id="59" w:name="_Toc361302034"/>
      <w:r>
        <w:rPr>
          <w:rFonts w:ascii="Arial Narrow" w:hAnsi="Arial Narrow" w:cs="Arial Narrow"/>
        </w:rPr>
        <w:t>1.1</w:t>
      </w:r>
      <w:r>
        <w:rPr>
          <w:rFonts w:ascii="Arial Narrow" w:hAnsi="Arial Narrow" w:cs="Arial Narrow"/>
        </w:rPr>
        <w:t>项目</w:t>
      </w:r>
      <w:bookmarkStart w:id="60" w:name="_Toc394181010"/>
      <w:r>
        <w:rPr>
          <w:rFonts w:ascii="Arial Narrow" w:hAnsi="Arial Narrow" w:cs="Arial Narrow"/>
        </w:rPr>
        <w:t>投入（</w:t>
      </w:r>
      <w:r>
        <w:rPr>
          <w:rFonts w:ascii="Arial Narrow" w:hAnsi="Arial Narrow" w:cs="Arial Narrow"/>
        </w:rPr>
        <w:t>16</w:t>
      </w:r>
      <w:r>
        <w:rPr>
          <w:rFonts w:ascii="Arial Narrow" w:hAnsi="Arial Narrow" w:cs="Arial Narrow"/>
        </w:rPr>
        <w:t>分）</w:t>
      </w:r>
      <w:bookmarkEnd w:id="53"/>
      <w:bookmarkEnd w:id="54"/>
      <w:bookmarkEnd w:id="60"/>
    </w:p>
    <w:p w:rsidR="003D2C75" w:rsidRDefault="00000000">
      <w:pPr>
        <w:adjustRightInd w:val="0"/>
        <w:snapToGrid w:val="0"/>
        <w:ind w:firstLine="480"/>
        <w:rPr>
          <w:rFonts w:ascii="Arial Narrow" w:hAnsi="Arial Narrow" w:cs="Arial Narrow"/>
        </w:rPr>
      </w:pPr>
      <w:bookmarkStart w:id="61" w:name="_Toc394181009"/>
      <w:bookmarkStart w:id="62" w:name="_Toc394490596"/>
      <w:r>
        <w:rPr>
          <w:rFonts w:ascii="Arial Narrow" w:hAnsi="Arial Narrow" w:cs="Arial Narrow"/>
        </w:rPr>
        <w:t>根据评价原则，项目投入评价得分为</w:t>
      </w:r>
      <w:r>
        <w:rPr>
          <w:rFonts w:ascii="Arial Narrow" w:hAnsi="Arial Narrow" w:cs="Arial Narrow"/>
        </w:rPr>
        <w:t>14</w:t>
      </w:r>
      <w:r>
        <w:rPr>
          <w:rFonts w:ascii="Arial Narrow" w:hAnsi="Arial Narrow" w:cs="Arial Narrow"/>
        </w:rPr>
        <w:t>分，评价结果为良。</w:t>
      </w:r>
      <w:bookmarkStart w:id="63" w:name="_Toc394490597"/>
      <w:bookmarkEnd w:id="61"/>
      <w:bookmarkEnd w:id="62"/>
    </w:p>
    <w:p w:rsidR="003D2C75" w:rsidRDefault="00000000">
      <w:pPr>
        <w:adjustRightInd w:val="0"/>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572000" cy="2743200"/>
            <wp:effectExtent l="0" t="0" r="0" b="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D2C75" w:rsidRDefault="00000000">
      <w:pPr>
        <w:adjustRightInd w:val="0"/>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rPr>
        <w:t>等资料，对项目投入涉及的指标进行打分，并逐级加权计算结果。经过综合计分，投入指标得分为</w:t>
      </w:r>
      <w:r>
        <w:rPr>
          <w:rFonts w:ascii="Arial Narrow" w:hAnsi="Arial Narrow" w:cs="Arial Narrow"/>
        </w:rPr>
        <w:t>14</w:t>
      </w:r>
      <w:r>
        <w:rPr>
          <w:rFonts w:ascii="Arial Narrow" w:hAnsi="Arial Narrow" w:cs="Arial Narrow"/>
        </w:rPr>
        <w:t>分，评价等级为良。</w:t>
      </w:r>
    </w:p>
    <w:bookmarkEnd w:id="63"/>
    <w:p w:rsidR="003D2C75" w:rsidRDefault="00000000">
      <w:pPr>
        <w:pStyle w:val="21"/>
        <w:adjustRightInd w:val="0"/>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）项目立项（</w:t>
      </w:r>
      <w:r>
        <w:rPr>
          <w:rFonts w:ascii="Arial Narrow" w:hAnsi="Arial Narrow" w:cs="Arial Narrow"/>
          <w:bCs/>
        </w:rPr>
        <w:t>8</w:t>
      </w:r>
      <w:r>
        <w:rPr>
          <w:rFonts w:ascii="Arial Narrow" w:hAnsi="Arial Narrow" w:cs="Arial Narrow"/>
          <w:bCs/>
        </w:rPr>
        <w:t>分）</w:t>
      </w:r>
    </w:p>
    <w:p w:rsidR="003D2C75" w:rsidRDefault="00000000">
      <w:pPr>
        <w:adjustRightInd w:val="0"/>
        <w:snapToGrid w:val="0"/>
        <w:ind w:firstLine="480"/>
        <w:rPr>
          <w:rFonts w:ascii="Arial Narrow" w:hAnsi="Arial Narrow" w:cs="Arial Narrow"/>
        </w:rPr>
      </w:pPr>
      <w:r>
        <w:rPr>
          <w:rFonts w:ascii="Arial Narrow" w:hAnsi="Arial Narrow" w:cs="Arial Narrow"/>
        </w:rPr>
        <w:t>项目立项主要从项目立项规范性、绩效目标合理性两个方面具体评价，用以反映项目立项的规范情况；绩效目标和指标的设定是否符合实际。该项指标评价得分为</w:t>
      </w:r>
      <w:r>
        <w:rPr>
          <w:rFonts w:ascii="Arial Narrow" w:hAnsi="Arial Narrow" w:cs="Arial Narrow"/>
        </w:rPr>
        <w:t>6</w:t>
      </w:r>
      <w:r>
        <w:rPr>
          <w:rFonts w:ascii="Arial Narrow" w:hAnsi="Arial Narrow" w:cs="Arial Narrow"/>
        </w:rPr>
        <w:t>分，评价结果为中。</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①</w:t>
      </w:r>
      <w:r>
        <w:rPr>
          <w:rFonts w:ascii="Arial Narrow" w:hAnsi="Arial Narrow" w:cs="Arial Narrow"/>
        </w:rPr>
        <w:t>项目立项规范性，指项目的申请、设立过程是否符合相关要求，用以反映和考核项目立项的规范情况。评价小组通过查阅开发区（汉南区</w:t>
      </w:r>
      <w:r>
        <w:rPr>
          <w:rFonts w:ascii="Arial Narrow" w:hAnsi="Arial Narrow" w:cs="Arial Narrow"/>
        </w:rPr>
        <w:t>)</w:t>
      </w:r>
      <w:r>
        <w:rPr>
          <w:rFonts w:ascii="Arial Narrow" w:hAnsi="Arial Narrow" w:cs="Arial Narrow"/>
        </w:rPr>
        <w:t>财政局关于批复开发区（汉南区）城乡建设局</w:t>
      </w:r>
      <w:r>
        <w:rPr>
          <w:rFonts w:ascii="Arial Narrow" w:hAnsi="Arial Narrow" w:cs="Arial Narrow"/>
        </w:rPr>
        <w:t>2018</w:t>
      </w:r>
      <w:r>
        <w:rPr>
          <w:rFonts w:ascii="Arial Narrow" w:hAnsi="Arial Narrow" w:cs="Arial Narrow"/>
        </w:rPr>
        <w:t>年预算的函了解到，项目按照规定的程序申请设立，提交的项目申报表等材料且符合相关要求，与项目相关负责人进行访谈得知，项目立项主要根据上年预算执行情况结合本年计划，各科室均报领导批准，上会经过集体决策，但未保留相关会议纪要，根据评分标准，扣</w:t>
      </w:r>
      <w:r>
        <w:rPr>
          <w:rFonts w:ascii="Arial Narrow" w:hAnsi="Arial Narrow" w:cs="Arial Narrow"/>
        </w:rPr>
        <w:t>1</w:t>
      </w:r>
      <w:r>
        <w:rPr>
          <w:rFonts w:ascii="Arial Narrow" w:hAnsi="Arial Narrow" w:cs="Arial Narrow"/>
        </w:rPr>
        <w:t>分。</w:t>
      </w:r>
    </w:p>
    <w:p w:rsidR="003D2C75" w:rsidRDefault="00000000">
      <w:pPr>
        <w:adjustRightInd w:val="0"/>
        <w:snapToGrid w:val="0"/>
        <w:ind w:firstLine="480"/>
        <w:rPr>
          <w:rFonts w:ascii="Arial Narrow" w:hAnsi="Arial Narrow" w:cs="Arial Narrow"/>
        </w:rPr>
      </w:pPr>
      <w:r>
        <w:rPr>
          <w:rFonts w:ascii="Arial Narrow" w:hAnsi="Arial Narrow" w:cs="Arial Narrow"/>
        </w:rPr>
        <w:t>②</w:t>
      </w:r>
      <w:r>
        <w:rPr>
          <w:rFonts w:ascii="Arial Narrow" w:hAnsi="Arial Narrow" w:cs="Arial Narrow"/>
        </w:rPr>
        <w:t>绩效目标合理性，指项目是否设定绩效目标和绩效指标，所设定的绩效目标和指标是否符合实际，用以反映和考核项目绩效目标与项目实施的相符情况。项目实施单位设置了年度目标和绩效指标，目标和指标的设计基本符合目标管理</w:t>
      </w:r>
      <w:r>
        <w:rPr>
          <w:rFonts w:ascii="Arial Narrow" w:hAnsi="Arial Narrow" w:cs="Arial Narrow"/>
        </w:rPr>
        <w:lastRenderedPageBreak/>
        <w:t>规范，目标设置较为合理，但是部分绩效指标设置可测性不高，根据评分标准，扣</w:t>
      </w:r>
      <w:r>
        <w:rPr>
          <w:rFonts w:ascii="Arial Narrow" w:hAnsi="Arial Narrow" w:cs="Arial Narrow"/>
        </w:rPr>
        <w:t>1</w:t>
      </w:r>
      <w:r>
        <w:rPr>
          <w:rFonts w:ascii="Arial Narrow" w:hAnsi="Arial Narrow" w:cs="Arial Narrow"/>
        </w:rPr>
        <w:t>分。</w:t>
      </w:r>
    </w:p>
    <w:p w:rsidR="003D2C75" w:rsidRDefault="00000000">
      <w:pPr>
        <w:adjustRightInd w:val="0"/>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）资金落实（</w:t>
      </w:r>
      <w:r>
        <w:rPr>
          <w:rFonts w:ascii="Arial Narrow" w:hAnsi="Arial Narrow" w:cs="Arial Narrow"/>
          <w:bCs/>
        </w:rPr>
        <w:t>8</w:t>
      </w:r>
      <w:r>
        <w:rPr>
          <w:rFonts w:ascii="Arial Narrow" w:hAnsi="Arial Narrow" w:cs="Arial Narrow"/>
          <w:bCs/>
        </w:rPr>
        <w:t>分）</w:t>
      </w:r>
    </w:p>
    <w:p w:rsidR="003D2C75" w:rsidRDefault="00000000">
      <w:pPr>
        <w:adjustRightInd w:val="0"/>
        <w:snapToGrid w:val="0"/>
        <w:ind w:firstLine="480"/>
        <w:rPr>
          <w:rFonts w:ascii="Arial Narrow" w:hAnsi="Arial Narrow" w:cs="Arial Narrow"/>
        </w:rPr>
      </w:pPr>
      <w:bookmarkStart w:id="64" w:name="_Toc11787"/>
      <w:bookmarkStart w:id="65" w:name="_Toc387957823"/>
      <w:bookmarkStart w:id="66" w:name="_Toc406668048"/>
      <w:bookmarkStart w:id="67" w:name="_Toc406666374"/>
      <w:bookmarkStart w:id="68" w:name="_Toc361302036"/>
      <w:bookmarkStart w:id="69" w:name="_Toc361304699"/>
      <w:bookmarkEnd w:id="55"/>
      <w:bookmarkEnd w:id="56"/>
      <w:bookmarkEnd w:id="57"/>
      <w:bookmarkEnd w:id="58"/>
      <w:bookmarkEnd w:id="59"/>
      <w:r>
        <w:rPr>
          <w:rFonts w:ascii="Arial Narrow" w:hAnsi="Arial Narrow" w:cs="Arial Narrow"/>
        </w:rPr>
        <w:t>资金落实主要考察资金到位率及到位及时率，反映项目资金落实情况对项目实施的保障程度、资金落实的及时性程度。该项指标评价得分为</w:t>
      </w:r>
      <w:r>
        <w:rPr>
          <w:rFonts w:ascii="Arial Narrow" w:hAnsi="Arial Narrow" w:cs="Arial Narrow"/>
        </w:rPr>
        <w:t>8</w:t>
      </w:r>
      <w:r>
        <w:rPr>
          <w:rFonts w:ascii="Arial Narrow" w:hAnsi="Arial Narrow" w:cs="Arial Narrow"/>
        </w:rPr>
        <w:t>分，评价结果为优。</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①</w:t>
      </w:r>
      <w:r>
        <w:rPr>
          <w:rFonts w:ascii="Arial Narrow" w:hAnsi="Arial Narrow" w:cs="Arial Narrow"/>
        </w:rPr>
        <w:t>资金到位率，指实际到位资金与计划投入资金的比率，用以反映和考核资金落实情况对项目实施的总体保障程度。项目实施单位申请</w:t>
      </w: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应到位资金</w:t>
      </w:r>
      <w:r>
        <w:rPr>
          <w:rFonts w:ascii="Arial Narrow" w:hAnsi="Arial Narrow" w:cs="Arial Narrow"/>
        </w:rPr>
        <w:t>110.00</w:t>
      </w:r>
      <w:r>
        <w:rPr>
          <w:rFonts w:ascii="Arial Narrow" w:hAnsi="Arial Narrow" w:cs="Arial Narrow"/>
        </w:rPr>
        <w:t>万元，到位资金</w:t>
      </w:r>
      <w:r>
        <w:rPr>
          <w:rFonts w:ascii="Arial Narrow" w:hAnsi="Arial Narrow" w:cs="Arial Narrow"/>
        </w:rPr>
        <w:t>110.00</w:t>
      </w:r>
      <w:r>
        <w:rPr>
          <w:rFonts w:ascii="Arial Narrow" w:hAnsi="Arial Narrow" w:cs="Arial Narrow"/>
        </w:rPr>
        <w:t>万元，资金全部到位。</w:t>
      </w:r>
    </w:p>
    <w:p w:rsidR="003D2C75" w:rsidRDefault="00000000">
      <w:pPr>
        <w:adjustRightInd w:val="0"/>
        <w:snapToGri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到位及时率。指的是及时到位资金与应到位资金的比率，用以反映和考核项目资金落实的及时性程度。评价小组通过查阅开发区（汉南区</w:t>
      </w:r>
      <w:r>
        <w:rPr>
          <w:rFonts w:ascii="Arial Narrow" w:hAnsi="Arial Narrow" w:cs="Arial Narrow"/>
        </w:rPr>
        <w:t>)</w:t>
      </w:r>
      <w:r>
        <w:rPr>
          <w:rFonts w:ascii="Arial Narrow" w:hAnsi="Arial Narrow" w:cs="Arial Narrow"/>
        </w:rPr>
        <w:t>财政局关于批复开发区（汉南区）城乡建设局</w:t>
      </w:r>
      <w:r>
        <w:rPr>
          <w:rFonts w:ascii="Arial Narrow" w:hAnsi="Arial Narrow" w:cs="Arial Narrow"/>
        </w:rPr>
        <w:t>2018</w:t>
      </w:r>
      <w:r>
        <w:rPr>
          <w:rFonts w:ascii="Arial Narrow" w:hAnsi="Arial Narrow" w:cs="Arial Narrow"/>
        </w:rPr>
        <w:t>年预算的函（武经开财</w:t>
      </w:r>
      <w:r>
        <w:rPr>
          <w:rFonts w:ascii="Arial Narrow" w:hAnsi="Arial Narrow" w:cs="Arial Narrow"/>
        </w:rPr>
        <w:t>[2018]36</w:t>
      </w:r>
      <w:r>
        <w:rPr>
          <w:rFonts w:ascii="Arial Narrow" w:hAnsi="Arial Narrow" w:cs="Arial Narrow"/>
        </w:rPr>
        <w:t>号）与</w:t>
      </w:r>
      <w:r>
        <w:rPr>
          <w:rFonts w:ascii="Arial Narrow" w:hAnsi="Arial Narrow" w:cs="Arial Narrow"/>
        </w:rPr>
        <w:t>2018</w:t>
      </w:r>
      <w:r>
        <w:rPr>
          <w:rFonts w:ascii="Arial Narrow" w:hAnsi="Arial Narrow" w:cs="Arial Narrow"/>
        </w:rPr>
        <w:t>年部门预算编制说明了解到，预算批复后，年初资金于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日下达，资金能够及时到位，不影响项目开展。</w:t>
      </w:r>
    </w:p>
    <w:p w:rsidR="003D2C75" w:rsidRDefault="00000000">
      <w:pPr>
        <w:adjustRightInd w:val="0"/>
        <w:snapToGrid w:val="0"/>
        <w:ind w:firstLine="480"/>
        <w:outlineLvl w:val="3"/>
        <w:rPr>
          <w:rFonts w:ascii="Arial Narrow" w:hAnsi="Arial Narrow" w:cs="Arial Narrow"/>
        </w:rPr>
      </w:pPr>
      <w:bookmarkStart w:id="70" w:name="_Toc6632"/>
      <w:r>
        <w:rPr>
          <w:rFonts w:ascii="Arial Narrow" w:hAnsi="Arial Narrow" w:cs="Arial Narrow"/>
        </w:rPr>
        <w:t>1.2</w:t>
      </w:r>
      <w:r>
        <w:rPr>
          <w:rFonts w:ascii="Arial Narrow" w:hAnsi="Arial Narrow" w:cs="Arial Narrow"/>
        </w:rPr>
        <w:t>项目过程（</w:t>
      </w:r>
      <w:r>
        <w:rPr>
          <w:rFonts w:ascii="Arial Narrow" w:hAnsi="Arial Narrow" w:cs="Arial Narrow"/>
        </w:rPr>
        <w:t>24</w:t>
      </w:r>
      <w:r>
        <w:rPr>
          <w:rFonts w:ascii="Arial Narrow" w:hAnsi="Arial Narrow" w:cs="Arial Narrow"/>
        </w:rPr>
        <w:t>分）</w:t>
      </w:r>
      <w:bookmarkEnd w:id="64"/>
      <w:bookmarkEnd w:id="70"/>
    </w:p>
    <w:p w:rsidR="003D2C75" w:rsidRDefault="00000000">
      <w:pPr>
        <w:adjustRightInd w:val="0"/>
        <w:snapToGrid w:val="0"/>
        <w:ind w:firstLine="480"/>
        <w:rPr>
          <w:rFonts w:ascii="Arial Narrow" w:hAnsi="Arial Narrow" w:cs="Arial Narrow"/>
        </w:rPr>
      </w:pPr>
      <w:bookmarkStart w:id="71" w:name="_Toc394181012"/>
      <w:bookmarkStart w:id="72" w:name="_Toc394490599"/>
      <w:r>
        <w:rPr>
          <w:rFonts w:ascii="Arial Narrow" w:hAnsi="Arial Narrow" w:cs="Arial Narrow"/>
        </w:rPr>
        <w:t>根据评价原则，项目过程得分为</w:t>
      </w:r>
      <w:r>
        <w:rPr>
          <w:rFonts w:ascii="Arial Narrow" w:hAnsi="Arial Narrow" w:cs="Arial Narrow"/>
        </w:rPr>
        <w:t>24</w:t>
      </w:r>
      <w:r>
        <w:rPr>
          <w:rFonts w:ascii="Arial Narrow" w:hAnsi="Arial Narrow" w:cs="Arial Narrow"/>
        </w:rPr>
        <w:t>分，评价结果为优。</w:t>
      </w:r>
      <w:bookmarkEnd w:id="71"/>
      <w:bookmarkEnd w:id="72"/>
    </w:p>
    <w:p w:rsidR="003D2C75" w:rsidRDefault="00000000">
      <w:pPr>
        <w:adjustRightInd w:val="0"/>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572000" cy="2743200"/>
            <wp:effectExtent l="0" t="0" r="0" b="0"/>
            <wp:docPr id="3"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D2C75" w:rsidRDefault="00000000">
      <w:pPr>
        <w:snapToGrid w:val="0"/>
        <w:ind w:firstLine="480"/>
        <w:rPr>
          <w:rFonts w:ascii="Arial Narrow" w:hAnsi="Arial Narrow" w:cs="Arial Narrow"/>
          <w:bCs/>
        </w:rPr>
      </w:pPr>
      <w:r>
        <w:rPr>
          <w:rFonts w:ascii="Arial Narrow" w:hAnsi="Arial Narrow" w:cs="Arial Narrow"/>
          <w:bCs/>
        </w:rPr>
        <w:t>过程指标主要从项目管理和财务管理两个方面来具体评价；主要考核项目业</w:t>
      </w:r>
      <w:r>
        <w:rPr>
          <w:rFonts w:ascii="Arial Narrow" w:hAnsi="Arial Narrow" w:cs="Arial Narrow"/>
          <w:bCs/>
        </w:rPr>
        <w:lastRenderedPageBreak/>
        <w:t>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武汉经开区（汉南区）治超办管理制度、关于印发《武汉经济技术开发区（汉南区》货车非法改装和超限超载治理工作考核管理办法》的通知、《武汉经济开</w:t>
      </w:r>
      <w:r w:rsidR="00DF4EF7">
        <w:rPr>
          <w:rFonts w:ascii="Arial Narrow" w:hAnsi="Arial Narrow" w:cs="Arial Narrow" w:hint="eastAsia"/>
          <w:bCs/>
        </w:rPr>
        <w:t>发</w:t>
      </w:r>
      <w:r>
        <w:rPr>
          <w:rFonts w:ascii="Arial Narrow" w:hAnsi="Arial Narrow" w:cs="Arial Narrow"/>
          <w:bCs/>
        </w:rPr>
        <w:t>区（汉南区）城乡建设局财务管理制度》、《</w:t>
      </w:r>
      <w:r>
        <w:rPr>
          <w:rFonts w:ascii="Arial Narrow" w:hAnsi="Arial Narrow" w:cs="Arial Narrow"/>
          <w:bCs/>
        </w:rPr>
        <w:t>2018</w:t>
      </w:r>
      <w:r>
        <w:rPr>
          <w:rFonts w:ascii="Arial Narrow" w:hAnsi="Arial Narrow" w:cs="Arial Narrow"/>
          <w:bCs/>
        </w:rPr>
        <w:t>年武汉开发区（汉南区）治超工作方案》等相关文件，对项目过程涉及的指标进行打分，并逐级加权计算结果。经过综合计分，过程指标得分为</w:t>
      </w:r>
      <w:r>
        <w:rPr>
          <w:rFonts w:ascii="Arial Narrow" w:hAnsi="Arial Narrow" w:cs="Arial Narrow"/>
          <w:bCs/>
        </w:rPr>
        <w:t>24</w:t>
      </w:r>
      <w:r>
        <w:rPr>
          <w:rFonts w:ascii="Arial Narrow" w:hAnsi="Arial Narrow" w:cs="Arial Narrow"/>
          <w:bCs/>
        </w:rPr>
        <w:t>分，评价等级为优。</w:t>
      </w:r>
    </w:p>
    <w:p w:rsidR="003D2C75" w:rsidRDefault="00000000">
      <w:pPr>
        <w:adjustRightInd w:val="0"/>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项目管理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①</w:t>
      </w:r>
      <w:r>
        <w:rPr>
          <w:rFonts w:ascii="Arial Narrow" w:hAnsi="Arial Narrow" w:cs="Arial Narrow"/>
        </w:rPr>
        <w:t>管理制度健全性，指项目管理制度是否健全，用以反映和考核项目管理制度对项目顺利实施的保障情况。评价小组查看了相关资料，了解到项目实施单位按照上级要求制定了《治超办会议制度》、《工作职责》、《责任追究制度》、《督查（办）工作制度》、《投诉举报处理制度》、《治超突发事件应急预案》、关于印发《武汉经济技术开发区（汉南区》货车非法改装和超限超载治理工作考核管理办法》的通知等管理制度，制度合法合规。</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②</w:t>
      </w:r>
      <w:r>
        <w:rPr>
          <w:rFonts w:ascii="Arial Narrow" w:hAnsi="Arial Narrow" w:cs="Arial Narrow"/>
        </w:rPr>
        <w:t>制度执行有效性，指项目实施是否符合相关项目管理规定，用以反映和考核项目管理制度的有效执行情况。评价小组查通过查阅武汉经开区（汉南区）治超办管理制度、《</w:t>
      </w:r>
      <w:r>
        <w:rPr>
          <w:rFonts w:ascii="Arial Narrow" w:hAnsi="Arial Narrow" w:cs="Arial Narrow"/>
        </w:rPr>
        <w:t>2018</w:t>
      </w:r>
      <w:r>
        <w:rPr>
          <w:rFonts w:ascii="Arial Narrow" w:hAnsi="Arial Narrow" w:cs="Arial Narrow"/>
        </w:rPr>
        <w:t>年武汉开发区（汉南区）治超工作方案》得知，项目实施过程遵守上级单位制定的相关管理办法，执勤人员按照《治超办会议制度》、《工作职责》、《责任追究制度》、《督查（办）工作制度》、《投诉举报处理制度》、《治超突发事件应急预案》、关于印发《武汉经济技术开发区（汉南区》货车非法改装和超限超载治理工作考核管理办法》的通知等相关制度执行。</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③</w:t>
      </w:r>
      <w:r>
        <w:rPr>
          <w:rFonts w:ascii="Arial Narrow" w:hAnsi="Arial Narrow" w:cs="Arial Narrow"/>
        </w:rPr>
        <w:t>项目质量可控性，指项目实施单位是否为达到项目质量要求而采取了必需</w:t>
      </w:r>
      <w:r>
        <w:rPr>
          <w:rFonts w:ascii="Arial Narrow" w:hAnsi="Arial Narrow" w:cs="Arial Narrow"/>
        </w:rPr>
        <w:lastRenderedPageBreak/>
        <w:t>的措施</w:t>
      </w:r>
      <w:r>
        <w:rPr>
          <w:rFonts w:ascii="Arial Narrow" w:hAnsi="Arial Narrow" w:cs="Arial Narrow"/>
        </w:rPr>
        <w:t>,</w:t>
      </w:r>
      <w:r>
        <w:rPr>
          <w:rFonts w:ascii="Arial Narrow" w:hAnsi="Arial Narrow" w:cs="Arial Narrow"/>
        </w:rPr>
        <w:t>用以反映和考核项目实施单位对项目质量的控制情况。评价小组通过查阅武汉经济技术开发区（汉南区）城乡建设局治超办</w:t>
      </w:r>
      <w:r>
        <w:rPr>
          <w:rFonts w:ascii="Arial Narrow" w:hAnsi="Arial Narrow" w:cs="Arial Narrow"/>
        </w:rPr>
        <w:t>2018</w:t>
      </w:r>
      <w:r>
        <w:rPr>
          <w:rFonts w:ascii="Arial Narrow" w:hAnsi="Arial Narrow" w:cs="Arial Narrow"/>
        </w:rPr>
        <w:t>年度绩效目标、武汉开发区（汉南区）治理货车非法改装和超限超载工作目标责任书等了解到，项目单位具有相应的项目质量要求，对保障措施、源头管理、执法管理等进行考核，每年会进行</w:t>
      </w:r>
      <w:r>
        <w:rPr>
          <w:rFonts w:ascii="Arial Narrow" w:hAnsi="Arial Narrow" w:cs="Arial Narrow"/>
        </w:rPr>
        <w:t>4</w:t>
      </w:r>
      <w:r>
        <w:rPr>
          <w:rFonts w:ascii="Arial Narrow" w:hAnsi="Arial Narrow" w:cs="Arial Narrow"/>
        </w:rPr>
        <w:t>次考核。</w:t>
      </w:r>
    </w:p>
    <w:p w:rsidR="003D2C75" w:rsidRDefault="00000000">
      <w:pPr>
        <w:adjustRightInd w:val="0"/>
        <w:snapToGrid w:val="0"/>
        <w:ind w:firstLine="480"/>
        <w:jc w:val="left"/>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）财务管理（</w:t>
      </w:r>
      <w:r>
        <w:rPr>
          <w:rFonts w:ascii="Arial Narrow" w:hAnsi="Arial Narrow" w:cs="Arial Narrow"/>
          <w:bCs/>
        </w:rPr>
        <w:t>12</w:t>
      </w:r>
      <w:r>
        <w:rPr>
          <w:rFonts w:ascii="Arial Narrow" w:hAnsi="Arial Narrow" w:cs="Arial Narrow"/>
          <w:bCs/>
        </w:rPr>
        <w:t>分）</w:t>
      </w:r>
    </w:p>
    <w:p w:rsidR="003D2C75" w:rsidRDefault="00000000">
      <w:pPr>
        <w:adjustRightInd w:val="0"/>
        <w:snapToGrid w:val="0"/>
        <w:ind w:firstLine="480"/>
        <w:rPr>
          <w:rFonts w:ascii="Arial Narrow" w:hAnsi="Arial Narrow" w:cs="Arial Narrow"/>
        </w:rPr>
      </w:pPr>
      <w:r>
        <w:rPr>
          <w:rFonts w:ascii="Arial Narrow" w:hAnsi="Arial Narrow" w:cs="Arial Narrow"/>
          <w:bCs/>
        </w:rPr>
        <w:t>财务管理</w:t>
      </w:r>
      <w:r>
        <w:rPr>
          <w:rFonts w:ascii="Arial Narrow" w:hAnsi="Arial Narrow" w:cs="Arial Narrow"/>
        </w:rPr>
        <w:t>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12</w:t>
      </w:r>
      <w:r>
        <w:rPr>
          <w:rFonts w:ascii="Arial Narrow" w:hAnsi="Arial Narrow" w:cs="Arial Narrow"/>
        </w:rPr>
        <w:t>分，评价结果为优。</w:t>
      </w:r>
    </w:p>
    <w:p w:rsidR="003D2C75" w:rsidRDefault="00000000">
      <w:pPr>
        <w:adjustRightInd w:val="0"/>
        <w:snapToGri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指项目实施单位的财务制度是否健全，用以反映和考核财务管理制度对资金规范、安全运行的保障情况。评价小组通过查阅相关资料，了解到项目实施单位已制定《城乡建设局财务管理制度》，并对预算管理、收入管理、资金、印鉴、支票、档案管理等有相关说明，符合财务会计制度规定，同时对财务开支制定了审批程序和要求，有相应的资金管理办法。</w:t>
      </w:r>
    </w:p>
    <w:p w:rsidR="003D2C75" w:rsidRDefault="00000000">
      <w:pPr>
        <w:adjustRightInd w:val="0"/>
        <w:snapToGrid w:val="0"/>
        <w:ind w:firstLine="480"/>
        <w:rPr>
          <w:rFonts w:ascii="Arial Narrow" w:hAnsi="Arial Narrow" w:cs="Arial Narrow"/>
        </w:rPr>
      </w:pPr>
      <w:r>
        <w:rPr>
          <w:rFonts w:ascii="Arial Narrow" w:hAnsi="Arial Narrow" w:cs="Arial Narrow"/>
        </w:rPr>
        <w:t>②</w:t>
      </w:r>
      <w:r>
        <w:rPr>
          <w:rFonts w:ascii="Arial Narrow" w:hAnsi="Arial Narrow" w:cs="Arial Narrow"/>
        </w:rPr>
        <w:t>资金使用合规性，指项目资金使用是否符合相关的财务管理制度规定，用以反映和考核项目资金的规范运行情况。通过查阅项目经费支出明细表和抽查相关支出凭证，了解到项目经费支出符合国家财经法规和财务管理制度，资金的拨付有完整的审批程序和手续，符合项目预算批复或合同规定的用途，不存在截留、挤占、挪用、虚列支出等情况。</w:t>
      </w:r>
    </w:p>
    <w:p w:rsidR="003D2C75" w:rsidRDefault="00000000">
      <w:pPr>
        <w:adjustRightInd w:val="0"/>
        <w:snapToGrid w:val="0"/>
        <w:ind w:firstLine="480"/>
        <w:rPr>
          <w:rFonts w:ascii="Arial Narrow" w:hAnsi="Arial Narrow" w:cs="Arial Narrow"/>
        </w:rPr>
      </w:pPr>
      <w:r>
        <w:rPr>
          <w:rFonts w:ascii="Arial Narrow" w:hAnsi="Arial Narrow" w:cs="Arial Narrow"/>
        </w:rPr>
        <w:t>③</w:t>
      </w:r>
      <w:r>
        <w:rPr>
          <w:rFonts w:ascii="Arial Narrow" w:hAnsi="Arial Narrow" w:cs="Arial Narrow"/>
        </w:rPr>
        <w:t>财务监控有效性，指</w:t>
      </w:r>
      <w:bookmarkStart w:id="73" w:name="_Toc5732"/>
      <w:bookmarkStart w:id="74" w:name="_Toc406668049"/>
      <w:bookmarkStart w:id="75" w:name="_Toc406666375"/>
      <w:bookmarkStart w:id="76" w:name="_Toc387957824"/>
      <w:bookmarkEnd w:id="65"/>
      <w:bookmarkEnd w:id="66"/>
      <w:bookmarkEnd w:id="67"/>
      <w:bookmarkEnd w:id="68"/>
      <w:bookmarkEnd w:id="69"/>
      <w:r>
        <w:rPr>
          <w:rFonts w:ascii="Arial Narrow" w:hAnsi="Arial Narrow" w:cs="Arial Narrow"/>
        </w:rPr>
        <w:t>项目实施单位是否为保障资金的安全、规范运行而采取了必要的监控措施，用以反映和考核项目实施单位对资金运行的控制情况。评价小组通过查阅项目支出明细表等相关资料了解到，项目实施单位在支出管理制度中，如项目支出的报销，必须按规定的程序和权限审核、审批，并有具体经办人、证明人、审批人签字，在执行过程按照资金申请由科室申报，上交领导签字通过后，交由财务审核批款，采取了必要的监控手段，并且设置了相应的项目专账。</w:t>
      </w:r>
    </w:p>
    <w:p w:rsidR="003D2C75" w:rsidRDefault="00000000">
      <w:pPr>
        <w:adjustRightInd w:val="0"/>
        <w:snapToGrid w:val="0"/>
        <w:ind w:firstLine="480"/>
        <w:outlineLvl w:val="3"/>
        <w:rPr>
          <w:rFonts w:ascii="Arial Narrow" w:hAnsi="Arial Narrow" w:cs="Arial Narrow"/>
        </w:rPr>
      </w:pPr>
      <w:bookmarkStart w:id="77" w:name="_Toc24729"/>
      <w:r>
        <w:rPr>
          <w:rFonts w:ascii="Arial Narrow" w:hAnsi="Arial Narrow" w:cs="Arial Narrow"/>
        </w:rPr>
        <w:lastRenderedPageBreak/>
        <w:t>1.3</w:t>
      </w:r>
      <w:r>
        <w:rPr>
          <w:rFonts w:ascii="Arial Narrow" w:hAnsi="Arial Narrow" w:cs="Arial Narrow"/>
        </w:rPr>
        <w:t>项目产出（</w:t>
      </w:r>
      <w:r>
        <w:rPr>
          <w:rFonts w:ascii="Arial Narrow" w:hAnsi="Arial Narrow" w:cs="Arial Narrow"/>
        </w:rPr>
        <w:t>36</w:t>
      </w:r>
      <w:r>
        <w:rPr>
          <w:rFonts w:ascii="Arial Narrow" w:hAnsi="Arial Narrow" w:cs="Arial Narrow"/>
        </w:rPr>
        <w:t>分）</w:t>
      </w:r>
      <w:bookmarkEnd w:id="73"/>
      <w:bookmarkEnd w:id="77"/>
    </w:p>
    <w:p w:rsidR="003D2C75" w:rsidRDefault="00000000">
      <w:pPr>
        <w:adjustRightInd w:val="0"/>
        <w:snapToGrid w:val="0"/>
        <w:ind w:firstLine="480"/>
        <w:rPr>
          <w:rFonts w:ascii="Arial Narrow" w:hAnsi="Arial Narrow" w:cs="Arial Narrow"/>
        </w:rPr>
      </w:pPr>
      <w:bookmarkStart w:id="78" w:name="_Toc394181015"/>
      <w:bookmarkStart w:id="79" w:name="_Toc394490602"/>
      <w:r>
        <w:rPr>
          <w:rFonts w:ascii="Arial Narrow" w:hAnsi="Arial Narrow" w:cs="Arial Narrow"/>
        </w:rPr>
        <w:t>根据评价原则，项目产出评价得分为</w:t>
      </w:r>
      <w:r>
        <w:rPr>
          <w:rFonts w:ascii="Arial Narrow" w:hAnsi="Arial Narrow" w:cs="Arial Narrow"/>
        </w:rPr>
        <w:t>29</w:t>
      </w:r>
      <w:r>
        <w:rPr>
          <w:rFonts w:ascii="Arial Narrow" w:hAnsi="Arial Narrow" w:cs="Arial Narrow"/>
        </w:rPr>
        <w:t>分，评价结果为良。</w:t>
      </w:r>
      <w:bookmarkStart w:id="80" w:name="_Toc394181022"/>
      <w:bookmarkStart w:id="81" w:name="_Toc361304701"/>
      <w:bookmarkStart w:id="82" w:name="_Toc387957826"/>
      <w:bookmarkStart w:id="83" w:name="_Toc406666377"/>
      <w:bookmarkStart w:id="84" w:name="_Toc361302038"/>
      <w:bookmarkStart w:id="85" w:name="_Toc406668051"/>
      <w:bookmarkEnd w:id="74"/>
      <w:bookmarkEnd w:id="75"/>
      <w:bookmarkEnd w:id="76"/>
      <w:bookmarkEnd w:id="78"/>
      <w:bookmarkEnd w:id="79"/>
    </w:p>
    <w:p w:rsidR="003D2C75" w:rsidRDefault="00000000">
      <w:pPr>
        <w:adjustRightInd w:val="0"/>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572000" cy="2743200"/>
            <wp:effectExtent l="0" t="0" r="0" b="0"/>
            <wp:docPr id="9"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D2C75" w:rsidRDefault="00000000">
      <w:pPr>
        <w:adjustRightInd w:val="0"/>
        <w:snapToGrid w:val="0"/>
        <w:ind w:firstLine="480"/>
        <w:rPr>
          <w:rFonts w:ascii="Arial Narrow" w:hAnsi="Arial Narrow" w:cs="Arial Narrow"/>
        </w:rPr>
      </w:pPr>
      <w:r>
        <w:rPr>
          <w:rFonts w:ascii="Arial Narrow" w:hAnsi="Arial Narrow" w:cs="Arial Narrow"/>
        </w:rPr>
        <w:t>产出指标主要从全年督察情况、责任书签订率、执法队伍培训情况、道路监控网络建设情况、车辆超限率、完成及时率、资金使用率这七个方面来进行评价。对于该项的评价，评价小组主要采取了案卷研究、询问、访谈、观察、实地调研等方式进行资料收集、整理和分析，对项目产出涉及的指标进行打分并逐级加权计算结果。经过综合计分，产出指标得分为</w:t>
      </w:r>
      <w:r>
        <w:rPr>
          <w:rFonts w:ascii="Arial Narrow" w:hAnsi="Arial Narrow" w:cs="Arial Narrow"/>
        </w:rPr>
        <w:t>29</w:t>
      </w:r>
      <w:r>
        <w:rPr>
          <w:rFonts w:ascii="Arial Narrow" w:hAnsi="Arial Narrow" w:cs="Arial Narrow"/>
        </w:rPr>
        <w:t>分，评价等级为良。</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）全年督察情况，指项目实施单位是否对各相关单位治超工作进行检查与考核，用以反映和考核项目产出数量目标的实现程度。评价小组通过查阅每季度治超工作督导检查预通知了解到，项目实施单位每季度进行</w:t>
      </w:r>
      <w:r>
        <w:rPr>
          <w:rFonts w:ascii="Arial Narrow" w:hAnsi="Arial Narrow" w:cs="Arial Narrow"/>
        </w:rPr>
        <w:t>1</w:t>
      </w:r>
      <w:r>
        <w:rPr>
          <w:rFonts w:ascii="Arial Narrow" w:hAnsi="Arial Narrow" w:cs="Arial Narrow"/>
        </w:rPr>
        <w:t>次考核，全年共</w:t>
      </w:r>
      <w:r>
        <w:rPr>
          <w:rFonts w:ascii="Arial Narrow" w:hAnsi="Arial Narrow" w:cs="Arial Narrow"/>
        </w:rPr>
        <w:t>4</w:t>
      </w:r>
      <w:r>
        <w:rPr>
          <w:rFonts w:ascii="Arial Narrow" w:hAnsi="Arial Narrow" w:cs="Arial Narrow"/>
        </w:rPr>
        <w:t>次，每月进行都会进行源头监管巡查，全年进行</w:t>
      </w:r>
      <w:r>
        <w:rPr>
          <w:rFonts w:ascii="Arial Narrow" w:hAnsi="Arial Narrow" w:cs="Arial Narrow"/>
        </w:rPr>
        <w:t>12</w:t>
      </w:r>
      <w:r>
        <w:rPr>
          <w:rFonts w:ascii="Arial Narrow" w:hAnsi="Arial Narrow" w:cs="Arial Narrow"/>
        </w:rPr>
        <w:t>次以上检查。</w:t>
      </w:r>
    </w:p>
    <w:p w:rsidR="003D2C75" w:rsidRDefault="00000000">
      <w:pPr>
        <w:pStyle w:val="a5"/>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责任书签订率，指项目实施后，项目实施单位是否签订治理货车非法改装和超限超载工作目标责任书，用以反映和考核项目产出数量目标的实现程度。评价小组通过查阅武汉开发区（汉南区）治理货车非法改装和超限超载工作目标责任书了解到，项目实施单位与市场监管局、城管局、建设局、土地局等</w:t>
      </w:r>
      <w:r>
        <w:rPr>
          <w:rFonts w:ascii="Arial Narrow" w:hAnsi="Arial Narrow" w:cs="Arial Narrow"/>
        </w:rPr>
        <w:t>9</w:t>
      </w:r>
      <w:r>
        <w:rPr>
          <w:rFonts w:ascii="Arial Narrow" w:hAnsi="Arial Narrow" w:cs="Arial Narrow"/>
        </w:rPr>
        <w:t>个单位签订了目标责任书，签订率为</w:t>
      </w:r>
      <w:r>
        <w:rPr>
          <w:rFonts w:ascii="Arial Narrow" w:hAnsi="Arial Narrow" w:cs="Arial Narrow"/>
        </w:rPr>
        <w:t>100.00%</w:t>
      </w:r>
      <w:r>
        <w:rPr>
          <w:rFonts w:ascii="Arial Narrow" w:hAnsi="Arial Narrow" w:cs="Arial Narrow"/>
        </w:rPr>
        <w:t>。</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）执法队伍培训情况，指项目实施后，协助治超成员单位是否开展执法队</w:t>
      </w:r>
      <w:r>
        <w:rPr>
          <w:rFonts w:ascii="Arial Narrow" w:hAnsi="Arial Narrow" w:cs="Arial Narrow"/>
        </w:rPr>
        <w:lastRenderedPageBreak/>
        <w:t>伍培训工作，用以反映和考核项目产出质量指标的实现程度。通过查阅东升治检测站</w:t>
      </w:r>
      <w:r>
        <w:rPr>
          <w:rFonts w:ascii="Arial Narrow" w:hAnsi="Arial Narrow" w:cs="Arial Narrow"/>
        </w:rPr>
        <w:t>2018</w:t>
      </w:r>
      <w:r>
        <w:rPr>
          <w:rFonts w:ascii="Arial Narrow" w:hAnsi="Arial Narrow" w:cs="Arial Narrow"/>
        </w:rPr>
        <w:t>年度路政执法人员理论学习和军事训练计划等相关资料了解到，项目实施单位每月进行执法理论学习和军事训练，同时每月月底进行考核检查学习训练情况。</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道路监控网络建设情况，指项目实施单位是否进一步完善农村公路限宽限高保护措施，用以反映和考核项目产出质量指标的实现程度。通过与相关负责人交流后了解到，近几年整个经开区大多数农村新修公路工程接近尾声，且近几年新增农村公路较短，多为</w:t>
      </w:r>
      <w:r>
        <w:rPr>
          <w:rFonts w:ascii="Arial Narrow" w:hAnsi="Arial Narrow" w:cs="Arial Narrow"/>
        </w:rPr>
        <w:t>2-3</w:t>
      </w:r>
      <w:r>
        <w:rPr>
          <w:rFonts w:ascii="Arial Narrow" w:hAnsi="Arial Narrow" w:cs="Arial Narrow"/>
        </w:rPr>
        <w:t>公里左右，宽度在</w:t>
      </w:r>
      <w:r>
        <w:rPr>
          <w:rFonts w:ascii="Arial Narrow" w:hAnsi="Arial Narrow" w:cs="Arial Narrow"/>
        </w:rPr>
        <w:t>3m-3.5m</w:t>
      </w:r>
      <w:r>
        <w:rPr>
          <w:rFonts w:ascii="Arial Narrow" w:hAnsi="Arial Narrow" w:cs="Arial Narrow"/>
        </w:rPr>
        <w:t>之间，大货车无法通过。部分农村公路被高速隔断后，修建涵洞联通时公路高度提高，货车无法通行，无完善农村公路限高限宽保护措施的必要。</w:t>
      </w:r>
    </w:p>
    <w:p w:rsidR="003D2C75" w:rsidRDefault="00000000">
      <w:pPr>
        <w:pStyle w:val="a5"/>
        <w:snapToGri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）车辆超限率，指项目实施后，车辆超限率是否控制在</w:t>
      </w:r>
      <w:r>
        <w:rPr>
          <w:rFonts w:ascii="Arial Narrow" w:hAnsi="Arial Narrow" w:cs="Arial Narrow"/>
        </w:rPr>
        <w:t>2%</w:t>
      </w:r>
      <w:r>
        <w:rPr>
          <w:rFonts w:ascii="Arial Narrow" w:hAnsi="Arial Narrow" w:cs="Arial Narrow"/>
        </w:rPr>
        <w:t>左右，用以反映和考核项目产出质量指标的实现程度。评价小组通过查阅武汉市（州）公路超限超载治理情况统计表并与相关负责人访谈后了解到，</w:t>
      </w:r>
      <w:r>
        <w:rPr>
          <w:rFonts w:ascii="Arial Narrow" w:hAnsi="Arial Narrow" w:cs="Arial Narrow"/>
        </w:rPr>
        <w:t>2018</w:t>
      </w:r>
      <w:r>
        <w:rPr>
          <w:rFonts w:ascii="Arial Narrow" w:hAnsi="Arial Narrow" w:cs="Arial Narrow"/>
        </w:rPr>
        <w:t>年检测车辆总数为</w:t>
      </w:r>
      <w:r>
        <w:rPr>
          <w:rFonts w:ascii="Arial Narrow" w:hAnsi="Arial Narrow" w:cs="Arial Narrow"/>
        </w:rPr>
        <w:t>6060</w:t>
      </w:r>
      <w:r>
        <w:rPr>
          <w:rFonts w:ascii="Arial Narrow" w:hAnsi="Arial Narrow" w:cs="Arial Narrow"/>
        </w:rPr>
        <w:t>辆，超限车辆为</w:t>
      </w:r>
      <w:r>
        <w:rPr>
          <w:rFonts w:ascii="Arial Narrow" w:hAnsi="Arial Narrow" w:cs="Arial Narrow"/>
        </w:rPr>
        <w:t>220</w:t>
      </w:r>
      <w:r>
        <w:rPr>
          <w:rFonts w:ascii="Arial Narrow" w:hAnsi="Arial Narrow" w:cs="Arial Narrow"/>
        </w:rPr>
        <w:t>辆，车辆超限率为</w:t>
      </w:r>
      <w:r>
        <w:rPr>
          <w:rFonts w:ascii="Arial Narrow" w:hAnsi="Arial Narrow" w:cs="Arial Narrow"/>
        </w:rPr>
        <w:t>3.63%</w:t>
      </w:r>
      <w:r>
        <w:rPr>
          <w:rFonts w:ascii="Arial Narrow" w:hAnsi="Arial Narrow" w:cs="Arial Narrow"/>
        </w:rPr>
        <w:t>，按照评分标准，扣</w:t>
      </w:r>
      <w:r>
        <w:rPr>
          <w:rFonts w:ascii="Arial Narrow" w:hAnsi="Arial Narrow" w:cs="Arial Narrow"/>
        </w:rPr>
        <w:t>2</w:t>
      </w:r>
      <w:r>
        <w:rPr>
          <w:rFonts w:ascii="Arial Narrow" w:hAnsi="Arial Narrow" w:cs="Arial Narrow"/>
        </w:rPr>
        <w:t>分。</w:t>
      </w:r>
    </w:p>
    <w:p w:rsidR="003D2C75"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）完成及时率，指项目实施后，项目实施单位治超工作是否在规定时间内完成，用以反映和考核项目产出时效指标的实现程度。评价小组通过查阅武汉开发区（汉南区）</w:t>
      </w:r>
      <w:r>
        <w:rPr>
          <w:rFonts w:ascii="Arial Narrow" w:hAnsi="Arial Narrow" w:cs="Arial Narrow"/>
        </w:rPr>
        <w:t>2018</w:t>
      </w:r>
      <w:r>
        <w:rPr>
          <w:rFonts w:ascii="Arial Narrow" w:hAnsi="Arial Narrow" w:cs="Arial Narrow"/>
        </w:rPr>
        <w:t>年治超工作总结和与相关负责人访谈了解到，</w:t>
      </w:r>
      <w:r>
        <w:rPr>
          <w:rFonts w:ascii="Arial Narrow" w:hAnsi="Arial Narrow" w:cs="Arial Narrow"/>
        </w:rPr>
        <w:t>2018</w:t>
      </w:r>
      <w:r>
        <w:rPr>
          <w:rFonts w:ascii="Arial Narrow" w:hAnsi="Arial Narrow" w:cs="Arial Narrow"/>
        </w:rPr>
        <w:t>年项目实施单位进行了路面治超、专项整治、源头治超等工作，工作均及时完成。</w:t>
      </w:r>
    </w:p>
    <w:p w:rsidR="003D2C75"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）资金使用率，指项目实际支出与项目到位资金的比率，用以反映和考核项目资金使用情况。通过查阅开发区（汉南区</w:t>
      </w:r>
      <w:r>
        <w:rPr>
          <w:rFonts w:ascii="Arial Narrow" w:hAnsi="Arial Narrow" w:cs="Arial Narrow"/>
        </w:rPr>
        <w:t>)</w:t>
      </w:r>
      <w:r>
        <w:rPr>
          <w:rFonts w:ascii="Arial Narrow" w:hAnsi="Arial Narrow" w:cs="Arial Narrow"/>
        </w:rPr>
        <w:t>财政局关于批复开发区（汉南区）城乡建设局</w:t>
      </w:r>
      <w:r>
        <w:rPr>
          <w:rFonts w:ascii="Arial Narrow" w:hAnsi="Arial Narrow" w:cs="Arial Narrow"/>
        </w:rPr>
        <w:t>2018</w:t>
      </w:r>
      <w:r>
        <w:rPr>
          <w:rFonts w:ascii="Arial Narrow" w:hAnsi="Arial Narrow" w:cs="Arial Narrow"/>
        </w:rPr>
        <w:t>年预算的函、辅助明细账和财务凭证后了解到，项目</w:t>
      </w:r>
      <w:r>
        <w:rPr>
          <w:rFonts w:ascii="Arial Narrow" w:hAnsi="Arial Narrow" w:cs="Arial Narrow"/>
        </w:rPr>
        <w:t>2018</w:t>
      </w:r>
      <w:r>
        <w:rPr>
          <w:rFonts w:ascii="Arial Narrow" w:hAnsi="Arial Narrow" w:cs="Arial Narrow"/>
        </w:rPr>
        <w:t>年度实际到位资金为</w:t>
      </w:r>
      <w:r>
        <w:rPr>
          <w:rFonts w:ascii="Arial Narrow" w:hAnsi="Arial Narrow" w:cs="Arial Narrow"/>
        </w:rPr>
        <w:t>110.00</w:t>
      </w:r>
      <w:r>
        <w:rPr>
          <w:rFonts w:ascii="Arial Narrow" w:hAnsi="Arial Narrow" w:cs="Arial Narrow"/>
        </w:rPr>
        <w:t>万元，实际支出资金为</w:t>
      </w:r>
      <w:r>
        <w:rPr>
          <w:rFonts w:ascii="Arial Narrow" w:hAnsi="Arial Narrow" w:cs="Arial Narrow"/>
        </w:rPr>
        <w:t>47.56</w:t>
      </w:r>
      <w:r>
        <w:rPr>
          <w:rFonts w:ascii="Arial Narrow" w:hAnsi="Arial Narrow" w:cs="Arial Narrow"/>
        </w:rPr>
        <w:t>万元，资金使用率为</w:t>
      </w:r>
      <w:r>
        <w:rPr>
          <w:rFonts w:ascii="Arial Narrow" w:hAnsi="Arial Narrow" w:cs="Arial Narrow"/>
        </w:rPr>
        <w:t>43.24%</w:t>
      </w:r>
      <w:r>
        <w:rPr>
          <w:rFonts w:ascii="Arial Narrow" w:hAnsi="Arial Narrow" w:cs="Arial Narrow"/>
        </w:rPr>
        <w:t>，其中治超整治专项经费批复</w:t>
      </w:r>
      <w:r>
        <w:rPr>
          <w:rFonts w:ascii="Arial Narrow" w:hAnsi="Arial Narrow" w:cs="Arial Narrow"/>
        </w:rPr>
        <w:t>100.00</w:t>
      </w:r>
      <w:r>
        <w:rPr>
          <w:rFonts w:ascii="Arial Narrow" w:hAnsi="Arial Narrow" w:cs="Arial Narrow"/>
        </w:rPr>
        <w:t>万元，支出为</w:t>
      </w:r>
      <w:r>
        <w:rPr>
          <w:rFonts w:ascii="Arial Narrow" w:hAnsi="Arial Narrow" w:cs="Arial Narrow"/>
        </w:rPr>
        <w:t>37.60</w:t>
      </w:r>
      <w:r>
        <w:rPr>
          <w:rFonts w:ascii="Arial Narrow" w:hAnsi="Arial Narrow" w:cs="Arial Narrow"/>
        </w:rPr>
        <w:t>万元，路政管理专项经费批复</w:t>
      </w:r>
      <w:r>
        <w:rPr>
          <w:rFonts w:ascii="Arial Narrow" w:hAnsi="Arial Narrow" w:cs="Arial Narrow"/>
        </w:rPr>
        <w:t>10.00</w:t>
      </w:r>
      <w:r>
        <w:rPr>
          <w:rFonts w:ascii="Arial Narrow" w:hAnsi="Arial Narrow" w:cs="Arial Narrow"/>
        </w:rPr>
        <w:t>万元，支出为</w:t>
      </w:r>
      <w:r>
        <w:rPr>
          <w:rFonts w:ascii="Arial Narrow" w:hAnsi="Arial Narrow" w:cs="Arial Narrow"/>
        </w:rPr>
        <w:t>9.96</w:t>
      </w:r>
      <w:r>
        <w:rPr>
          <w:rFonts w:ascii="Arial Narrow" w:hAnsi="Arial Narrow" w:cs="Arial Narrow"/>
        </w:rPr>
        <w:t>万元，根据评分标准，扣</w:t>
      </w:r>
      <w:r>
        <w:rPr>
          <w:rFonts w:ascii="Arial Narrow" w:hAnsi="Arial Narrow" w:cs="Arial Narrow"/>
        </w:rPr>
        <w:t>5</w:t>
      </w:r>
      <w:r>
        <w:rPr>
          <w:rFonts w:ascii="Arial Narrow" w:hAnsi="Arial Narrow" w:cs="Arial Narrow"/>
        </w:rPr>
        <w:t>分。</w:t>
      </w:r>
    </w:p>
    <w:p w:rsidR="003D2C75" w:rsidRDefault="00000000">
      <w:pPr>
        <w:adjustRightInd w:val="0"/>
        <w:snapToGrid w:val="0"/>
        <w:ind w:firstLine="480"/>
        <w:outlineLvl w:val="3"/>
        <w:rPr>
          <w:rFonts w:ascii="Arial Narrow" w:hAnsi="Arial Narrow" w:cs="Arial Narrow"/>
        </w:rPr>
      </w:pPr>
      <w:bookmarkStart w:id="86" w:name="_Toc17482"/>
      <w:r>
        <w:rPr>
          <w:rFonts w:ascii="Arial Narrow" w:hAnsi="Arial Narrow" w:cs="Arial Narrow"/>
        </w:rPr>
        <w:t>1.4</w:t>
      </w:r>
      <w:r>
        <w:rPr>
          <w:rFonts w:ascii="Arial Narrow" w:hAnsi="Arial Narrow" w:cs="Arial Narrow"/>
        </w:rPr>
        <w:t>项目效果（</w:t>
      </w:r>
      <w:r>
        <w:rPr>
          <w:rFonts w:ascii="Arial Narrow" w:hAnsi="Arial Narrow" w:cs="Arial Narrow"/>
        </w:rPr>
        <w:t>24</w:t>
      </w:r>
      <w:r>
        <w:rPr>
          <w:rFonts w:ascii="Arial Narrow" w:hAnsi="Arial Narrow" w:cs="Arial Narrow"/>
        </w:rPr>
        <w:t>分）</w:t>
      </w:r>
      <w:bookmarkEnd w:id="86"/>
    </w:p>
    <w:p w:rsidR="003D2C75" w:rsidRDefault="00000000">
      <w:pPr>
        <w:adjustRightInd w:val="0"/>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24</w:t>
      </w:r>
      <w:r>
        <w:rPr>
          <w:rFonts w:ascii="Arial Narrow" w:hAnsi="Arial Narrow" w:cs="Arial Narrow"/>
        </w:rPr>
        <w:t>分，评价结果为优。</w:t>
      </w:r>
    </w:p>
    <w:p w:rsidR="003D2C75" w:rsidRDefault="00000000">
      <w:pPr>
        <w:adjustRightInd w:val="0"/>
        <w:snapToGrid w:val="0"/>
        <w:ind w:firstLine="480"/>
        <w:jc w:val="center"/>
        <w:rPr>
          <w:rFonts w:ascii="Arial Narrow" w:hAnsi="Arial Narrow" w:cs="Arial Narrow"/>
          <w:b/>
        </w:rPr>
      </w:pPr>
      <w:r>
        <w:rPr>
          <w:rFonts w:ascii="Arial Narrow" w:hAnsi="Arial Narrow" w:cs="Arial Narrow"/>
          <w:noProof/>
        </w:rPr>
        <w:lastRenderedPageBreak/>
        <w:drawing>
          <wp:inline distT="0" distB="0" distL="114300" distR="114300">
            <wp:extent cx="4572000" cy="2743200"/>
            <wp:effectExtent l="0" t="0" r="0" b="0"/>
            <wp:docPr id="1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D2C75" w:rsidRDefault="00000000">
      <w:pPr>
        <w:adjustRightInd w:val="0"/>
        <w:snapToGrid w:val="0"/>
        <w:ind w:firstLine="480"/>
        <w:rPr>
          <w:rFonts w:ascii="Arial Narrow" w:hAnsi="Arial Narrow" w:cs="Arial Narrow"/>
        </w:rPr>
      </w:pPr>
      <w:r>
        <w:rPr>
          <w:rFonts w:ascii="Arial Narrow" w:hAnsi="Arial Narrow" w:cs="Arial Narrow"/>
        </w:rPr>
        <w:t>效果方面主要评价全年执法覆盖率、治超方式多样性、治超工作合规性、通行安全提升度、可持续影响，反映项目实施所产生的社会效益、可持续性以及项目实施效果。对于该项的评价，评价小组主要采取了案卷研究、访谈、实地调研等方式进行资料收集、整理和分析，查看了项目实施单位武汉开发区（汉南区）</w:t>
      </w:r>
      <w:r>
        <w:rPr>
          <w:rFonts w:ascii="Arial Narrow" w:hAnsi="Arial Narrow" w:cs="Arial Narrow"/>
        </w:rPr>
        <w:t>2018</w:t>
      </w:r>
      <w:r>
        <w:rPr>
          <w:rFonts w:ascii="Arial Narrow" w:hAnsi="Arial Narrow" w:cs="Arial Narrow"/>
        </w:rPr>
        <w:t>年治超工作总结及</w:t>
      </w:r>
      <w:r>
        <w:rPr>
          <w:rFonts w:ascii="Arial Narrow" w:hAnsi="Arial Narrow" w:cs="Arial Narrow"/>
        </w:rPr>
        <w:t>2018</w:t>
      </w:r>
      <w:r>
        <w:rPr>
          <w:rFonts w:ascii="Arial Narrow" w:hAnsi="Arial Narrow" w:cs="Arial Narrow"/>
        </w:rPr>
        <w:t>年武汉市公路管路处东升治超检测站综合治理目标考核等，对项目相关负责人进行访谈，了解项目实施单位组织结构及人员分工，对项目效果涉及的指标进行打分和评价。经过综合计分，效果指标得分为</w:t>
      </w:r>
      <w:r>
        <w:rPr>
          <w:rFonts w:ascii="Arial Narrow" w:hAnsi="Arial Narrow" w:cs="Arial Narrow"/>
        </w:rPr>
        <w:t>24</w:t>
      </w:r>
      <w:r>
        <w:rPr>
          <w:rFonts w:ascii="Arial Narrow" w:hAnsi="Arial Narrow" w:cs="Arial Narrow"/>
        </w:rPr>
        <w:t>分，评价结果为优。</w:t>
      </w:r>
    </w:p>
    <w:p w:rsidR="003D2C75" w:rsidRDefault="00000000">
      <w:pPr>
        <w:pStyle w:val="a5"/>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）全年执法覆盖率，指项目实施后，项目实施单位是否对在全区范围内</w:t>
      </w:r>
      <w:r>
        <w:rPr>
          <w:rFonts w:ascii="Arial Narrow" w:hAnsi="Arial Narrow" w:cs="Arial Narrow"/>
        </w:rPr>
        <w:t>24</w:t>
      </w:r>
      <w:r>
        <w:rPr>
          <w:rFonts w:ascii="Arial Narrow" w:hAnsi="Arial Narrow" w:cs="Arial Narrow"/>
        </w:rPr>
        <w:t>小时不间断或间断进行治超专项工作，用以反映和考核项目的社会效益。评价小组通过查阅武汉开发区（汉南区）治超办信息简报、武汉开发区（汉南区）</w:t>
      </w:r>
      <w:r>
        <w:rPr>
          <w:rFonts w:ascii="Arial Narrow" w:hAnsi="Arial Narrow" w:cs="Arial Narrow"/>
        </w:rPr>
        <w:t>2018</w:t>
      </w:r>
      <w:r>
        <w:rPr>
          <w:rFonts w:ascii="Arial Narrow" w:hAnsi="Arial Narrow" w:cs="Arial Narrow"/>
        </w:rPr>
        <w:t>年治超工作总结、</w:t>
      </w:r>
      <w:r>
        <w:rPr>
          <w:rFonts w:ascii="Arial Narrow" w:hAnsi="Arial Narrow" w:cs="Arial Narrow"/>
        </w:rPr>
        <w:t>2018</w:t>
      </w:r>
      <w:r>
        <w:rPr>
          <w:rFonts w:ascii="Arial Narrow" w:hAnsi="Arial Narrow" w:cs="Arial Narrow"/>
        </w:rPr>
        <w:t>年武汉市公路管路处东升治超检测站综合治理目标考核、沌口路交接班记录表和与相关负责人交流后，了解到项目实施单位进一步加大超限超载车辆查处罚力度，采取固定和流动相结合治超模式，实行</w:t>
      </w:r>
      <w:r>
        <w:rPr>
          <w:rFonts w:ascii="Arial Narrow" w:hAnsi="Arial Narrow" w:cs="Arial Narrow"/>
        </w:rPr>
        <w:t>24</w:t>
      </w:r>
      <w:r>
        <w:rPr>
          <w:rFonts w:ascii="Arial Narrow" w:hAnsi="Arial Narrow" w:cs="Arial Narrow"/>
        </w:rPr>
        <w:t>小时巡查，全年均进行超治工作。</w:t>
      </w:r>
    </w:p>
    <w:p w:rsidR="003D2C75" w:rsidRDefault="00000000">
      <w:pPr>
        <w:adjustRightInd w:val="0"/>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）治超方式多样性，指项目实施后，项目实施单位是否采取多种方式开展治超工作，用以反映和考核项目的社会效益。评价小组通过查阅相关资料了解到，</w:t>
      </w:r>
      <w:r>
        <w:rPr>
          <w:rFonts w:ascii="Arial Narrow" w:hAnsi="Arial Narrow" w:cs="Arial Narrow"/>
        </w:rPr>
        <w:lastRenderedPageBreak/>
        <w:t>东升站为固定检测和流动巡查，白沙洲大桥治超卡点、沌口路治超卡点为流动巡查。项目实施单位采取固定检测与流动巡查等多种方式开展治超工作。</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）治超工作合规性，指项目实施后，项目实施单位是否发生因乱罚款、乱设卡而发生投诉事件，用以反映和考核项目的社会效益。评价小组通过查阅</w:t>
      </w:r>
      <w:r>
        <w:rPr>
          <w:rFonts w:ascii="Arial Narrow" w:hAnsi="Arial Narrow" w:cs="Arial Narrow"/>
        </w:rPr>
        <w:t>2018</w:t>
      </w:r>
      <w:r>
        <w:rPr>
          <w:rFonts w:ascii="Arial Narrow" w:hAnsi="Arial Narrow" w:cs="Arial Narrow"/>
        </w:rPr>
        <w:t>年工作总结以及与相关负责人交流后了解到，项目实施单位注重安全廉洁治超，严格按照程序办事，并开展了提醒或警示教育，自我纠错，从思想上消除不良意识，因此全年未发生因乱罚款、乱设卡而发生投诉事件。</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）通行安全提升度，指项目实施后，车辆超限率是否呈下降趋势，用以反映和考核项目的社会效益。评价小组通过查阅武汉市（州）公路超限超载治理情况统计表了解到，</w:t>
      </w:r>
      <w:r>
        <w:rPr>
          <w:rFonts w:ascii="Arial Narrow" w:hAnsi="Arial Narrow" w:cs="Arial Narrow"/>
        </w:rPr>
        <w:t>2017</w:t>
      </w:r>
      <w:r>
        <w:rPr>
          <w:rFonts w:ascii="Arial Narrow" w:hAnsi="Arial Narrow" w:cs="Arial Narrow"/>
        </w:rPr>
        <w:t>年检测车辆总数为</w:t>
      </w:r>
      <w:r>
        <w:rPr>
          <w:rFonts w:ascii="Arial Narrow" w:hAnsi="Arial Narrow" w:cs="Arial Narrow"/>
        </w:rPr>
        <w:t>6159</w:t>
      </w:r>
      <w:r>
        <w:rPr>
          <w:rFonts w:ascii="Arial Narrow" w:hAnsi="Arial Narrow" w:cs="Arial Narrow"/>
        </w:rPr>
        <w:t>辆，超限车辆为</w:t>
      </w:r>
      <w:r>
        <w:rPr>
          <w:rFonts w:ascii="Arial Narrow" w:hAnsi="Arial Narrow" w:cs="Arial Narrow"/>
        </w:rPr>
        <w:t>1076</w:t>
      </w:r>
      <w:r>
        <w:rPr>
          <w:rFonts w:ascii="Arial Narrow" w:hAnsi="Arial Narrow" w:cs="Arial Narrow"/>
        </w:rPr>
        <w:t>辆，超限率为</w:t>
      </w:r>
      <w:r>
        <w:rPr>
          <w:rFonts w:ascii="Arial Narrow" w:hAnsi="Arial Narrow" w:cs="Arial Narrow"/>
        </w:rPr>
        <w:t>17.47%</w:t>
      </w:r>
      <w:r>
        <w:rPr>
          <w:rFonts w:ascii="Arial Narrow" w:hAnsi="Arial Narrow" w:cs="Arial Narrow"/>
        </w:rPr>
        <w:t>。</w:t>
      </w:r>
      <w:r>
        <w:rPr>
          <w:rFonts w:ascii="Arial Narrow" w:hAnsi="Arial Narrow" w:cs="Arial Narrow"/>
        </w:rPr>
        <w:t>2018</w:t>
      </w:r>
      <w:r>
        <w:rPr>
          <w:rFonts w:ascii="Arial Narrow" w:hAnsi="Arial Narrow" w:cs="Arial Narrow"/>
        </w:rPr>
        <w:t>年检测车辆总数为</w:t>
      </w:r>
      <w:r>
        <w:rPr>
          <w:rFonts w:ascii="Arial Narrow" w:hAnsi="Arial Narrow" w:cs="Arial Narrow"/>
        </w:rPr>
        <w:t>6060</w:t>
      </w:r>
      <w:r>
        <w:rPr>
          <w:rFonts w:ascii="Arial Narrow" w:hAnsi="Arial Narrow" w:cs="Arial Narrow"/>
        </w:rPr>
        <w:t>辆，超限车辆为</w:t>
      </w:r>
      <w:r>
        <w:rPr>
          <w:rFonts w:ascii="Arial Narrow" w:hAnsi="Arial Narrow" w:cs="Arial Narrow"/>
        </w:rPr>
        <w:t>220</w:t>
      </w:r>
      <w:r>
        <w:rPr>
          <w:rFonts w:ascii="Arial Narrow" w:hAnsi="Arial Narrow" w:cs="Arial Narrow"/>
        </w:rPr>
        <w:t>辆，车辆超限率为</w:t>
      </w:r>
      <w:r>
        <w:rPr>
          <w:rFonts w:ascii="Arial Narrow" w:hAnsi="Arial Narrow" w:cs="Arial Narrow"/>
        </w:rPr>
        <w:t>3.63%</w:t>
      </w:r>
      <w:r>
        <w:rPr>
          <w:rFonts w:ascii="Arial Narrow" w:hAnsi="Arial Narrow" w:cs="Arial Narrow"/>
        </w:rPr>
        <w:t>，与</w:t>
      </w:r>
      <w:r>
        <w:rPr>
          <w:rFonts w:ascii="Arial Narrow" w:hAnsi="Arial Narrow" w:cs="Arial Narrow"/>
        </w:rPr>
        <w:t>17</w:t>
      </w:r>
      <w:r>
        <w:rPr>
          <w:rFonts w:ascii="Arial Narrow" w:hAnsi="Arial Narrow" w:cs="Arial Narrow"/>
        </w:rPr>
        <w:t>年相比超限超载率明显下降，通行安全度提高。</w:t>
      </w:r>
    </w:p>
    <w:p w:rsidR="003D2C75" w:rsidRDefault="00000000">
      <w:pPr>
        <w:pStyle w:val="a5"/>
        <w:snapToGri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）可持续影响，指</w:t>
      </w:r>
      <w:bookmarkStart w:id="87" w:name="_Toc5150"/>
      <w:bookmarkStart w:id="88" w:name="_Toc481590363"/>
      <w:bookmarkStart w:id="89" w:name="_Toc17932"/>
      <w:bookmarkEnd w:id="80"/>
      <w:r>
        <w:rPr>
          <w:rFonts w:ascii="Arial Narrow" w:hAnsi="Arial Narrow" w:cs="Arial Narrow"/>
        </w:rPr>
        <w:t>项目实施单位配备充足的人员支持项目后续运行，并将完整的档案资料及时整理归档，用以反映和考核项目的可持续性。评价小组通过与相关负责人交流后了解到，项目实施单位目前有</w:t>
      </w:r>
      <w:r>
        <w:rPr>
          <w:rFonts w:ascii="Arial Narrow" w:hAnsi="Arial Narrow" w:cs="Arial Narrow"/>
        </w:rPr>
        <w:t>9</w:t>
      </w:r>
      <w:r>
        <w:rPr>
          <w:rFonts w:ascii="Arial Narrow" w:hAnsi="Arial Narrow" w:cs="Arial Narrow"/>
        </w:rPr>
        <w:t>位工作人员，平时会抽调其他工作单位人员进行货车非法改装和超限超载治理工作，有充足人员支持项目实施的后续运行，项目相关资料保存完整。</w:t>
      </w:r>
    </w:p>
    <w:p w:rsidR="003D2C75" w:rsidRDefault="00000000">
      <w:pPr>
        <w:pStyle w:val="3"/>
        <w:adjustRightInd w:val="0"/>
        <w:snapToGrid w:val="0"/>
        <w:spacing w:before="0" w:after="0" w:line="360" w:lineRule="auto"/>
        <w:ind w:firstLine="480"/>
        <w:rPr>
          <w:rFonts w:ascii="Arial Narrow" w:hAnsi="Arial Narrow" w:cs="Arial Narrow"/>
          <w:b w:val="0"/>
          <w:sz w:val="24"/>
        </w:rPr>
      </w:pPr>
      <w:bookmarkStart w:id="90" w:name="_Toc21854"/>
      <w:bookmarkStart w:id="91" w:name="_Toc13708"/>
      <w:r>
        <w:rPr>
          <w:rFonts w:ascii="Arial Narrow" w:hAnsi="Arial Narrow" w:cs="Arial Narrow"/>
          <w:b w:val="0"/>
          <w:sz w:val="24"/>
        </w:rPr>
        <w:t>2</w:t>
      </w:r>
      <w:r>
        <w:rPr>
          <w:rFonts w:ascii="Arial Narrow" w:hAnsi="Arial Narrow" w:cs="Arial Narrow"/>
          <w:b w:val="0"/>
          <w:sz w:val="24"/>
        </w:rPr>
        <w:t>、评价结论</w:t>
      </w:r>
      <w:bookmarkStart w:id="92" w:name="_Toc361302039"/>
      <w:bookmarkStart w:id="93" w:name="_Toc361304702"/>
      <w:bookmarkEnd w:id="81"/>
      <w:bookmarkEnd w:id="82"/>
      <w:bookmarkEnd w:id="83"/>
      <w:bookmarkEnd w:id="84"/>
      <w:bookmarkEnd w:id="85"/>
      <w:bookmarkEnd w:id="87"/>
      <w:bookmarkEnd w:id="88"/>
      <w:bookmarkEnd w:id="89"/>
      <w:bookmarkEnd w:id="90"/>
      <w:bookmarkEnd w:id="91"/>
    </w:p>
    <w:p w:rsidR="003D2C75" w:rsidRDefault="00000000">
      <w:pPr>
        <w:adjustRightInd w:val="0"/>
        <w:snapToGrid w:val="0"/>
        <w:ind w:firstLine="480"/>
        <w:rPr>
          <w:rFonts w:ascii="Arial Narrow" w:hAnsi="Arial Narrow" w:cs="Arial Narrow"/>
          <w:bCs/>
        </w:rPr>
      </w:pPr>
      <w:bookmarkStart w:id="94" w:name="_Toc3418"/>
      <w:bookmarkEnd w:id="92"/>
      <w:bookmarkEnd w:id="93"/>
      <w:r>
        <w:rPr>
          <w:rFonts w:ascii="Arial Narrow" w:hAnsi="Arial Narrow" w:cs="Arial Narrow"/>
          <w:bCs/>
        </w:rPr>
        <w:t>2.1</w:t>
      </w:r>
      <w:r>
        <w:rPr>
          <w:rFonts w:ascii="Arial Narrow" w:hAnsi="Arial Narrow" w:cs="Arial Narrow"/>
          <w:bCs/>
        </w:rPr>
        <w:t>评分结果</w:t>
      </w:r>
      <w:bookmarkEnd w:id="94"/>
    </w:p>
    <w:p w:rsidR="003D2C75" w:rsidRDefault="00000000">
      <w:pPr>
        <w:pStyle w:val="a5"/>
        <w:snapToGrid w:val="0"/>
        <w:ind w:firstLine="480"/>
        <w:rPr>
          <w:rFonts w:ascii="Arial Narrow" w:hAnsi="Arial Narrow" w:cs="Arial Narrow"/>
        </w:rPr>
      </w:pPr>
      <w:r>
        <w:rPr>
          <w:rFonts w:ascii="Arial Narrow" w:hAnsi="Arial Narrow" w:cs="Arial Narrow"/>
        </w:rPr>
        <w:t>“</w:t>
      </w:r>
      <w:r>
        <w:rPr>
          <w:rFonts w:ascii="Arial Narrow" w:hAnsi="Arial Narrow" w:cs="Arial Narrow"/>
        </w:rPr>
        <w:t>治超整治专项经费项目</w:t>
      </w:r>
      <w:r>
        <w:rPr>
          <w:rFonts w:ascii="Arial Narrow" w:hAnsi="Arial Narrow" w:cs="Arial Narrow"/>
        </w:rPr>
        <w:t>”</w:t>
      </w:r>
      <w:r>
        <w:rPr>
          <w:rFonts w:ascii="Arial Narrow" w:hAnsi="Arial Narrow" w:cs="Arial Narrow"/>
        </w:rPr>
        <w:t>绩效评价得分为</w:t>
      </w:r>
      <w:r>
        <w:rPr>
          <w:rFonts w:ascii="Arial Narrow" w:hAnsi="Arial Narrow" w:cs="Arial Narrow"/>
        </w:rPr>
        <w:t>91</w:t>
      </w:r>
      <w:r>
        <w:rPr>
          <w:rFonts w:ascii="Arial Narrow" w:hAnsi="Arial Narrow" w:cs="Arial Narrow"/>
        </w:rPr>
        <w:t>分，评分结果为优。其中投入得分</w:t>
      </w:r>
      <w:r>
        <w:rPr>
          <w:rFonts w:ascii="Arial Narrow" w:hAnsi="Arial Narrow" w:cs="Arial Narrow"/>
        </w:rPr>
        <w:t>14</w:t>
      </w:r>
      <w:r>
        <w:rPr>
          <w:rFonts w:ascii="Arial Narrow" w:hAnsi="Arial Narrow" w:cs="Arial Narrow"/>
        </w:rPr>
        <w:t>分，过程得分</w:t>
      </w:r>
      <w:r>
        <w:rPr>
          <w:rFonts w:ascii="Arial Narrow" w:hAnsi="Arial Narrow" w:cs="Arial Narrow"/>
        </w:rPr>
        <w:t>24</w:t>
      </w:r>
      <w:r>
        <w:rPr>
          <w:rFonts w:ascii="Arial Narrow" w:hAnsi="Arial Narrow" w:cs="Arial Narrow"/>
        </w:rPr>
        <w:t>分，产出得分</w:t>
      </w:r>
      <w:r>
        <w:rPr>
          <w:rFonts w:ascii="Arial Narrow" w:hAnsi="Arial Narrow" w:cs="Arial Narrow"/>
        </w:rPr>
        <w:t>29</w:t>
      </w:r>
      <w:r>
        <w:rPr>
          <w:rFonts w:ascii="Arial Narrow" w:hAnsi="Arial Narrow" w:cs="Arial Narrow"/>
        </w:rPr>
        <w:t>分，效果得分</w:t>
      </w:r>
      <w:r>
        <w:rPr>
          <w:rFonts w:ascii="Arial Narrow" w:hAnsi="Arial Narrow" w:cs="Arial Narrow"/>
        </w:rPr>
        <w:t>24</w:t>
      </w:r>
      <w:r>
        <w:rPr>
          <w:rFonts w:ascii="Arial Narrow" w:hAnsi="Arial Narrow" w:cs="Arial Narrow"/>
        </w:rPr>
        <w:t>分。</w:t>
      </w:r>
    </w:p>
    <w:p w:rsidR="003D2C75" w:rsidRDefault="00000000">
      <w:pPr>
        <w:snapToGrid w:val="0"/>
        <w:ind w:firstLine="480"/>
        <w:rPr>
          <w:rFonts w:ascii="Arial Narrow" w:hAnsi="Arial Narrow" w:cs="Arial Narrow"/>
        </w:rPr>
      </w:pPr>
      <w:r>
        <w:rPr>
          <w:rFonts w:ascii="Arial Narrow" w:hAnsi="Arial Narrow" w:cs="Arial Narrow"/>
        </w:rPr>
        <w:t>下图为各指标得分情况：</w:t>
      </w:r>
    </w:p>
    <w:p w:rsidR="003D2C75" w:rsidRDefault="00000000">
      <w:pPr>
        <w:adjustRightInd w:val="0"/>
        <w:snapToGrid w:val="0"/>
        <w:ind w:firstLine="480"/>
        <w:jc w:val="center"/>
        <w:rPr>
          <w:rFonts w:ascii="Arial Narrow" w:hAnsi="Arial Narrow" w:cs="Arial Narrow"/>
          <w:bCs/>
        </w:rPr>
      </w:pPr>
      <w:r>
        <w:rPr>
          <w:rFonts w:ascii="Arial Narrow" w:hAnsi="Arial Narrow" w:cs="Arial Narrow"/>
          <w:noProof/>
        </w:rPr>
        <w:lastRenderedPageBreak/>
        <w:drawing>
          <wp:inline distT="0" distB="0" distL="114300" distR="114300">
            <wp:extent cx="4572000" cy="2743200"/>
            <wp:effectExtent l="0" t="0" r="0" b="0"/>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D2C75" w:rsidRDefault="00000000">
      <w:pPr>
        <w:adjustRightInd w:val="0"/>
        <w:snapToGrid w:val="0"/>
        <w:ind w:firstLine="480"/>
        <w:rPr>
          <w:rFonts w:ascii="Arial Narrow" w:hAnsi="Arial Narrow" w:cs="Arial Narrow"/>
          <w:bCs/>
        </w:rPr>
      </w:pPr>
      <w:bookmarkStart w:id="95" w:name="_Toc6956"/>
      <w:bookmarkStart w:id="96" w:name="_Toc406668054"/>
      <w:bookmarkStart w:id="97" w:name="_Toc406666380"/>
      <w:bookmarkStart w:id="98" w:name="_Toc387957829"/>
      <w:bookmarkStart w:id="99" w:name="_Toc361304705"/>
      <w:r>
        <w:rPr>
          <w:rFonts w:ascii="Arial Narrow" w:hAnsi="Arial Narrow" w:cs="Arial Narrow"/>
          <w:bCs/>
        </w:rPr>
        <w:t>2.2</w:t>
      </w:r>
      <w:r>
        <w:rPr>
          <w:rFonts w:ascii="Arial Narrow" w:hAnsi="Arial Narrow" w:cs="Arial Narrow"/>
          <w:bCs/>
        </w:rPr>
        <w:t>结论</w:t>
      </w:r>
      <w:bookmarkEnd w:id="95"/>
    </w:p>
    <w:p w:rsidR="003D2C75" w:rsidRDefault="00000000">
      <w:pPr>
        <w:pStyle w:val="a5"/>
        <w:numPr>
          <w:ilvl w:val="0"/>
          <w:numId w:val="6"/>
        </w:numPr>
        <w:snapToGrid w:val="0"/>
        <w:ind w:firstLine="480"/>
        <w:rPr>
          <w:rFonts w:ascii="Arial Narrow" w:hAnsi="Arial Narrow" w:cs="Arial Narrow"/>
        </w:rPr>
      </w:pPr>
      <w:bookmarkStart w:id="100" w:name="_Toc14373"/>
      <w:r>
        <w:rPr>
          <w:rFonts w:ascii="Arial Narrow" w:hAnsi="Arial Narrow" w:cs="Arial Narrow"/>
        </w:rPr>
        <w:t>投入。项目投入评价得分为</w:t>
      </w:r>
      <w:r>
        <w:rPr>
          <w:rFonts w:ascii="Arial Narrow" w:hAnsi="Arial Narrow" w:cs="Arial Narrow"/>
        </w:rPr>
        <w:t>14</w:t>
      </w:r>
      <w:r>
        <w:rPr>
          <w:rFonts w:ascii="Arial Narrow" w:hAnsi="Arial Narrow" w:cs="Arial Narrow"/>
        </w:rPr>
        <w:t>分，评价等级为优。项目立项规范，申报资料齐全，资金能够及时到位，进行了集体决策，但未留存相关会议纪要，设定了绩效目标申报表和绩效指标，目标设置较为合理，但部分绩效指标设置可测性不高，不利于项目整体考核。</w:t>
      </w:r>
    </w:p>
    <w:p w:rsidR="003D2C75" w:rsidRDefault="00000000">
      <w:pPr>
        <w:adjustRightInd w:val="0"/>
        <w:snapToGrid w:val="0"/>
        <w:ind w:firstLine="480"/>
        <w:rPr>
          <w:rFonts w:ascii="Arial Narrow" w:hAnsi="Arial Narrow" w:cs="Arial Narrow"/>
        </w:rPr>
      </w:pPr>
      <w:r>
        <w:rPr>
          <w:rFonts w:ascii="Arial Narrow" w:hAnsi="Arial Narrow" w:cs="Arial Narrow"/>
        </w:rPr>
        <w:t>2</w:t>
      </w:r>
      <w:r>
        <w:rPr>
          <w:rFonts w:ascii="Arial Narrow" w:hAnsi="Arial Narrow" w:cs="Arial Narrow"/>
        </w:rPr>
        <w:t>、过程。项目过程评价得分为</w:t>
      </w:r>
      <w:r>
        <w:rPr>
          <w:rFonts w:ascii="Arial Narrow" w:hAnsi="Arial Narrow" w:cs="Arial Narrow"/>
        </w:rPr>
        <w:t>24</w:t>
      </w:r>
      <w:r>
        <w:rPr>
          <w:rFonts w:ascii="Arial Narrow" w:hAnsi="Arial Narrow" w:cs="Arial Narrow"/>
        </w:rPr>
        <w:t>分，评价等级为优。项目管理方面，项目管理制度健全且合规合法，制度实施过程遵守上级单位制定的相关管理办法，严格执行项目管理程序，对项目质量有一定的要求；财务管理上，资金的拨付有完整的审批程序和手续，符合项目预算批复或合同规定的用途，不存在截留、挤占、挪用、虚列支出等情况，并设置了项目专账。</w:t>
      </w:r>
    </w:p>
    <w:p w:rsidR="003D2C75" w:rsidRDefault="00000000">
      <w:pPr>
        <w:pStyle w:val="a5"/>
        <w:snapToGrid w:val="0"/>
        <w:ind w:firstLine="480"/>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29</w:t>
      </w:r>
      <w:r>
        <w:rPr>
          <w:rFonts w:ascii="Arial Narrow" w:hAnsi="Arial Narrow" w:cs="Arial Narrow"/>
        </w:rPr>
        <w:t>分，评价等级为中。项目实施单位全年进行了</w:t>
      </w:r>
      <w:r>
        <w:rPr>
          <w:rFonts w:ascii="Arial Narrow" w:hAnsi="Arial Narrow" w:cs="Arial Narrow"/>
        </w:rPr>
        <w:t>12</w:t>
      </w:r>
      <w:r>
        <w:rPr>
          <w:rFonts w:ascii="Arial Narrow" w:hAnsi="Arial Narrow" w:cs="Arial Narrow"/>
        </w:rPr>
        <w:t>次以上源头监管检查，</w:t>
      </w:r>
      <w:r>
        <w:rPr>
          <w:rFonts w:ascii="Arial Narrow" w:hAnsi="Arial Narrow" w:cs="Arial Narrow"/>
        </w:rPr>
        <w:t>4</w:t>
      </w:r>
      <w:r>
        <w:rPr>
          <w:rFonts w:ascii="Arial Narrow" w:hAnsi="Arial Narrow" w:cs="Arial Narrow"/>
        </w:rPr>
        <w:t>次考核，与</w:t>
      </w:r>
      <w:r>
        <w:rPr>
          <w:rFonts w:ascii="Arial Narrow" w:hAnsi="Arial Narrow" w:cs="Arial Narrow"/>
        </w:rPr>
        <w:t>9</w:t>
      </w:r>
      <w:r>
        <w:rPr>
          <w:rFonts w:ascii="Arial Narrow" w:hAnsi="Arial Narrow" w:cs="Arial Narrow"/>
        </w:rPr>
        <w:t>个单位签订了目标责任书，每月进行执法理论学习和军事训练，及时完成路面治超、专项整治、源头治超等工作。车辆超限率为</w:t>
      </w:r>
      <w:r>
        <w:rPr>
          <w:rFonts w:ascii="Arial Narrow" w:hAnsi="Arial Narrow" w:cs="Arial Narrow"/>
        </w:rPr>
        <w:t>3.63%</w:t>
      </w:r>
      <w:r>
        <w:rPr>
          <w:rFonts w:ascii="Arial Narrow" w:hAnsi="Arial Narrow" w:cs="Arial Narrow"/>
        </w:rPr>
        <w:t>，未能控制在</w:t>
      </w:r>
      <w:r>
        <w:rPr>
          <w:rFonts w:ascii="Arial Narrow" w:hAnsi="Arial Narrow" w:cs="Arial Narrow"/>
        </w:rPr>
        <w:t>2.00%</w:t>
      </w:r>
      <w:r>
        <w:rPr>
          <w:rFonts w:ascii="Arial Narrow" w:hAnsi="Arial Narrow" w:cs="Arial Narrow"/>
        </w:rPr>
        <w:t>以内。资金使用率为</w:t>
      </w:r>
      <w:r>
        <w:rPr>
          <w:rFonts w:ascii="Arial Narrow" w:hAnsi="Arial Narrow" w:cs="Arial Narrow"/>
        </w:rPr>
        <w:t>43.24%</w:t>
      </w:r>
      <w:r>
        <w:rPr>
          <w:rFonts w:ascii="Arial Narrow" w:hAnsi="Arial Narrow" w:cs="Arial Narrow"/>
        </w:rPr>
        <w:t>，资金使用率较低。</w:t>
      </w:r>
    </w:p>
    <w:p w:rsidR="003D2C75" w:rsidRDefault="00000000">
      <w:pPr>
        <w:pStyle w:val="a5"/>
        <w:snapToGrid w:val="0"/>
        <w:ind w:firstLine="480"/>
        <w:rPr>
          <w:rFonts w:ascii="Arial Narrow" w:hAnsi="Arial Narrow" w:cs="Arial Narrow"/>
        </w:rPr>
      </w:pPr>
      <w:r>
        <w:rPr>
          <w:rFonts w:ascii="Arial Narrow" w:hAnsi="Arial Narrow" w:cs="Arial Narrow"/>
        </w:rPr>
        <w:t>4</w:t>
      </w:r>
      <w:r>
        <w:rPr>
          <w:rFonts w:ascii="Arial Narrow" w:hAnsi="Arial Narrow" w:cs="Arial Narrow"/>
        </w:rPr>
        <w:t>、效果。项目效果评价得分为</w:t>
      </w:r>
      <w:r>
        <w:rPr>
          <w:rFonts w:ascii="Arial Narrow" w:hAnsi="Arial Narrow" w:cs="Arial Narrow"/>
        </w:rPr>
        <w:t>24</w:t>
      </w:r>
      <w:r>
        <w:rPr>
          <w:rFonts w:ascii="Arial Narrow" w:hAnsi="Arial Narrow" w:cs="Arial Narrow"/>
        </w:rPr>
        <w:t>分，评价等级为优。项目实施单位全天</w:t>
      </w:r>
      <w:r>
        <w:rPr>
          <w:rFonts w:ascii="Arial Narrow" w:hAnsi="Arial Narrow" w:cs="Arial Narrow"/>
        </w:rPr>
        <w:t>24</w:t>
      </w:r>
      <w:r>
        <w:rPr>
          <w:rFonts w:ascii="Arial Narrow" w:hAnsi="Arial Narrow" w:cs="Arial Narrow"/>
        </w:rPr>
        <w:t>小时不间断进行治超专项行动，采取固定检测与流动巡查相结合，治超工作合规，</w:t>
      </w:r>
      <w:r>
        <w:rPr>
          <w:rFonts w:ascii="Arial Narrow" w:hAnsi="Arial Narrow" w:cs="Arial Narrow"/>
        </w:rPr>
        <w:lastRenderedPageBreak/>
        <w:t>车辆超限率为</w:t>
      </w:r>
      <w:r>
        <w:rPr>
          <w:rFonts w:ascii="Arial Narrow" w:hAnsi="Arial Narrow" w:cs="Arial Narrow"/>
        </w:rPr>
        <w:t>3.63%</w:t>
      </w:r>
      <w:r>
        <w:rPr>
          <w:rFonts w:ascii="Arial Narrow" w:hAnsi="Arial Narrow" w:cs="Arial Narrow"/>
        </w:rPr>
        <w:t>，与</w:t>
      </w:r>
      <w:r>
        <w:rPr>
          <w:rFonts w:ascii="Arial Narrow" w:hAnsi="Arial Narrow" w:cs="Arial Narrow"/>
        </w:rPr>
        <w:t>2017</w:t>
      </w:r>
      <w:r>
        <w:rPr>
          <w:rFonts w:ascii="Arial Narrow" w:hAnsi="Arial Narrow" w:cs="Arial Narrow"/>
        </w:rPr>
        <w:t>年的</w:t>
      </w:r>
      <w:r>
        <w:rPr>
          <w:rFonts w:ascii="Arial Narrow" w:hAnsi="Arial Narrow" w:cs="Arial Narrow"/>
        </w:rPr>
        <w:t>17.47%</w:t>
      </w:r>
      <w:r>
        <w:rPr>
          <w:rFonts w:ascii="Arial Narrow" w:hAnsi="Arial Narrow" w:cs="Arial Narrow"/>
        </w:rPr>
        <w:t>相比有明显下降，道路安全度提升，有</w:t>
      </w:r>
      <w:r>
        <w:rPr>
          <w:rFonts w:ascii="Arial Narrow" w:hAnsi="Arial Narrow" w:cs="Arial Narrow"/>
        </w:rPr>
        <w:t>9</w:t>
      </w:r>
      <w:r>
        <w:rPr>
          <w:rFonts w:ascii="Arial Narrow" w:hAnsi="Arial Narrow" w:cs="Arial Narrow"/>
        </w:rPr>
        <w:t>为工作人员支持项目实施的后续运行，项目相关资料保存完整。</w:t>
      </w:r>
    </w:p>
    <w:p w:rsidR="003D2C75" w:rsidRDefault="00000000">
      <w:pPr>
        <w:pStyle w:val="2"/>
        <w:adjustRightInd w:val="0"/>
        <w:snapToGrid w:val="0"/>
        <w:spacing w:line="360" w:lineRule="auto"/>
        <w:ind w:firstLine="489"/>
        <w:rPr>
          <w:rFonts w:ascii="Arial Narrow" w:eastAsia="仿宋_GB2312" w:hAnsi="Arial Narrow" w:cs="Arial Narrow"/>
          <w:sz w:val="24"/>
        </w:rPr>
      </w:pPr>
      <w:bookmarkStart w:id="101" w:name="_Toc26465"/>
      <w:bookmarkStart w:id="102" w:name="_Toc481590364"/>
      <w:bookmarkStart w:id="103" w:name="_Toc22712"/>
      <w:bookmarkStart w:id="104" w:name="_Toc10775"/>
      <w:bookmarkEnd w:id="96"/>
      <w:bookmarkEnd w:id="97"/>
      <w:bookmarkEnd w:id="98"/>
      <w:bookmarkEnd w:id="99"/>
      <w:r>
        <w:rPr>
          <w:rFonts w:ascii="Arial Narrow" w:eastAsia="仿宋_GB2312" w:hAnsi="Arial Narrow" w:cs="Arial Narrow"/>
          <w:sz w:val="24"/>
        </w:rPr>
        <w:t>（四）主要经验及做法、存在的问题和建议</w:t>
      </w:r>
      <w:bookmarkEnd w:id="100"/>
      <w:bookmarkEnd w:id="101"/>
      <w:bookmarkEnd w:id="102"/>
      <w:bookmarkEnd w:id="103"/>
      <w:bookmarkEnd w:id="104"/>
    </w:p>
    <w:p w:rsidR="003D2C75" w:rsidRDefault="00000000">
      <w:pPr>
        <w:pStyle w:val="3"/>
        <w:adjustRightInd w:val="0"/>
        <w:snapToGrid w:val="0"/>
        <w:spacing w:before="0" w:after="0" w:line="360" w:lineRule="auto"/>
        <w:ind w:firstLine="480"/>
        <w:jc w:val="left"/>
        <w:rPr>
          <w:rFonts w:ascii="Arial Narrow" w:hAnsi="Arial Narrow" w:cs="Arial Narrow"/>
          <w:b w:val="0"/>
          <w:sz w:val="24"/>
        </w:rPr>
      </w:pPr>
      <w:bookmarkStart w:id="105" w:name="_Toc27928"/>
      <w:bookmarkStart w:id="106" w:name="_Toc9568"/>
      <w:bookmarkStart w:id="107" w:name="_Toc481590365"/>
      <w:bookmarkStart w:id="108" w:name="_Toc406668055"/>
      <w:bookmarkStart w:id="109" w:name="_Toc13625"/>
      <w:bookmarkStart w:id="110" w:name="_Toc2691"/>
      <w:bookmarkStart w:id="111" w:name="_Toc361304706"/>
      <w:bookmarkStart w:id="112" w:name="_Toc387957830"/>
      <w:bookmarkStart w:id="113" w:name="_Toc406666381"/>
      <w:r>
        <w:rPr>
          <w:rFonts w:ascii="Arial Narrow" w:hAnsi="Arial Narrow" w:cs="Arial Narrow"/>
          <w:b w:val="0"/>
          <w:sz w:val="24"/>
        </w:rPr>
        <w:t>1</w:t>
      </w:r>
      <w:r>
        <w:rPr>
          <w:rFonts w:ascii="Arial Narrow" w:hAnsi="Arial Narrow" w:cs="Arial Narrow"/>
          <w:b w:val="0"/>
          <w:sz w:val="24"/>
        </w:rPr>
        <w:t>、主要经验及做法</w:t>
      </w:r>
      <w:bookmarkEnd w:id="105"/>
      <w:bookmarkEnd w:id="106"/>
      <w:bookmarkEnd w:id="107"/>
      <w:bookmarkEnd w:id="108"/>
      <w:bookmarkEnd w:id="109"/>
      <w:bookmarkEnd w:id="110"/>
      <w:bookmarkEnd w:id="111"/>
      <w:bookmarkEnd w:id="112"/>
      <w:bookmarkEnd w:id="113"/>
    </w:p>
    <w:p w:rsidR="003D2C75" w:rsidRDefault="00000000">
      <w:pPr>
        <w:pStyle w:val="a5"/>
        <w:snapToGrid w:val="0"/>
        <w:ind w:firstLine="480"/>
        <w:rPr>
          <w:rFonts w:ascii="Arial Narrow" w:hAnsi="Arial Narrow" w:cs="Arial Narrow"/>
        </w:rPr>
      </w:pPr>
      <w:bookmarkStart w:id="114" w:name="_Toc481590366"/>
      <w:bookmarkStart w:id="115" w:name="_Toc24462"/>
      <w:bookmarkStart w:id="116" w:name="_Toc387957833"/>
      <w:r>
        <w:rPr>
          <w:rFonts w:ascii="Arial Narrow" w:hAnsi="Arial Narrow" w:cs="Arial Narrow"/>
        </w:rPr>
        <w:t>武汉经济技术开发区（汉南区）城乡建设局注重政府主导作用，与各个职能部门齐抓共管，形成合力，明确各自职责，解决实际问题。注重发挥治超办职能作用，加强自身建设，梳理出了工作中难点热点问题并进行分析，同时采取了每周到治超卡点进行纪律抽查，固定检测与流动巡查相结合等措施，强化督办与目标考核。注重路面治超与源头监管并重，达到了事半功倍的效果。注重安全廉洁治超，使执法更合规，办事程序更严格。同时加强学习，开展提醒或警示教育，从思想上消除不良意识。</w:t>
      </w:r>
    </w:p>
    <w:p w:rsidR="003D2C75" w:rsidRDefault="00000000">
      <w:pPr>
        <w:pStyle w:val="3"/>
        <w:adjustRightInd w:val="0"/>
        <w:snapToGrid w:val="0"/>
        <w:spacing w:before="0" w:after="0" w:line="360" w:lineRule="auto"/>
        <w:ind w:firstLine="480"/>
        <w:rPr>
          <w:rFonts w:ascii="Arial Narrow" w:hAnsi="Arial Narrow" w:cs="Arial Narrow"/>
          <w:b w:val="0"/>
          <w:sz w:val="24"/>
        </w:rPr>
      </w:pPr>
      <w:bookmarkStart w:id="117" w:name="_Toc17949"/>
      <w:r>
        <w:rPr>
          <w:rFonts w:ascii="Arial Narrow" w:hAnsi="Arial Narrow" w:cs="Arial Narrow"/>
          <w:b w:val="0"/>
          <w:sz w:val="24"/>
        </w:rPr>
        <w:t>2</w:t>
      </w:r>
      <w:r>
        <w:rPr>
          <w:rFonts w:ascii="Arial Narrow" w:hAnsi="Arial Narrow" w:cs="Arial Narrow"/>
          <w:b w:val="0"/>
          <w:sz w:val="24"/>
        </w:rPr>
        <w:t>、存在的问题及原因分析</w:t>
      </w:r>
      <w:bookmarkEnd w:id="114"/>
      <w:bookmarkEnd w:id="115"/>
      <w:bookmarkEnd w:id="117"/>
    </w:p>
    <w:p w:rsidR="003D2C75" w:rsidRDefault="00000000">
      <w:pPr>
        <w:adjustRightInd w:val="0"/>
        <w:snapToGrid w:val="0"/>
        <w:ind w:firstLine="480"/>
        <w:rPr>
          <w:rFonts w:ascii="Arial Narrow" w:hAnsi="Arial Narrow" w:cs="Arial Narrow"/>
        </w:rPr>
      </w:pPr>
      <w:bookmarkStart w:id="118" w:name="_Toc481590368"/>
      <w:bookmarkStart w:id="119" w:name="_Toc12882"/>
      <w:bookmarkStart w:id="120" w:name="_Toc9981"/>
      <w:bookmarkStart w:id="121" w:name="_Toc387957834"/>
      <w:bookmarkEnd w:id="116"/>
      <w:r>
        <w:rPr>
          <w:rFonts w:ascii="Arial Narrow" w:hAnsi="Arial Narrow" w:cs="Arial Narrow"/>
        </w:rPr>
        <w:t>（</w:t>
      </w:r>
      <w:r>
        <w:rPr>
          <w:rFonts w:ascii="Arial Narrow" w:hAnsi="Arial Narrow" w:cs="Arial Narrow"/>
        </w:rPr>
        <w:t>1</w:t>
      </w:r>
      <w:r>
        <w:rPr>
          <w:rFonts w:ascii="Arial Narrow" w:hAnsi="Arial Narrow" w:cs="Arial Narrow"/>
        </w:rPr>
        <w:t>）绩效指标可测性不高，不利于项目整体考核。项目实施单位设置了年度目标和绩效指标，目标和指标的设计基本符合目标管理规范，但是部分绩效指标设置可测性不高，如</w:t>
      </w:r>
      <w:r>
        <w:rPr>
          <w:rFonts w:ascii="Arial Narrow" w:hAnsi="Arial Narrow" w:cs="Arial Narrow"/>
        </w:rPr>
        <w:t>“</w:t>
      </w:r>
      <w:r>
        <w:rPr>
          <w:rFonts w:ascii="Arial Narrow" w:hAnsi="Arial Narrow" w:cs="Arial Narrow"/>
        </w:rPr>
        <w:t>基本遏制货车非法改装，控制超限超载现象</w:t>
      </w:r>
      <w:r>
        <w:rPr>
          <w:rFonts w:ascii="Arial Narrow" w:hAnsi="Arial Narrow" w:cs="Arial Narrow"/>
        </w:rPr>
        <w:t>”</w:t>
      </w:r>
      <w:r>
        <w:rPr>
          <w:rFonts w:ascii="Arial Narrow" w:hAnsi="Arial Narrow" w:cs="Arial Narrow"/>
        </w:rPr>
        <w:t>指标。</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）资金使用率较低。治超整治专项经费、路政管理专项经费申请资金共</w:t>
      </w:r>
      <w:r>
        <w:rPr>
          <w:rFonts w:ascii="Arial Narrow" w:hAnsi="Arial Narrow" w:cs="Arial Narrow"/>
        </w:rPr>
        <w:t>110.00</w:t>
      </w:r>
      <w:r>
        <w:rPr>
          <w:rFonts w:ascii="Arial Narrow" w:hAnsi="Arial Narrow" w:cs="Arial Narrow"/>
        </w:rPr>
        <w:t>万元，批复下达资金</w:t>
      </w:r>
      <w:r>
        <w:rPr>
          <w:rFonts w:ascii="Arial Narrow" w:hAnsi="Arial Narrow" w:cs="Arial Narrow"/>
        </w:rPr>
        <w:t>110.00</w:t>
      </w:r>
      <w:r>
        <w:rPr>
          <w:rFonts w:ascii="Arial Narrow" w:hAnsi="Arial Narrow" w:cs="Arial Narrow"/>
        </w:rPr>
        <w:t>万元，截止到</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日，项目实际支出资金为</w:t>
      </w:r>
      <w:r>
        <w:rPr>
          <w:rFonts w:ascii="Arial Narrow" w:hAnsi="Arial Narrow" w:cs="Arial Narrow"/>
        </w:rPr>
        <w:t>47.56</w:t>
      </w:r>
      <w:r>
        <w:rPr>
          <w:rFonts w:ascii="Arial Narrow" w:hAnsi="Arial Narrow" w:cs="Arial Narrow"/>
        </w:rPr>
        <w:t>万元，资金使用率为</w:t>
      </w:r>
      <w:r>
        <w:rPr>
          <w:rFonts w:ascii="Arial Narrow" w:hAnsi="Arial Narrow" w:cs="Arial Narrow"/>
        </w:rPr>
        <w:t>43.24%</w:t>
      </w:r>
      <w:r>
        <w:rPr>
          <w:rFonts w:ascii="Arial Narrow" w:hAnsi="Arial Narrow" w:cs="Arial Narrow"/>
        </w:rPr>
        <w:t>，原因是武汉经济技术开发区（汉南区）城乡建设局为</w:t>
      </w:r>
      <w:r>
        <w:rPr>
          <w:rFonts w:ascii="Arial Narrow" w:hAnsi="Arial Narrow" w:cs="Arial Narrow"/>
        </w:rPr>
        <w:t>2017</w:t>
      </w:r>
      <w:r>
        <w:rPr>
          <w:rFonts w:ascii="Arial Narrow" w:hAnsi="Arial Narrow" w:cs="Arial Narrow"/>
        </w:rPr>
        <w:t>年</w:t>
      </w:r>
      <w:r>
        <w:rPr>
          <w:rFonts w:ascii="Arial Narrow" w:hAnsi="Arial Narrow" w:cs="Arial Narrow"/>
        </w:rPr>
        <w:t>6</w:t>
      </w:r>
      <w:r>
        <w:rPr>
          <w:rFonts w:ascii="Arial Narrow" w:hAnsi="Arial Narrow" w:cs="Arial Narrow"/>
        </w:rPr>
        <w:t>月刚刚设立，编制</w:t>
      </w:r>
      <w:r>
        <w:rPr>
          <w:rFonts w:ascii="Arial Narrow" w:hAnsi="Arial Narrow" w:cs="Arial Narrow"/>
        </w:rPr>
        <w:t>2018</w:t>
      </w:r>
      <w:r>
        <w:rPr>
          <w:rFonts w:ascii="Arial Narrow" w:hAnsi="Arial Narrow" w:cs="Arial Narrow"/>
        </w:rPr>
        <w:t>年预算时，对项目所需经费预估不准确。</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）工作留痕管理不足。项目实施单位项目在立项时主要根据上年预算执行情况结合本年计划，各科室报领导批准后，上会进行集体决策，但未留存相关会议纪要。</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）车辆超限率控制未达标。项目实施单位计划将本年车辆超限率控制在</w:t>
      </w:r>
      <w:r>
        <w:rPr>
          <w:rFonts w:ascii="Arial Narrow" w:hAnsi="Arial Narrow" w:cs="Arial Narrow"/>
        </w:rPr>
        <w:t>2%</w:t>
      </w:r>
      <w:r>
        <w:rPr>
          <w:rFonts w:ascii="Arial Narrow" w:hAnsi="Arial Narrow" w:cs="Arial Narrow"/>
        </w:rPr>
        <w:t>以内</w:t>
      </w:r>
      <w:r>
        <w:rPr>
          <w:rFonts w:ascii="Arial Narrow" w:hAnsi="Arial Narrow" w:cs="Arial Narrow"/>
        </w:rPr>
        <w:t>,2018</w:t>
      </w:r>
      <w:r>
        <w:rPr>
          <w:rFonts w:ascii="Arial Narrow" w:hAnsi="Arial Narrow" w:cs="Arial Narrow"/>
        </w:rPr>
        <w:t>年检测车辆总数为</w:t>
      </w:r>
      <w:r>
        <w:rPr>
          <w:rFonts w:ascii="Arial Narrow" w:hAnsi="Arial Narrow" w:cs="Arial Narrow"/>
        </w:rPr>
        <w:t>6060</w:t>
      </w:r>
      <w:r>
        <w:rPr>
          <w:rFonts w:ascii="Arial Narrow" w:hAnsi="Arial Narrow" w:cs="Arial Narrow"/>
        </w:rPr>
        <w:t>辆，超限车辆为</w:t>
      </w:r>
      <w:r>
        <w:rPr>
          <w:rFonts w:ascii="Arial Narrow" w:hAnsi="Arial Narrow" w:cs="Arial Narrow"/>
        </w:rPr>
        <w:t>220</w:t>
      </w:r>
      <w:r>
        <w:rPr>
          <w:rFonts w:ascii="Arial Narrow" w:hAnsi="Arial Narrow" w:cs="Arial Narrow"/>
        </w:rPr>
        <w:t>辆，车辆超限率为</w:t>
      </w:r>
      <w:r>
        <w:rPr>
          <w:rFonts w:ascii="Arial Narrow" w:hAnsi="Arial Narrow" w:cs="Arial Narrow"/>
        </w:rPr>
        <w:t>3.63%</w:t>
      </w:r>
      <w:r>
        <w:rPr>
          <w:rFonts w:ascii="Arial Narrow" w:hAnsi="Arial Narrow" w:cs="Arial Narrow"/>
        </w:rPr>
        <w:t>，超过了</w:t>
      </w:r>
      <w:r>
        <w:rPr>
          <w:rFonts w:ascii="Arial Narrow" w:hAnsi="Arial Narrow" w:cs="Arial Narrow"/>
        </w:rPr>
        <w:t>2%</w:t>
      </w:r>
      <w:r>
        <w:rPr>
          <w:rFonts w:ascii="Arial Narrow" w:hAnsi="Arial Narrow" w:cs="Arial Narrow"/>
        </w:rPr>
        <w:t>的标准。</w:t>
      </w:r>
    </w:p>
    <w:p w:rsidR="003D2C75" w:rsidRDefault="003D2C75">
      <w:pPr>
        <w:adjustRightInd w:val="0"/>
        <w:snapToGrid w:val="0"/>
        <w:ind w:firstLine="480"/>
        <w:rPr>
          <w:rFonts w:ascii="Arial Narrow" w:hAnsi="Arial Narrow" w:cs="Arial Narrow"/>
        </w:rPr>
      </w:pPr>
    </w:p>
    <w:p w:rsidR="003D2C75" w:rsidRDefault="00000000">
      <w:pPr>
        <w:pStyle w:val="3"/>
        <w:adjustRightInd w:val="0"/>
        <w:snapToGrid w:val="0"/>
        <w:spacing w:before="0" w:after="0" w:line="360" w:lineRule="auto"/>
        <w:ind w:firstLine="480"/>
        <w:rPr>
          <w:rFonts w:ascii="Arial Narrow" w:hAnsi="Arial Narrow" w:cs="Arial Narrow"/>
          <w:b w:val="0"/>
          <w:sz w:val="24"/>
        </w:rPr>
      </w:pPr>
      <w:bookmarkStart w:id="122" w:name="_Toc30447"/>
      <w:r>
        <w:rPr>
          <w:rFonts w:ascii="Arial Narrow" w:hAnsi="Arial Narrow" w:cs="Arial Narrow"/>
          <w:b w:val="0"/>
          <w:sz w:val="24"/>
        </w:rPr>
        <w:t>3</w:t>
      </w:r>
      <w:r>
        <w:rPr>
          <w:rFonts w:ascii="Arial Narrow" w:hAnsi="Arial Narrow" w:cs="Arial Narrow"/>
          <w:b w:val="0"/>
          <w:sz w:val="24"/>
        </w:rPr>
        <w:t>、建议</w:t>
      </w:r>
      <w:bookmarkEnd w:id="122"/>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）制定合理的绩效指标。项目实施单位应在项目开展之前根据项目性质结合实际情况设置更加量化的指标，如设置</w:t>
      </w:r>
      <w:r>
        <w:rPr>
          <w:rFonts w:ascii="Arial Narrow" w:hAnsi="Arial Narrow" w:cs="Arial Narrow"/>
        </w:rPr>
        <w:t>“</w:t>
      </w:r>
      <w:r>
        <w:rPr>
          <w:rFonts w:ascii="Arial Narrow" w:hAnsi="Arial Narrow" w:cs="Arial Narrow"/>
        </w:rPr>
        <w:t>责任书签订率</w:t>
      </w:r>
      <w:r>
        <w:rPr>
          <w:rFonts w:ascii="Arial Narrow" w:hAnsi="Arial Narrow" w:cs="Arial Narrow"/>
        </w:rPr>
        <w:t>”</w:t>
      </w:r>
      <w:r>
        <w:rPr>
          <w:rFonts w:ascii="Arial Narrow" w:hAnsi="Arial Narrow" w:cs="Arial Narrow"/>
        </w:rPr>
        <w:t>指标，用以考核项目实施后的数量目标，设置</w:t>
      </w:r>
      <w:r>
        <w:rPr>
          <w:rFonts w:ascii="Arial Narrow" w:hAnsi="Arial Narrow" w:cs="Arial Narrow"/>
        </w:rPr>
        <w:t>“</w:t>
      </w:r>
      <w:r>
        <w:rPr>
          <w:rFonts w:ascii="Arial Narrow" w:hAnsi="Arial Narrow" w:cs="Arial Narrow"/>
        </w:rPr>
        <w:t>通行安全提升度</w:t>
      </w:r>
      <w:r>
        <w:rPr>
          <w:rFonts w:ascii="Arial Narrow" w:hAnsi="Arial Narrow" w:cs="Arial Narrow"/>
        </w:rPr>
        <w:t>”</w:t>
      </w:r>
      <w:r>
        <w:rPr>
          <w:rFonts w:ascii="Arial Narrow" w:hAnsi="Arial Narrow" w:cs="Arial Narrow"/>
        </w:rPr>
        <w:t>指标用以考核社会效益。</w:t>
      </w:r>
    </w:p>
    <w:p w:rsidR="003D2C75" w:rsidRDefault="00000000">
      <w:pPr>
        <w:adjustRightInd w:val="0"/>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合理编制年初预算。建议项目实施单位通过可行性研究分析及专家论证等针对项目设置科学合理的实施方案，考虑多方面因素影响，做好项目预算，保障项目正常运行，并在执行过程中，对项目进行绩效预算跟踪监控，根据项目具体情况调整计划，落实资金使用情况，提高预算使用效率。</w:t>
      </w:r>
    </w:p>
    <w:p w:rsidR="003D2C75" w:rsidRDefault="00000000">
      <w:pPr>
        <w:pStyle w:val="a5"/>
        <w:ind w:firstLine="480"/>
        <w:rPr>
          <w:rFonts w:ascii="Arial Narrow" w:hAnsi="Arial Narrow" w:cs="Arial Narrow"/>
        </w:rPr>
      </w:pPr>
      <w:bookmarkStart w:id="123" w:name="_Toc13580"/>
      <w:r>
        <w:rPr>
          <w:rFonts w:ascii="Arial Narrow" w:hAnsi="Arial Narrow" w:cs="Arial Narrow"/>
        </w:rPr>
        <w:t>（</w:t>
      </w:r>
      <w:r>
        <w:rPr>
          <w:rFonts w:ascii="Arial Narrow" w:hAnsi="Arial Narrow" w:cs="Arial Narrow"/>
        </w:rPr>
        <w:t>3</w:t>
      </w:r>
      <w:r>
        <w:rPr>
          <w:rFonts w:ascii="Arial Narrow" w:hAnsi="Arial Narrow" w:cs="Arial Narrow"/>
        </w:rPr>
        <w:t>）完善各项工作记录，加强工作留痕管理。项目实施单位应制定工作台账管理制度，建立各项工作台账，要求工作人员在开展各项工作时及时记录并留存相关资料，并建立专门的工作记录档案，做好留痕工作，并留底备查。</w:t>
      </w:r>
    </w:p>
    <w:p w:rsidR="003D2C75" w:rsidRDefault="00000000">
      <w:pPr>
        <w:pStyle w:val="a5"/>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）加大治超工作力度。项目实施单位应加大对路面治超工作的人力、物力投入力度，加大对超限车辆的处罚力度，将超限率控制在</w:t>
      </w:r>
      <w:r>
        <w:rPr>
          <w:rFonts w:ascii="Arial Narrow" w:hAnsi="Arial Narrow" w:cs="Arial Narrow"/>
        </w:rPr>
        <w:t>2%</w:t>
      </w:r>
      <w:r>
        <w:rPr>
          <w:rFonts w:ascii="Arial Narrow" w:hAnsi="Arial Narrow" w:cs="Arial Narrow"/>
        </w:rPr>
        <w:t>以内，减少路面通行压力，从而提高交通通常度安全度。</w:t>
      </w:r>
    </w:p>
    <w:p w:rsidR="003D2C75" w:rsidRDefault="00000000">
      <w:pPr>
        <w:pStyle w:val="2"/>
        <w:adjustRightInd w:val="0"/>
        <w:snapToGrid w:val="0"/>
        <w:spacing w:line="360" w:lineRule="auto"/>
        <w:ind w:firstLine="489"/>
        <w:rPr>
          <w:rFonts w:ascii="Arial Narrow" w:eastAsia="仿宋_GB2312" w:hAnsi="Arial Narrow" w:cs="Arial Narrow"/>
          <w:sz w:val="24"/>
        </w:rPr>
      </w:pPr>
      <w:bookmarkStart w:id="124" w:name="_Toc30189"/>
      <w:r>
        <w:rPr>
          <w:rFonts w:ascii="Arial Narrow" w:eastAsia="仿宋_GB2312" w:hAnsi="Arial Narrow" w:cs="Arial Narrow"/>
          <w:sz w:val="24"/>
        </w:rPr>
        <w:t>（五）其他需说明的问题</w:t>
      </w:r>
      <w:bookmarkEnd w:id="118"/>
      <w:bookmarkEnd w:id="119"/>
      <w:bookmarkEnd w:id="120"/>
      <w:bookmarkEnd w:id="123"/>
      <w:bookmarkEnd w:id="124"/>
    </w:p>
    <w:p w:rsidR="003D2C75" w:rsidRDefault="00000000">
      <w:pPr>
        <w:snapToGrid w:val="0"/>
        <w:ind w:firstLine="480"/>
        <w:rPr>
          <w:rFonts w:ascii="Arial Narrow" w:hAnsi="Arial Narrow" w:cs="Arial Narrow"/>
        </w:rPr>
      </w:pPr>
      <w:bookmarkStart w:id="125" w:name="_Toc16557"/>
      <w:bookmarkStart w:id="126" w:name="_Toc2021"/>
      <w:bookmarkStart w:id="127" w:name="_Toc12458"/>
      <w:bookmarkStart w:id="128" w:name="_Toc481460264"/>
      <w:bookmarkStart w:id="129" w:name="_Toc481590371"/>
      <w:r>
        <w:rPr>
          <w:rFonts w:ascii="Arial Narrow" w:hAnsi="Arial Narrow" w:cs="Arial Narrow"/>
        </w:rPr>
        <w:t>1</w:t>
      </w:r>
      <w:r>
        <w:rPr>
          <w:rFonts w:ascii="Arial Narrow" w:hAnsi="Arial Narrow" w:cs="Arial Narrow"/>
        </w:rPr>
        <w:t>、关于评价责任的说明</w:t>
      </w:r>
      <w:bookmarkEnd w:id="125"/>
      <w:bookmarkEnd w:id="126"/>
      <w:bookmarkEnd w:id="127"/>
      <w:bookmarkEnd w:id="128"/>
    </w:p>
    <w:p w:rsidR="003D2C75" w:rsidRDefault="00000000">
      <w:pPr>
        <w:snapToGrid w:val="0"/>
        <w:spacing w:before="157" w:after="157"/>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3D2C75" w:rsidRDefault="00000000">
      <w:pPr>
        <w:snapToGrid w:val="0"/>
        <w:ind w:firstLine="480"/>
        <w:rPr>
          <w:rFonts w:ascii="Arial Narrow" w:hAnsi="Arial Narrow" w:cs="Arial Narrow"/>
        </w:rPr>
      </w:pPr>
      <w:bookmarkStart w:id="130" w:name="_Toc481460265"/>
      <w:bookmarkStart w:id="131" w:name="_Toc28521"/>
      <w:bookmarkStart w:id="132" w:name="_Toc4033"/>
      <w:bookmarkStart w:id="133" w:name="_Toc5089"/>
      <w:r>
        <w:rPr>
          <w:rFonts w:ascii="Arial Narrow" w:hAnsi="Arial Narrow" w:cs="Arial Narrow"/>
        </w:rPr>
        <w:t>2</w:t>
      </w:r>
      <w:r>
        <w:rPr>
          <w:rFonts w:ascii="Arial Narrow" w:hAnsi="Arial Narrow" w:cs="Arial Narrow"/>
        </w:rPr>
        <w:t>、关于评价局限性的说明</w:t>
      </w:r>
      <w:bookmarkEnd w:id="130"/>
      <w:bookmarkEnd w:id="131"/>
      <w:bookmarkEnd w:id="132"/>
      <w:bookmarkEnd w:id="133"/>
    </w:p>
    <w:p w:rsidR="003D2C75" w:rsidRDefault="00000000">
      <w:pPr>
        <w:adjustRightInd w:val="0"/>
        <w:snapToGrid w:val="0"/>
        <w:ind w:firstLine="480"/>
        <w:rPr>
          <w:rFonts w:ascii="Arial Narrow" w:hAnsi="Arial Narrow" w:cs="Arial Narrow"/>
          <w:szCs w:val="28"/>
        </w:rPr>
      </w:pPr>
      <w:r>
        <w:rPr>
          <w:rFonts w:ascii="Arial Narrow" w:hAnsi="Arial Narrow" w:cs="Arial Narrow"/>
          <w:szCs w:val="28"/>
        </w:rPr>
        <w:t>（</w:t>
      </w:r>
      <w:r>
        <w:rPr>
          <w:rFonts w:ascii="Arial Narrow" w:hAnsi="Arial Narrow" w:cs="Arial Narrow"/>
          <w:szCs w:val="28"/>
        </w:rPr>
        <w:t>1</w:t>
      </w:r>
      <w:r>
        <w:rPr>
          <w:rFonts w:ascii="Arial Narrow" w:hAnsi="Arial Narrow" w:cs="Arial Narrow"/>
          <w:szCs w:val="28"/>
        </w:rPr>
        <w:t>）评价结论是致同会计师事务所（特殊普通合伙）武汉分所出具的，受具体参加本次项目的评价人员的水平和能力的限制。鉴于突发事件通报次数因资料涉及其他区信息，无法提供，存在资料的有限性和调查、分析、判断的局限性，</w:t>
      </w:r>
      <w:r>
        <w:rPr>
          <w:rFonts w:ascii="Arial Narrow" w:hAnsi="Arial Narrow" w:cs="Arial Narrow"/>
          <w:szCs w:val="28"/>
        </w:rPr>
        <w:lastRenderedPageBreak/>
        <w:t>因此，评价结论无法考虑影响资金使用的所有因素，评价结论存在一定的局限性。</w:t>
      </w:r>
    </w:p>
    <w:p w:rsidR="003D2C75" w:rsidRDefault="00000000">
      <w:pPr>
        <w:adjustRightInd w:val="0"/>
        <w:snapToGrid w:val="0"/>
        <w:ind w:firstLine="480"/>
        <w:rPr>
          <w:rFonts w:ascii="Arial Narrow" w:hAnsi="Arial Narrow" w:cs="Arial Narrow"/>
          <w:szCs w:val="28"/>
        </w:rPr>
      </w:pPr>
      <w:r>
        <w:rPr>
          <w:rFonts w:ascii="Arial Narrow" w:hAnsi="Arial Narrow" w:cs="Arial Narrow"/>
          <w:szCs w:val="28"/>
        </w:rPr>
        <w:t>（</w:t>
      </w:r>
      <w:r>
        <w:rPr>
          <w:rFonts w:ascii="Arial Narrow" w:hAnsi="Arial Narrow" w:cs="Arial Narrow"/>
          <w:szCs w:val="28"/>
        </w:rPr>
        <w:t>2</w:t>
      </w:r>
      <w:r>
        <w:rPr>
          <w:rFonts w:ascii="Arial Narrow" w:hAnsi="Arial Narrow" w:cs="Arial Narrow"/>
          <w:szCs w:val="28"/>
        </w:rPr>
        <w:t>）对于绩效评价框架中的部分定性指标，无法根据量化的数据评价并得出分数，评议结果主要依据评价人员的职业判断，如慰问对象覆盖范围，因此，评价结论存在一定的局限性。</w:t>
      </w:r>
    </w:p>
    <w:p w:rsidR="003D2C75" w:rsidRDefault="00000000">
      <w:pPr>
        <w:adjustRightInd w:val="0"/>
        <w:snapToGrid w:val="0"/>
        <w:ind w:firstLine="480"/>
        <w:rPr>
          <w:rFonts w:ascii="Arial Narrow" w:hAnsi="Arial Narrow" w:cs="Arial Narrow"/>
          <w:szCs w:val="28"/>
        </w:rPr>
      </w:pPr>
      <w:r>
        <w:rPr>
          <w:rFonts w:ascii="Arial Narrow" w:hAnsi="Arial Narrow" w:cs="Arial Narrow"/>
          <w:szCs w:val="28"/>
        </w:rPr>
        <w:t>（</w:t>
      </w:r>
      <w:r>
        <w:rPr>
          <w:rFonts w:ascii="Arial Narrow" w:hAnsi="Arial Narrow" w:cs="Arial Narrow"/>
          <w:szCs w:val="28"/>
        </w:rPr>
        <w:t>3</w:t>
      </w:r>
      <w:r>
        <w:rPr>
          <w:rFonts w:ascii="Arial Narrow" w:hAnsi="Arial Narrow" w:cs="Arial Narrow"/>
          <w:szCs w:val="28"/>
        </w:rPr>
        <w:t>）指标</w:t>
      </w:r>
      <w:r>
        <w:rPr>
          <w:rFonts w:ascii="Arial Narrow" w:hAnsi="Arial Narrow" w:cs="Arial Narrow"/>
          <w:szCs w:val="28"/>
        </w:rPr>
        <w:t>“</w:t>
      </w:r>
      <w:r>
        <w:rPr>
          <w:rFonts w:ascii="Arial Narrow" w:hAnsi="Arial Narrow" w:cs="Arial Narrow"/>
          <w:szCs w:val="28"/>
        </w:rPr>
        <w:t>突发事件通报次数</w:t>
      </w:r>
      <w:r>
        <w:rPr>
          <w:rFonts w:ascii="Arial Narrow" w:hAnsi="Arial Narrow" w:cs="Arial Narrow"/>
          <w:szCs w:val="28"/>
        </w:rPr>
        <w:t>”</w:t>
      </w:r>
      <w:r>
        <w:rPr>
          <w:rFonts w:ascii="Arial Narrow" w:hAnsi="Arial Narrow" w:cs="Arial Narrow"/>
          <w:szCs w:val="28"/>
        </w:rPr>
        <w:t>，由于资料涉及其他区信息，无法提供。主要通过对工作人员进行访谈，因此可能对结果的准确性产生一定的影响。</w:t>
      </w:r>
      <w:bookmarkEnd w:id="129"/>
    </w:p>
    <w:p w:rsidR="003D2C75" w:rsidRDefault="003D2C75">
      <w:pPr>
        <w:adjustRightInd w:val="0"/>
        <w:snapToGrid w:val="0"/>
        <w:ind w:firstLine="480"/>
        <w:rPr>
          <w:rFonts w:ascii="Arial Narrow" w:hAnsi="Arial Narrow" w:cs="Arial Narrow"/>
          <w:szCs w:val="28"/>
        </w:rPr>
      </w:pPr>
    </w:p>
    <w:p w:rsidR="003D2C75" w:rsidRDefault="003D2C75">
      <w:pPr>
        <w:adjustRightInd w:val="0"/>
        <w:snapToGrid w:val="0"/>
        <w:ind w:firstLine="480"/>
        <w:rPr>
          <w:rFonts w:ascii="Arial Narrow" w:hAnsi="Arial Narrow" w:cs="Arial Narrow"/>
          <w:szCs w:val="28"/>
        </w:rPr>
      </w:pPr>
    </w:p>
    <w:p w:rsidR="003D2C75" w:rsidRDefault="00000000">
      <w:pPr>
        <w:pStyle w:val="2"/>
        <w:adjustRightInd w:val="0"/>
        <w:snapToGrid w:val="0"/>
        <w:spacing w:line="360" w:lineRule="auto"/>
        <w:ind w:firstLine="489"/>
        <w:rPr>
          <w:rFonts w:ascii="Arial Narrow" w:eastAsia="仿宋_GB2312" w:hAnsi="Arial Narrow" w:cs="Arial Narrow"/>
          <w:sz w:val="24"/>
        </w:rPr>
      </w:pPr>
      <w:bookmarkStart w:id="134" w:name="_Toc20675"/>
      <w:r>
        <w:rPr>
          <w:rFonts w:ascii="Arial Narrow" w:eastAsia="仿宋_GB2312" w:hAnsi="Arial Narrow" w:cs="Arial Narrow"/>
          <w:sz w:val="24"/>
        </w:rPr>
        <w:t>附件：</w:t>
      </w:r>
      <w:bookmarkEnd w:id="134"/>
    </w:p>
    <w:p w:rsidR="003D2C75" w:rsidRDefault="003D2C75">
      <w:pPr>
        <w:ind w:firstLine="489"/>
        <w:rPr>
          <w:rFonts w:ascii="Arial Narrow" w:hAnsi="Arial Narrow" w:cs="Arial Narrow"/>
          <w:b/>
          <w:bCs/>
        </w:rPr>
      </w:pP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1</w:t>
      </w:r>
      <w:r>
        <w:rPr>
          <w:rFonts w:ascii="Arial Narrow" w:hAnsi="Arial Narrow" w:cs="Arial Narrow"/>
          <w:bCs/>
        </w:rPr>
        <w:t>：绩效评价评分明细表及说明</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2</w:t>
      </w:r>
      <w:r>
        <w:rPr>
          <w:rFonts w:ascii="Arial Narrow" w:hAnsi="Arial Narrow" w:cs="Arial Narrow"/>
          <w:bCs/>
        </w:rPr>
        <w:t>：绩效目标完成情况对比表</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3</w:t>
      </w:r>
      <w:r>
        <w:rPr>
          <w:rFonts w:ascii="Arial Narrow" w:hAnsi="Arial Narrow" w:cs="Arial Narrow"/>
          <w:bCs/>
        </w:rPr>
        <w:t>：基础数据表</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4</w:t>
      </w:r>
      <w:r>
        <w:rPr>
          <w:rFonts w:ascii="Arial Narrow" w:hAnsi="Arial Narrow" w:cs="Arial Narrow"/>
          <w:bCs/>
        </w:rPr>
        <w:t>：访谈</w:t>
      </w:r>
      <w:r>
        <w:rPr>
          <w:rFonts w:ascii="Arial Narrow" w:hAnsi="Arial Narrow" w:cs="Arial Narrow" w:hint="eastAsia"/>
          <w:bCs/>
        </w:rPr>
        <w:t>记录</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5</w:t>
      </w:r>
      <w:r>
        <w:rPr>
          <w:rFonts w:ascii="Arial Narrow" w:hAnsi="Arial Narrow" w:cs="Arial Narrow"/>
          <w:bCs/>
        </w:rPr>
        <w:t>：评价现场照片</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6</w:t>
      </w:r>
      <w:r>
        <w:rPr>
          <w:rFonts w:ascii="Arial Narrow" w:hAnsi="Arial Narrow" w:cs="Arial Narrow"/>
          <w:bCs/>
        </w:rPr>
        <w:t>：评价依据目录</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7</w:t>
      </w:r>
      <w:r>
        <w:rPr>
          <w:rFonts w:ascii="Arial Narrow" w:hAnsi="Arial Narrow" w:cs="Arial Narrow"/>
          <w:bCs/>
        </w:rPr>
        <w:t>：绩效评价实施方案</w:t>
      </w:r>
    </w:p>
    <w:p w:rsidR="003D2C75" w:rsidRDefault="00000000">
      <w:pPr>
        <w:adjustRightInd w:val="0"/>
        <w:snapToGrid w:val="0"/>
        <w:ind w:firstLine="480"/>
        <w:rPr>
          <w:rFonts w:ascii="Arial Narrow" w:hAnsi="Arial Narrow" w:cs="Arial Narrow"/>
          <w:bCs/>
        </w:rPr>
      </w:pPr>
      <w:r>
        <w:rPr>
          <w:rFonts w:ascii="Arial Narrow" w:hAnsi="Arial Narrow" w:cs="Arial Narrow"/>
          <w:bCs/>
        </w:rPr>
        <w:t>附件</w:t>
      </w:r>
      <w:r>
        <w:rPr>
          <w:rFonts w:ascii="Arial Narrow" w:hAnsi="Arial Narrow" w:cs="Arial Narrow"/>
          <w:bCs/>
        </w:rPr>
        <w:t>8</w:t>
      </w:r>
      <w:r>
        <w:rPr>
          <w:rFonts w:ascii="Arial Narrow" w:hAnsi="Arial Narrow" w:cs="Arial Narrow"/>
          <w:bCs/>
        </w:rPr>
        <w:t>：评价机构营业执照（复印件）</w:t>
      </w:r>
    </w:p>
    <w:p w:rsidR="003D2C75" w:rsidRDefault="00000000">
      <w:pPr>
        <w:adjustRightInd w:val="0"/>
        <w:snapToGrid w:val="0"/>
        <w:ind w:firstLine="480"/>
        <w:rPr>
          <w:rFonts w:ascii="Arial Narrow" w:hAnsi="Arial Narrow" w:cs="Arial Narrow"/>
          <w:b/>
        </w:rPr>
      </w:pPr>
      <w:r>
        <w:rPr>
          <w:rFonts w:ascii="Arial Narrow" w:hAnsi="Arial Narrow" w:cs="Arial Narrow"/>
          <w:bCs/>
        </w:rPr>
        <w:t>附件</w:t>
      </w:r>
      <w:r>
        <w:rPr>
          <w:rFonts w:ascii="Arial Narrow" w:hAnsi="Arial Narrow" w:cs="Arial Narrow"/>
          <w:bCs/>
        </w:rPr>
        <w:t>9</w:t>
      </w:r>
      <w:r>
        <w:rPr>
          <w:rFonts w:ascii="Arial Narrow" w:hAnsi="Arial Narrow" w:cs="Arial Narrow"/>
          <w:bCs/>
        </w:rPr>
        <w:t>：相关评价人员职业证明文件（复印件）</w:t>
      </w:r>
    </w:p>
    <w:bookmarkEnd w:id="121"/>
    <w:p w:rsidR="003D2C75" w:rsidRDefault="003D2C75">
      <w:pPr>
        <w:adjustRightInd w:val="0"/>
        <w:snapToGrid w:val="0"/>
        <w:ind w:firstLine="480"/>
        <w:rPr>
          <w:rFonts w:ascii="Arial Narrow" w:hAnsi="Arial Narrow" w:cs="Arial Narrow"/>
        </w:rPr>
      </w:pPr>
    </w:p>
    <w:p w:rsidR="003D2C75" w:rsidRDefault="003D2C75">
      <w:pPr>
        <w:adjustRightInd w:val="0"/>
        <w:snapToGrid w:val="0"/>
        <w:ind w:firstLine="480"/>
        <w:rPr>
          <w:rFonts w:ascii="Arial Narrow" w:hAnsi="Arial Narrow" w:cs="Arial Narrow"/>
        </w:rPr>
      </w:pPr>
    </w:p>
    <w:p w:rsidR="003D2C75" w:rsidRDefault="003D2C75">
      <w:pPr>
        <w:adjustRightInd w:val="0"/>
        <w:snapToGrid w:val="0"/>
        <w:ind w:firstLine="480"/>
        <w:rPr>
          <w:rFonts w:ascii="Arial Narrow" w:hAnsi="Arial Narrow" w:cs="Arial Narrow"/>
        </w:rPr>
      </w:pPr>
    </w:p>
    <w:p w:rsidR="003D2C75" w:rsidRDefault="003D2C75">
      <w:pPr>
        <w:adjustRightInd w:val="0"/>
        <w:snapToGrid w:val="0"/>
        <w:ind w:firstLine="480"/>
        <w:rPr>
          <w:rFonts w:ascii="Arial Narrow" w:hAnsi="Arial Narrow" w:cs="Arial Narrow"/>
        </w:rPr>
      </w:pPr>
    </w:p>
    <w:p w:rsidR="003D2C75" w:rsidRDefault="00000000">
      <w:pPr>
        <w:wordWrap w:val="0"/>
        <w:adjustRightInd w:val="0"/>
        <w:snapToGrid w:val="0"/>
        <w:ind w:firstLineChars="0" w:firstLine="0"/>
        <w:jc w:val="right"/>
        <w:rPr>
          <w:rFonts w:ascii="Arial Narrow" w:hAnsi="Arial Narrow" w:cs="Arial Narrow"/>
        </w:rPr>
      </w:pPr>
      <w:r>
        <w:rPr>
          <w:rFonts w:ascii="Arial Narrow" w:hAnsi="Arial Narrow" w:cs="Arial Narrow"/>
        </w:rPr>
        <w:t>致同会计师事务所（特殊普通合伙）</w:t>
      </w:r>
    </w:p>
    <w:p w:rsidR="003D2C75" w:rsidRDefault="00000000">
      <w:pPr>
        <w:adjustRightInd w:val="0"/>
        <w:snapToGrid w:val="0"/>
        <w:ind w:firstLine="480"/>
        <w:jc w:val="right"/>
        <w:rPr>
          <w:rFonts w:ascii="Arial Narrow" w:hAnsi="Arial Narrow" w:cs="Arial Narrow"/>
        </w:rPr>
      </w:pPr>
      <w:r>
        <w:rPr>
          <w:rFonts w:ascii="Arial Narrow" w:hAnsi="Arial Narrow" w:cs="Arial Narrow"/>
        </w:rPr>
        <w:t>武汉分所</w:t>
      </w:r>
    </w:p>
    <w:p w:rsidR="003D2C75" w:rsidRDefault="00000000">
      <w:pPr>
        <w:wordWrap w:val="0"/>
        <w:adjustRightInd w:val="0"/>
        <w:snapToGrid w:val="0"/>
        <w:ind w:firstLine="480"/>
        <w:jc w:val="right"/>
        <w:rPr>
          <w:rFonts w:ascii="Arial Narrow" w:hAnsi="Arial Narrow" w:cs="Arial Narrow"/>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26</w:t>
      </w:r>
      <w:r>
        <w:rPr>
          <w:rFonts w:ascii="Arial Narrow" w:hAnsi="Arial Narrow" w:cs="Arial Narrow"/>
        </w:rPr>
        <w:t>日</w:t>
      </w:r>
    </w:p>
    <w:sectPr w:rsidR="003D2C75">
      <w:headerReference w:type="default" r:id="rId27"/>
      <w:footerReference w:type="default" r:id="rId28"/>
      <w:pgSz w:w="11906" w:h="16838"/>
      <w:pgMar w:top="2835" w:right="1417" w:bottom="1417" w:left="1984" w:header="794" w:footer="992" w:gutter="0"/>
      <w:pgNumType w:start="1"/>
      <w:cols w:space="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06623" w:rsidRDefault="00606623">
      <w:pPr>
        <w:spacing w:line="240" w:lineRule="auto"/>
        <w:ind w:firstLine="480"/>
      </w:pPr>
      <w:r>
        <w:separator/>
      </w:r>
    </w:p>
  </w:endnote>
  <w:endnote w:type="continuationSeparator" w:id="0">
    <w:p w:rsidR="00606623" w:rsidRDefault="00606623">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3D2C75">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3D2C75">
    <w:pPr>
      <w:pStyle w:val="aa"/>
      <w:ind w:firstLine="360"/>
      <w:jc w:val="center"/>
    </w:pPr>
  </w:p>
  <w:p w:rsidR="003D2C75" w:rsidRDefault="003D2C75">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3D2C75">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000000">
    <w:pPr>
      <w:pStyle w:val="aa"/>
      <w:ind w:firstLine="360"/>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3D2C75"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OqXm5zwAAAAUBAAAPAAAAAAAAAAEAIAAAACIAAABkcnMv&#10;ZG93bnJldi54bWxQSwECFAAUAAAACACHTuJA12zcYNMBAAClAwAADgAAAAAAAAABACAAAAAeAQAA&#10;ZHJzL2Uyb0RvYy54bWxQSwUGAAAAAAYABgBZAQAAYwU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p w:rsidR="003D2C75" w:rsidRDefault="003D2C75">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06623" w:rsidRDefault="00606623">
      <w:pPr>
        <w:ind w:firstLine="480"/>
      </w:pPr>
      <w:r>
        <w:separator/>
      </w:r>
    </w:p>
  </w:footnote>
  <w:footnote w:type="continuationSeparator" w:id="0">
    <w:p w:rsidR="00606623" w:rsidRDefault="00606623">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3D2C75">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3D2C75">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3D2C75">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2C75"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60288" behindDoc="0" locked="0" layoutInCell="1" allowOverlap="1">
              <wp:simplePos x="0" y="0"/>
              <wp:positionH relativeFrom="page">
                <wp:posOffset>4585970</wp:posOffset>
              </wp:positionH>
              <wp:positionV relativeFrom="page">
                <wp:posOffset>332740</wp:posOffset>
              </wp:positionV>
              <wp:extent cx="1906905" cy="945515"/>
              <wp:effectExtent l="0" t="0" r="0" b="0"/>
              <wp:wrapNone/>
              <wp:docPr id="13"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945515"/>
                      </a:xfrm>
                      <a:prstGeom prst="rect">
                        <a:avLst/>
                      </a:prstGeom>
                      <a:noFill/>
                      <a:ln>
                        <a:noFill/>
                      </a:ln>
                      <a:effectLst/>
                    </wps:spPr>
                    <wps:txbx>
                      <w:txbxContent>
                        <w:p w:rsidR="003D2C75"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3D2C75"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3D2C75"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3D2C75"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3D2C75" w:rsidRDefault="00000000" w:rsidP="00BD35C2">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anchor>
          </w:drawing>
        </mc:Choice>
        <mc:Fallback>
          <w:pict>
            <v:rect id="矩形 10" o:spid="_x0000_s1026" style="position:absolute;left:0;text-align:left;margin-left:361.1pt;margin-top:26.2pt;width:150.15pt;height:74.4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" filled="f" stroked="f">
              <v:textbox>
                <w:txbxContent>
                  <w:p w:rsidR="003D2C75"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3D2C75"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3D2C75"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3D2C75"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3D2C75" w:rsidRDefault="00000000" w:rsidP="00BD35C2">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9264"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3D2C75" w:rsidRDefault="003D2C75">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1" w15:restartNumberingAfterBreak="0">
    <w:nsid w:val="CEC79E53"/>
    <w:multiLevelType w:val="singleLevel"/>
    <w:tmpl w:val="CEC79E53"/>
    <w:lvl w:ilvl="0">
      <w:start w:val="2"/>
      <w:numFmt w:val="decimal"/>
      <w:suff w:val="nothing"/>
      <w:lvlText w:val="（%1）"/>
      <w:lvlJc w:val="left"/>
    </w:lvl>
  </w:abstractNum>
  <w:abstractNum w:abstractNumId="2" w15:restartNumberingAfterBreak="0">
    <w:nsid w:val="EF1724BD"/>
    <w:multiLevelType w:val="singleLevel"/>
    <w:tmpl w:val="EF1724BD"/>
    <w:lvl w:ilvl="0">
      <w:start w:val="1"/>
      <w:numFmt w:val="decimal"/>
      <w:suff w:val="nothing"/>
      <w:lvlText w:val="%1、"/>
      <w:lvlJc w:val="left"/>
    </w:lvl>
  </w:abstractNum>
  <w:abstractNum w:abstractNumId="3" w15:restartNumberingAfterBreak="0">
    <w:nsid w:val="40866748"/>
    <w:multiLevelType w:val="singleLevel"/>
    <w:tmpl w:val="40866748"/>
    <w:lvl w:ilvl="0">
      <w:start w:val="1"/>
      <w:numFmt w:val="decimal"/>
      <w:suff w:val="nothing"/>
      <w:lvlText w:val="（%1）"/>
      <w:lvlJc w:val="left"/>
    </w:lvl>
  </w:abstractNum>
  <w:abstractNum w:abstractNumId="4" w15:restartNumberingAfterBreak="0">
    <w:nsid w:val="58CF905B"/>
    <w:multiLevelType w:val="singleLevel"/>
    <w:tmpl w:val="58CF905B"/>
    <w:lvl w:ilvl="0">
      <w:start w:val="2"/>
      <w:numFmt w:val="decimal"/>
      <w:suff w:val="nothing"/>
      <w:lvlText w:val="（%1）"/>
      <w:lvlJc w:val="left"/>
    </w:lvl>
  </w:abstractNum>
  <w:abstractNum w:abstractNumId="5" w15:restartNumberingAfterBreak="0">
    <w:nsid w:val="593A0B72"/>
    <w:multiLevelType w:val="singleLevel"/>
    <w:tmpl w:val="593A0B72"/>
    <w:lvl w:ilvl="0">
      <w:start w:val="1"/>
      <w:numFmt w:val="decimal"/>
      <w:suff w:val="nothing"/>
      <w:lvlText w:val="（%1）"/>
      <w:lvlJc w:val="left"/>
    </w:lvl>
  </w:abstractNum>
  <w:num w:numId="1" w16cid:durableId="520775764">
    <w:abstractNumId w:val="0"/>
  </w:num>
  <w:num w:numId="2" w16cid:durableId="1975719813">
    <w:abstractNumId w:val="3"/>
  </w:num>
  <w:num w:numId="3" w16cid:durableId="651176897">
    <w:abstractNumId w:val="1"/>
  </w:num>
  <w:num w:numId="4" w16cid:durableId="2063210358">
    <w:abstractNumId w:val="4"/>
  </w:num>
  <w:num w:numId="5" w16cid:durableId="964041815">
    <w:abstractNumId w:val="5"/>
  </w:num>
  <w:num w:numId="6" w16cid:durableId="1635604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c1M2VjMWViN2NkMWRjOThlYjIxNGIzZDY3ZmVlNDkifQ=="/>
  </w:docVars>
  <w:rsids>
    <w:rsidRoot w:val="14FA09CC"/>
    <w:rsid w:val="00010C0B"/>
    <w:rsid w:val="0001227B"/>
    <w:rsid w:val="00012F02"/>
    <w:rsid w:val="000315DD"/>
    <w:rsid w:val="000368F7"/>
    <w:rsid w:val="000371FF"/>
    <w:rsid w:val="00037D13"/>
    <w:rsid w:val="000438DF"/>
    <w:rsid w:val="00046465"/>
    <w:rsid w:val="000543A1"/>
    <w:rsid w:val="0005441E"/>
    <w:rsid w:val="000633FE"/>
    <w:rsid w:val="000641E4"/>
    <w:rsid w:val="00072A21"/>
    <w:rsid w:val="00085B2C"/>
    <w:rsid w:val="000860F4"/>
    <w:rsid w:val="00095455"/>
    <w:rsid w:val="00095470"/>
    <w:rsid w:val="000C4967"/>
    <w:rsid w:val="000C5A54"/>
    <w:rsid w:val="000C6E27"/>
    <w:rsid w:val="000C727B"/>
    <w:rsid w:val="000D1BA4"/>
    <w:rsid w:val="000E04D0"/>
    <w:rsid w:val="000F4495"/>
    <w:rsid w:val="00113AE4"/>
    <w:rsid w:val="00115D31"/>
    <w:rsid w:val="00133B87"/>
    <w:rsid w:val="001362E9"/>
    <w:rsid w:val="00152758"/>
    <w:rsid w:val="00163734"/>
    <w:rsid w:val="001642DD"/>
    <w:rsid w:val="00164797"/>
    <w:rsid w:val="00167808"/>
    <w:rsid w:val="00181274"/>
    <w:rsid w:val="00185888"/>
    <w:rsid w:val="0018790B"/>
    <w:rsid w:val="0019794F"/>
    <w:rsid w:val="001B1E75"/>
    <w:rsid w:val="001B5A58"/>
    <w:rsid w:val="001C1CB0"/>
    <w:rsid w:val="001C27D2"/>
    <w:rsid w:val="001D35C4"/>
    <w:rsid w:val="001E3FEA"/>
    <w:rsid w:val="001F2B35"/>
    <w:rsid w:val="001F6C78"/>
    <w:rsid w:val="00201506"/>
    <w:rsid w:val="00206FF8"/>
    <w:rsid w:val="00212548"/>
    <w:rsid w:val="00216775"/>
    <w:rsid w:val="00217851"/>
    <w:rsid w:val="00220CE8"/>
    <w:rsid w:val="0022194D"/>
    <w:rsid w:val="00234753"/>
    <w:rsid w:val="0023614C"/>
    <w:rsid w:val="0024313D"/>
    <w:rsid w:val="002453D6"/>
    <w:rsid w:val="0025175C"/>
    <w:rsid w:val="002534EC"/>
    <w:rsid w:val="0026240C"/>
    <w:rsid w:val="00263AD8"/>
    <w:rsid w:val="0026412B"/>
    <w:rsid w:val="00266945"/>
    <w:rsid w:val="00267107"/>
    <w:rsid w:val="0027149C"/>
    <w:rsid w:val="00274139"/>
    <w:rsid w:val="002778DD"/>
    <w:rsid w:val="00282A39"/>
    <w:rsid w:val="0028501D"/>
    <w:rsid w:val="0029412F"/>
    <w:rsid w:val="0029515F"/>
    <w:rsid w:val="002A0052"/>
    <w:rsid w:val="002C0BCC"/>
    <w:rsid w:val="002C482C"/>
    <w:rsid w:val="002C488B"/>
    <w:rsid w:val="002C702D"/>
    <w:rsid w:val="002D679E"/>
    <w:rsid w:val="002E2B98"/>
    <w:rsid w:val="002F27EE"/>
    <w:rsid w:val="002F6E67"/>
    <w:rsid w:val="002F707B"/>
    <w:rsid w:val="00300C14"/>
    <w:rsid w:val="00303182"/>
    <w:rsid w:val="00307691"/>
    <w:rsid w:val="00307B5C"/>
    <w:rsid w:val="0031564F"/>
    <w:rsid w:val="00321ACF"/>
    <w:rsid w:val="0033154B"/>
    <w:rsid w:val="00334271"/>
    <w:rsid w:val="00337ECB"/>
    <w:rsid w:val="00352477"/>
    <w:rsid w:val="00355BBC"/>
    <w:rsid w:val="00355F33"/>
    <w:rsid w:val="00356488"/>
    <w:rsid w:val="00361386"/>
    <w:rsid w:val="003678CC"/>
    <w:rsid w:val="00372572"/>
    <w:rsid w:val="003739B4"/>
    <w:rsid w:val="00376FE8"/>
    <w:rsid w:val="00384802"/>
    <w:rsid w:val="003868F2"/>
    <w:rsid w:val="00392E89"/>
    <w:rsid w:val="00394F19"/>
    <w:rsid w:val="003C0D5B"/>
    <w:rsid w:val="003C70E7"/>
    <w:rsid w:val="003C76F5"/>
    <w:rsid w:val="003D2C75"/>
    <w:rsid w:val="003D54BB"/>
    <w:rsid w:val="003F65D7"/>
    <w:rsid w:val="003F70C7"/>
    <w:rsid w:val="00407B3C"/>
    <w:rsid w:val="004324D9"/>
    <w:rsid w:val="004345F7"/>
    <w:rsid w:val="00437EEC"/>
    <w:rsid w:val="004564E1"/>
    <w:rsid w:val="00463B3A"/>
    <w:rsid w:val="0046691E"/>
    <w:rsid w:val="00475FCF"/>
    <w:rsid w:val="004B2513"/>
    <w:rsid w:val="004D2DC8"/>
    <w:rsid w:val="004E1531"/>
    <w:rsid w:val="004E35B9"/>
    <w:rsid w:val="004E5C6A"/>
    <w:rsid w:val="005109FD"/>
    <w:rsid w:val="00515B24"/>
    <w:rsid w:val="00520748"/>
    <w:rsid w:val="0052350B"/>
    <w:rsid w:val="00525C04"/>
    <w:rsid w:val="00531645"/>
    <w:rsid w:val="00540E84"/>
    <w:rsid w:val="005451A6"/>
    <w:rsid w:val="00560D05"/>
    <w:rsid w:val="00575042"/>
    <w:rsid w:val="00581463"/>
    <w:rsid w:val="00587F79"/>
    <w:rsid w:val="00596ABA"/>
    <w:rsid w:val="005974CA"/>
    <w:rsid w:val="005B2220"/>
    <w:rsid w:val="005B3C3D"/>
    <w:rsid w:val="005C0250"/>
    <w:rsid w:val="005C4DA3"/>
    <w:rsid w:val="005C650A"/>
    <w:rsid w:val="005D59C3"/>
    <w:rsid w:val="005D60AA"/>
    <w:rsid w:val="005E114D"/>
    <w:rsid w:val="0060259D"/>
    <w:rsid w:val="00606623"/>
    <w:rsid w:val="00622A0A"/>
    <w:rsid w:val="006239AF"/>
    <w:rsid w:val="00632A52"/>
    <w:rsid w:val="00636742"/>
    <w:rsid w:val="00637AFE"/>
    <w:rsid w:val="006424E8"/>
    <w:rsid w:val="006451E4"/>
    <w:rsid w:val="006566E5"/>
    <w:rsid w:val="00665126"/>
    <w:rsid w:val="0066631C"/>
    <w:rsid w:val="00674B79"/>
    <w:rsid w:val="00676147"/>
    <w:rsid w:val="006773AF"/>
    <w:rsid w:val="00694BD8"/>
    <w:rsid w:val="006D12B9"/>
    <w:rsid w:val="006D7AAF"/>
    <w:rsid w:val="006E2F26"/>
    <w:rsid w:val="006F6422"/>
    <w:rsid w:val="006F7ED7"/>
    <w:rsid w:val="007046EE"/>
    <w:rsid w:val="0070605D"/>
    <w:rsid w:val="007170AC"/>
    <w:rsid w:val="00720327"/>
    <w:rsid w:val="00720A37"/>
    <w:rsid w:val="007242D4"/>
    <w:rsid w:val="00724AC9"/>
    <w:rsid w:val="007309AF"/>
    <w:rsid w:val="0073206E"/>
    <w:rsid w:val="00747F9A"/>
    <w:rsid w:val="00751561"/>
    <w:rsid w:val="00761526"/>
    <w:rsid w:val="007631FB"/>
    <w:rsid w:val="00773119"/>
    <w:rsid w:val="00781C43"/>
    <w:rsid w:val="00782335"/>
    <w:rsid w:val="0078752C"/>
    <w:rsid w:val="007908C7"/>
    <w:rsid w:val="007A4D06"/>
    <w:rsid w:val="007D0B26"/>
    <w:rsid w:val="007D5171"/>
    <w:rsid w:val="007E5C46"/>
    <w:rsid w:val="007F4AD8"/>
    <w:rsid w:val="008027F6"/>
    <w:rsid w:val="00803B36"/>
    <w:rsid w:val="00814F10"/>
    <w:rsid w:val="00816ADD"/>
    <w:rsid w:val="008241D4"/>
    <w:rsid w:val="008254E9"/>
    <w:rsid w:val="00834B94"/>
    <w:rsid w:val="00841BCA"/>
    <w:rsid w:val="008423E7"/>
    <w:rsid w:val="00843603"/>
    <w:rsid w:val="00852C6E"/>
    <w:rsid w:val="008612FC"/>
    <w:rsid w:val="00866343"/>
    <w:rsid w:val="008772F7"/>
    <w:rsid w:val="00894F58"/>
    <w:rsid w:val="00897CB1"/>
    <w:rsid w:val="008A5E6E"/>
    <w:rsid w:val="008C06E8"/>
    <w:rsid w:val="008C6759"/>
    <w:rsid w:val="008D4FAC"/>
    <w:rsid w:val="008D726D"/>
    <w:rsid w:val="008D7FAF"/>
    <w:rsid w:val="008E5A23"/>
    <w:rsid w:val="00904944"/>
    <w:rsid w:val="00907BF5"/>
    <w:rsid w:val="00916DB9"/>
    <w:rsid w:val="00924FC4"/>
    <w:rsid w:val="009256ED"/>
    <w:rsid w:val="009318A2"/>
    <w:rsid w:val="00935A7F"/>
    <w:rsid w:val="00951509"/>
    <w:rsid w:val="00952787"/>
    <w:rsid w:val="00953578"/>
    <w:rsid w:val="00967104"/>
    <w:rsid w:val="00971BB2"/>
    <w:rsid w:val="00976E7E"/>
    <w:rsid w:val="00984729"/>
    <w:rsid w:val="00986335"/>
    <w:rsid w:val="00997533"/>
    <w:rsid w:val="00997FE4"/>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1A78"/>
    <w:rsid w:val="00A65F35"/>
    <w:rsid w:val="00A6702E"/>
    <w:rsid w:val="00A6786B"/>
    <w:rsid w:val="00A67CCB"/>
    <w:rsid w:val="00A71C51"/>
    <w:rsid w:val="00A71E81"/>
    <w:rsid w:val="00A760FE"/>
    <w:rsid w:val="00A8623D"/>
    <w:rsid w:val="00A923D4"/>
    <w:rsid w:val="00AA3F78"/>
    <w:rsid w:val="00AA42F6"/>
    <w:rsid w:val="00AA73A6"/>
    <w:rsid w:val="00AB33FC"/>
    <w:rsid w:val="00AB3977"/>
    <w:rsid w:val="00AB6038"/>
    <w:rsid w:val="00AB6F56"/>
    <w:rsid w:val="00AB775D"/>
    <w:rsid w:val="00AC068C"/>
    <w:rsid w:val="00AC4062"/>
    <w:rsid w:val="00AD56F8"/>
    <w:rsid w:val="00AE718F"/>
    <w:rsid w:val="00AE7775"/>
    <w:rsid w:val="00AF0DE2"/>
    <w:rsid w:val="00AF0F5D"/>
    <w:rsid w:val="00AF175A"/>
    <w:rsid w:val="00AF1775"/>
    <w:rsid w:val="00AF3014"/>
    <w:rsid w:val="00AF3CB0"/>
    <w:rsid w:val="00AF6642"/>
    <w:rsid w:val="00B04343"/>
    <w:rsid w:val="00B264C5"/>
    <w:rsid w:val="00B36620"/>
    <w:rsid w:val="00B5217F"/>
    <w:rsid w:val="00B71AC4"/>
    <w:rsid w:val="00B84989"/>
    <w:rsid w:val="00B86CA7"/>
    <w:rsid w:val="00BA7F32"/>
    <w:rsid w:val="00BC0619"/>
    <w:rsid w:val="00BC74FF"/>
    <w:rsid w:val="00BC7B84"/>
    <w:rsid w:val="00BD04C7"/>
    <w:rsid w:val="00BD35C2"/>
    <w:rsid w:val="00BD382B"/>
    <w:rsid w:val="00BE6720"/>
    <w:rsid w:val="00BF7F80"/>
    <w:rsid w:val="00C006C6"/>
    <w:rsid w:val="00C02903"/>
    <w:rsid w:val="00C02CC7"/>
    <w:rsid w:val="00C304FB"/>
    <w:rsid w:val="00C31B91"/>
    <w:rsid w:val="00C330A9"/>
    <w:rsid w:val="00C340EB"/>
    <w:rsid w:val="00C35508"/>
    <w:rsid w:val="00C47780"/>
    <w:rsid w:val="00C5241D"/>
    <w:rsid w:val="00C64C4D"/>
    <w:rsid w:val="00C65A96"/>
    <w:rsid w:val="00C705AB"/>
    <w:rsid w:val="00C72FC2"/>
    <w:rsid w:val="00C76E92"/>
    <w:rsid w:val="00C95B3B"/>
    <w:rsid w:val="00CA3134"/>
    <w:rsid w:val="00CA6E33"/>
    <w:rsid w:val="00CB040C"/>
    <w:rsid w:val="00CB4283"/>
    <w:rsid w:val="00CC01BD"/>
    <w:rsid w:val="00CC0E71"/>
    <w:rsid w:val="00CC2122"/>
    <w:rsid w:val="00CC380A"/>
    <w:rsid w:val="00CC76D8"/>
    <w:rsid w:val="00CD16F9"/>
    <w:rsid w:val="00CD44FE"/>
    <w:rsid w:val="00CE0AB8"/>
    <w:rsid w:val="00CE1C89"/>
    <w:rsid w:val="00CE1D1A"/>
    <w:rsid w:val="00CF4C28"/>
    <w:rsid w:val="00D012DB"/>
    <w:rsid w:val="00D31A53"/>
    <w:rsid w:val="00D31C73"/>
    <w:rsid w:val="00D33F54"/>
    <w:rsid w:val="00D355E7"/>
    <w:rsid w:val="00D72007"/>
    <w:rsid w:val="00D77929"/>
    <w:rsid w:val="00D812C6"/>
    <w:rsid w:val="00D82D37"/>
    <w:rsid w:val="00D83FDA"/>
    <w:rsid w:val="00D843BA"/>
    <w:rsid w:val="00D90635"/>
    <w:rsid w:val="00D91494"/>
    <w:rsid w:val="00D92935"/>
    <w:rsid w:val="00D93CB0"/>
    <w:rsid w:val="00D9706A"/>
    <w:rsid w:val="00D97C95"/>
    <w:rsid w:val="00DB1171"/>
    <w:rsid w:val="00DC150D"/>
    <w:rsid w:val="00DC339A"/>
    <w:rsid w:val="00DC788B"/>
    <w:rsid w:val="00DD0791"/>
    <w:rsid w:val="00DD126F"/>
    <w:rsid w:val="00DD6D81"/>
    <w:rsid w:val="00DD7F1D"/>
    <w:rsid w:val="00DE1EE7"/>
    <w:rsid w:val="00DF4EF7"/>
    <w:rsid w:val="00E01C4E"/>
    <w:rsid w:val="00E01EBC"/>
    <w:rsid w:val="00E12A17"/>
    <w:rsid w:val="00E12C21"/>
    <w:rsid w:val="00E13FED"/>
    <w:rsid w:val="00E1667F"/>
    <w:rsid w:val="00E21DF2"/>
    <w:rsid w:val="00E23BD1"/>
    <w:rsid w:val="00E27271"/>
    <w:rsid w:val="00E419E4"/>
    <w:rsid w:val="00E443F9"/>
    <w:rsid w:val="00E665FC"/>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21DF"/>
    <w:rsid w:val="00F23BE8"/>
    <w:rsid w:val="00F371BA"/>
    <w:rsid w:val="00F41B32"/>
    <w:rsid w:val="00F41C44"/>
    <w:rsid w:val="00F41CD5"/>
    <w:rsid w:val="00F42BA6"/>
    <w:rsid w:val="00F4589D"/>
    <w:rsid w:val="00F5359F"/>
    <w:rsid w:val="00F54DEF"/>
    <w:rsid w:val="00F57C6E"/>
    <w:rsid w:val="00F61BA6"/>
    <w:rsid w:val="00F63146"/>
    <w:rsid w:val="00F65054"/>
    <w:rsid w:val="00F65BC1"/>
    <w:rsid w:val="00F83845"/>
    <w:rsid w:val="00F9477B"/>
    <w:rsid w:val="00F95560"/>
    <w:rsid w:val="00F96C04"/>
    <w:rsid w:val="00FC3A15"/>
    <w:rsid w:val="00FC3DA7"/>
    <w:rsid w:val="00FC5B2E"/>
    <w:rsid w:val="00FC602E"/>
    <w:rsid w:val="00FC64F1"/>
    <w:rsid w:val="00FD4936"/>
    <w:rsid w:val="00FE7DDC"/>
    <w:rsid w:val="00FF07F9"/>
    <w:rsid w:val="00FF37E4"/>
    <w:rsid w:val="00FF631D"/>
    <w:rsid w:val="0111140C"/>
    <w:rsid w:val="01384953"/>
    <w:rsid w:val="0157301B"/>
    <w:rsid w:val="01C64545"/>
    <w:rsid w:val="01ED5CAC"/>
    <w:rsid w:val="0256052D"/>
    <w:rsid w:val="02A00BF8"/>
    <w:rsid w:val="02A21D51"/>
    <w:rsid w:val="02CA388B"/>
    <w:rsid w:val="033C7A27"/>
    <w:rsid w:val="03426A1E"/>
    <w:rsid w:val="035039E9"/>
    <w:rsid w:val="035452A7"/>
    <w:rsid w:val="03582045"/>
    <w:rsid w:val="036438A6"/>
    <w:rsid w:val="036E11BE"/>
    <w:rsid w:val="03E932AA"/>
    <w:rsid w:val="04175525"/>
    <w:rsid w:val="04646512"/>
    <w:rsid w:val="0473207A"/>
    <w:rsid w:val="0476044C"/>
    <w:rsid w:val="04BD3345"/>
    <w:rsid w:val="05133123"/>
    <w:rsid w:val="0526458B"/>
    <w:rsid w:val="0534051C"/>
    <w:rsid w:val="0596742C"/>
    <w:rsid w:val="05FE48C3"/>
    <w:rsid w:val="06387571"/>
    <w:rsid w:val="06451C6A"/>
    <w:rsid w:val="068074F8"/>
    <w:rsid w:val="06BF7B45"/>
    <w:rsid w:val="06DA0027"/>
    <w:rsid w:val="06E61B42"/>
    <w:rsid w:val="0711776E"/>
    <w:rsid w:val="071A051D"/>
    <w:rsid w:val="074036F9"/>
    <w:rsid w:val="074347A0"/>
    <w:rsid w:val="07BD691F"/>
    <w:rsid w:val="082335B8"/>
    <w:rsid w:val="083B6639"/>
    <w:rsid w:val="089A2C1B"/>
    <w:rsid w:val="089D7EE7"/>
    <w:rsid w:val="090079E4"/>
    <w:rsid w:val="093D4C75"/>
    <w:rsid w:val="096B1997"/>
    <w:rsid w:val="09C744C9"/>
    <w:rsid w:val="09F946C5"/>
    <w:rsid w:val="0A7227F4"/>
    <w:rsid w:val="0A8569B4"/>
    <w:rsid w:val="0A975A65"/>
    <w:rsid w:val="0ACF78EC"/>
    <w:rsid w:val="0B030650"/>
    <w:rsid w:val="0B2801BE"/>
    <w:rsid w:val="0B434CAD"/>
    <w:rsid w:val="0B692EE7"/>
    <w:rsid w:val="0B967C07"/>
    <w:rsid w:val="0B987059"/>
    <w:rsid w:val="0BE432D3"/>
    <w:rsid w:val="0BF82F5F"/>
    <w:rsid w:val="0C096348"/>
    <w:rsid w:val="0C39413D"/>
    <w:rsid w:val="0C6306D7"/>
    <w:rsid w:val="0CD37B11"/>
    <w:rsid w:val="0CDC1D90"/>
    <w:rsid w:val="0CE539F8"/>
    <w:rsid w:val="0D0826C7"/>
    <w:rsid w:val="0D540DEF"/>
    <w:rsid w:val="0D61536F"/>
    <w:rsid w:val="0DC42CE6"/>
    <w:rsid w:val="0E0718FA"/>
    <w:rsid w:val="0E2A41C8"/>
    <w:rsid w:val="0E734145"/>
    <w:rsid w:val="0E8007EB"/>
    <w:rsid w:val="0E805503"/>
    <w:rsid w:val="0E9C6022"/>
    <w:rsid w:val="0EB66368"/>
    <w:rsid w:val="0F0C2BBE"/>
    <w:rsid w:val="0F1171A5"/>
    <w:rsid w:val="0F1C2908"/>
    <w:rsid w:val="0F462D72"/>
    <w:rsid w:val="0F551CB7"/>
    <w:rsid w:val="0F642E45"/>
    <w:rsid w:val="0FC21E89"/>
    <w:rsid w:val="0FFC7ED2"/>
    <w:rsid w:val="10590E6E"/>
    <w:rsid w:val="10710D0F"/>
    <w:rsid w:val="10811FB1"/>
    <w:rsid w:val="10CA1551"/>
    <w:rsid w:val="10D861A3"/>
    <w:rsid w:val="10DE7E1D"/>
    <w:rsid w:val="110C7843"/>
    <w:rsid w:val="112B76BB"/>
    <w:rsid w:val="1133382D"/>
    <w:rsid w:val="116D5BA0"/>
    <w:rsid w:val="11B11097"/>
    <w:rsid w:val="121200A6"/>
    <w:rsid w:val="122E6FB5"/>
    <w:rsid w:val="12455934"/>
    <w:rsid w:val="124F4DC7"/>
    <w:rsid w:val="12BD789E"/>
    <w:rsid w:val="12DD220D"/>
    <w:rsid w:val="13A43EE6"/>
    <w:rsid w:val="13D0222B"/>
    <w:rsid w:val="14286D7D"/>
    <w:rsid w:val="14320EF6"/>
    <w:rsid w:val="14526B12"/>
    <w:rsid w:val="145F5F11"/>
    <w:rsid w:val="147408BF"/>
    <w:rsid w:val="14C41225"/>
    <w:rsid w:val="14C65B13"/>
    <w:rsid w:val="14D14F1A"/>
    <w:rsid w:val="14FA09CC"/>
    <w:rsid w:val="151E4EEE"/>
    <w:rsid w:val="15316507"/>
    <w:rsid w:val="15882FE6"/>
    <w:rsid w:val="15A328E9"/>
    <w:rsid w:val="15AD4D27"/>
    <w:rsid w:val="15C40710"/>
    <w:rsid w:val="15E57B71"/>
    <w:rsid w:val="1633419A"/>
    <w:rsid w:val="166146AA"/>
    <w:rsid w:val="16793553"/>
    <w:rsid w:val="16B34F94"/>
    <w:rsid w:val="17491B6A"/>
    <w:rsid w:val="17ED039F"/>
    <w:rsid w:val="188C3EAE"/>
    <w:rsid w:val="18C45103"/>
    <w:rsid w:val="18C91990"/>
    <w:rsid w:val="18DE1FD6"/>
    <w:rsid w:val="18F473A6"/>
    <w:rsid w:val="1A4B6159"/>
    <w:rsid w:val="1A7A1C74"/>
    <w:rsid w:val="1A8B0D17"/>
    <w:rsid w:val="1AA25B63"/>
    <w:rsid w:val="1AAC38A7"/>
    <w:rsid w:val="1ADE6234"/>
    <w:rsid w:val="1B0C64E5"/>
    <w:rsid w:val="1B185536"/>
    <w:rsid w:val="1B720C2D"/>
    <w:rsid w:val="1C0851E2"/>
    <w:rsid w:val="1C696141"/>
    <w:rsid w:val="1C7820B9"/>
    <w:rsid w:val="1CCF7472"/>
    <w:rsid w:val="1CF53F40"/>
    <w:rsid w:val="1CFB0F24"/>
    <w:rsid w:val="1D4A4DEF"/>
    <w:rsid w:val="1D5F1799"/>
    <w:rsid w:val="1DF8407B"/>
    <w:rsid w:val="1E0C5E04"/>
    <w:rsid w:val="1E0D47C6"/>
    <w:rsid w:val="1E813881"/>
    <w:rsid w:val="1EA94A57"/>
    <w:rsid w:val="1EB813FB"/>
    <w:rsid w:val="1EF651AD"/>
    <w:rsid w:val="1F2F2DE5"/>
    <w:rsid w:val="1F332C65"/>
    <w:rsid w:val="1F3924EA"/>
    <w:rsid w:val="1FBC6662"/>
    <w:rsid w:val="1FD25199"/>
    <w:rsid w:val="1FDE31BE"/>
    <w:rsid w:val="1FE70B2C"/>
    <w:rsid w:val="1FE92FDE"/>
    <w:rsid w:val="200949DE"/>
    <w:rsid w:val="203963D4"/>
    <w:rsid w:val="208278EA"/>
    <w:rsid w:val="20B2509A"/>
    <w:rsid w:val="20B74EB6"/>
    <w:rsid w:val="20C15EB3"/>
    <w:rsid w:val="20D56A69"/>
    <w:rsid w:val="20F77205"/>
    <w:rsid w:val="21085A3D"/>
    <w:rsid w:val="21261677"/>
    <w:rsid w:val="21636C2C"/>
    <w:rsid w:val="217F076A"/>
    <w:rsid w:val="21825567"/>
    <w:rsid w:val="21FC59F0"/>
    <w:rsid w:val="222D0DBF"/>
    <w:rsid w:val="223924AA"/>
    <w:rsid w:val="223B33BB"/>
    <w:rsid w:val="22650ACF"/>
    <w:rsid w:val="22A94103"/>
    <w:rsid w:val="22EF59AF"/>
    <w:rsid w:val="237B1431"/>
    <w:rsid w:val="23AC7D40"/>
    <w:rsid w:val="23AE477E"/>
    <w:rsid w:val="24095061"/>
    <w:rsid w:val="24134078"/>
    <w:rsid w:val="24862A7F"/>
    <w:rsid w:val="25A928ED"/>
    <w:rsid w:val="25B97EDF"/>
    <w:rsid w:val="25D87E06"/>
    <w:rsid w:val="25F77651"/>
    <w:rsid w:val="26124D13"/>
    <w:rsid w:val="267A07AA"/>
    <w:rsid w:val="26DD6E5A"/>
    <w:rsid w:val="26DE5D5E"/>
    <w:rsid w:val="26EF6374"/>
    <w:rsid w:val="27773163"/>
    <w:rsid w:val="277F4144"/>
    <w:rsid w:val="27AE42D5"/>
    <w:rsid w:val="27E6654F"/>
    <w:rsid w:val="27F54648"/>
    <w:rsid w:val="283A7AA2"/>
    <w:rsid w:val="283F1894"/>
    <w:rsid w:val="287131D3"/>
    <w:rsid w:val="288067A3"/>
    <w:rsid w:val="28860751"/>
    <w:rsid w:val="28A17456"/>
    <w:rsid w:val="28CA3868"/>
    <w:rsid w:val="28FD62BB"/>
    <w:rsid w:val="28FE7BD6"/>
    <w:rsid w:val="291456F0"/>
    <w:rsid w:val="2916557A"/>
    <w:rsid w:val="2917643B"/>
    <w:rsid w:val="29396776"/>
    <w:rsid w:val="296B7CFD"/>
    <w:rsid w:val="2976376F"/>
    <w:rsid w:val="297E4344"/>
    <w:rsid w:val="298B6E53"/>
    <w:rsid w:val="29BB196C"/>
    <w:rsid w:val="29E667B9"/>
    <w:rsid w:val="2A26586D"/>
    <w:rsid w:val="2A5F2743"/>
    <w:rsid w:val="2A6F05B4"/>
    <w:rsid w:val="2A82492C"/>
    <w:rsid w:val="2AC040A2"/>
    <w:rsid w:val="2AD63E97"/>
    <w:rsid w:val="2AEC65F7"/>
    <w:rsid w:val="2B271F6F"/>
    <w:rsid w:val="2B2D10A3"/>
    <w:rsid w:val="2B345DAE"/>
    <w:rsid w:val="2B350BF3"/>
    <w:rsid w:val="2B3C2216"/>
    <w:rsid w:val="2B506704"/>
    <w:rsid w:val="2B6E4020"/>
    <w:rsid w:val="2B845032"/>
    <w:rsid w:val="2B9036E0"/>
    <w:rsid w:val="2BA241B5"/>
    <w:rsid w:val="2BB221FD"/>
    <w:rsid w:val="2C1E7FF5"/>
    <w:rsid w:val="2C5D32E1"/>
    <w:rsid w:val="2C9A512B"/>
    <w:rsid w:val="2CD74887"/>
    <w:rsid w:val="2D143F92"/>
    <w:rsid w:val="2D1C1140"/>
    <w:rsid w:val="2D8229AB"/>
    <w:rsid w:val="2DA52FAF"/>
    <w:rsid w:val="2DA6512B"/>
    <w:rsid w:val="2DAC1A8E"/>
    <w:rsid w:val="2DBC11B0"/>
    <w:rsid w:val="2DCD08F7"/>
    <w:rsid w:val="2DF96205"/>
    <w:rsid w:val="2E135891"/>
    <w:rsid w:val="2E2E7ECA"/>
    <w:rsid w:val="2E3E1CF1"/>
    <w:rsid w:val="2E5B4856"/>
    <w:rsid w:val="2E6B47C0"/>
    <w:rsid w:val="2EF258FE"/>
    <w:rsid w:val="2F015689"/>
    <w:rsid w:val="2F3135C7"/>
    <w:rsid w:val="2F494571"/>
    <w:rsid w:val="2F6C73E7"/>
    <w:rsid w:val="2F8864EC"/>
    <w:rsid w:val="2FA75262"/>
    <w:rsid w:val="2FBA1E29"/>
    <w:rsid w:val="2FBA72E7"/>
    <w:rsid w:val="2FCB0F15"/>
    <w:rsid w:val="2FCE522E"/>
    <w:rsid w:val="300F12C5"/>
    <w:rsid w:val="30122387"/>
    <w:rsid w:val="3015635E"/>
    <w:rsid w:val="30427681"/>
    <w:rsid w:val="30525AD3"/>
    <w:rsid w:val="30647874"/>
    <w:rsid w:val="30995CD9"/>
    <w:rsid w:val="30A977D2"/>
    <w:rsid w:val="30E04101"/>
    <w:rsid w:val="30FD6786"/>
    <w:rsid w:val="310966F4"/>
    <w:rsid w:val="31344C91"/>
    <w:rsid w:val="31386BB8"/>
    <w:rsid w:val="314537F3"/>
    <w:rsid w:val="31562248"/>
    <w:rsid w:val="31792C5B"/>
    <w:rsid w:val="31BB7B32"/>
    <w:rsid w:val="31D60CF6"/>
    <w:rsid w:val="31D83CF8"/>
    <w:rsid w:val="31FE10B1"/>
    <w:rsid w:val="3203630E"/>
    <w:rsid w:val="32134AC0"/>
    <w:rsid w:val="328C49D6"/>
    <w:rsid w:val="32BD0261"/>
    <w:rsid w:val="32D9712C"/>
    <w:rsid w:val="335554C6"/>
    <w:rsid w:val="33946D14"/>
    <w:rsid w:val="339E6BE7"/>
    <w:rsid w:val="33D139BE"/>
    <w:rsid w:val="33E25333"/>
    <w:rsid w:val="34133338"/>
    <w:rsid w:val="342217B6"/>
    <w:rsid w:val="344605D4"/>
    <w:rsid w:val="34493334"/>
    <w:rsid w:val="34521E48"/>
    <w:rsid w:val="34632F72"/>
    <w:rsid w:val="3499385C"/>
    <w:rsid w:val="349E5DC4"/>
    <w:rsid w:val="35135369"/>
    <w:rsid w:val="355F2911"/>
    <w:rsid w:val="359A7549"/>
    <w:rsid w:val="35B539F9"/>
    <w:rsid w:val="35B62E93"/>
    <w:rsid w:val="361B23F4"/>
    <w:rsid w:val="362634D0"/>
    <w:rsid w:val="364D7473"/>
    <w:rsid w:val="366348CF"/>
    <w:rsid w:val="366A4113"/>
    <w:rsid w:val="36BC4A16"/>
    <w:rsid w:val="36FC5BB7"/>
    <w:rsid w:val="37234669"/>
    <w:rsid w:val="37256BE1"/>
    <w:rsid w:val="373B2F25"/>
    <w:rsid w:val="37AB091C"/>
    <w:rsid w:val="37AD60C9"/>
    <w:rsid w:val="37B73298"/>
    <w:rsid w:val="37CD0104"/>
    <w:rsid w:val="37EE7D25"/>
    <w:rsid w:val="38165EE4"/>
    <w:rsid w:val="388C0FCF"/>
    <w:rsid w:val="38E44AE8"/>
    <w:rsid w:val="38FE556B"/>
    <w:rsid w:val="390E69B4"/>
    <w:rsid w:val="39650C8C"/>
    <w:rsid w:val="397C0EA9"/>
    <w:rsid w:val="399B416B"/>
    <w:rsid w:val="39CF6188"/>
    <w:rsid w:val="3A177D4D"/>
    <w:rsid w:val="3A337391"/>
    <w:rsid w:val="3A591117"/>
    <w:rsid w:val="3B2C773B"/>
    <w:rsid w:val="3B357DF4"/>
    <w:rsid w:val="3BF47BFD"/>
    <w:rsid w:val="3C176FE8"/>
    <w:rsid w:val="3C3A4B1E"/>
    <w:rsid w:val="3C7E31A4"/>
    <w:rsid w:val="3CA32C36"/>
    <w:rsid w:val="3CFE6A75"/>
    <w:rsid w:val="3D0176B5"/>
    <w:rsid w:val="3D027867"/>
    <w:rsid w:val="3D1416F2"/>
    <w:rsid w:val="3D23650B"/>
    <w:rsid w:val="3D7D28AD"/>
    <w:rsid w:val="3D921597"/>
    <w:rsid w:val="3D993882"/>
    <w:rsid w:val="3DB80D1F"/>
    <w:rsid w:val="3DDD09BB"/>
    <w:rsid w:val="3DE9732C"/>
    <w:rsid w:val="3E56480B"/>
    <w:rsid w:val="3E966A16"/>
    <w:rsid w:val="3F1A39AF"/>
    <w:rsid w:val="3F2B071A"/>
    <w:rsid w:val="3F4B00BD"/>
    <w:rsid w:val="3F4F798F"/>
    <w:rsid w:val="3F6873B9"/>
    <w:rsid w:val="3F797F92"/>
    <w:rsid w:val="3F890D4E"/>
    <w:rsid w:val="3F9E5D3F"/>
    <w:rsid w:val="3FBD371E"/>
    <w:rsid w:val="3FC70E91"/>
    <w:rsid w:val="3FD70B4B"/>
    <w:rsid w:val="3FE003FB"/>
    <w:rsid w:val="3FE761ED"/>
    <w:rsid w:val="3FF872F4"/>
    <w:rsid w:val="400742F4"/>
    <w:rsid w:val="403D78F4"/>
    <w:rsid w:val="40534B2D"/>
    <w:rsid w:val="405A48F5"/>
    <w:rsid w:val="40696258"/>
    <w:rsid w:val="40807BB7"/>
    <w:rsid w:val="415B1CDA"/>
    <w:rsid w:val="4192327F"/>
    <w:rsid w:val="41C54019"/>
    <w:rsid w:val="41E27BD6"/>
    <w:rsid w:val="41ED4701"/>
    <w:rsid w:val="420837EE"/>
    <w:rsid w:val="42122FF8"/>
    <w:rsid w:val="424C0546"/>
    <w:rsid w:val="424E5113"/>
    <w:rsid w:val="42594EB6"/>
    <w:rsid w:val="428309ED"/>
    <w:rsid w:val="429D4052"/>
    <w:rsid w:val="42A44121"/>
    <w:rsid w:val="42B54BAF"/>
    <w:rsid w:val="42FB2E28"/>
    <w:rsid w:val="430A7BCF"/>
    <w:rsid w:val="430B77CC"/>
    <w:rsid w:val="432B6516"/>
    <w:rsid w:val="43524054"/>
    <w:rsid w:val="439819D4"/>
    <w:rsid w:val="43A33203"/>
    <w:rsid w:val="43BF679A"/>
    <w:rsid w:val="43FE6B2C"/>
    <w:rsid w:val="44911203"/>
    <w:rsid w:val="44B762A7"/>
    <w:rsid w:val="45482BE3"/>
    <w:rsid w:val="45797B07"/>
    <w:rsid w:val="46043D90"/>
    <w:rsid w:val="462028FF"/>
    <w:rsid w:val="462403C6"/>
    <w:rsid w:val="463A4089"/>
    <w:rsid w:val="46653734"/>
    <w:rsid w:val="46960FC2"/>
    <w:rsid w:val="46ED3CF2"/>
    <w:rsid w:val="46FC1849"/>
    <w:rsid w:val="471D6737"/>
    <w:rsid w:val="47980CEC"/>
    <w:rsid w:val="48032C81"/>
    <w:rsid w:val="480E67F4"/>
    <w:rsid w:val="48125E44"/>
    <w:rsid w:val="48252F38"/>
    <w:rsid w:val="48331536"/>
    <w:rsid w:val="483C7095"/>
    <w:rsid w:val="48500939"/>
    <w:rsid w:val="48AC778D"/>
    <w:rsid w:val="48B839CE"/>
    <w:rsid w:val="48BF28B5"/>
    <w:rsid w:val="48E8386B"/>
    <w:rsid w:val="48E83AD7"/>
    <w:rsid w:val="48F21E14"/>
    <w:rsid w:val="49066301"/>
    <w:rsid w:val="491E5625"/>
    <w:rsid w:val="49247F2F"/>
    <w:rsid w:val="494E6E8B"/>
    <w:rsid w:val="499D3C52"/>
    <w:rsid w:val="49A235B5"/>
    <w:rsid w:val="49AC3E29"/>
    <w:rsid w:val="49CB0123"/>
    <w:rsid w:val="49DD21CB"/>
    <w:rsid w:val="4A2156A4"/>
    <w:rsid w:val="4AA721BB"/>
    <w:rsid w:val="4B33145E"/>
    <w:rsid w:val="4B3A0B9D"/>
    <w:rsid w:val="4B480AA6"/>
    <w:rsid w:val="4BF93783"/>
    <w:rsid w:val="4C1B22A4"/>
    <w:rsid w:val="4C3334B2"/>
    <w:rsid w:val="4C9F1E2D"/>
    <w:rsid w:val="4CC06A7B"/>
    <w:rsid w:val="4CF5094A"/>
    <w:rsid w:val="4D0B1CE7"/>
    <w:rsid w:val="4D4F1902"/>
    <w:rsid w:val="4D511366"/>
    <w:rsid w:val="4D581AFC"/>
    <w:rsid w:val="4D9835AB"/>
    <w:rsid w:val="4DA53730"/>
    <w:rsid w:val="4E065A94"/>
    <w:rsid w:val="4E576331"/>
    <w:rsid w:val="4EA6130D"/>
    <w:rsid w:val="4EF13A00"/>
    <w:rsid w:val="4F330AB1"/>
    <w:rsid w:val="4F5713B6"/>
    <w:rsid w:val="4F844D02"/>
    <w:rsid w:val="4F9113E5"/>
    <w:rsid w:val="503F2530"/>
    <w:rsid w:val="50435CB7"/>
    <w:rsid w:val="50505B30"/>
    <w:rsid w:val="50784AA2"/>
    <w:rsid w:val="50982ED3"/>
    <w:rsid w:val="50B04AD7"/>
    <w:rsid w:val="522D6899"/>
    <w:rsid w:val="524E0747"/>
    <w:rsid w:val="52592C3F"/>
    <w:rsid w:val="52622233"/>
    <w:rsid w:val="526E2D94"/>
    <w:rsid w:val="52A469E8"/>
    <w:rsid w:val="52AC48AF"/>
    <w:rsid w:val="52B10F1B"/>
    <w:rsid w:val="52CC0129"/>
    <w:rsid w:val="52D67B60"/>
    <w:rsid w:val="530B7B71"/>
    <w:rsid w:val="533225D2"/>
    <w:rsid w:val="5369564C"/>
    <w:rsid w:val="5371483C"/>
    <w:rsid w:val="53954144"/>
    <w:rsid w:val="53CD5252"/>
    <w:rsid w:val="53D07E6D"/>
    <w:rsid w:val="53EE7745"/>
    <w:rsid w:val="53F05503"/>
    <w:rsid w:val="54132738"/>
    <w:rsid w:val="541E3CF2"/>
    <w:rsid w:val="542E2807"/>
    <w:rsid w:val="5459339D"/>
    <w:rsid w:val="545E5097"/>
    <w:rsid w:val="54A71FF2"/>
    <w:rsid w:val="54DB1453"/>
    <w:rsid w:val="54E70F26"/>
    <w:rsid w:val="5520014C"/>
    <w:rsid w:val="552C6E82"/>
    <w:rsid w:val="55641E23"/>
    <w:rsid w:val="55AD5FE1"/>
    <w:rsid w:val="55E56139"/>
    <w:rsid w:val="563264C8"/>
    <w:rsid w:val="56AF0C0D"/>
    <w:rsid w:val="57351624"/>
    <w:rsid w:val="57773570"/>
    <w:rsid w:val="579F45E5"/>
    <w:rsid w:val="57A02A0D"/>
    <w:rsid w:val="57B16C38"/>
    <w:rsid w:val="57C213F4"/>
    <w:rsid w:val="57D71689"/>
    <w:rsid w:val="57F10FF2"/>
    <w:rsid w:val="57FA1573"/>
    <w:rsid w:val="58313BA6"/>
    <w:rsid w:val="58507A13"/>
    <w:rsid w:val="58586D46"/>
    <w:rsid w:val="58B370D8"/>
    <w:rsid w:val="58E55850"/>
    <w:rsid w:val="590A1E2D"/>
    <w:rsid w:val="59177545"/>
    <w:rsid w:val="592B1664"/>
    <w:rsid w:val="594072CA"/>
    <w:rsid w:val="59474146"/>
    <w:rsid w:val="594B6162"/>
    <w:rsid w:val="59821279"/>
    <w:rsid w:val="59A5465E"/>
    <w:rsid w:val="59AC5827"/>
    <w:rsid w:val="59DB10FC"/>
    <w:rsid w:val="5A06612F"/>
    <w:rsid w:val="5A0D055A"/>
    <w:rsid w:val="5A0E4CE5"/>
    <w:rsid w:val="5A0E6419"/>
    <w:rsid w:val="5A311BC8"/>
    <w:rsid w:val="5A314E5D"/>
    <w:rsid w:val="5A8C1A75"/>
    <w:rsid w:val="5AA5555A"/>
    <w:rsid w:val="5AD168B6"/>
    <w:rsid w:val="5AE06607"/>
    <w:rsid w:val="5AED6828"/>
    <w:rsid w:val="5AF55580"/>
    <w:rsid w:val="5B156BD9"/>
    <w:rsid w:val="5B1E429A"/>
    <w:rsid w:val="5B59482C"/>
    <w:rsid w:val="5B8F3CC1"/>
    <w:rsid w:val="5BEE6789"/>
    <w:rsid w:val="5C104B21"/>
    <w:rsid w:val="5C633F98"/>
    <w:rsid w:val="5C696F8C"/>
    <w:rsid w:val="5C9B185A"/>
    <w:rsid w:val="5CF17C53"/>
    <w:rsid w:val="5CFE1A1B"/>
    <w:rsid w:val="5D385B66"/>
    <w:rsid w:val="5D3957CC"/>
    <w:rsid w:val="5D4E3E48"/>
    <w:rsid w:val="5D8A56BD"/>
    <w:rsid w:val="5D8E09F3"/>
    <w:rsid w:val="5D8E7591"/>
    <w:rsid w:val="5DC475AF"/>
    <w:rsid w:val="5DD34A57"/>
    <w:rsid w:val="5E0A4BE1"/>
    <w:rsid w:val="5E5F217A"/>
    <w:rsid w:val="5E650D69"/>
    <w:rsid w:val="5EC75457"/>
    <w:rsid w:val="5ED441B0"/>
    <w:rsid w:val="5F0B5DFE"/>
    <w:rsid w:val="5F332A32"/>
    <w:rsid w:val="5FB372F7"/>
    <w:rsid w:val="5FB97B4A"/>
    <w:rsid w:val="5FED70DA"/>
    <w:rsid w:val="5FF42691"/>
    <w:rsid w:val="60626477"/>
    <w:rsid w:val="606A2747"/>
    <w:rsid w:val="608A32C3"/>
    <w:rsid w:val="60AD3D6C"/>
    <w:rsid w:val="60BF7833"/>
    <w:rsid w:val="60CC1A8B"/>
    <w:rsid w:val="610E2C6B"/>
    <w:rsid w:val="6118621F"/>
    <w:rsid w:val="613A61A3"/>
    <w:rsid w:val="613B62A0"/>
    <w:rsid w:val="61866512"/>
    <w:rsid w:val="623A6612"/>
    <w:rsid w:val="628057BA"/>
    <w:rsid w:val="62AE092D"/>
    <w:rsid w:val="62F81508"/>
    <w:rsid w:val="62FA2BF2"/>
    <w:rsid w:val="63087781"/>
    <w:rsid w:val="63357F6A"/>
    <w:rsid w:val="63900294"/>
    <w:rsid w:val="63AC377A"/>
    <w:rsid w:val="63BF68CA"/>
    <w:rsid w:val="63D92C2A"/>
    <w:rsid w:val="63F861F2"/>
    <w:rsid w:val="641F3F22"/>
    <w:rsid w:val="646D3792"/>
    <w:rsid w:val="649A4269"/>
    <w:rsid w:val="64FC211F"/>
    <w:rsid w:val="65385F97"/>
    <w:rsid w:val="65576A9D"/>
    <w:rsid w:val="655F1BF3"/>
    <w:rsid w:val="65C96820"/>
    <w:rsid w:val="65F41DDB"/>
    <w:rsid w:val="66455606"/>
    <w:rsid w:val="66510C21"/>
    <w:rsid w:val="6716608E"/>
    <w:rsid w:val="6727441B"/>
    <w:rsid w:val="67687D0A"/>
    <w:rsid w:val="67835258"/>
    <w:rsid w:val="67A161FE"/>
    <w:rsid w:val="67CF52F6"/>
    <w:rsid w:val="67D0595F"/>
    <w:rsid w:val="67E502EC"/>
    <w:rsid w:val="67EC77B2"/>
    <w:rsid w:val="682547A7"/>
    <w:rsid w:val="68911B6B"/>
    <w:rsid w:val="689C23B8"/>
    <w:rsid w:val="68C66BF9"/>
    <w:rsid w:val="69005B05"/>
    <w:rsid w:val="691F4113"/>
    <w:rsid w:val="69207857"/>
    <w:rsid w:val="695B5FCC"/>
    <w:rsid w:val="696716E4"/>
    <w:rsid w:val="69686F02"/>
    <w:rsid w:val="69980672"/>
    <w:rsid w:val="699E5209"/>
    <w:rsid w:val="69B20558"/>
    <w:rsid w:val="69D36411"/>
    <w:rsid w:val="69F60332"/>
    <w:rsid w:val="6A010629"/>
    <w:rsid w:val="6A0A6730"/>
    <w:rsid w:val="6A122DB4"/>
    <w:rsid w:val="6A506FFC"/>
    <w:rsid w:val="6A6A3E0B"/>
    <w:rsid w:val="6AB235E6"/>
    <w:rsid w:val="6B070043"/>
    <w:rsid w:val="6B0911D0"/>
    <w:rsid w:val="6B3B0EAA"/>
    <w:rsid w:val="6B3E4B1F"/>
    <w:rsid w:val="6B9476F2"/>
    <w:rsid w:val="6BA27A11"/>
    <w:rsid w:val="6BBF3FB1"/>
    <w:rsid w:val="6BD85D7B"/>
    <w:rsid w:val="6C340B87"/>
    <w:rsid w:val="6C8D676D"/>
    <w:rsid w:val="6CAA5DA2"/>
    <w:rsid w:val="6CC55599"/>
    <w:rsid w:val="6CD11AA4"/>
    <w:rsid w:val="6CDD172E"/>
    <w:rsid w:val="6D2A6369"/>
    <w:rsid w:val="6D3F3D96"/>
    <w:rsid w:val="6D492022"/>
    <w:rsid w:val="6D4F50DB"/>
    <w:rsid w:val="6D5315DF"/>
    <w:rsid w:val="6D627E4D"/>
    <w:rsid w:val="6D8A1510"/>
    <w:rsid w:val="6DBC61A4"/>
    <w:rsid w:val="6E595F03"/>
    <w:rsid w:val="6E61232A"/>
    <w:rsid w:val="6EF76BBF"/>
    <w:rsid w:val="6F4A3DC7"/>
    <w:rsid w:val="6F572E3F"/>
    <w:rsid w:val="6F8A37E5"/>
    <w:rsid w:val="6F8E46F0"/>
    <w:rsid w:val="6FA64020"/>
    <w:rsid w:val="701C0AB9"/>
    <w:rsid w:val="703275A8"/>
    <w:rsid w:val="7064496A"/>
    <w:rsid w:val="7065587F"/>
    <w:rsid w:val="70C10B63"/>
    <w:rsid w:val="71851FFC"/>
    <w:rsid w:val="71867980"/>
    <w:rsid w:val="72077531"/>
    <w:rsid w:val="726C496D"/>
    <w:rsid w:val="72C133C4"/>
    <w:rsid w:val="72D24D2D"/>
    <w:rsid w:val="72FF6CF9"/>
    <w:rsid w:val="732E2395"/>
    <w:rsid w:val="736463B4"/>
    <w:rsid w:val="73AF00A3"/>
    <w:rsid w:val="73B22BED"/>
    <w:rsid w:val="73B95E1B"/>
    <w:rsid w:val="73D264A0"/>
    <w:rsid w:val="73D455D1"/>
    <w:rsid w:val="73E0780D"/>
    <w:rsid w:val="73E9400A"/>
    <w:rsid w:val="740040E4"/>
    <w:rsid w:val="7443276E"/>
    <w:rsid w:val="746F1C9C"/>
    <w:rsid w:val="747B795D"/>
    <w:rsid w:val="74C2481E"/>
    <w:rsid w:val="74DB207A"/>
    <w:rsid w:val="74F728D8"/>
    <w:rsid w:val="75133A93"/>
    <w:rsid w:val="751D3589"/>
    <w:rsid w:val="752050FE"/>
    <w:rsid w:val="752A2DD9"/>
    <w:rsid w:val="75340EBB"/>
    <w:rsid w:val="754A6893"/>
    <w:rsid w:val="75A854B0"/>
    <w:rsid w:val="75BF1C52"/>
    <w:rsid w:val="760D2669"/>
    <w:rsid w:val="76290046"/>
    <w:rsid w:val="76AD0AEB"/>
    <w:rsid w:val="77092FA9"/>
    <w:rsid w:val="770D399B"/>
    <w:rsid w:val="77392A1A"/>
    <w:rsid w:val="77696C89"/>
    <w:rsid w:val="77783653"/>
    <w:rsid w:val="77D11C65"/>
    <w:rsid w:val="77DE54F9"/>
    <w:rsid w:val="77E754FB"/>
    <w:rsid w:val="78623838"/>
    <w:rsid w:val="78796467"/>
    <w:rsid w:val="78817A43"/>
    <w:rsid w:val="78BF0404"/>
    <w:rsid w:val="794D2E80"/>
    <w:rsid w:val="795504D0"/>
    <w:rsid w:val="79922A9C"/>
    <w:rsid w:val="79F91644"/>
    <w:rsid w:val="7A8C4A72"/>
    <w:rsid w:val="7AC61DA3"/>
    <w:rsid w:val="7AD955E7"/>
    <w:rsid w:val="7AEF60DD"/>
    <w:rsid w:val="7B77314B"/>
    <w:rsid w:val="7BAB1C1A"/>
    <w:rsid w:val="7BB77636"/>
    <w:rsid w:val="7BC65534"/>
    <w:rsid w:val="7C1F099B"/>
    <w:rsid w:val="7C343417"/>
    <w:rsid w:val="7C751D8A"/>
    <w:rsid w:val="7C85650E"/>
    <w:rsid w:val="7CB02315"/>
    <w:rsid w:val="7D564CC4"/>
    <w:rsid w:val="7D66587C"/>
    <w:rsid w:val="7E3577F2"/>
    <w:rsid w:val="7E3F618D"/>
    <w:rsid w:val="7E791FA7"/>
    <w:rsid w:val="7F284F9D"/>
    <w:rsid w:val="7F305FCA"/>
    <w:rsid w:val="7F3C5B56"/>
    <w:rsid w:val="7F4D0468"/>
    <w:rsid w:val="7F643F1D"/>
    <w:rsid w:val="7F93320D"/>
    <w:rsid w:val="7FC635C7"/>
    <w:rsid w:val="7FCD647B"/>
    <w:rsid w:val="7FD15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16E8C"/>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 w:type="character" w:customStyle="1" w:styleId="font31">
    <w:name w:val="font31"/>
    <w:basedOn w:val="a0"/>
    <w:qFormat/>
    <w:rPr>
      <w:rFonts w:ascii="仿宋_GB2312" w:eastAsia="仿宋_GB2312" w:cs="仿宋_GB2312"/>
      <w:color w:val="000000"/>
      <w:sz w:val="20"/>
      <w:szCs w:val="20"/>
      <w:u w:val="none"/>
    </w:rPr>
  </w:style>
  <w:style w:type="character" w:customStyle="1" w:styleId="font41">
    <w:name w:val="font41"/>
    <w:basedOn w:val="a0"/>
    <w:qFormat/>
    <w:rPr>
      <w:rFonts w:ascii="Arial Narrow" w:eastAsia="Arial Narrow" w:hAnsi="Arial Narrow" w:cs="Arial Narrow" w:hint="default"/>
      <w:color w:val="000000"/>
      <w:sz w:val="20"/>
      <w:szCs w:val="20"/>
      <w:u w:val="none"/>
    </w:rPr>
  </w:style>
  <w:style w:type="character" w:customStyle="1" w:styleId="font01">
    <w:name w:val="font01"/>
    <w:basedOn w:val="a0"/>
    <w:qFormat/>
    <w:rPr>
      <w:rFonts w:ascii="Arial Narrow" w:eastAsia="Arial Narrow" w:hAnsi="Arial Narrow" w:cs="Arial Narrow"/>
      <w:color w:val="000000"/>
      <w:sz w:val="20"/>
      <w:szCs w:val="20"/>
      <w:u w:val="none"/>
    </w:rPr>
  </w:style>
  <w:style w:type="character" w:customStyle="1" w:styleId="font51">
    <w:name w:val="font51"/>
    <w:basedOn w:val="a0"/>
    <w:qFormat/>
    <w:rPr>
      <w:rFonts w:ascii="仿宋_GB2312" w:eastAsia="仿宋_GB2312" w:cs="仿宋_GB2312"/>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diagramLayout" Target="diagrams/layout1.xml"/><Relationship Id="rId26" Type="http://schemas.openxmlformats.org/officeDocument/2006/relationships/chart" Target="charts/chart6.xml"/><Relationship Id="rId3" Type="http://schemas.openxmlformats.org/officeDocument/2006/relationships/numbering" Target="numbering.xml"/><Relationship Id="rId21" Type="http://schemas.microsoft.com/office/2007/relationships/diagramDrawing" Target="diagrams/drawing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diagramData" Target="diagrams/data1.xml"/><Relationship Id="rId25"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diagramColors" Target="diagrams/colors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3.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diagramQuickStyle" Target="diagrams/quickStyl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2.xml"/><Relationship Id="rId27" Type="http://schemas.openxmlformats.org/officeDocument/2006/relationships/header" Target="header4.xml"/><Relationship Id="rId30"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istrator\Desktop\&#38468;&#20214;1&#65306;&#32489;&#25928;&#35780;&#20215;&#35780;&#20998;&#26126;&#32454;&#34920;-&#27835;&#36229;&#25972;&#27835;&#19987;&#39033;&#32463;&#36153;7.26&#20877;&#27425;&#20462;&#2591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38468;&#20214;1&#65306;&#32489;&#25928;&#35780;&#20215;&#35780;&#20998;&#26126;&#32454;&#34920;-&#27835;&#36229;&#25972;&#27835;&#19987;&#39033;&#32463;&#36153;7.26&#20877;&#27425;&#20462;&#2591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istrator\Desktop\&#38468;&#20214;1&#65306;&#32489;&#25928;&#35780;&#20215;&#35780;&#20998;&#26126;&#32454;&#34920;-&#27835;&#36229;&#25972;&#27835;&#19987;&#39033;&#32463;&#36153;7.26&#20877;&#27425;&#20462;&#2591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dministrator\Desktop\&#38468;&#20214;1&#65306;&#32489;&#25928;&#35780;&#20215;&#35780;&#20998;&#26126;&#32454;&#34920;-&#27835;&#36229;&#25972;&#27835;&#19987;&#39033;&#32463;&#36153;7.26&#20877;&#27425;&#20462;&#2591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dministrator\Desktop\&#38468;&#20214;1&#65306;&#32489;&#25928;&#35780;&#20215;&#35780;&#20998;&#26126;&#32454;&#34920;-&#27835;&#36229;&#25972;&#27835;&#19987;&#39033;&#32463;&#36153;7.26&#20877;&#27425;&#20462;&#2591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dministrator\Desktop\&#38468;&#20214;1&#65306;&#32489;&#25928;&#35780;&#20215;&#35780;&#20998;&#26126;&#32454;&#34920;-&#27835;&#36229;&#25972;&#27835;&#19987;&#39033;&#32463;&#36153;7.26&#20877;&#27425;&#20462;&#25913;.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项目总体得分情况</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'[附件1：绩效评价评分明细表-治超整治专项经费7.26再次修改.xlsx]Sheet2'!$C$1</c:f>
              <c:strCache>
                <c:ptCount val="1"/>
                <c:pt idx="0">
                  <c:v>权重</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'[附件1：绩效评价评分明细表-治超整治专项经费7.26再次修改.xlsx]Sheet2'!$B$2:$B$6</c:f>
              <c:strCache>
                <c:ptCount val="5"/>
                <c:pt idx="0">
                  <c:v>投入</c:v>
                </c:pt>
                <c:pt idx="1">
                  <c:v>过程</c:v>
                </c:pt>
                <c:pt idx="2">
                  <c:v>产出</c:v>
                </c:pt>
                <c:pt idx="3">
                  <c:v>效果</c:v>
                </c:pt>
                <c:pt idx="4">
                  <c:v>综合绩效</c:v>
                </c:pt>
              </c:strCache>
            </c:strRef>
          </c:cat>
          <c:val>
            <c:numRef>
              <c:f>'[附件1：绩效评价评分明细表-治超整治专项经费7.26再次修改.xlsx]Sheet2'!$C$2:$C$6</c:f>
              <c:numCache>
                <c:formatCode>General</c:formatCode>
                <c:ptCount val="5"/>
                <c:pt idx="0">
                  <c:v>16</c:v>
                </c:pt>
                <c:pt idx="1">
                  <c:v>24</c:v>
                </c:pt>
                <c:pt idx="2">
                  <c:v>36</c:v>
                </c:pt>
                <c:pt idx="3">
                  <c:v>24</c:v>
                </c:pt>
                <c:pt idx="4">
                  <c:v>100</c:v>
                </c:pt>
              </c:numCache>
            </c:numRef>
          </c:val>
          <c:extLst>
            <c:ext xmlns:c16="http://schemas.microsoft.com/office/drawing/2014/chart" uri="{C3380CC4-5D6E-409C-BE32-E72D297353CC}">
              <c16:uniqueId val="{00000000-AB28-8048-8FDE-B8B70CE8029A}"/>
            </c:ext>
          </c:extLst>
        </c:ser>
        <c:ser>
          <c:idx val="1"/>
          <c:order val="1"/>
          <c:tx>
            <c:strRef>
              <c:f>'[附件1：绩效评价评分明细表-治超整治专项经费7.26再次修改.xlsx]Sheet2'!$D$1</c:f>
              <c:strCache>
                <c:ptCount val="1"/>
                <c:pt idx="0">
                  <c:v>评价得分</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'[附件1：绩效评价评分明细表-治超整治专项经费7.26再次修改.xlsx]Sheet2'!$B$2:$B$6</c:f>
              <c:strCache>
                <c:ptCount val="5"/>
                <c:pt idx="0">
                  <c:v>投入</c:v>
                </c:pt>
                <c:pt idx="1">
                  <c:v>过程</c:v>
                </c:pt>
                <c:pt idx="2">
                  <c:v>产出</c:v>
                </c:pt>
                <c:pt idx="3">
                  <c:v>效果</c:v>
                </c:pt>
                <c:pt idx="4">
                  <c:v>综合绩效</c:v>
                </c:pt>
              </c:strCache>
            </c:strRef>
          </c:cat>
          <c:val>
            <c:numRef>
              <c:f>'[附件1：绩效评价评分明细表-治超整治专项经费7.26再次修改.xlsx]Sheet2'!$D$2:$D$6</c:f>
              <c:numCache>
                <c:formatCode>General</c:formatCode>
                <c:ptCount val="5"/>
                <c:pt idx="0">
                  <c:v>14</c:v>
                </c:pt>
                <c:pt idx="1">
                  <c:v>24</c:v>
                </c:pt>
                <c:pt idx="2">
                  <c:v>29</c:v>
                </c:pt>
                <c:pt idx="3">
                  <c:v>24</c:v>
                </c:pt>
                <c:pt idx="4">
                  <c:v>91</c:v>
                </c:pt>
              </c:numCache>
            </c:numRef>
          </c:val>
          <c:extLst>
            <c:ext xmlns:c16="http://schemas.microsoft.com/office/drawing/2014/chart" uri="{C3380CC4-5D6E-409C-BE32-E72D297353CC}">
              <c16:uniqueId val="{00000001-AB28-8048-8FDE-B8B70CE8029A}"/>
            </c:ext>
          </c:extLst>
        </c:ser>
        <c:dLbls>
          <c:showLegendKey val="0"/>
          <c:showVal val="1"/>
          <c:showCatName val="0"/>
          <c:showSerName val="0"/>
          <c:showPercent val="0"/>
          <c:showBubbleSize val="0"/>
        </c:dLbls>
        <c:gapWidth val="219"/>
        <c:overlap val="-27"/>
        <c:axId val="702397971"/>
        <c:axId val="153639646"/>
      </c:barChart>
      <c:catAx>
        <c:axId val="70239797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3639646"/>
        <c:crosses val="autoZero"/>
        <c:auto val="1"/>
        <c:lblAlgn val="ctr"/>
        <c:lblOffset val="100"/>
        <c:noMultiLvlLbl val="0"/>
      </c:catAx>
      <c:valAx>
        <c:axId val="15363964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02397971"/>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投入</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'[附件1：绩效评价评分明细表-治超整治专项经费7.26再次修改.xlsx]Sheet2'!$H$1</c:f>
              <c:strCache>
                <c:ptCount val="1"/>
                <c:pt idx="0">
                  <c:v>指标分值</c:v>
                </c:pt>
              </c:strCache>
            </c:strRef>
          </c:tx>
          <c:spPr>
            <a:solidFill>
              <a:schemeClr val="accent1"/>
            </a:solidFill>
            <a:ln>
              <a:noFill/>
            </a:ln>
            <a:effectLst/>
          </c:spPr>
          <c:invertIfNegative val="0"/>
          <c:cat>
            <c:strRef>
              <c:f>'[附件1：绩效评价评分明细表-治超整治专项经费7.26再次修改.xlsx]Sheet2'!$G$2:$G$5</c:f>
              <c:strCache>
                <c:ptCount val="4"/>
                <c:pt idx="0">
                  <c:v>项目立项规范性</c:v>
                </c:pt>
                <c:pt idx="1">
                  <c:v>绩效目标合理性</c:v>
                </c:pt>
                <c:pt idx="2">
                  <c:v>资金到位率</c:v>
                </c:pt>
                <c:pt idx="3">
                  <c:v>到位及时率</c:v>
                </c:pt>
              </c:strCache>
            </c:strRef>
          </c:cat>
          <c:val>
            <c:numRef>
              <c:f>'[附件1：绩效评价评分明细表-治超整治专项经费7.26再次修改.xlsx]Sheet2'!$H$2:$H$5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82EE-9B47-BFD1-3D8A83F753E8}"/>
            </c:ext>
          </c:extLst>
        </c:ser>
        <c:dLbls>
          <c:showLegendKey val="0"/>
          <c:showVal val="0"/>
          <c:showCatName val="0"/>
          <c:showSerName val="0"/>
          <c:showPercent val="0"/>
          <c:showBubbleSize val="0"/>
        </c:dLbls>
        <c:gapWidth val="219"/>
        <c:overlap val="-27"/>
        <c:axId val="989641593"/>
        <c:axId val="225596302"/>
      </c:barChart>
      <c:lineChart>
        <c:grouping val="standard"/>
        <c:varyColors val="0"/>
        <c:ser>
          <c:idx val="1"/>
          <c:order val="1"/>
          <c:tx>
            <c:strRef>
              <c:f>'[附件1：绩效评价评分明细表-治超整治专项经费7.26再次修改.xlsx]Sheet2'!$I$1</c:f>
              <c:strCache>
                <c:ptCount val="1"/>
                <c:pt idx="0">
                  <c:v>指标评分</c:v>
                </c:pt>
              </c:strCache>
            </c:strRef>
          </c:tx>
          <c:spPr>
            <a:ln w="28575" cap="rnd">
              <a:solidFill>
                <a:schemeClr val="accent2"/>
              </a:solidFill>
              <a:round/>
            </a:ln>
            <a:effectLst/>
          </c:spPr>
          <c:marker>
            <c:symbol val="none"/>
          </c:marker>
          <c:cat>
            <c:strRef>
              <c:f>'[附件1：绩效评价评分明细表-治超整治专项经费7.26再次修改.xlsx]Sheet2'!$G$2:$G$5</c:f>
              <c:strCache>
                <c:ptCount val="4"/>
                <c:pt idx="0">
                  <c:v>项目立项规范性</c:v>
                </c:pt>
                <c:pt idx="1">
                  <c:v>绩效目标合理性</c:v>
                </c:pt>
                <c:pt idx="2">
                  <c:v>资金到位率</c:v>
                </c:pt>
                <c:pt idx="3">
                  <c:v>到位及时率</c:v>
                </c:pt>
              </c:strCache>
            </c:strRef>
          </c:cat>
          <c:val>
            <c:numRef>
              <c:f>'[附件1：绩效评价评分明细表-治超整治专项经费7.26再次修改.xlsx]Sheet2'!$I$2:$I$5</c:f>
              <c:numCache>
                <c:formatCode>General</c:formatCode>
                <c:ptCount val="4"/>
                <c:pt idx="0">
                  <c:v>3</c:v>
                </c:pt>
                <c:pt idx="1">
                  <c:v>3</c:v>
                </c:pt>
                <c:pt idx="2">
                  <c:v>4</c:v>
                </c:pt>
                <c:pt idx="3">
                  <c:v>4</c:v>
                </c:pt>
              </c:numCache>
            </c:numRef>
          </c:val>
          <c:smooth val="0"/>
          <c:extLst>
            <c:ext xmlns:c16="http://schemas.microsoft.com/office/drawing/2014/chart" uri="{C3380CC4-5D6E-409C-BE32-E72D297353CC}">
              <c16:uniqueId val="{00000001-82EE-9B47-BFD1-3D8A83F753E8}"/>
            </c:ext>
          </c:extLst>
        </c:ser>
        <c:dLbls>
          <c:showLegendKey val="0"/>
          <c:showVal val="0"/>
          <c:showCatName val="0"/>
          <c:showSerName val="0"/>
          <c:showPercent val="0"/>
          <c:showBubbleSize val="0"/>
        </c:dLbls>
        <c:marker val="1"/>
        <c:smooth val="0"/>
        <c:axId val="989641593"/>
        <c:axId val="225596302"/>
      </c:lineChart>
      <c:catAx>
        <c:axId val="98964159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25596302"/>
        <c:crosses val="autoZero"/>
        <c:auto val="1"/>
        <c:lblAlgn val="ctr"/>
        <c:lblOffset val="100"/>
        <c:noMultiLvlLbl val="0"/>
      </c:catAx>
      <c:valAx>
        <c:axId val="22559630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89641593"/>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过程</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'[附件1：绩效评价评分明细表-治超整治专项经费7.26再次修改.xlsx]Sheet2'!$G$14</c:f>
              <c:strCache>
                <c:ptCount val="1"/>
                <c:pt idx="0">
                  <c:v>指标分值</c:v>
                </c:pt>
              </c:strCache>
            </c:strRef>
          </c:tx>
          <c:spPr>
            <a:solidFill>
              <a:schemeClr val="accent6"/>
            </a:solidFill>
            <a:ln>
              <a:noFill/>
            </a:ln>
            <a:effectLst/>
          </c:spPr>
          <c:invertIfNegative val="0"/>
          <c:cat>
            <c:strRef>
              <c:f>'[附件1：绩效评价评分明细表-治超整治专项经费7.26再次修改.xlsx]Sheet2'!$F$15:$F$20</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'[附件1：绩效评价评分明细表-治超整治专项经费7.26再次修改.xlsx]Sheet2'!$G$15:$G$20</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B886-1246-BBFA-493559D8B78B}"/>
            </c:ext>
          </c:extLst>
        </c:ser>
        <c:dLbls>
          <c:showLegendKey val="0"/>
          <c:showVal val="0"/>
          <c:showCatName val="0"/>
          <c:showSerName val="0"/>
          <c:showPercent val="0"/>
          <c:showBubbleSize val="0"/>
        </c:dLbls>
        <c:gapWidth val="219"/>
        <c:overlap val="-27"/>
        <c:axId val="246737187"/>
        <c:axId val="468291570"/>
      </c:barChart>
      <c:lineChart>
        <c:grouping val="standard"/>
        <c:varyColors val="0"/>
        <c:ser>
          <c:idx val="1"/>
          <c:order val="1"/>
          <c:tx>
            <c:strRef>
              <c:f>'[附件1：绩效评价评分明细表-治超整治专项经费7.26再次修改.xlsx]Sheet2'!$H$14</c:f>
              <c:strCache>
                <c:ptCount val="1"/>
                <c:pt idx="0">
                  <c:v>指标评分</c:v>
                </c:pt>
              </c:strCache>
            </c:strRef>
          </c:tx>
          <c:spPr>
            <a:ln w="28575" cap="rnd">
              <a:solidFill>
                <a:schemeClr val="accent2"/>
              </a:solidFill>
              <a:round/>
            </a:ln>
            <a:effectLst/>
          </c:spPr>
          <c:marker>
            <c:symbol val="none"/>
          </c:marker>
          <c:cat>
            <c:strRef>
              <c:f>'[附件1：绩效评价评分明细表-治超整治专项经费7.26再次修改.xlsx]Sheet2'!$F$15:$F$20</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'[附件1：绩效评价评分明细表-治超整治专项经费7.26再次修改.xlsx]Sheet2'!$H$15:$H$20</c:f>
              <c:numCache>
                <c:formatCode>General</c:formatCode>
                <c:ptCount val="6"/>
                <c:pt idx="0">
                  <c:v>4</c:v>
                </c:pt>
                <c:pt idx="1">
                  <c:v>4</c:v>
                </c:pt>
                <c:pt idx="2">
                  <c:v>4</c:v>
                </c:pt>
                <c:pt idx="3">
                  <c:v>4</c:v>
                </c:pt>
                <c:pt idx="4">
                  <c:v>4</c:v>
                </c:pt>
                <c:pt idx="5">
                  <c:v>4</c:v>
                </c:pt>
              </c:numCache>
            </c:numRef>
          </c:val>
          <c:smooth val="0"/>
          <c:extLst>
            <c:ext xmlns:c16="http://schemas.microsoft.com/office/drawing/2014/chart" uri="{C3380CC4-5D6E-409C-BE32-E72D297353CC}">
              <c16:uniqueId val="{00000001-B886-1246-BBFA-493559D8B78B}"/>
            </c:ext>
          </c:extLst>
        </c:ser>
        <c:dLbls>
          <c:showLegendKey val="0"/>
          <c:showVal val="0"/>
          <c:showCatName val="0"/>
          <c:showSerName val="0"/>
          <c:showPercent val="0"/>
          <c:showBubbleSize val="0"/>
        </c:dLbls>
        <c:marker val="1"/>
        <c:smooth val="0"/>
        <c:axId val="246737187"/>
        <c:axId val="468291570"/>
      </c:lineChart>
      <c:catAx>
        <c:axId val="24673718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8291570"/>
        <c:crosses val="autoZero"/>
        <c:auto val="1"/>
        <c:lblAlgn val="ctr"/>
        <c:lblOffset val="100"/>
        <c:noMultiLvlLbl val="0"/>
      </c:catAx>
      <c:valAx>
        <c:axId val="46829157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6737187"/>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产出</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'[附件1：绩效评价评分明细表-治超整治专项经费7.26再次修改.xlsx]Sheet2'!$B$8</c:f>
              <c:strCache>
                <c:ptCount val="1"/>
                <c:pt idx="0">
                  <c:v>指标分值</c:v>
                </c:pt>
              </c:strCache>
            </c:strRef>
          </c:tx>
          <c:spPr>
            <a:solidFill>
              <a:schemeClr val="accent2">
                <a:lumMod val="60000"/>
                <a:lumOff val="40000"/>
              </a:schemeClr>
            </a:solidFill>
            <a:ln>
              <a:noFill/>
            </a:ln>
            <a:effectLst/>
          </c:spPr>
          <c:invertIfNegative val="0"/>
          <c:cat>
            <c:strRef>
              <c:f>'[附件1：绩效评价评分明细表-治超整治专项经费7.26再次修改.xlsx]Sheet2'!$A$9:$A$15</c:f>
              <c:strCache>
                <c:ptCount val="7"/>
                <c:pt idx="0">
                  <c:v>全年督察情况</c:v>
                </c:pt>
                <c:pt idx="1">
                  <c:v>责任书签订率</c:v>
                </c:pt>
                <c:pt idx="2">
                  <c:v>执法队伍培训情况</c:v>
                </c:pt>
                <c:pt idx="3">
                  <c:v>道路监控网络建设情况</c:v>
                </c:pt>
                <c:pt idx="4">
                  <c:v>车辆超限率</c:v>
                </c:pt>
                <c:pt idx="5">
                  <c:v>完成及时率</c:v>
                </c:pt>
                <c:pt idx="6">
                  <c:v>资金使用率</c:v>
                </c:pt>
              </c:strCache>
            </c:strRef>
          </c:cat>
          <c:val>
            <c:numRef>
              <c:f>'[附件1：绩效评价评分明细表-治超整治专项经费7.26再次修改.xlsx]Sheet2'!$B$9:$B$15</c:f>
              <c:numCache>
                <c:formatCode>General</c:formatCode>
                <c:ptCount val="7"/>
                <c:pt idx="0">
                  <c:v>5</c:v>
                </c:pt>
                <c:pt idx="1">
                  <c:v>5</c:v>
                </c:pt>
                <c:pt idx="2">
                  <c:v>6</c:v>
                </c:pt>
                <c:pt idx="3">
                  <c:v>5</c:v>
                </c:pt>
                <c:pt idx="4">
                  <c:v>5</c:v>
                </c:pt>
                <c:pt idx="5">
                  <c:v>5</c:v>
                </c:pt>
                <c:pt idx="6">
                  <c:v>5</c:v>
                </c:pt>
              </c:numCache>
            </c:numRef>
          </c:val>
          <c:extLst>
            <c:ext xmlns:c16="http://schemas.microsoft.com/office/drawing/2014/chart" uri="{C3380CC4-5D6E-409C-BE32-E72D297353CC}">
              <c16:uniqueId val="{00000000-99EC-534E-8EE2-BF1A1D8F2C37}"/>
            </c:ext>
          </c:extLst>
        </c:ser>
        <c:dLbls>
          <c:showLegendKey val="0"/>
          <c:showVal val="0"/>
          <c:showCatName val="0"/>
          <c:showSerName val="0"/>
          <c:showPercent val="0"/>
          <c:showBubbleSize val="0"/>
        </c:dLbls>
        <c:gapWidth val="219"/>
        <c:overlap val="-27"/>
        <c:axId val="417091396"/>
        <c:axId val="686687926"/>
      </c:barChart>
      <c:lineChart>
        <c:grouping val="standard"/>
        <c:varyColors val="0"/>
        <c:ser>
          <c:idx val="1"/>
          <c:order val="1"/>
          <c:tx>
            <c:strRef>
              <c:f>'[附件1：绩效评价评分明细表-治超整治专项经费7.26再次修改.xlsx]Sheet2'!$C$8</c:f>
              <c:strCache>
                <c:ptCount val="1"/>
                <c:pt idx="0">
                  <c:v>指标评分</c:v>
                </c:pt>
              </c:strCache>
            </c:strRef>
          </c:tx>
          <c:spPr>
            <a:ln w="28575" cap="rnd">
              <a:solidFill>
                <a:schemeClr val="accent6">
                  <a:lumMod val="75000"/>
                </a:schemeClr>
              </a:solidFill>
              <a:round/>
            </a:ln>
            <a:effectLst/>
          </c:spPr>
          <c:marker>
            <c:symbol val="none"/>
          </c:marker>
          <c:cat>
            <c:strRef>
              <c:f>'[附件1：绩效评价评分明细表-治超整治专项经费7.26再次修改.xlsx]Sheet2'!$A$9:$A$15</c:f>
              <c:strCache>
                <c:ptCount val="7"/>
                <c:pt idx="0">
                  <c:v>全年督察情况</c:v>
                </c:pt>
                <c:pt idx="1">
                  <c:v>责任书签订率</c:v>
                </c:pt>
                <c:pt idx="2">
                  <c:v>执法队伍培训情况</c:v>
                </c:pt>
                <c:pt idx="3">
                  <c:v>道路监控网络建设情况</c:v>
                </c:pt>
                <c:pt idx="4">
                  <c:v>车辆超限率</c:v>
                </c:pt>
                <c:pt idx="5">
                  <c:v>完成及时率</c:v>
                </c:pt>
                <c:pt idx="6">
                  <c:v>资金使用率</c:v>
                </c:pt>
              </c:strCache>
            </c:strRef>
          </c:cat>
          <c:val>
            <c:numRef>
              <c:f>'[附件1：绩效评价评分明细表-治超整治专项经费7.26再次修改.xlsx]Sheet2'!$C$9:$C$15</c:f>
              <c:numCache>
                <c:formatCode>General</c:formatCode>
                <c:ptCount val="7"/>
                <c:pt idx="0">
                  <c:v>5</c:v>
                </c:pt>
                <c:pt idx="1">
                  <c:v>5</c:v>
                </c:pt>
                <c:pt idx="2">
                  <c:v>6</c:v>
                </c:pt>
                <c:pt idx="3">
                  <c:v>5</c:v>
                </c:pt>
                <c:pt idx="4">
                  <c:v>3</c:v>
                </c:pt>
                <c:pt idx="5">
                  <c:v>5</c:v>
                </c:pt>
                <c:pt idx="6">
                  <c:v>0</c:v>
                </c:pt>
              </c:numCache>
            </c:numRef>
          </c:val>
          <c:smooth val="0"/>
          <c:extLst>
            <c:ext xmlns:c16="http://schemas.microsoft.com/office/drawing/2014/chart" uri="{C3380CC4-5D6E-409C-BE32-E72D297353CC}">
              <c16:uniqueId val="{00000001-99EC-534E-8EE2-BF1A1D8F2C37}"/>
            </c:ext>
          </c:extLst>
        </c:ser>
        <c:dLbls>
          <c:showLegendKey val="0"/>
          <c:showVal val="0"/>
          <c:showCatName val="0"/>
          <c:showSerName val="0"/>
          <c:showPercent val="0"/>
          <c:showBubbleSize val="0"/>
        </c:dLbls>
        <c:marker val="1"/>
        <c:smooth val="0"/>
        <c:axId val="417091396"/>
        <c:axId val="686687926"/>
      </c:lineChart>
      <c:catAx>
        <c:axId val="4170913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86687926"/>
        <c:crosses val="autoZero"/>
        <c:auto val="1"/>
        <c:lblAlgn val="ctr"/>
        <c:lblOffset val="100"/>
        <c:noMultiLvlLbl val="0"/>
      </c:catAx>
      <c:valAx>
        <c:axId val="68668792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1709139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效果</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'[附件1：绩效评价评分明细表-治超整治专项经费7.26再次修改.xlsx]Sheet2'!$B$16</c:f>
              <c:strCache>
                <c:ptCount val="1"/>
                <c:pt idx="0">
                  <c:v>指标分值</c:v>
                </c:pt>
              </c:strCache>
            </c:strRef>
          </c:tx>
          <c:spPr>
            <a:solidFill>
              <a:schemeClr val="accent4">
                <a:lumMod val="60000"/>
                <a:lumOff val="40000"/>
              </a:schemeClr>
            </a:solidFill>
            <a:ln>
              <a:noFill/>
            </a:ln>
            <a:effectLst/>
          </c:spPr>
          <c:invertIfNegative val="0"/>
          <c:cat>
            <c:strRef>
              <c:f>'[附件1：绩效评价评分明细表-治超整治专项经费7.26再次修改.xlsx]Sheet2'!$A$17:$A$21</c:f>
              <c:strCache>
                <c:ptCount val="5"/>
                <c:pt idx="0">
                  <c:v>全年执法覆盖率</c:v>
                </c:pt>
                <c:pt idx="1">
                  <c:v>治超方式多样性</c:v>
                </c:pt>
                <c:pt idx="2">
                  <c:v>治超工作合规性</c:v>
                </c:pt>
                <c:pt idx="3">
                  <c:v>通行安全提升度</c:v>
                </c:pt>
                <c:pt idx="4">
                  <c:v>可持续影响</c:v>
                </c:pt>
              </c:strCache>
            </c:strRef>
          </c:cat>
          <c:val>
            <c:numRef>
              <c:f>'[附件1：绩效评价评分明细表-治超整治专项经费7.26再次修改.xlsx]Sheet2'!$B$17:$B$21</c:f>
              <c:numCache>
                <c:formatCode>General</c:formatCode>
                <c:ptCount val="5"/>
                <c:pt idx="0">
                  <c:v>4</c:v>
                </c:pt>
                <c:pt idx="1">
                  <c:v>4</c:v>
                </c:pt>
                <c:pt idx="2">
                  <c:v>5</c:v>
                </c:pt>
                <c:pt idx="3">
                  <c:v>5</c:v>
                </c:pt>
                <c:pt idx="4">
                  <c:v>6</c:v>
                </c:pt>
              </c:numCache>
            </c:numRef>
          </c:val>
          <c:extLst>
            <c:ext xmlns:c16="http://schemas.microsoft.com/office/drawing/2014/chart" uri="{C3380CC4-5D6E-409C-BE32-E72D297353CC}">
              <c16:uniqueId val="{00000000-ADA6-2D42-A9FE-AC3B1486C38A}"/>
            </c:ext>
          </c:extLst>
        </c:ser>
        <c:dLbls>
          <c:showLegendKey val="0"/>
          <c:showVal val="0"/>
          <c:showCatName val="0"/>
          <c:showSerName val="0"/>
          <c:showPercent val="0"/>
          <c:showBubbleSize val="0"/>
        </c:dLbls>
        <c:gapWidth val="219"/>
        <c:overlap val="-27"/>
        <c:axId val="103164086"/>
        <c:axId val="630248344"/>
      </c:barChart>
      <c:lineChart>
        <c:grouping val="standard"/>
        <c:varyColors val="0"/>
        <c:ser>
          <c:idx val="1"/>
          <c:order val="1"/>
          <c:tx>
            <c:strRef>
              <c:f>'[附件1：绩效评价评分明细表-治超整治专项经费7.26再次修改.xlsx]Sheet2'!$C$16</c:f>
              <c:strCache>
                <c:ptCount val="1"/>
                <c:pt idx="0">
                  <c:v>指标评分</c:v>
                </c:pt>
              </c:strCache>
            </c:strRef>
          </c:tx>
          <c:spPr>
            <a:ln w="28575" cap="rnd">
              <a:solidFill>
                <a:schemeClr val="accent1">
                  <a:lumMod val="75000"/>
                </a:schemeClr>
              </a:solidFill>
              <a:round/>
            </a:ln>
            <a:effectLst/>
          </c:spPr>
          <c:marker>
            <c:symbol val="none"/>
          </c:marker>
          <c:cat>
            <c:strRef>
              <c:f>'[附件1：绩效评价评分明细表-治超整治专项经费7.26再次修改.xlsx]Sheet2'!$A$17:$A$21</c:f>
              <c:strCache>
                <c:ptCount val="5"/>
                <c:pt idx="0">
                  <c:v>全年执法覆盖率</c:v>
                </c:pt>
                <c:pt idx="1">
                  <c:v>治超方式多样性</c:v>
                </c:pt>
                <c:pt idx="2">
                  <c:v>治超工作合规性</c:v>
                </c:pt>
                <c:pt idx="3">
                  <c:v>通行安全提升度</c:v>
                </c:pt>
                <c:pt idx="4">
                  <c:v>可持续影响</c:v>
                </c:pt>
              </c:strCache>
            </c:strRef>
          </c:cat>
          <c:val>
            <c:numRef>
              <c:f>'[附件1：绩效评价评分明细表-治超整治专项经费7.26再次修改.xlsx]Sheet2'!$C$17:$C$21</c:f>
              <c:numCache>
                <c:formatCode>General</c:formatCode>
                <c:ptCount val="5"/>
                <c:pt idx="0">
                  <c:v>4</c:v>
                </c:pt>
                <c:pt idx="1">
                  <c:v>4</c:v>
                </c:pt>
                <c:pt idx="2">
                  <c:v>5</c:v>
                </c:pt>
                <c:pt idx="3">
                  <c:v>5</c:v>
                </c:pt>
                <c:pt idx="4">
                  <c:v>6</c:v>
                </c:pt>
              </c:numCache>
            </c:numRef>
          </c:val>
          <c:smooth val="0"/>
          <c:extLst>
            <c:ext xmlns:c16="http://schemas.microsoft.com/office/drawing/2014/chart" uri="{C3380CC4-5D6E-409C-BE32-E72D297353CC}">
              <c16:uniqueId val="{00000001-ADA6-2D42-A9FE-AC3B1486C38A}"/>
            </c:ext>
          </c:extLst>
        </c:ser>
        <c:dLbls>
          <c:showLegendKey val="0"/>
          <c:showVal val="0"/>
          <c:showCatName val="0"/>
          <c:showSerName val="0"/>
          <c:showPercent val="0"/>
          <c:showBubbleSize val="0"/>
        </c:dLbls>
        <c:marker val="1"/>
        <c:smooth val="0"/>
        <c:axId val="103164086"/>
        <c:axId val="630248344"/>
      </c:lineChart>
      <c:catAx>
        <c:axId val="10316408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30248344"/>
        <c:crosses val="autoZero"/>
        <c:auto val="1"/>
        <c:lblAlgn val="ctr"/>
        <c:lblOffset val="100"/>
        <c:noMultiLvlLbl val="0"/>
      </c:catAx>
      <c:valAx>
        <c:axId val="630248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0316408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项目总体得分情况</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'[附件1：绩效评价评分明细表-治超整治专项经费7.26再次修改.xlsx]Sheet2'!$C$1</c:f>
              <c:strCache>
                <c:ptCount val="1"/>
                <c:pt idx="0">
                  <c:v>权重</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'[附件1：绩效评价评分明细表-治超整治专项经费7.26再次修改.xlsx]Sheet2'!$B$2:$B$6</c:f>
              <c:strCache>
                <c:ptCount val="5"/>
                <c:pt idx="0">
                  <c:v>投入</c:v>
                </c:pt>
                <c:pt idx="1">
                  <c:v>过程</c:v>
                </c:pt>
                <c:pt idx="2">
                  <c:v>产出</c:v>
                </c:pt>
                <c:pt idx="3">
                  <c:v>效果</c:v>
                </c:pt>
                <c:pt idx="4">
                  <c:v>综合绩效</c:v>
                </c:pt>
              </c:strCache>
            </c:strRef>
          </c:cat>
          <c:val>
            <c:numRef>
              <c:f>'[附件1：绩效评价评分明细表-治超整治专项经费7.26再次修改.xlsx]Sheet2'!$C$2:$C$6</c:f>
              <c:numCache>
                <c:formatCode>General</c:formatCode>
                <c:ptCount val="5"/>
                <c:pt idx="0">
                  <c:v>16</c:v>
                </c:pt>
                <c:pt idx="1">
                  <c:v>24</c:v>
                </c:pt>
                <c:pt idx="2">
                  <c:v>36</c:v>
                </c:pt>
                <c:pt idx="3">
                  <c:v>24</c:v>
                </c:pt>
                <c:pt idx="4">
                  <c:v>100</c:v>
                </c:pt>
              </c:numCache>
            </c:numRef>
          </c:val>
          <c:extLst>
            <c:ext xmlns:c16="http://schemas.microsoft.com/office/drawing/2014/chart" uri="{C3380CC4-5D6E-409C-BE32-E72D297353CC}">
              <c16:uniqueId val="{00000000-2C95-634D-9FC8-9397E9A32FDB}"/>
            </c:ext>
          </c:extLst>
        </c:ser>
        <c:ser>
          <c:idx val="1"/>
          <c:order val="1"/>
          <c:tx>
            <c:strRef>
              <c:f>'[附件1：绩效评价评分明细表-治超整治专项经费7.26再次修改.xlsx]Sheet2'!$D$1</c:f>
              <c:strCache>
                <c:ptCount val="1"/>
                <c:pt idx="0">
                  <c:v>评价得分</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'[附件1：绩效评价评分明细表-治超整治专项经费7.26再次修改.xlsx]Sheet2'!$B$2:$B$6</c:f>
              <c:strCache>
                <c:ptCount val="5"/>
                <c:pt idx="0">
                  <c:v>投入</c:v>
                </c:pt>
                <c:pt idx="1">
                  <c:v>过程</c:v>
                </c:pt>
                <c:pt idx="2">
                  <c:v>产出</c:v>
                </c:pt>
                <c:pt idx="3">
                  <c:v>效果</c:v>
                </c:pt>
                <c:pt idx="4">
                  <c:v>综合绩效</c:v>
                </c:pt>
              </c:strCache>
            </c:strRef>
          </c:cat>
          <c:val>
            <c:numRef>
              <c:f>'[附件1：绩效评价评分明细表-治超整治专项经费7.26再次修改.xlsx]Sheet2'!$D$2:$D$6</c:f>
              <c:numCache>
                <c:formatCode>General</c:formatCode>
                <c:ptCount val="5"/>
                <c:pt idx="0">
                  <c:v>14</c:v>
                </c:pt>
                <c:pt idx="1">
                  <c:v>24</c:v>
                </c:pt>
                <c:pt idx="2">
                  <c:v>29</c:v>
                </c:pt>
                <c:pt idx="3">
                  <c:v>24</c:v>
                </c:pt>
                <c:pt idx="4">
                  <c:v>91</c:v>
                </c:pt>
              </c:numCache>
            </c:numRef>
          </c:val>
          <c:extLst>
            <c:ext xmlns:c16="http://schemas.microsoft.com/office/drawing/2014/chart" uri="{C3380CC4-5D6E-409C-BE32-E72D297353CC}">
              <c16:uniqueId val="{00000001-2C95-634D-9FC8-9397E9A32FDB}"/>
            </c:ext>
          </c:extLst>
        </c:ser>
        <c:dLbls>
          <c:showLegendKey val="0"/>
          <c:showVal val="1"/>
          <c:showCatName val="0"/>
          <c:showSerName val="0"/>
          <c:showPercent val="0"/>
          <c:showBubbleSize val="0"/>
        </c:dLbls>
        <c:gapWidth val="219"/>
        <c:overlap val="-27"/>
        <c:axId val="702397971"/>
        <c:axId val="153639646"/>
      </c:barChart>
      <c:catAx>
        <c:axId val="70239797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3639646"/>
        <c:crosses val="autoZero"/>
        <c:auto val="1"/>
        <c:lblAlgn val="ctr"/>
        <c:lblOffset val="100"/>
        <c:noMultiLvlLbl val="0"/>
      </c:catAx>
      <c:valAx>
        <c:axId val="15363964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02397971"/>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1#1">
  <dgm:title val=""/>
  <dgm:desc val=""/>
  <dgm:catLst>
    <dgm:cat type="accent1" pri="11100"/>
  </dgm:catLst>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55B73192-EFF2-4628-AA01-F9219C578634}" type="doc">
      <dgm:prSet loTypeId="urn:microsoft.com/office/officeart/2005/8/layout/orgChart1#1" loCatId="hierarchy" qsTypeId="urn:microsoft.com/office/officeart/2005/8/quickstyle/simple1#1" qsCatId="simple" csTypeId="urn:microsoft.com/office/officeart/2005/8/colors/accent1_1#1" csCatId="accent1" phldr="1"/>
      <dgm:spPr/>
      <dgm:t>
        <a:bodyPr/>
        <a:lstStyle/>
        <a:p>
          <a:endParaRPr lang="zh-CN" altLang="en-US"/>
        </a:p>
      </dgm:t>
    </dgm:pt>
    <dgm:pt modelId="{CF45253B-76D7-4A94-AA9B-B9FD45726A63}">
      <dgm:prSet phldrT="[文本]" custT="1"/>
      <dgm:spPr/>
      <dgm:t>
        <a:bodyPr/>
        <a:lstStyle/>
        <a:p>
          <a:r>
            <a:rPr lang="zh-CN" altLang="en-US" sz="1200" b="1" dirty="0">
              <a:latin typeface="仿宋_GB2312" panose="02010609030101010101" pitchFamily="3" charset="-122"/>
              <a:ea typeface="仿宋_GB2312" panose="02010609030101010101" pitchFamily="3" charset="-122"/>
            </a:rPr>
            <a:t>绩效评价框架体系</a:t>
          </a:r>
        </a:p>
      </dgm:t>
    </dgm:pt>
    <dgm:pt modelId="{75D57FE6-DD25-4543-978F-85F38B766E50}" type="parTrans" cxnId="{C75EE1E6-BA34-43E2-AAF7-E8930133A324}">
      <dgm:prSet/>
      <dgm:spPr/>
      <dgm:t>
        <a:bodyPr/>
        <a:lstStyle/>
        <a:p>
          <a:endParaRPr lang="zh-CN" altLang="en-US" sz="1400"/>
        </a:p>
      </dgm:t>
    </dgm:pt>
    <dgm:pt modelId="{C1CBEE68-7C59-4B06-98B7-BCCF120486DE}" type="sibTrans" cxnId="{C75EE1E6-BA34-43E2-AAF7-E8930133A324}">
      <dgm:prSet/>
      <dgm:spPr/>
      <dgm:t>
        <a:bodyPr/>
        <a:lstStyle/>
        <a:p>
          <a:endParaRPr lang="zh-CN" altLang="en-US" sz="1400"/>
        </a:p>
      </dgm:t>
    </dgm:pt>
    <dgm:pt modelId="{E0F5A2AD-0DB0-4C49-ADB2-6FB282A1FDAD}">
      <dgm:prSet phldrT="[文本]" phldr="0" custT="1"/>
      <dgm:spPr/>
      <dgm:t>
        <a:bodyPr vert="horz" wrap="square"/>
        <a:lstStyle/>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投入</a:t>
          </a:r>
          <a:endParaRPr lang="en-US" altLang="zh-CN" sz="1000" b="1"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a:t>
          </a:r>
          <a:r>
            <a:rPr lang="en-US" altLang="zh-CN" sz="1000" b="1" dirty="0">
              <a:latin typeface="Arial Narrow" panose="020B0606020202030204" pitchFamily="2" charset="0"/>
              <a:ea typeface="仿宋_GB2312" panose="02010609030101010101" pitchFamily="3" charset="-122"/>
            </a:rPr>
            <a:t>16</a:t>
          </a:r>
          <a:r>
            <a:rPr lang="zh-CN" altLang="en-US" sz="1000" b="1" dirty="0">
              <a:latin typeface="Arial Narrow" panose="020B0606020202030204" pitchFamily="2" charset="0"/>
              <a:ea typeface="仿宋_GB2312" panose="02010609030101010101" pitchFamily="3" charset="-122"/>
            </a:rPr>
            <a:t>分）</a:t>
          </a:r>
        </a:p>
      </dgm:t>
    </dgm:pt>
    <dgm:pt modelId="{B6CB627F-685A-4C85-A2B8-4700DFB8C936}" type="parTrans" cxnId="{235D6B7A-E101-482D-83EB-83625134DF5A}">
      <dgm:prSet/>
      <dgm:spPr/>
      <dgm:t>
        <a:bodyPr/>
        <a:lstStyle/>
        <a:p>
          <a:endParaRPr lang="zh-CN" altLang="en-US" sz="1400"/>
        </a:p>
      </dgm:t>
    </dgm:pt>
    <dgm:pt modelId="{75436EBF-919B-4CF0-924E-936E3CE3BF9F}" type="sibTrans" cxnId="{235D6B7A-E101-482D-83EB-83625134DF5A}">
      <dgm:prSet/>
      <dgm:spPr/>
      <dgm:t>
        <a:bodyPr/>
        <a:lstStyle/>
        <a:p>
          <a:endParaRPr lang="zh-CN" altLang="en-US" sz="1400"/>
        </a:p>
      </dgm:t>
    </dgm:pt>
    <dgm:pt modelId="{F23D4C66-C3E7-4D3B-A3D8-A5A4128C2868}">
      <dgm:prSet phldrT="[文本]" phldr="0" custT="1"/>
      <dgm:spPr/>
      <dgm:t>
        <a:bodyPr vert="horz" wrap="square"/>
        <a:lstStyle/>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项目立项</a:t>
          </a:r>
          <a:endParaRPr lang="en-US" altLang="zh-CN" sz="1000"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a:t>
          </a:r>
          <a:r>
            <a:rPr lang="en-US" altLang="zh-CN" sz="1000" dirty="0">
              <a:latin typeface="Arial Narrow" panose="020B0606020202030204" pitchFamily="2" charset="0"/>
              <a:ea typeface="仿宋_GB2312" panose="02010609030101010101" pitchFamily="3" charset="-122"/>
            </a:rPr>
            <a:t>8</a:t>
          </a:r>
          <a:r>
            <a:rPr lang="zh-CN" altLang="en-US" sz="1000" dirty="0">
              <a:latin typeface="Arial Narrow" panose="020B0606020202030204" pitchFamily="2" charset="0"/>
              <a:ea typeface="仿宋_GB2312" panose="02010609030101010101" pitchFamily="3" charset="-122"/>
            </a:rPr>
            <a:t>分）</a:t>
          </a:r>
        </a:p>
      </dgm:t>
    </dgm:pt>
    <dgm:pt modelId="{D62A0649-3D79-41BA-857C-25ABE065F20B}" type="parTrans" cxnId="{07388CB0-93F3-4A58-B96A-770E22EA2F8B}">
      <dgm:prSet/>
      <dgm:spPr/>
      <dgm:t>
        <a:bodyPr/>
        <a:lstStyle/>
        <a:p>
          <a:endParaRPr lang="zh-CN" altLang="en-US" sz="1400"/>
        </a:p>
      </dgm:t>
    </dgm:pt>
    <dgm:pt modelId="{4727E2EC-ECC9-4869-91B1-89BF41BB20E8}" type="sibTrans" cxnId="{07388CB0-93F3-4A58-B96A-770E22EA2F8B}">
      <dgm:prSet/>
      <dgm:spPr/>
      <dgm:t>
        <a:bodyPr/>
        <a:lstStyle/>
        <a:p>
          <a:endParaRPr lang="zh-CN" altLang="en-US" sz="1400"/>
        </a:p>
      </dgm:t>
    </dgm:pt>
    <dgm:pt modelId="{9280929A-4EE8-4756-AA45-C75EF836CCAB}">
      <dgm:prSet phldrT="[文本]" phldr="0" custT="1"/>
      <dgm:spPr/>
      <dgm:t>
        <a:bodyPr vert="horz" wrap="square"/>
        <a:lstStyle/>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资金落实</a:t>
          </a:r>
          <a:endParaRPr lang="en-US" altLang="zh-CN" sz="1000"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a:t>
          </a:r>
          <a:r>
            <a:rPr lang="en-US" altLang="zh-CN" sz="1000" dirty="0">
              <a:latin typeface="Arial Narrow" panose="020B0606020202030204" pitchFamily="2" charset="0"/>
              <a:ea typeface="仿宋_GB2312" panose="02010609030101010101" pitchFamily="3" charset="-122"/>
            </a:rPr>
            <a:t>8</a:t>
          </a:r>
          <a:r>
            <a:rPr lang="zh-CN" altLang="en-US" sz="1000" dirty="0">
              <a:latin typeface="Arial Narrow" panose="020B0606020202030204" pitchFamily="2" charset="0"/>
              <a:ea typeface="仿宋_GB2312" panose="02010609030101010101" pitchFamily="3" charset="-122"/>
            </a:rPr>
            <a:t>分）</a:t>
          </a:r>
        </a:p>
      </dgm:t>
    </dgm:pt>
    <dgm:pt modelId="{F08D0898-8B01-4937-A1C3-7DFF9B154031}" type="parTrans" cxnId="{B771E67E-1C3D-46D3-888F-2B674AEEC865}">
      <dgm:prSet/>
      <dgm:spPr/>
      <dgm:t>
        <a:bodyPr/>
        <a:lstStyle/>
        <a:p>
          <a:endParaRPr lang="zh-CN" altLang="en-US" sz="1400"/>
        </a:p>
      </dgm:t>
    </dgm:pt>
    <dgm:pt modelId="{1DA0E765-2249-44FD-9B8D-CC27A58084C8}" type="sibTrans" cxnId="{B771E67E-1C3D-46D3-888F-2B674AEEC865}">
      <dgm:prSet/>
      <dgm:spPr/>
      <dgm:t>
        <a:bodyPr/>
        <a:lstStyle/>
        <a:p>
          <a:endParaRPr lang="zh-CN" altLang="en-US" sz="1400"/>
        </a:p>
      </dgm:t>
    </dgm:pt>
    <dgm:pt modelId="{281ED07F-93ED-47A8-B1C0-F72A46C9F618}">
      <dgm:prSet phldrT="[文本]" phldr="0" custT="1"/>
      <dgm:spPr/>
      <dgm:t>
        <a:bodyPr vert="horz" wrap="square"/>
        <a:lstStyle/>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过程</a:t>
          </a:r>
          <a:endParaRPr lang="en-US" altLang="zh-CN" sz="1000" b="1"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a:t>
          </a:r>
          <a:r>
            <a:rPr lang="en-US" altLang="zh-CN" sz="1000" b="1" dirty="0">
              <a:latin typeface="Arial Narrow" panose="020B0606020202030204" pitchFamily="2" charset="0"/>
              <a:ea typeface="仿宋_GB2312" panose="02010609030101010101" pitchFamily="3" charset="-122"/>
            </a:rPr>
            <a:t>24</a:t>
          </a:r>
          <a:r>
            <a:rPr lang="zh-CN" altLang="en-US" sz="1000" b="1" dirty="0">
              <a:latin typeface="Arial Narrow" panose="020B0606020202030204" pitchFamily="2" charset="0"/>
              <a:ea typeface="仿宋_GB2312" panose="02010609030101010101" pitchFamily="3" charset="-122"/>
            </a:rPr>
            <a:t>分）</a:t>
          </a:r>
        </a:p>
      </dgm:t>
    </dgm:pt>
    <dgm:pt modelId="{A6FF00D2-3CA2-4C8C-BE93-BC921739C4CC}" type="parTrans" cxnId="{45DF6536-F32C-4156-9E37-69E0295183BA}">
      <dgm:prSet/>
      <dgm:spPr/>
      <dgm:t>
        <a:bodyPr/>
        <a:lstStyle/>
        <a:p>
          <a:endParaRPr lang="zh-CN" altLang="en-US" sz="1000">
            <a:latin typeface="Arial Narrow" panose="020B0606020202030204" pitchFamily="2" charset="0"/>
            <a:ea typeface="仿宋_GB2312" panose="02010609030101010101" pitchFamily="3" charset="-122"/>
          </a:endParaRPr>
        </a:p>
      </dgm:t>
    </dgm:pt>
    <dgm:pt modelId="{7D91408A-D447-42C8-96DA-FE9ED3657118}" type="sibTrans" cxnId="{45DF6536-F32C-4156-9E37-69E0295183BA}">
      <dgm:prSet/>
      <dgm:spPr/>
      <dgm:t>
        <a:bodyPr/>
        <a:lstStyle/>
        <a:p>
          <a:endParaRPr lang="zh-CN" altLang="en-US" sz="1400"/>
        </a:p>
      </dgm:t>
    </dgm:pt>
    <dgm:pt modelId="{C4B4D6C1-8FC9-4291-A73D-7361F22942FF}">
      <dgm:prSet phldrT="[文本]" phldr="0" custT="1"/>
      <dgm:spPr/>
      <dgm:t>
        <a:bodyPr vert="horz" wrap="square"/>
        <a:lstStyle/>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项目管理</a:t>
          </a:r>
          <a:endParaRPr lang="en-US" altLang="zh-CN" sz="1000"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a:t>
          </a:r>
          <a:r>
            <a:rPr lang="en-US" altLang="zh-CN" sz="1000" dirty="0">
              <a:latin typeface="Arial Narrow" panose="020B0606020202030204" pitchFamily="2" charset="0"/>
              <a:ea typeface="仿宋_GB2312" panose="02010609030101010101" pitchFamily="3" charset="-122"/>
            </a:rPr>
            <a:t>12</a:t>
          </a:r>
          <a:r>
            <a:rPr lang="zh-CN" altLang="en-US" sz="1000" dirty="0">
              <a:latin typeface="Arial Narrow" panose="020B0606020202030204" pitchFamily="2" charset="0"/>
              <a:ea typeface="仿宋_GB2312" panose="02010609030101010101" pitchFamily="3" charset="-122"/>
            </a:rPr>
            <a:t>分）</a:t>
          </a:r>
        </a:p>
      </dgm:t>
    </dgm:pt>
    <dgm:pt modelId="{A5F0E72B-EEF2-4AFF-ADC5-C10D4399D914}" type="parTrans" cxnId="{E665A11F-B41B-4BEB-9330-9200A432D86D}">
      <dgm:prSet/>
      <dgm:spPr/>
      <dgm:t>
        <a:bodyPr/>
        <a:lstStyle/>
        <a:p>
          <a:endParaRPr lang="zh-CN" altLang="en-US" sz="1000">
            <a:latin typeface="Arial Narrow" panose="020B0606020202030204" pitchFamily="2" charset="0"/>
            <a:ea typeface="仿宋_GB2312" panose="02010609030101010101" pitchFamily="3" charset="-122"/>
          </a:endParaRPr>
        </a:p>
      </dgm:t>
    </dgm:pt>
    <dgm:pt modelId="{F418A010-E430-4F02-8622-FAAC307F8517}" type="sibTrans" cxnId="{E665A11F-B41B-4BEB-9330-9200A432D86D}">
      <dgm:prSet/>
      <dgm:spPr/>
      <dgm:t>
        <a:bodyPr/>
        <a:lstStyle/>
        <a:p>
          <a:endParaRPr lang="zh-CN" altLang="en-US" sz="1400"/>
        </a:p>
      </dgm:t>
    </dgm:pt>
    <dgm:pt modelId="{4A041CFC-164C-43DA-87BD-97B7AB7B198A}">
      <dgm:prSet phldrT="[文本]" phldr="0" custT="1"/>
      <dgm:spPr/>
      <dgm:t>
        <a:bodyPr vert="horz" wrap="square"/>
        <a:lstStyle/>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财务管理</a:t>
          </a:r>
          <a:endParaRPr lang="en-US" altLang="zh-CN" sz="1000"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a:t>
          </a:r>
          <a:r>
            <a:rPr lang="en-US" altLang="zh-CN" sz="1000" dirty="0">
              <a:latin typeface="Arial Narrow" panose="020B0606020202030204" pitchFamily="2" charset="0"/>
              <a:ea typeface="仿宋_GB2312" panose="02010609030101010101" pitchFamily="3" charset="-122"/>
            </a:rPr>
            <a:t>12</a:t>
          </a:r>
          <a:r>
            <a:rPr lang="zh-CN" altLang="en-US" sz="1000" dirty="0">
              <a:latin typeface="Arial Narrow" panose="020B0606020202030204" pitchFamily="2" charset="0"/>
              <a:ea typeface="仿宋_GB2312" panose="02010609030101010101" pitchFamily="3" charset="-122"/>
            </a:rPr>
            <a:t>分）</a:t>
          </a:r>
        </a:p>
      </dgm:t>
    </dgm:pt>
    <dgm:pt modelId="{461843F3-10DC-47BA-905F-7A05E8056CA2}" type="parTrans" cxnId="{F3311E23-F5C1-4135-B0AC-F7AABDA58CCE}">
      <dgm:prSet/>
      <dgm:spPr/>
      <dgm:t>
        <a:bodyPr/>
        <a:lstStyle/>
        <a:p>
          <a:endParaRPr lang="zh-CN" altLang="en-US" sz="1000">
            <a:latin typeface="Arial Narrow" panose="020B0606020202030204" pitchFamily="2" charset="0"/>
            <a:ea typeface="仿宋_GB2312" panose="02010609030101010101" pitchFamily="3" charset="-122"/>
          </a:endParaRPr>
        </a:p>
      </dgm:t>
    </dgm:pt>
    <dgm:pt modelId="{78C92A3E-CAB0-4AC4-AC1A-FA347167F726}" type="sibTrans" cxnId="{F3311E23-F5C1-4135-B0AC-F7AABDA58CCE}">
      <dgm:prSet/>
      <dgm:spPr/>
      <dgm:t>
        <a:bodyPr/>
        <a:lstStyle/>
        <a:p>
          <a:endParaRPr lang="zh-CN" altLang="en-US" sz="1400"/>
        </a:p>
      </dgm:t>
    </dgm:pt>
    <dgm:pt modelId="{EAA09081-EEE5-4FF6-83C6-D54235754FF2}">
      <dgm:prSet phldrT="[文本]" phldr="0" custT="1"/>
      <dgm:spPr/>
      <dgm:t>
        <a:bodyPr vert="horz" wrap="square"/>
        <a:lstStyle/>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产出</a:t>
          </a:r>
          <a:endParaRPr lang="en-US" altLang="zh-CN" sz="1000" b="1"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a:t>
          </a:r>
          <a:r>
            <a:rPr lang="en-US" altLang="zh-CN" sz="1000" b="1" dirty="0">
              <a:latin typeface="Arial Narrow" panose="020B0606020202030204" pitchFamily="2" charset="0"/>
              <a:ea typeface="仿宋_GB2312" panose="02010609030101010101" pitchFamily="3" charset="-122"/>
            </a:rPr>
            <a:t>36</a:t>
          </a:r>
          <a:r>
            <a:rPr lang="zh-CN" altLang="en-US" sz="1000" b="1" dirty="0">
              <a:latin typeface="Arial Narrow" panose="020B0606020202030204" pitchFamily="2" charset="0"/>
              <a:ea typeface="仿宋_GB2312" panose="02010609030101010101" pitchFamily="3" charset="-122"/>
            </a:rPr>
            <a:t>分）</a:t>
          </a:r>
        </a:p>
      </dgm:t>
    </dgm:pt>
    <dgm:pt modelId="{165A0FE3-F976-4015-B0F9-AB5036A0AC15}" type="parTrans" cxnId="{7FE71AD0-C6F2-43E4-89E6-63AC682AC7F3}">
      <dgm:prSet/>
      <dgm:spPr/>
      <dgm:t>
        <a:bodyPr/>
        <a:lstStyle/>
        <a:p>
          <a:endParaRPr lang="zh-CN" altLang="en-US" sz="1000">
            <a:latin typeface="Arial Narrow" panose="020B0606020202030204" pitchFamily="2" charset="0"/>
            <a:ea typeface="仿宋_GB2312" panose="02010609030101010101" pitchFamily="3" charset="-122"/>
          </a:endParaRPr>
        </a:p>
      </dgm:t>
    </dgm:pt>
    <dgm:pt modelId="{BF547FF0-61A7-46D3-9531-477128CF900E}" type="sibTrans" cxnId="{7FE71AD0-C6F2-43E4-89E6-63AC682AC7F3}">
      <dgm:prSet/>
      <dgm:spPr/>
      <dgm:t>
        <a:bodyPr/>
        <a:lstStyle/>
        <a:p>
          <a:endParaRPr lang="zh-CN" altLang="en-US" sz="1400"/>
        </a:p>
      </dgm:t>
    </dgm:pt>
    <dgm:pt modelId="{EE62B10A-22B9-4476-992F-D9A8CF312A45}">
      <dgm:prSet phldrT="[文本]" phldr="0" custT="1"/>
      <dgm:spPr/>
      <dgm:t>
        <a:bodyPr vert="horz" wrap="square"/>
        <a:lstStyle/>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项目产出</a:t>
          </a:r>
          <a:endParaRPr lang="en-US" altLang="zh-CN" sz="1000"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a:t>
          </a:r>
          <a:r>
            <a:rPr lang="en-US" altLang="zh-CN" sz="1000" dirty="0">
              <a:latin typeface="Arial Narrow" panose="020B0606020202030204" pitchFamily="2" charset="0"/>
              <a:ea typeface="仿宋_GB2312" panose="02010609030101010101" pitchFamily="3" charset="-122"/>
            </a:rPr>
            <a:t>36</a:t>
          </a:r>
          <a:r>
            <a:rPr lang="zh-CN" altLang="en-US" sz="1000" dirty="0">
              <a:latin typeface="Arial Narrow" panose="020B0606020202030204" pitchFamily="2" charset="0"/>
              <a:ea typeface="仿宋_GB2312" panose="02010609030101010101" pitchFamily="3" charset="-122"/>
            </a:rPr>
            <a:t>分）</a:t>
          </a:r>
        </a:p>
      </dgm:t>
    </dgm:pt>
    <dgm:pt modelId="{9635236D-73C4-490B-85B6-91100C708763}" type="parTrans" cxnId="{90B11BBB-1F62-4C5A-9C7F-CE3372818835}">
      <dgm:prSet/>
      <dgm:spPr/>
      <dgm:t>
        <a:bodyPr/>
        <a:lstStyle/>
        <a:p>
          <a:endParaRPr lang="zh-CN" altLang="en-US" sz="1000">
            <a:latin typeface="Arial Narrow" panose="020B0606020202030204" pitchFamily="2" charset="0"/>
            <a:ea typeface="仿宋_GB2312" panose="02010609030101010101" pitchFamily="3" charset="-122"/>
          </a:endParaRPr>
        </a:p>
      </dgm:t>
    </dgm:pt>
    <dgm:pt modelId="{21FA2D33-1D29-4314-BB3C-EB69184D22A9}" type="sibTrans" cxnId="{90B11BBB-1F62-4C5A-9C7F-CE3372818835}">
      <dgm:prSet/>
      <dgm:spPr/>
      <dgm:t>
        <a:bodyPr/>
        <a:lstStyle/>
        <a:p>
          <a:endParaRPr lang="zh-CN" altLang="en-US" sz="1400"/>
        </a:p>
      </dgm:t>
    </dgm:pt>
    <dgm:pt modelId="{84B3B3C2-5995-47BE-B7FE-F949EBBC3C84}">
      <dgm:prSet phldrT="[文本]" phldr="0" custT="1"/>
      <dgm:spPr/>
      <dgm:t>
        <a:bodyPr vert="horz" wrap="square"/>
        <a:lstStyle/>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效果</a:t>
          </a:r>
          <a:endParaRPr lang="en-US" altLang="zh-CN" sz="1000" b="1"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b="1" dirty="0">
              <a:latin typeface="Arial Narrow" panose="020B0606020202030204" pitchFamily="2" charset="0"/>
              <a:ea typeface="仿宋_GB2312" panose="02010609030101010101" pitchFamily="3" charset="-122"/>
            </a:rPr>
            <a:t>（</a:t>
          </a:r>
          <a:r>
            <a:rPr lang="en-US" altLang="zh-CN" sz="1000" b="1" dirty="0">
              <a:latin typeface="Arial Narrow" panose="020B0606020202030204" pitchFamily="2" charset="0"/>
              <a:ea typeface="仿宋_GB2312" panose="02010609030101010101" pitchFamily="3" charset="-122"/>
            </a:rPr>
            <a:t>24</a:t>
          </a:r>
          <a:r>
            <a:rPr lang="zh-CN" altLang="en-US" sz="1000" b="1" dirty="0">
              <a:latin typeface="Arial Narrow" panose="020B0606020202030204" pitchFamily="2" charset="0"/>
              <a:ea typeface="仿宋_GB2312" panose="02010609030101010101" pitchFamily="3" charset="-122"/>
            </a:rPr>
            <a:t>分）</a:t>
          </a:r>
        </a:p>
      </dgm:t>
    </dgm:pt>
    <dgm:pt modelId="{FA6D06B8-73B1-4681-824A-759E7287582C}" type="parTrans" cxnId="{A52F1F85-63EA-4D7F-969A-E57213C2AE19}">
      <dgm:prSet/>
      <dgm:spPr/>
      <dgm:t>
        <a:bodyPr/>
        <a:lstStyle/>
        <a:p>
          <a:endParaRPr lang="zh-CN" altLang="en-US" sz="1000">
            <a:latin typeface="Arial Narrow" panose="020B0606020202030204" pitchFamily="2" charset="0"/>
            <a:ea typeface="仿宋_GB2312" panose="02010609030101010101" pitchFamily="3" charset="-122"/>
          </a:endParaRPr>
        </a:p>
      </dgm:t>
    </dgm:pt>
    <dgm:pt modelId="{D079B806-179F-40FB-8992-D5B74F4531F7}" type="sibTrans" cxnId="{A52F1F85-63EA-4D7F-969A-E57213C2AE19}">
      <dgm:prSet/>
      <dgm:spPr/>
      <dgm:t>
        <a:bodyPr/>
        <a:lstStyle/>
        <a:p>
          <a:endParaRPr lang="zh-CN" altLang="en-US" sz="1400"/>
        </a:p>
      </dgm:t>
    </dgm:pt>
    <dgm:pt modelId="{3C841ED9-DEBE-4D1D-A8E8-09DEF16CC3D8}">
      <dgm:prSet phldrT="[文本]" phldr="0" custT="1"/>
      <dgm:spPr/>
      <dgm:t>
        <a:bodyPr vert="horz" wrap="square"/>
        <a:lstStyle/>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项目效果</a:t>
          </a:r>
          <a:endParaRPr lang="en-US" altLang="zh-CN" sz="1000" dirty="0">
            <a:latin typeface="Arial Narrow" panose="020B0606020202030204" pitchFamily="2" charset="0"/>
            <a:ea typeface="仿宋_GB2312" panose="02010609030101010101" pitchFamily="3" charset="-122"/>
          </a:endParaRPr>
        </a:p>
        <a:p>
          <a:pPr>
            <a:lnSpc>
              <a:spcPct val="100000"/>
            </a:lnSpc>
            <a:spcBef>
              <a:spcPct val="0"/>
            </a:spcBef>
            <a:spcAft>
              <a:spcPct val="35000"/>
            </a:spcAft>
          </a:pPr>
          <a:r>
            <a:rPr lang="zh-CN" altLang="en-US" sz="1000" dirty="0">
              <a:latin typeface="Arial Narrow" panose="020B0606020202030204" pitchFamily="2" charset="0"/>
              <a:ea typeface="仿宋_GB2312" panose="02010609030101010101" pitchFamily="3" charset="-122"/>
            </a:rPr>
            <a:t>（</a:t>
          </a:r>
          <a:r>
            <a:rPr lang="en-US" altLang="zh-CN" sz="1000">
              <a:latin typeface="Arial Narrow" panose="020B0606020202030204" pitchFamily="2" charset="0"/>
              <a:ea typeface="仿宋_GB2312" panose="02010609030101010101" pitchFamily="3" charset="-122"/>
            </a:rPr>
            <a:t>24</a:t>
          </a:r>
          <a:r>
            <a:rPr lang="zh-CN" altLang="en-US" sz="1000">
              <a:latin typeface="Arial Narrow" panose="020B0606020202030204" pitchFamily="2" charset="0"/>
              <a:ea typeface="仿宋_GB2312" panose="02010609030101010101" pitchFamily="3" charset="-122"/>
            </a:rPr>
            <a:t>分</a:t>
          </a:r>
          <a:r>
            <a:rPr lang="zh-CN" altLang="en-US" sz="1000" dirty="0">
              <a:latin typeface="Arial Narrow" panose="020B0606020202030204" pitchFamily="2" charset="0"/>
              <a:ea typeface="仿宋_GB2312" panose="02010609030101010101" pitchFamily="3" charset="-122"/>
            </a:rPr>
            <a:t>）</a:t>
          </a:r>
        </a:p>
      </dgm:t>
    </dgm:pt>
    <dgm:pt modelId="{3A2913D1-86BC-47CC-A71C-34BA2F81CCC9}" type="parTrans" cxnId="{8EA78F3F-B815-4D54-869E-4C04DD04901E}">
      <dgm:prSet/>
      <dgm:spPr/>
      <dgm:t>
        <a:bodyPr/>
        <a:lstStyle/>
        <a:p>
          <a:endParaRPr lang="zh-CN" altLang="en-US" sz="1000">
            <a:latin typeface="Arial Narrow" panose="020B0606020202030204" pitchFamily="2" charset="0"/>
            <a:ea typeface="仿宋_GB2312" panose="02010609030101010101" pitchFamily="3" charset="-122"/>
          </a:endParaRPr>
        </a:p>
      </dgm:t>
    </dgm:pt>
    <dgm:pt modelId="{514A21AD-02F0-420A-99FE-F9CE30201BA9}" type="sibTrans" cxnId="{8EA78F3F-B815-4D54-869E-4C04DD04901E}">
      <dgm:prSet/>
      <dgm:spPr/>
      <dgm:t>
        <a:bodyPr/>
        <a:lstStyle/>
        <a:p>
          <a:endParaRPr lang="zh-CN" altLang="en-US" sz="1400"/>
        </a:p>
      </dgm:t>
    </dgm:pt>
    <dgm:pt modelId="{1A00C78D-07D3-44C8-AC3C-DD6752C82963}" type="pres">
      <dgm:prSet presAssocID="{55B73192-EFF2-4628-AA01-F9219C578634}" presName="hierChild1" presStyleCnt="0">
        <dgm:presLayoutVars>
          <dgm:orgChart val="1"/>
          <dgm:chPref val="1"/>
          <dgm:dir/>
          <dgm:animOne val="branch"/>
          <dgm:animLvl val="lvl"/>
          <dgm:resizeHandles/>
        </dgm:presLayoutVars>
      </dgm:prSet>
      <dgm:spPr/>
    </dgm:pt>
    <dgm:pt modelId="{7C164361-B204-4C1C-86B5-B8FA325F58C7}" type="pres">
      <dgm:prSet presAssocID="{CF45253B-76D7-4A94-AA9B-B9FD45726A63}" presName="hierRoot1" presStyleCnt="0">
        <dgm:presLayoutVars>
          <dgm:hierBranch val="init"/>
        </dgm:presLayoutVars>
      </dgm:prSet>
      <dgm:spPr/>
    </dgm:pt>
    <dgm:pt modelId="{4504BC16-2336-4525-8DEA-DA16A29E6725}" type="pres">
      <dgm:prSet presAssocID="{CF45253B-76D7-4A94-AA9B-B9FD45726A63}" presName="rootComposite1" presStyleCnt="0"/>
      <dgm:spPr/>
    </dgm:pt>
    <dgm:pt modelId="{6FABA1AA-B2B1-413C-A12C-31838EAB6661}" type="pres">
      <dgm:prSet presAssocID="{CF45253B-76D7-4A94-AA9B-B9FD45726A63}" presName="rootText1" presStyleLbl="node0" presStyleIdx="0" presStyleCnt="1">
        <dgm:presLayoutVars>
          <dgm:chPref val="3"/>
        </dgm:presLayoutVars>
      </dgm:prSet>
      <dgm:spPr/>
    </dgm:pt>
    <dgm:pt modelId="{FF5B549B-833F-4D91-9230-1947DD18259C}" type="pres">
      <dgm:prSet presAssocID="{CF45253B-76D7-4A94-AA9B-B9FD45726A63}" presName="rootConnector1" presStyleLbl="node1" presStyleIdx="0" presStyleCnt="0"/>
      <dgm:spPr/>
    </dgm:pt>
    <dgm:pt modelId="{0D460F58-845A-48C8-9F75-E824E0984837}" type="pres">
      <dgm:prSet presAssocID="{CF45253B-76D7-4A94-AA9B-B9FD45726A63}" presName="hierChild2" presStyleCnt="0"/>
      <dgm:spPr/>
    </dgm:pt>
    <dgm:pt modelId="{25472726-201B-4CDB-BCE7-00705EF439C9}" type="pres">
      <dgm:prSet presAssocID="{B6CB627F-685A-4C85-A2B8-4700DFB8C936}" presName="Name37" presStyleLbl="parChTrans1D2" presStyleIdx="0" presStyleCnt="4"/>
      <dgm:spPr/>
    </dgm:pt>
    <dgm:pt modelId="{380088FA-33B9-4561-B2FC-2CA4F2BFD365}" type="pres">
      <dgm:prSet presAssocID="{E0F5A2AD-0DB0-4C49-ADB2-6FB282A1FDAD}" presName="hierRoot2" presStyleCnt="0">
        <dgm:presLayoutVars>
          <dgm:hierBranch val="init"/>
        </dgm:presLayoutVars>
      </dgm:prSet>
      <dgm:spPr/>
    </dgm:pt>
    <dgm:pt modelId="{6E1D9E27-5D05-43E2-B738-ED774C55CF70}" type="pres">
      <dgm:prSet presAssocID="{E0F5A2AD-0DB0-4C49-ADB2-6FB282A1FDAD}" presName="rootComposite" presStyleCnt="0"/>
      <dgm:spPr/>
    </dgm:pt>
    <dgm:pt modelId="{1D7F5857-2C1E-425D-915E-0CDA8798F70C}" type="pres">
      <dgm:prSet presAssocID="{E0F5A2AD-0DB0-4C49-ADB2-6FB282A1FDAD}" presName="rootText" presStyleLbl="node2" presStyleIdx="0" presStyleCnt="4">
        <dgm:presLayoutVars>
          <dgm:chPref val="3"/>
        </dgm:presLayoutVars>
      </dgm:prSet>
      <dgm:spPr/>
    </dgm:pt>
    <dgm:pt modelId="{1AB6A8F9-5F48-4473-9BE8-BEC96A4DE713}" type="pres">
      <dgm:prSet presAssocID="{E0F5A2AD-0DB0-4C49-ADB2-6FB282A1FDAD}" presName="rootConnector" presStyleLbl="node2" presStyleIdx="0" presStyleCnt="4"/>
      <dgm:spPr/>
    </dgm:pt>
    <dgm:pt modelId="{E23F1F71-695F-463B-8854-06B77C1855AA}" type="pres">
      <dgm:prSet presAssocID="{E0F5A2AD-0DB0-4C49-ADB2-6FB282A1FDAD}" presName="hierChild4" presStyleCnt="0"/>
      <dgm:spPr/>
    </dgm:pt>
    <dgm:pt modelId="{B5B129BA-C6B2-46A9-9B35-B9DBE92CD428}" type="pres">
      <dgm:prSet presAssocID="{D62A0649-3D79-41BA-857C-25ABE065F20B}" presName="Name37" presStyleLbl="parChTrans1D3" presStyleIdx="0" presStyleCnt="6"/>
      <dgm:spPr/>
    </dgm:pt>
    <dgm:pt modelId="{6AF214A3-BF61-4610-8503-F2E9D1B1B530}" type="pres">
      <dgm:prSet presAssocID="{F23D4C66-C3E7-4D3B-A3D8-A5A4128C2868}" presName="hierRoot2" presStyleCnt="0">
        <dgm:presLayoutVars>
          <dgm:hierBranch val="init"/>
        </dgm:presLayoutVars>
      </dgm:prSet>
      <dgm:spPr/>
    </dgm:pt>
    <dgm:pt modelId="{1CE99FE4-33DC-4E19-9E77-286FB2E2AB31}" type="pres">
      <dgm:prSet presAssocID="{F23D4C66-C3E7-4D3B-A3D8-A5A4128C2868}" presName="rootComposite" presStyleCnt="0"/>
      <dgm:spPr/>
    </dgm:pt>
    <dgm:pt modelId="{915FCF84-4A0A-4E65-B305-ECBB7F1385A3}" type="pres">
      <dgm:prSet presAssocID="{F23D4C66-C3E7-4D3B-A3D8-A5A4128C2868}" presName="rootText" presStyleLbl="node3" presStyleIdx="0" presStyleCnt="6">
        <dgm:presLayoutVars>
          <dgm:chPref val="3"/>
        </dgm:presLayoutVars>
      </dgm:prSet>
      <dgm:spPr/>
    </dgm:pt>
    <dgm:pt modelId="{63CA28BD-3A11-48D5-B13D-974BF332A602}" type="pres">
      <dgm:prSet presAssocID="{F23D4C66-C3E7-4D3B-A3D8-A5A4128C2868}" presName="rootConnector" presStyleLbl="node3" presStyleIdx="0" presStyleCnt="6"/>
      <dgm:spPr/>
    </dgm:pt>
    <dgm:pt modelId="{E937E69B-41B6-4986-AC95-590CCF23B382}" type="pres">
      <dgm:prSet presAssocID="{F23D4C66-C3E7-4D3B-A3D8-A5A4128C2868}" presName="hierChild4" presStyleCnt="0"/>
      <dgm:spPr/>
    </dgm:pt>
    <dgm:pt modelId="{DD4F26E3-6A65-47B4-ADA5-42BCA07BC735}" type="pres">
      <dgm:prSet presAssocID="{F23D4C66-C3E7-4D3B-A3D8-A5A4128C2868}" presName="hierChild5" presStyleCnt="0"/>
      <dgm:spPr/>
    </dgm:pt>
    <dgm:pt modelId="{98810390-23B8-4B4D-B630-5D6E59610398}" type="pres">
      <dgm:prSet presAssocID="{F08D0898-8B01-4937-A1C3-7DFF9B154031}" presName="Name37" presStyleLbl="parChTrans1D3" presStyleIdx="1" presStyleCnt="6"/>
      <dgm:spPr/>
    </dgm:pt>
    <dgm:pt modelId="{86FB2CE4-B5C6-4969-B5EF-DCAFA6B7FC79}" type="pres">
      <dgm:prSet presAssocID="{9280929A-4EE8-4756-AA45-C75EF836CCAB}" presName="hierRoot2" presStyleCnt="0">
        <dgm:presLayoutVars>
          <dgm:hierBranch val="init"/>
        </dgm:presLayoutVars>
      </dgm:prSet>
      <dgm:spPr/>
    </dgm:pt>
    <dgm:pt modelId="{2D55E0E8-D38A-4D51-8617-F56AA68DD1A4}" type="pres">
      <dgm:prSet presAssocID="{9280929A-4EE8-4756-AA45-C75EF836CCAB}" presName="rootComposite" presStyleCnt="0"/>
      <dgm:spPr/>
    </dgm:pt>
    <dgm:pt modelId="{56BCB5A3-9EB6-4654-8DD8-0696C0447BDB}" type="pres">
      <dgm:prSet presAssocID="{9280929A-4EE8-4756-AA45-C75EF836CCAB}" presName="rootText" presStyleLbl="node3" presStyleIdx="1" presStyleCnt="6">
        <dgm:presLayoutVars>
          <dgm:chPref val="3"/>
        </dgm:presLayoutVars>
      </dgm:prSet>
      <dgm:spPr/>
    </dgm:pt>
    <dgm:pt modelId="{0F81545D-A6E4-4937-8E2B-EAEF3E83CC81}" type="pres">
      <dgm:prSet presAssocID="{9280929A-4EE8-4756-AA45-C75EF836CCAB}" presName="rootConnector" presStyleLbl="node3" presStyleIdx="1" presStyleCnt="6"/>
      <dgm:spPr/>
    </dgm:pt>
    <dgm:pt modelId="{4EF52A3D-F54B-46D7-A069-387ECFBDA9E2}" type="pres">
      <dgm:prSet presAssocID="{9280929A-4EE8-4756-AA45-C75EF836CCAB}" presName="hierChild4" presStyleCnt="0"/>
      <dgm:spPr/>
    </dgm:pt>
    <dgm:pt modelId="{1CB5DA75-9C04-4599-B18B-404832B0EDEF}" type="pres">
      <dgm:prSet presAssocID="{9280929A-4EE8-4756-AA45-C75EF836CCAB}" presName="hierChild5" presStyleCnt="0"/>
      <dgm:spPr/>
    </dgm:pt>
    <dgm:pt modelId="{5131272E-8214-4A71-BDDA-0E1B9D07F0B4}" type="pres">
      <dgm:prSet presAssocID="{E0F5A2AD-0DB0-4C49-ADB2-6FB282A1FDAD}" presName="hierChild5" presStyleCnt="0"/>
      <dgm:spPr/>
    </dgm:pt>
    <dgm:pt modelId="{E6352080-E70B-4511-A637-05F9F36159A8}" type="pres">
      <dgm:prSet presAssocID="{A6FF00D2-3CA2-4C8C-BE93-BC921739C4CC}" presName="Name37" presStyleLbl="parChTrans1D2" presStyleIdx="1" presStyleCnt="4"/>
      <dgm:spPr/>
    </dgm:pt>
    <dgm:pt modelId="{DED021A4-E320-4E6D-B679-2D3439515F8B}" type="pres">
      <dgm:prSet presAssocID="{281ED07F-93ED-47A8-B1C0-F72A46C9F618}" presName="hierRoot2" presStyleCnt="0">
        <dgm:presLayoutVars>
          <dgm:hierBranch val="init"/>
        </dgm:presLayoutVars>
      </dgm:prSet>
      <dgm:spPr/>
    </dgm:pt>
    <dgm:pt modelId="{C69D819F-D3CD-4EE7-AAD3-3D0F6359CC0C}" type="pres">
      <dgm:prSet presAssocID="{281ED07F-93ED-47A8-B1C0-F72A46C9F618}" presName="rootComposite" presStyleCnt="0"/>
      <dgm:spPr/>
    </dgm:pt>
    <dgm:pt modelId="{35ED0F50-076B-424F-89FA-98E136480A8E}" type="pres">
      <dgm:prSet presAssocID="{281ED07F-93ED-47A8-B1C0-F72A46C9F618}" presName="rootText" presStyleLbl="node2" presStyleIdx="1" presStyleCnt="4">
        <dgm:presLayoutVars>
          <dgm:chPref val="3"/>
        </dgm:presLayoutVars>
      </dgm:prSet>
      <dgm:spPr/>
    </dgm:pt>
    <dgm:pt modelId="{6ACD3912-94AA-4763-A33B-313796C35F2A}" type="pres">
      <dgm:prSet presAssocID="{281ED07F-93ED-47A8-B1C0-F72A46C9F618}" presName="rootConnector" presStyleLbl="node2" presStyleIdx="1" presStyleCnt="4"/>
      <dgm:spPr/>
    </dgm:pt>
    <dgm:pt modelId="{BFE017F5-7743-4C71-AD09-4F9A41DA53A3}" type="pres">
      <dgm:prSet presAssocID="{281ED07F-93ED-47A8-B1C0-F72A46C9F618}" presName="hierChild4" presStyleCnt="0"/>
      <dgm:spPr/>
    </dgm:pt>
    <dgm:pt modelId="{906C21BB-89A5-489F-98DA-C18FCBDEB1A8}" type="pres">
      <dgm:prSet presAssocID="{A5F0E72B-EEF2-4AFF-ADC5-C10D4399D914}" presName="Name37" presStyleLbl="parChTrans1D3" presStyleIdx="2" presStyleCnt="6"/>
      <dgm:spPr/>
    </dgm:pt>
    <dgm:pt modelId="{42D0F01B-F64F-4F69-9526-2C68FEF7ABC6}" type="pres">
      <dgm:prSet presAssocID="{C4B4D6C1-8FC9-4291-A73D-7361F22942FF}" presName="hierRoot2" presStyleCnt="0">
        <dgm:presLayoutVars>
          <dgm:hierBranch val="init"/>
        </dgm:presLayoutVars>
      </dgm:prSet>
      <dgm:spPr/>
    </dgm:pt>
    <dgm:pt modelId="{7E491A73-24B9-4677-8B7C-C7AF4D6EC999}" type="pres">
      <dgm:prSet presAssocID="{C4B4D6C1-8FC9-4291-A73D-7361F22942FF}" presName="rootComposite" presStyleCnt="0"/>
      <dgm:spPr/>
    </dgm:pt>
    <dgm:pt modelId="{6602EEA0-EFE2-44D7-AA56-61A80F3AAEEF}" type="pres">
      <dgm:prSet presAssocID="{C4B4D6C1-8FC9-4291-A73D-7361F22942FF}" presName="rootText" presStyleLbl="node3" presStyleIdx="2" presStyleCnt="6">
        <dgm:presLayoutVars>
          <dgm:chPref val="3"/>
        </dgm:presLayoutVars>
      </dgm:prSet>
      <dgm:spPr/>
    </dgm:pt>
    <dgm:pt modelId="{0045BA34-CEE2-4F18-99D5-ECB340D2F382}" type="pres">
      <dgm:prSet presAssocID="{C4B4D6C1-8FC9-4291-A73D-7361F22942FF}" presName="rootConnector" presStyleLbl="node3" presStyleIdx="2" presStyleCnt="6"/>
      <dgm:spPr/>
    </dgm:pt>
    <dgm:pt modelId="{ECFA9858-B0E5-45F2-8DA5-44745C00E305}" type="pres">
      <dgm:prSet presAssocID="{C4B4D6C1-8FC9-4291-A73D-7361F22942FF}" presName="hierChild4" presStyleCnt="0"/>
      <dgm:spPr/>
    </dgm:pt>
    <dgm:pt modelId="{3B36A67A-C6B2-4F8C-9535-BEA6D0EDE402}" type="pres">
      <dgm:prSet presAssocID="{C4B4D6C1-8FC9-4291-A73D-7361F22942FF}" presName="hierChild5" presStyleCnt="0"/>
      <dgm:spPr/>
    </dgm:pt>
    <dgm:pt modelId="{73FCD39D-C0B1-4A5F-B5B2-5F8C1C6C4A93}" type="pres">
      <dgm:prSet presAssocID="{461843F3-10DC-47BA-905F-7A05E8056CA2}" presName="Name37" presStyleLbl="parChTrans1D3" presStyleIdx="3" presStyleCnt="6"/>
      <dgm:spPr/>
    </dgm:pt>
    <dgm:pt modelId="{097BBD98-BE81-4564-B2E1-30B99CB8FC12}" type="pres">
      <dgm:prSet presAssocID="{4A041CFC-164C-43DA-87BD-97B7AB7B198A}" presName="hierRoot2" presStyleCnt="0">
        <dgm:presLayoutVars>
          <dgm:hierBranch val="init"/>
        </dgm:presLayoutVars>
      </dgm:prSet>
      <dgm:spPr/>
    </dgm:pt>
    <dgm:pt modelId="{1EF35DAA-632D-483A-884C-1B00C5B635D8}" type="pres">
      <dgm:prSet presAssocID="{4A041CFC-164C-43DA-87BD-97B7AB7B198A}" presName="rootComposite" presStyleCnt="0"/>
      <dgm:spPr/>
    </dgm:pt>
    <dgm:pt modelId="{7F43F900-C6D2-44D1-9BE2-A3A3E8784527}" type="pres">
      <dgm:prSet presAssocID="{4A041CFC-164C-43DA-87BD-97B7AB7B198A}" presName="rootText" presStyleLbl="node3" presStyleIdx="3" presStyleCnt="6">
        <dgm:presLayoutVars>
          <dgm:chPref val="3"/>
        </dgm:presLayoutVars>
      </dgm:prSet>
      <dgm:spPr/>
    </dgm:pt>
    <dgm:pt modelId="{C864EC4C-283E-46A3-9713-E5AC2DBFC39C}" type="pres">
      <dgm:prSet presAssocID="{4A041CFC-164C-43DA-87BD-97B7AB7B198A}" presName="rootConnector" presStyleLbl="node3" presStyleIdx="3" presStyleCnt="6"/>
      <dgm:spPr/>
    </dgm:pt>
    <dgm:pt modelId="{7D263356-D3DE-4427-8A7B-67D75815680B}" type="pres">
      <dgm:prSet presAssocID="{4A041CFC-164C-43DA-87BD-97B7AB7B198A}" presName="hierChild4" presStyleCnt="0"/>
      <dgm:spPr/>
    </dgm:pt>
    <dgm:pt modelId="{CE55FD95-5879-4095-8ED6-ADB4FF5BEA9A}" type="pres">
      <dgm:prSet presAssocID="{4A041CFC-164C-43DA-87BD-97B7AB7B198A}" presName="hierChild5" presStyleCnt="0"/>
      <dgm:spPr/>
    </dgm:pt>
    <dgm:pt modelId="{91150B30-6304-4945-9CAB-1962E77EF472}" type="pres">
      <dgm:prSet presAssocID="{281ED07F-93ED-47A8-B1C0-F72A46C9F618}" presName="hierChild5" presStyleCnt="0"/>
      <dgm:spPr/>
    </dgm:pt>
    <dgm:pt modelId="{88E1B36A-0C7A-463A-810A-C01B1CF99A93}" type="pres">
      <dgm:prSet presAssocID="{165A0FE3-F976-4015-B0F9-AB5036A0AC15}" presName="Name37" presStyleLbl="parChTrans1D2" presStyleIdx="2" presStyleCnt="4"/>
      <dgm:spPr/>
    </dgm:pt>
    <dgm:pt modelId="{09724E06-D8DA-4BF6-9A8F-29EA1FAF8ABA}" type="pres">
      <dgm:prSet presAssocID="{EAA09081-EEE5-4FF6-83C6-D54235754FF2}" presName="hierRoot2" presStyleCnt="0">
        <dgm:presLayoutVars>
          <dgm:hierBranch val="init"/>
        </dgm:presLayoutVars>
      </dgm:prSet>
      <dgm:spPr/>
    </dgm:pt>
    <dgm:pt modelId="{FF427FA1-44FB-437F-8A76-B0BE2CAA6397}" type="pres">
      <dgm:prSet presAssocID="{EAA09081-EEE5-4FF6-83C6-D54235754FF2}" presName="rootComposite" presStyleCnt="0"/>
      <dgm:spPr/>
    </dgm:pt>
    <dgm:pt modelId="{5FF262D9-F35A-499D-B0C4-F894A8DCE13C}" type="pres">
      <dgm:prSet presAssocID="{EAA09081-EEE5-4FF6-83C6-D54235754FF2}" presName="rootText" presStyleLbl="node2" presStyleIdx="2" presStyleCnt="4">
        <dgm:presLayoutVars>
          <dgm:chPref val="3"/>
        </dgm:presLayoutVars>
      </dgm:prSet>
      <dgm:spPr/>
    </dgm:pt>
    <dgm:pt modelId="{17AFFE8C-2461-448B-9FCD-E832FB3C77A7}" type="pres">
      <dgm:prSet presAssocID="{EAA09081-EEE5-4FF6-83C6-D54235754FF2}" presName="rootConnector" presStyleLbl="node2" presStyleIdx="2" presStyleCnt="4"/>
      <dgm:spPr/>
    </dgm:pt>
    <dgm:pt modelId="{9FECA3BA-B4B9-414B-984E-D1892221734A}" type="pres">
      <dgm:prSet presAssocID="{EAA09081-EEE5-4FF6-83C6-D54235754FF2}" presName="hierChild4" presStyleCnt="0"/>
      <dgm:spPr/>
    </dgm:pt>
    <dgm:pt modelId="{D99AE5A3-DB32-4DC0-A895-0DB4EAC6EC85}" type="pres">
      <dgm:prSet presAssocID="{9635236D-73C4-490B-85B6-91100C708763}" presName="Name37" presStyleLbl="parChTrans1D3" presStyleIdx="4" presStyleCnt="6"/>
      <dgm:spPr/>
    </dgm:pt>
    <dgm:pt modelId="{8D847D61-D5AE-495A-8986-76CE8844C561}" type="pres">
      <dgm:prSet presAssocID="{EE62B10A-22B9-4476-992F-D9A8CF312A45}" presName="hierRoot2" presStyleCnt="0">
        <dgm:presLayoutVars>
          <dgm:hierBranch val="init"/>
        </dgm:presLayoutVars>
      </dgm:prSet>
      <dgm:spPr/>
    </dgm:pt>
    <dgm:pt modelId="{72EDB54B-127B-421C-AA9D-3101C4BAEA9F}" type="pres">
      <dgm:prSet presAssocID="{EE62B10A-22B9-4476-992F-D9A8CF312A45}" presName="rootComposite" presStyleCnt="0"/>
      <dgm:spPr/>
    </dgm:pt>
    <dgm:pt modelId="{D733FEB7-D26C-4FD6-A51F-9207EE7DA4D9}" type="pres">
      <dgm:prSet presAssocID="{EE62B10A-22B9-4476-992F-D9A8CF312A45}" presName="rootText" presStyleLbl="node3" presStyleIdx="4" presStyleCnt="6">
        <dgm:presLayoutVars>
          <dgm:chPref val="3"/>
        </dgm:presLayoutVars>
      </dgm:prSet>
      <dgm:spPr/>
    </dgm:pt>
    <dgm:pt modelId="{8EA522F9-8FBF-4EC2-AA46-9D42002FEE89}" type="pres">
      <dgm:prSet presAssocID="{EE62B10A-22B9-4476-992F-D9A8CF312A45}" presName="rootConnector" presStyleLbl="node3" presStyleIdx="4" presStyleCnt="6"/>
      <dgm:spPr/>
    </dgm:pt>
    <dgm:pt modelId="{5F747244-CB59-436B-BF04-C0F0D6F32F96}" type="pres">
      <dgm:prSet presAssocID="{EE62B10A-22B9-4476-992F-D9A8CF312A45}" presName="hierChild4" presStyleCnt="0"/>
      <dgm:spPr/>
    </dgm:pt>
    <dgm:pt modelId="{59D2004F-8279-4177-83C1-D70F3ADAE70B}" type="pres">
      <dgm:prSet presAssocID="{EE62B10A-22B9-4476-992F-D9A8CF312A45}" presName="hierChild5" presStyleCnt="0"/>
      <dgm:spPr/>
    </dgm:pt>
    <dgm:pt modelId="{79694EFA-F92E-4056-A336-896B40EB6BC6}" type="pres">
      <dgm:prSet presAssocID="{EAA09081-EEE5-4FF6-83C6-D54235754FF2}" presName="hierChild5" presStyleCnt="0"/>
      <dgm:spPr/>
    </dgm:pt>
    <dgm:pt modelId="{B2C8EC94-422A-4DA0-8D72-7317AC9C9FB4}" type="pres">
      <dgm:prSet presAssocID="{FA6D06B8-73B1-4681-824A-759E7287582C}" presName="Name37" presStyleLbl="parChTrans1D2" presStyleIdx="3" presStyleCnt="4"/>
      <dgm:spPr/>
    </dgm:pt>
    <dgm:pt modelId="{6585A604-4F1C-4793-866B-60D22604E916}" type="pres">
      <dgm:prSet presAssocID="{84B3B3C2-5995-47BE-B7FE-F949EBBC3C84}" presName="hierRoot2" presStyleCnt="0">
        <dgm:presLayoutVars>
          <dgm:hierBranch val="init"/>
        </dgm:presLayoutVars>
      </dgm:prSet>
      <dgm:spPr/>
    </dgm:pt>
    <dgm:pt modelId="{0E74F8AA-CDA0-49B6-94A7-12051A1E1887}" type="pres">
      <dgm:prSet presAssocID="{84B3B3C2-5995-47BE-B7FE-F949EBBC3C84}" presName="rootComposite" presStyleCnt="0"/>
      <dgm:spPr/>
    </dgm:pt>
    <dgm:pt modelId="{B35A8252-117C-436B-BBFD-88304056EA12}" type="pres">
      <dgm:prSet presAssocID="{84B3B3C2-5995-47BE-B7FE-F949EBBC3C84}" presName="rootText" presStyleLbl="node2" presStyleIdx="3" presStyleCnt="4">
        <dgm:presLayoutVars>
          <dgm:chPref val="3"/>
        </dgm:presLayoutVars>
      </dgm:prSet>
      <dgm:spPr/>
    </dgm:pt>
    <dgm:pt modelId="{FE1EE632-E675-442F-9128-1E5E43CF9CA2}" type="pres">
      <dgm:prSet presAssocID="{84B3B3C2-5995-47BE-B7FE-F949EBBC3C84}" presName="rootConnector" presStyleLbl="node2" presStyleIdx="3" presStyleCnt="4"/>
      <dgm:spPr/>
    </dgm:pt>
    <dgm:pt modelId="{50CBDC0E-9D0D-40B6-81D9-C3D97F606255}" type="pres">
      <dgm:prSet presAssocID="{84B3B3C2-5995-47BE-B7FE-F949EBBC3C84}" presName="hierChild4" presStyleCnt="0"/>
      <dgm:spPr/>
    </dgm:pt>
    <dgm:pt modelId="{1C71A983-E3D0-4F8E-9E18-40FD6D3D1CA2}" type="pres">
      <dgm:prSet presAssocID="{3A2913D1-86BC-47CC-A71C-34BA2F81CCC9}" presName="Name37" presStyleLbl="parChTrans1D3" presStyleIdx="5" presStyleCnt="6"/>
      <dgm:spPr/>
    </dgm:pt>
    <dgm:pt modelId="{D0D18AD8-B2FC-455F-A71E-DA8D2B9E899E}" type="pres">
      <dgm:prSet presAssocID="{3C841ED9-DEBE-4D1D-A8E8-09DEF16CC3D8}" presName="hierRoot2" presStyleCnt="0">
        <dgm:presLayoutVars>
          <dgm:hierBranch val="init"/>
        </dgm:presLayoutVars>
      </dgm:prSet>
      <dgm:spPr/>
    </dgm:pt>
    <dgm:pt modelId="{7F808266-A082-4F9B-929F-8FB419898796}" type="pres">
      <dgm:prSet presAssocID="{3C841ED9-DEBE-4D1D-A8E8-09DEF16CC3D8}" presName="rootComposite" presStyleCnt="0"/>
      <dgm:spPr/>
    </dgm:pt>
    <dgm:pt modelId="{DADF5DC0-82DB-469E-BA70-C7F4FB91A752}" type="pres">
      <dgm:prSet presAssocID="{3C841ED9-DEBE-4D1D-A8E8-09DEF16CC3D8}" presName="rootText" presStyleLbl="node3" presStyleIdx="5" presStyleCnt="6">
        <dgm:presLayoutVars>
          <dgm:chPref val="3"/>
        </dgm:presLayoutVars>
      </dgm:prSet>
      <dgm:spPr/>
    </dgm:pt>
    <dgm:pt modelId="{69C894A6-184C-4D7B-959B-709ADCE7D331}" type="pres">
      <dgm:prSet presAssocID="{3C841ED9-DEBE-4D1D-A8E8-09DEF16CC3D8}" presName="rootConnector" presStyleLbl="node3" presStyleIdx="5" presStyleCnt="6"/>
      <dgm:spPr/>
    </dgm:pt>
    <dgm:pt modelId="{F26C06C7-0BC8-4E2B-A292-C49A5BA6885C}" type="pres">
      <dgm:prSet presAssocID="{3C841ED9-DEBE-4D1D-A8E8-09DEF16CC3D8}" presName="hierChild4" presStyleCnt="0"/>
      <dgm:spPr/>
    </dgm:pt>
    <dgm:pt modelId="{6C897AD2-964E-42EF-89F7-D120B1DE40C6}" type="pres">
      <dgm:prSet presAssocID="{3C841ED9-DEBE-4D1D-A8E8-09DEF16CC3D8}" presName="hierChild5" presStyleCnt="0"/>
      <dgm:spPr/>
    </dgm:pt>
    <dgm:pt modelId="{B5750708-E587-4F41-9ED0-F6063E9997E3}" type="pres">
      <dgm:prSet presAssocID="{84B3B3C2-5995-47BE-B7FE-F949EBBC3C84}" presName="hierChild5" presStyleCnt="0"/>
      <dgm:spPr/>
    </dgm:pt>
    <dgm:pt modelId="{993F8165-B8B7-401A-82A0-6F79DB89F346}" type="pres">
      <dgm:prSet presAssocID="{CF45253B-76D7-4A94-AA9B-B9FD45726A63}" presName="hierChild3" presStyleCnt="0"/>
      <dgm:spPr/>
    </dgm:pt>
  </dgm:ptLst>
  <dgm:cxnLst>
    <dgm:cxn modelId="{595F4105-F53C-4A57-95D7-DD7FC658868D}" type="presOf" srcId="{CF45253B-76D7-4A94-AA9B-B9FD45726A63}" destId="{FF5B549B-833F-4D91-9230-1947DD18259C}" srcOrd="2" destOrd="0" presId="urn:microsoft.com/office/officeart/2005/8/layout/orgChart1#1"/>
    <dgm:cxn modelId="{5FF80E10-BFAC-426B-B2EF-71DCDDC10470}" type="presOf" srcId="{4A041CFC-164C-43DA-87BD-97B7AB7B198A}" destId="{1EF35DAA-632D-483A-884C-1B00C5B635D8}" srcOrd="0" destOrd="0" presId="urn:microsoft.com/office/officeart/2005/8/layout/orgChart1#1"/>
    <dgm:cxn modelId="{B970D810-4AB8-46BD-A8BA-9A70A3CC55EC}" type="presOf" srcId="{F23D4C66-C3E7-4D3B-A3D8-A5A4128C2868}" destId="{63CA28BD-3A11-48D5-B13D-974BF332A602}" srcOrd="2" destOrd="0" presId="urn:microsoft.com/office/officeart/2005/8/layout/orgChart1#1"/>
    <dgm:cxn modelId="{E665A11F-B41B-4BEB-9330-9200A432D86D}" srcId="{281ED07F-93ED-47A8-B1C0-F72A46C9F618}" destId="{C4B4D6C1-8FC9-4291-A73D-7361F22942FF}" srcOrd="0" destOrd="0" parTransId="{A5F0E72B-EEF2-4AFF-ADC5-C10D4399D914}" sibTransId="{F418A010-E430-4F02-8622-FAAC307F8517}"/>
    <dgm:cxn modelId="{F3311E23-F5C1-4135-B0AC-F7AABDA58CCE}" srcId="{281ED07F-93ED-47A8-B1C0-F72A46C9F618}" destId="{4A041CFC-164C-43DA-87BD-97B7AB7B198A}" srcOrd="1" destOrd="0" parTransId="{461843F3-10DC-47BA-905F-7A05E8056CA2}" sibTransId="{78C92A3E-CAB0-4AC4-AC1A-FA347167F726}"/>
    <dgm:cxn modelId="{0F6D732D-1379-4448-96AD-B803BE0F21F0}" type="presOf" srcId="{55B73192-EFF2-4628-AA01-F9219C578634}" destId="{1A00C78D-07D3-44C8-AC3C-DD6752C82963}" srcOrd="0" destOrd="0" presId="urn:microsoft.com/office/officeart/2005/8/layout/orgChart1#1"/>
    <dgm:cxn modelId="{276A5034-2B9C-49E9-91AD-FE2D9669773D}" type="presOf" srcId="{9280929A-4EE8-4756-AA45-C75EF836CCAB}" destId="{0F81545D-A6E4-4937-8E2B-EAEF3E83CC81}" srcOrd="2" destOrd="0" presId="urn:microsoft.com/office/officeart/2005/8/layout/orgChart1#1"/>
    <dgm:cxn modelId="{45DF6536-F32C-4156-9E37-69E0295183BA}" srcId="{CF45253B-76D7-4A94-AA9B-B9FD45726A63}" destId="{281ED07F-93ED-47A8-B1C0-F72A46C9F618}" srcOrd="1" destOrd="0" parTransId="{A6FF00D2-3CA2-4C8C-BE93-BC921739C4CC}" sibTransId="{7D91408A-D447-42C8-96DA-FE9ED3657118}"/>
    <dgm:cxn modelId="{8EA78F3F-B815-4D54-869E-4C04DD04901E}" srcId="{84B3B3C2-5995-47BE-B7FE-F949EBBC3C84}" destId="{3C841ED9-DEBE-4D1D-A8E8-09DEF16CC3D8}" srcOrd="0" destOrd="0" parTransId="{3A2913D1-86BC-47CC-A71C-34BA2F81CCC9}" sibTransId="{514A21AD-02F0-420A-99FE-F9CE30201BA9}"/>
    <dgm:cxn modelId="{1C30BE3F-A518-4F3F-B7C6-3DF841642C49}" type="presOf" srcId="{E0F5A2AD-0DB0-4C49-ADB2-6FB282A1FDAD}" destId="{1AB6A8F9-5F48-4473-9BE8-BEC96A4DE713}" srcOrd="2" destOrd="0" presId="urn:microsoft.com/office/officeart/2005/8/layout/orgChart1#1"/>
    <dgm:cxn modelId="{78ADF041-B924-4730-9C07-710DE2F08616}" type="presOf" srcId="{EE62B10A-22B9-4476-992F-D9A8CF312A45}" destId="{8EA522F9-8FBF-4EC2-AA46-9D42002FEE89}" srcOrd="2" destOrd="0" presId="urn:microsoft.com/office/officeart/2005/8/layout/orgChart1#1"/>
    <dgm:cxn modelId="{B6E09349-4636-4155-9241-C64C0876F719}" type="presOf" srcId="{EAA09081-EEE5-4FF6-83C6-D54235754FF2}" destId="{FF427FA1-44FB-437F-8A76-B0BE2CAA6397}" srcOrd="0" destOrd="0" presId="urn:microsoft.com/office/officeart/2005/8/layout/orgChart1#1"/>
    <dgm:cxn modelId="{F440134D-5C78-4180-A215-71BCB3F756BF}" type="presOf" srcId="{3C841ED9-DEBE-4D1D-A8E8-09DEF16CC3D8}" destId="{DADF5DC0-82DB-469E-BA70-C7F4FB91A752}" srcOrd="1" destOrd="0" presId="urn:microsoft.com/office/officeart/2005/8/layout/orgChart1#1"/>
    <dgm:cxn modelId="{A13B0E54-8C75-40BC-B6FA-E7F7D9F6D0CF}" type="presOf" srcId="{C4B4D6C1-8FC9-4291-A73D-7361F22942FF}" destId="{7E491A73-24B9-4677-8B7C-C7AF4D6EC999}" srcOrd="0" destOrd="0" presId="urn:microsoft.com/office/officeart/2005/8/layout/orgChart1#1"/>
    <dgm:cxn modelId="{FC089D57-6BD8-4581-8657-54B2C401FF59}" type="presOf" srcId="{C4B4D6C1-8FC9-4291-A73D-7361F22942FF}" destId="{6602EEA0-EFE2-44D7-AA56-61A80F3AAEEF}" srcOrd="1" destOrd="0" presId="urn:microsoft.com/office/officeart/2005/8/layout/orgChart1#1"/>
    <dgm:cxn modelId="{ED2E1D5C-FBC9-4F39-8ED4-70A2D3454797}" type="presOf" srcId="{F23D4C66-C3E7-4D3B-A3D8-A5A4128C2868}" destId="{1CE99FE4-33DC-4E19-9E77-286FB2E2AB31}" srcOrd="0" destOrd="0" presId="urn:microsoft.com/office/officeart/2005/8/layout/orgChart1#1"/>
    <dgm:cxn modelId="{AE5A2F5C-9D21-49BA-BA3E-80C29909E4A3}" type="presOf" srcId="{A6FF00D2-3CA2-4C8C-BE93-BC921739C4CC}" destId="{E6352080-E70B-4511-A637-05F9F36159A8}" srcOrd="0" destOrd="0" presId="urn:microsoft.com/office/officeart/2005/8/layout/orgChart1#1"/>
    <dgm:cxn modelId="{C978EA63-94E2-4C50-B625-94FB7A7F2FC6}" type="presOf" srcId="{84B3B3C2-5995-47BE-B7FE-F949EBBC3C84}" destId="{FE1EE632-E675-442F-9128-1E5E43CF9CA2}" srcOrd="2" destOrd="0" presId="urn:microsoft.com/office/officeart/2005/8/layout/orgChart1#1"/>
    <dgm:cxn modelId="{61E97371-B3C0-4832-95FF-0276AEA09CFB}" type="presOf" srcId="{CF45253B-76D7-4A94-AA9B-B9FD45726A63}" destId="{4504BC16-2336-4525-8DEA-DA16A29E6725}" srcOrd="0" destOrd="0" presId="urn:microsoft.com/office/officeart/2005/8/layout/orgChart1#1"/>
    <dgm:cxn modelId="{4D6A8F75-6D7C-4056-8332-75FC1833B89C}" type="presOf" srcId="{B6CB627F-685A-4C85-A2B8-4700DFB8C936}" destId="{25472726-201B-4CDB-BCE7-00705EF439C9}" srcOrd="0" destOrd="0" presId="urn:microsoft.com/office/officeart/2005/8/layout/orgChart1#1"/>
    <dgm:cxn modelId="{7E883176-8392-4BD6-8265-9D2948404488}" type="presOf" srcId="{F08D0898-8B01-4937-A1C3-7DFF9B154031}" destId="{98810390-23B8-4B4D-B630-5D6E59610398}" srcOrd="0" destOrd="0" presId="urn:microsoft.com/office/officeart/2005/8/layout/orgChart1#1"/>
    <dgm:cxn modelId="{5FA8EE77-98F5-4BF5-AE08-BDE2E28B7932}" type="presOf" srcId="{CF45253B-76D7-4A94-AA9B-B9FD45726A63}" destId="{6FABA1AA-B2B1-413C-A12C-31838EAB6661}" srcOrd="1" destOrd="0" presId="urn:microsoft.com/office/officeart/2005/8/layout/orgChart1#1"/>
    <dgm:cxn modelId="{235D6B7A-E101-482D-83EB-83625134DF5A}" srcId="{CF45253B-76D7-4A94-AA9B-B9FD45726A63}" destId="{E0F5A2AD-0DB0-4C49-ADB2-6FB282A1FDAD}" srcOrd="0" destOrd="0" parTransId="{B6CB627F-685A-4C85-A2B8-4700DFB8C936}" sibTransId="{75436EBF-919B-4CF0-924E-936E3CE3BF9F}"/>
    <dgm:cxn modelId="{B771E67E-1C3D-46D3-888F-2B674AEEC865}" srcId="{E0F5A2AD-0DB0-4C49-ADB2-6FB282A1FDAD}" destId="{9280929A-4EE8-4756-AA45-C75EF836CCAB}" srcOrd="1" destOrd="0" parTransId="{F08D0898-8B01-4937-A1C3-7DFF9B154031}" sibTransId="{1DA0E765-2249-44FD-9B8D-CC27A58084C8}"/>
    <dgm:cxn modelId="{3B330983-41AF-4215-A755-92E993DBC3E3}" type="presOf" srcId="{3A2913D1-86BC-47CC-A71C-34BA2F81CCC9}" destId="{1C71A983-E3D0-4F8E-9E18-40FD6D3D1CA2}" srcOrd="0" destOrd="0" presId="urn:microsoft.com/office/officeart/2005/8/layout/orgChart1#1"/>
    <dgm:cxn modelId="{939CF684-C97E-47AB-A579-12EBD9C98C96}" type="presOf" srcId="{84B3B3C2-5995-47BE-B7FE-F949EBBC3C84}" destId="{B35A8252-117C-436B-BBFD-88304056EA12}" srcOrd="1" destOrd="0" presId="urn:microsoft.com/office/officeart/2005/8/layout/orgChart1#1"/>
    <dgm:cxn modelId="{A52F1F85-63EA-4D7F-969A-E57213C2AE19}" srcId="{CF45253B-76D7-4A94-AA9B-B9FD45726A63}" destId="{84B3B3C2-5995-47BE-B7FE-F949EBBC3C84}" srcOrd="3" destOrd="0" parTransId="{FA6D06B8-73B1-4681-824A-759E7287582C}" sibTransId="{D079B806-179F-40FB-8992-D5B74F4531F7}"/>
    <dgm:cxn modelId="{E4E8C188-4629-400C-808C-0E9DF8FDC9CC}" type="presOf" srcId="{D62A0649-3D79-41BA-857C-25ABE065F20B}" destId="{B5B129BA-C6B2-46A9-9B35-B9DBE92CD428}" srcOrd="0" destOrd="0" presId="urn:microsoft.com/office/officeart/2005/8/layout/orgChart1#1"/>
    <dgm:cxn modelId="{20E5F18B-33A8-426F-AC24-CF5F5D4A52E2}" type="presOf" srcId="{165A0FE3-F976-4015-B0F9-AB5036A0AC15}" destId="{88E1B36A-0C7A-463A-810A-C01B1CF99A93}" srcOrd="0" destOrd="0" presId="urn:microsoft.com/office/officeart/2005/8/layout/orgChart1#1"/>
    <dgm:cxn modelId="{E5DEC88F-430A-4D98-B9B9-5FAFA865FA56}" type="presOf" srcId="{3C841ED9-DEBE-4D1D-A8E8-09DEF16CC3D8}" destId="{7F808266-A082-4F9B-929F-8FB419898796}" srcOrd="0" destOrd="0" presId="urn:microsoft.com/office/officeart/2005/8/layout/orgChart1#1"/>
    <dgm:cxn modelId="{F84CFD90-B320-402D-A850-41519868745C}" type="presOf" srcId="{9280929A-4EE8-4756-AA45-C75EF836CCAB}" destId="{2D55E0E8-D38A-4D51-8617-F56AA68DD1A4}" srcOrd="0" destOrd="0" presId="urn:microsoft.com/office/officeart/2005/8/layout/orgChart1#1"/>
    <dgm:cxn modelId="{D4333B91-94BA-4601-ACFF-15818E27DBCB}" type="presOf" srcId="{E0F5A2AD-0DB0-4C49-ADB2-6FB282A1FDAD}" destId="{1D7F5857-2C1E-425D-915E-0CDA8798F70C}" srcOrd="1" destOrd="0" presId="urn:microsoft.com/office/officeart/2005/8/layout/orgChart1#1"/>
    <dgm:cxn modelId="{089C8499-1D4A-432A-9F97-CA3481CD19E1}" type="presOf" srcId="{EAA09081-EEE5-4FF6-83C6-D54235754FF2}" destId="{5FF262D9-F35A-499D-B0C4-F894A8DCE13C}" srcOrd="1" destOrd="0" presId="urn:microsoft.com/office/officeart/2005/8/layout/orgChart1#1"/>
    <dgm:cxn modelId="{EDD1329E-D8C3-4915-8BF0-6D045151C126}" type="presOf" srcId="{281ED07F-93ED-47A8-B1C0-F72A46C9F618}" destId="{6ACD3912-94AA-4763-A33B-313796C35F2A}" srcOrd="2" destOrd="0" presId="urn:microsoft.com/office/officeart/2005/8/layout/orgChart1#1"/>
    <dgm:cxn modelId="{B6C161A0-88D0-4BF5-AF9C-5A086DF0D1FE}" type="presOf" srcId="{9280929A-4EE8-4756-AA45-C75EF836CCAB}" destId="{56BCB5A3-9EB6-4654-8DD8-0696C0447BDB}" srcOrd="1" destOrd="0" presId="urn:microsoft.com/office/officeart/2005/8/layout/orgChart1#1"/>
    <dgm:cxn modelId="{FC485EA2-0FA2-4917-8A26-74403966BA7D}" type="presOf" srcId="{A5F0E72B-EEF2-4AFF-ADC5-C10D4399D914}" destId="{906C21BB-89A5-489F-98DA-C18FCBDEB1A8}" srcOrd="0" destOrd="0" presId="urn:microsoft.com/office/officeart/2005/8/layout/orgChart1#1"/>
    <dgm:cxn modelId="{07388CB0-93F3-4A58-B96A-770E22EA2F8B}" srcId="{E0F5A2AD-0DB0-4C49-ADB2-6FB282A1FDAD}" destId="{F23D4C66-C3E7-4D3B-A3D8-A5A4128C2868}" srcOrd="0" destOrd="0" parTransId="{D62A0649-3D79-41BA-857C-25ABE065F20B}" sibTransId="{4727E2EC-ECC9-4869-91B1-89BF41BB20E8}"/>
    <dgm:cxn modelId="{3E01CAB1-BFBB-425C-A840-D7CF5791A9AC}" type="presOf" srcId="{E0F5A2AD-0DB0-4C49-ADB2-6FB282A1FDAD}" destId="{6E1D9E27-5D05-43E2-B738-ED774C55CF70}" srcOrd="0" destOrd="0" presId="urn:microsoft.com/office/officeart/2005/8/layout/orgChart1#1"/>
    <dgm:cxn modelId="{A8C655B6-1951-4F6B-AAD0-154D7401B95F}" type="presOf" srcId="{9635236D-73C4-490B-85B6-91100C708763}" destId="{D99AE5A3-DB32-4DC0-A895-0DB4EAC6EC85}" srcOrd="0" destOrd="0" presId="urn:microsoft.com/office/officeart/2005/8/layout/orgChart1#1"/>
    <dgm:cxn modelId="{A58B12BB-6A48-4051-B07A-22C70C63D5CE}" type="presOf" srcId="{281ED07F-93ED-47A8-B1C0-F72A46C9F618}" destId="{35ED0F50-076B-424F-89FA-98E136480A8E}" srcOrd="1" destOrd="0" presId="urn:microsoft.com/office/officeart/2005/8/layout/orgChart1#1"/>
    <dgm:cxn modelId="{90B11BBB-1F62-4C5A-9C7F-CE3372818835}" srcId="{EAA09081-EEE5-4FF6-83C6-D54235754FF2}" destId="{EE62B10A-22B9-4476-992F-D9A8CF312A45}" srcOrd="0" destOrd="0" parTransId="{9635236D-73C4-490B-85B6-91100C708763}" sibTransId="{21FA2D33-1D29-4314-BB3C-EB69184D22A9}"/>
    <dgm:cxn modelId="{86031DC3-113B-41B5-8CD8-F98AB5D408D3}" type="presOf" srcId="{F23D4C66-C3E7-4D3B-A3D8-A5A4128C2868}" destId="{915FCF84-4A0A-4E65-B305-ECBB7F1385A3}" srcOrd="1" destOrd="0" presId="urn:microsoft.com/office/officeart/2005/8/layout/orgChart1#1"/>
    <dgm:cxn modelId="{E03B01C8-9D46-41B8-849A-D3002E59E19C}" type="presOf" srcId="{461843F3-10DC-47BA-905F-7A05E8056CA2}" destId="{73FCD39D-C0B1-4A5F-B5B2-5F8C1C6C4A93}" srcOrd="0" destOrd="0" presId="urn:microsoft.com/office/officeart/2005/8/layout/orgChart1#1"/>
    <dgm:cxn modelId="{9B8086C8-FC89-4EBE-9517-228440DB1319}" type="presOf" srcId="{C4B4D6C1-8FC9-4291-A73D-7361F22942FF}" destId="{0045BA34-CEE2-4F18-99D5-ECB340D2F382}" srcOrd="2" destOrd="0" presId="urn:microsoft.com/office/officeart/2005/8/layout/orgChart1#1"/>
    <dgm:cxn modelId="{FD152BCB-1760-45B2-807C-65D5D866205F}" type="presOf" srcId="{84B3B3C2-5995-47BE-B7FE-F949EBBC3C84}" destId="{0E74F8AA-CDA0-49B6-94A7-12051A1E1887}" srcOrd="0" destOrd="0" presId="urn:microsoft.com/office/officeart/2005/8/layout/orgChart1#1"/>
    <dgm:cxn modelId="{7FE71AD0-C6F2-43E4-89E6-63AC682AC7F3}" srcId="{CF45253B-76D7-4A94-AA9B-B9FD45726A63}" destId="{EAA09081-EEE5-4FF6-83C6-D54235754FF2}" srcOrd="2" destOrd="0" parTransId="{165A0FE3-F976-4015-B0F9-AB5036A0AC15}" sibTransId="{BF547FF0-61A7-46D3-9531-477128CF900E}"/>
    <dgm:cxn modelId="{0EB1DDDC-43BE-4AE1-8BD0-C18035BD41C1}" type="presOf" srcId="{EE62B10A-22B9-4476-992F-D9A8CF312A45}" destId="{72EDB54B-127B-421C-AA9D-3101C4BAEA9F}" srcOrd="0" destOrd="0" presId="urn:microsoft.com/office/officeart/2005/8/layout/orgChart1#1"/>
    <dgm:cxn modelId="{98A26DE0-8E1A-4C6A-AB39-E7F2C719802D}" type="presOf" srcId="{4A041CFC-164C-43DA-87BD-97B7AB7B198A}" destId="{7F43F900-C6D2-44D1-9BE2-A3A3E8784527}" srcOrd="1" destOrd="0" presId="urn:microsoft.com/office/officeart/2005/8/layout/orgChart1#1"/>
    <dgm:cxn modelId="{F8B8CDE1-A5CE-4404-A0E3-F2A9AAD1CB06}" type="presOf" srcId="{FA6D06B8-73B1-4681-824A-759E7287582C}" destId="{B2C8EC94-422A-4DA0-8D72-7317AC9C9FB4}" srcOrd="0" destOrd="0" presId="urn:microsoft.com/office/officeart/2005/8/layout/orgChart1#1"/>
    <dgm:cxn modelId="{5713D4E2-CB1D-4082-949D-62382D65930E}" type="presOf" srcId="{EE62B10A-22B9-4476-992F-D9A8CF312A45}" destId="{D733FEB7-D26C-4FD6-A51F-9207EE7DA4D9}" srcOrd="1" destOrd="0" presId="urn:microsoft.com/office/officeart/2005/8/layout/orgChart1#1"/>
    <dgm:cxn modelId="{C75EE1E6-BA34-43E2-AAF7-E8930133A324}" srcId="{55B73192-EFF2-4628-AA01-F9219C578634}" destId="{CF45253B-76D7-4A94-AA9B-B9FD45726A63}" srcOrd="0" destOrd="0" parTransId="{75D57FE6-DD25-4543-978F-85F38B766E50}" sibTransId="{C1CBEE68-7C59-4B06-98B7-BCCF120486DE}"/>
    <dgm:cxn modelId="{9A81C4E8-95FD-45EA-B072-6ED923045B2E}" type="presOf" srcId="{281ED07F-93ED-47A8-B1C0-F72A46C9F618}" destId="{C69D819F-D3CD-4EE7-AAD3-3D0F6359CC0C}" srcOrd="0" destOrd="0" presId="urn:microsoft.com/office/officeart/2005/8/layout/orgChart1#1"/>
    <dgm:cxn modelId="{FC8125EF-7C9A-426A-81A5-0338CDB93BBB}" type="presOf" srcId="{EAA09081-EEE5-4FF6-83C6-D54235754FF2}" destId="{17AFFE8C-2461-448B-9FCD-E832FB3C77A7}" srcOrd="2" destOrd="0" presId="urn:microsoft.com/office/officeart/2005/8/layout/orgChart1#1"/>
    <dgm:cxn modelId="{8EBAA1F0-B351-4BD2-AB5B-52583E284847}" type="presOf" srcId="{3C841ED9-DEBE-4D1D-A8E8-09DEF16CC3D8}" destId="{69C894A6-184C-4D7B-959B-709ADCE7D331}" srcOrd="2" destOrd="0" presId="urn:microsoft.com/office/officeart/2005/8/layout/orgChart1#1"/>
    <dgm:cxn modelId="{523E04FF-058C-422D-ACAA-D941598D4A87}" type="presOf" srcId="{4A041CFC-164C-43DA-87BD-97B7AB7B198A}" destId="{C864EC4C-283E-46A3-9713-E5AC2DBFC39C}" srcOrd="2" destOrd="0" presId="urn:microsoft.com/office/officeart/2005/8/layout/orgChart1#1"/>
    <dgm:cxn modelId="{29D4C389-CCA2-42D1-B0C0-BC7423F8DFC3}" type="presParOf" srcId="{1A00C78D-07D3-44C8-AC3C-DD6752C82963}" destId="{7C164361-B204-4C1C-86B5-B8FA325F58C7}" srcOrd="0" destOrd="0" presId="urn:microsoft.com/office/officeart/2005/8/layout/orgChart1#1"/>
    <dgm:cxn modelId="{A29FBE9D-F52D-4B33-A11A-FDCEFD1DC0E4}" type="presParOf" srcId="{7C164361-B204-4C1C-86B5-B8FA325F58C7}" destId="{4504BC16-2336-4525-8DEA-DA16A29E6725}" srcOrd="0" destOrd="0" presId="urn:microsoft.com/office/officeart/2005/8/layout/orgChart1#1"/>
    <dgm:cxn modelId="{8E7A1837-24B8-429F-8D4B-B60D3F9A4AFD}" type="presParOf" srcId="{4504BC16-2336-4525-8DEA-DA16A29E6725}" destId="{6FABA1AA-B2B1-413C-A12C-31838EAB6661}" srcOrd="0" destOrd="0" presId="urn:microsoft.com/office/officeart/2005/8/layout/orgChart1#1"/>
    <dgm:cxn modelId="{2EBF12AD-22A2-4330-B348-BB8573077356}" type="presParOf" srcId="{4504BC16-2336-4525-8DEA-DA16A29E6725}" destId="{FF5B549B-833F-4D91-9230-1947DD18259C}" srcOrd="1" destOrd="0" presId="urn:microsoft.com/office/officeart/2005/8/layout/orgChart1#1"/>
    <dgm:cxn modelId="{B43E73EE-C8AD-4141-931D-18FB11272B17}" type="presParOf" srcId="{7C164361-B204-4C1C-86B5-B8FA325F58C7}" destId="{0D460F58-845A-48C8-9F75-E824E0984837}" srcOrd="1" destOrd="0" presId="urn:microsoft.com/office/officeart/2005/8/layout/orgChart1#1"/>
    <dgm:cxn modelId="{E5D3726F-444F-499D-9578-6D42029F4583}" type="presParOf" srcId="{0D460F58-845A-48C8-9F75-E824E0984837}" destId="{25472726-201B-4CDB-BCE7-00705EF439C9}" srcOrd="0" destOrd="0" presId="urn:microsoft.com/office/officeart/2005/8/layout/orgChart1#1"/>
    <dgm:cxn modelId="{EB7344CE-6B6A-4AC7-AFD7-361DEF70C8B4}" type="presParOf" srcId="{0D460F58-845A-48C8-9F75-E824E0984837}" destId="{380088FA-33B9-4561-B2FC-2CA4F2BFD365}" srcOrd="1" destOrd="0" presId="urn:microsoft.com/office/officeart/2005/8/layout/orgChart1#1"/>
    <dgm:cxn modelId="{0C5F5467-E3D0-4C2F-84C9-7E543537306A}" type="presParOf" srcId="{380088FA-33B9-4561-B2FC-2CA4F2BFD365}" destId="{6E1D9E27-5D05-43E2-B738-ED774C55CF70}" srcOrd="0" destOrd="0" presId="urn:microsoft.com/office/officeart/2005/8/layout/orgChart1#1"/>
    <dgm:cxn modelId="{94EC9DD5-8685-438B-9EF9-B59A73B07F8D}" type="presParOf" srcId="{6E1D9E27-5D05-43E2-B738-ED774C55CF70}" destId="{1D7F5857-2C1E-425D-915E-0CDA8798F70C}" srcOrd="0" destOrd="0" presId="urn:microsoft.com/office/officeart/2005/8/layout/orgChart1#1"/>
    <dgm:cxn modelId="{4B3DA339-1D5D-4AF7-86D3-9ECAE689DB56}" type="presParOf" srcId="{6E1D9E27-5D05-43E2-B738-ED774C55CF70}" destId="{1AB6A8F9-5F48-4473-9BE8-BEC96A4DE713}" srcOrd="1" destOrd="0" presId="urn:microsoft.com/office/officeart/2005/8/layout/orgChart1#1"/>
    <dgm:cxn modelId="{8374614C-313A-4C32-9FD7-00C591AB94F0}" type="presParOf" srcId="{380088FA-33B9-4561-B2FC-2CA4F2BFD365}" destId="{E23F1F71-695F-463B-8854-06B77C1855AA}" srcOrd="1" destOrd="0" presId="urn:microsoft.com/office/officeart/2005/8/layout/orgChart1#1"/>
    <dgm:cxn modelId="{3644865B-5BFC-454D-91D0-B77E36A2F718}" type="presParOf" srcId="{E23F1F71-695F-463B-8854-06B77C1855AA}" destId="{B5B129BA-C6B2-46A9-9B35-B9DBE92CD428}" srcOrd="0" destOrd="0" presId="urn:microsoft.com/office/officeart/2005/8/layout/orgChart1#1"/>
    <dgm:cxn modelId="{587BDF10-E17C-4E7B-BF2E-DCBA5ADEB0A5}" type="presParOf" srcId="{E23F1F71-695F-463B-8854-06B77C1855AA}" destId="{6AF214A3-BF61-4610-8503-F2E9D1B1B530}" srcOrd="1" destOrd="0" presId="urn:microsoft.com/office/officeart/2005/8/layout/orgChart1#1"/>
    <dgm:cxn modelId="{13D45BFF-EC36-45B5-9782-0D02895A8F0C}" type="presParOf" srcId="{6AF214A3-BF61-4610-8503-F2E9D1B1B530}" destId="{1CE99FE4-33DC-4E19-9E77-286FB2E2AB31}" srcOrd="0" destOrd="0" presId="urn:microsoft.com/office/officeart/2005/8/layout/orgChart1#1"/>
    <dgm:cxn modelId="{92B77750-4E28-43A2-98FF-52DF990F922D}" type="presParOf" srcId="{1CE99FE4-33DC-4E19-9E77-286FB2E2AB31}" destId="{915FCF84-4A0A-4E65-B305-ECBB7F1385A3}" srcOrd="0" destOrd="0" presId="urn:microsoft.com/office/officeart/2005/8/layout/orgChart1#1"/>
    <dgm:cxn modelId="{0DDF3639-44A5-4112-AB03-530DB5E9408C}" type="presParOf" srcId="{1CE99FE4-33DC-4E19-9E77-286FB2E2AB31}" destId="{63CA28BD-3A11-48D5-B13D-974BF332A602}" srcOrd="1" destOrd="0" presId="urn:microsoft.com/office/officeart/2005/8/layout/orgChart1#1"/>
    <dgm:cxn modelId="{BA32489F-4DD7-4D21-A13A-2C89C8E0FAA7}" type="presParOf" srcId="{6AF214A3-BF61-4610-8503-F2E9D1B1B530}" destId="{E937E69B-41B6-4986-AC95-590CCF23B382}" srcOrd="1" destOrd="0" presId="urn:microsoft.com/office/officeart/2005/8/layout/orgChart1#1"/>
    <dgm:cxn modelId="{97EB5CAF-D370-4AFD-B714-F77880AF8B5E}" type="presParOf" srcId="{6AF214A3-BF61-4610-8503-F2E9D1B1B530}" destId="{DD4F26E3-6A65-47B4-ADA5-42BCA07BC735}" srcOrd="2" destOrd="0" presId="urn:microsoft.com/office/officeart/2005/8/layout/orgChart1#1"/>
    <dgm:cxn modelId="{47DE22C0-7FB4-4EDC-9E77-C4635B3219F3}" type="presParOf" srcId="{E23F1F71-695F-463B-8854-06B77C1855AA}" destId="{98810390-23B8-4B4D-B630-5D6E59610398}" srcOrd="2" destOrd="0" presId="urn:microsoft.com/office/officeart/2005/8/layout/orgChart1#1"/>
    <dgm:cxn modelId="{964AD937-8848-4219-BC4A-87A76A4F74BC}" type="presParOf" srcId="{E23F1F71-695F-463B-8854-06B77C1855AA}" destId="{86FB2CE4-B5C6-4969-B5EF-DCAFA6B7FC79}" srcOrd="3" destOrd="0" presId="urn:microsoft.com/office/officeart/2005/8/layout/orgChart1#1"/>
    <dgm:cxn modelId="{9C53DCEA-4551-493A-9A86-0D23B68A368E}" type="presParOf" srcId="{86FB2CE4-B5C6-4969-B5EF-DCAFA6B7FC79}" destId="{2D55E0E8-D38A-4D51-8617-F56AA68DD1A4}" srcOrd="0" destOrd="0" presId="urn:microsoft.com/office/officeart/2005/8/layout/orgChart1#1"/>
    <dgm:cxn modelId="{8AB94A7B-A1F1-438D-AA6F-8F8517743BC6}" type="presParOf" srcId="{2D55E0E8-D38A-4D51-8617-F56AA68DD1A4}" destId="{56BCB5A3-9EB6-4654-8DD8-0696C0447BDB}" srcOrd="0" destOrd="0" presId="urn:microsoft.com/office/officeart/2005/8/layout/orgChart1#1"/>
    <dgm:cxn modelId="{78F68B16-0557-4E9B-871B-C7A969B05D28}" type="presParOf" srcId="{2D55E0E8-D38A-4D51-8617-F56AA68DD1A4}" destId="{0F81545D-A6E4-4937-8E2B-EAEF3E83CC81}" srcOrd="1" destOrd="0" presId="urn:microsoft.com/office/officeart/2005/8/layout/orgChart1#1"/>
    <dgm:cxn modelId="{FD5F05EC-9BB4-49FD-A98B-AFB4192C03DC}" type="presParOf" srcId="{86FB2CE4-B5C6-4969-B5EF-DCAFA6B7FC79}" destId="{4EF52A3D-F54B-46D7-A069-387ECFBDA9E2}" srcOrd="1" destOrd="0" presId="urn:microsoft.com/office/officeart/2005/8/layout/orgChart1#1"/>
    <dgm:cxn modelId="{7EF51863-D85C-41A2-BFB9-4B8DCD929E28}" type="presParOf" srcId="{86FB2CE4-B5C6-4969-B5EF-DCAFA6B7FC79}" destId="{1CB5DA75-9C04-4599-B18B-404832B0EDEF}" srcOrd="2" destOrd="0" presId="urn:microsoft.com/office/officeart/2005/8/layout/orgChart1#1"/>
    <dgm:cxn modelId="{EF81EC1C-D068-4FD3-AB3C-8DDAC86A9768}" type="presParOf" srcId="{380088FA-33B9-4561-B2FC-2CA4F2BFD365}" destId="{5131272E-8214-4A71-BDDA-0E1B9D07F0B4}" srcOrd="2" destOrd="0" presId="urn:microsoft.com/office/officeart/2005/8/layout/orgChart1#1"/>
    <dgm:cxn modelId="{2228E022-17D9-4AB7-9DC5-F0F0FF44CC97}" type="presParOf" srcId="{0D460F58-845A-48C8-9F75-E824E0984837}" destId="{E6352080-E70B-4511-A637-05F9F36159A8}" srcOrd="2" destOrd="0" presId="urn:microsoft.com/office/officeart/2005/8/layout/orgChart1#1"/>
    <dgm:cxn modelId="{2ADF5799-B91A-493A-BB6E-D70EAFF4A864}" type="presParOf" srcId="{0D460F58-845A-48C8-9F75-E824E0984837}" destId="{DED021A4-E320-4E6D-B679-2D3439515F8B}" srcOrd="3" destOrd="0" presId="urn:microsoft.com/office/officeart/2005/8/layout/orgChart1#1"/>
    <dgm:cxn modelId="{5EA3FF31-3AE2-4F34-8E6A-1392CB889E36}" type="presParOf" srcId="{DED021A4-E320-4E6D-B679-2D3439515F8B}" destId="{C69D819F-D3CD-4EE7-AAD3-3D0F6359CC0C}" srcOrd="0" destOrd="0" presId="urn:microsoft.com/office/officeart/2005/8/layout/orgChart1#1"/>
    <dgm:cxn modelId="{3A5D5495-0D52-4FB0-98F0-8089F03FFC77}" type="presParOf" srcId="{C69D819F-D3CD-4EE7-AAD3-3D0F6359CC0C}" destId="{35ED0F50-076B-424F-89FA-98E136480A8E}" srcOrd="0" destOrd="0" presId="urn:microsoft.com/office/officeart/2005/8/layout/orgChart1#1"/>
    <dgm:cxn modelId="{61C46446-BC8F-4438-8446-24D6E70BAC0E}" type="presParOf" srcId="{C69D819F-D3CD-4EE7-AAD3-3D0F6359CC0C}" destId="{6ACD3912-94AA-4763-A33B-313796C35F2A}" srcOrd="1" destOrd="0" presId="urn:microsoft.com/office/officeart/2005/8/layout/orgChart1#1"/>
    <dgm:cxn modelId="{AD066F6F-155A-41E7-A02D-245B8750AE75}" type="presParOf" srcId="{DED021A4-E320-4E6D-B679-2D3439515F8B}" destId="{BFE017F5-7743-4C71-AD09-4F9A41DA53A3}" srcOrd="1" destOrd="0" presId="urn:microsoft.com/office/officeart/2005/8/layout/orgChart1#1"/>
    <dgm:cxn modelId="{13F3FCA5-88AB-46CE-8D3A-8B096C057AD2}" type="presParOf" srcId="{BFE017F5-7743-4C71-AD09-4F9A41DA53A3}" destId="{906C21BB-89A5-489F-98DA-C18FCBDEB1A8}" srcOrd="0" destOrd="0" presId="urn:microsoft.com/office/officeart/2005/8/layout/orgChart1#1"/>
    <dgm:cxn modelId="{EEEE347E-3265-4C48-93A0-3809464D98EC}" type="presParOf" srcId="{BFE017F5-7743-4C71-AD09-4F9A41DA53A3}" destId="{42D0F01B-F64F-4F69-9526-2C68FEF7ABC6}" srcOrd="1" destOrd="0" presId="urn:microsoft.com/office/officeart/2005/8/layout/orgChart1#1"/>
    <dgm:cxn modelId="{88764992-93A1-4F53-B3C8-9AA4C8D3FC44}" type="presParOf" srcId="{42D0F01B-F64F-4F69-9526-2C68FEF7ABC6}" destId="{7E491A73-24B9-4677-8B7C-C7AF4D6EC999}" srcOrd="0" destOrd="0" presId="urn:microsoft.com/office/officeart/2005/8/layout/orgChart1#1"/>
    <dgm:cxn modelId="{B0871FDE-2068-4B2F-8D64-CE8E73A371BF}" type="presParOf" srcId="{7E491A73-24B9-4677-8B7C-C7AF4D6EC999}" destId="{6602EEA0-EFE2-44D7-AA56-61A80F3AAEEF}" srcOrd="0" destOrd="0" presId="urn:microsoft.com/office/officeart/2005/8/layout/orgChart1#1"/>
    <dgm:cxn modelId="{BCC124C4-FAB4-48FD-9EAB-F219255B2325}" type="presParOf" srcId="{7E491A73-24B9-4677-8B7C-C7AF4D6EC999}" destId="{0045BA34-CEE2-4F18-99D5-ECB340D2F382}" srcOrd="1" destOrd="0" presId="urn:microsoft.com/office/officeart/2005/8/layout/orgChart1#1"/>
    <dgm:cxn modelId="{58157030-F075-4708-B59D-9EA1CEFD2701}" type="presParOf" srcId="{42D0F01B-F64F-4F69-9526-2C68FEF7ABC6}" destId="{ECFA9858-B0E5-45F2-8DA5-44745C00E305}" srcOrd="1" destOrd="0" presId="urn:microsoft.com/office/officeart/2005/8/layout/orgChart1#1"/>
    <dgm:cxn modelId="{2585736E-D612-4B7F-80F1-376238CFE54C}" type="presParOf" srcId="{42D0F01B-F64F-4F69-9526-2C68FEF7ABC6}" destId="{3B36A67A-C6B2-4F8C-9535-BEA6D0EDE402}" srcOrd="2" destOrd="0" presId="urn:microsoft.com/office/officeart/2005/8/layout/orgChart1#1"/>
    <dgm:cxn modelId="{1B201141-7DCC-42A0-BB06-F8540B03FFC0}" type="presParOf" srcId="{BFE017F5-7743-4C71-AD09-4F9A41DA53A3}" destId="{73FCD39D-C0B1-4A5F-B5B2-5F8C1C6C4A93}" srcOrd="2" destOrd="0" presId="urn:microsoft.com/office/officeart/2005/8/layout/orgChart1#1"/>
    <dgm:cxn modelId="{3011D969-5A11-43E7-98FA-CF17A42D2F3F}" type="presParOf" srcId="{BFE017F5-7743-4C71-AD09-4F9A41DA53A3}" destId="{097BBD98-BE81-4564-B2E1-30B99CB8FC12}" srcOrd="3" destOrd="0" presId="urn:microsoft.com/office/officeart/2005/8/layout/orgChart1#1"/>
    <dgm:cxn modelId="{7BAE2D25-EBE4-4CD9-BDA3-3CB532F94B20}" type="presParOf" srcId="{097BBD98-BE81-4564-B2E1-30B99CB8FC12}" destId="{1EF35DAA-632D-483A-884C-1B00C5B635D8}" srcOrd="0" destOrd="0" presId="urn:microsoft.com/office/officeart/2005/8/layout/orgChart1#1"/>
    <dgm:cxn modelId="{9090770E-0521-4D0E-AC23-D6ED9F036139}" type="presParOf" srcId="{1EF35DAA-632D-483A-884C-1B00C5B635D8}" destId="{7F43F900-C6D2-44D1-9BE2-A3A3E8784527}" srcOrd="0" destOrd="0" presId="urn:microsoft.com/office/officeart/2005/8/layout/orgChart1#1"/>
    <dgm:cxn modelId="{9D095715-AE8D-47B5-845B-C301452683E9}" type="presParOf" srcId="{1EF35DAA-632D-483A-884C-1B00C5B635D8}" destId="{C864EC4C-283E-46A3-9713-E5AC2DBFC39C}" srcOrd="1" destOrd="0" presId="urn:microsoft.com/office/officeart/2005/8/layout/orgChart1#1"/>
    <dgm:cxn modelId="{12BA1F76-EB5C-4DF8-8028-7BE697282E38}" type="presParOf" srcId="{097BBD98-BE81-4564-B2E1-30B99CB8FC12}" destId="{7D263356-D3DE-4427-8A7B-67D75815680B}" srcOrd="1" destOrd="0" presId="urn:microsoft.com/office/officeart/2005/8/layout/orgChart1#1"/>
    <dgm:cxn modelId="{A63F5997-AC0B-4B77-9B1E-57078D6111E5}" type="presParOf" srcId="{097BBD98-BE81-4564-B2E1-30B99CB8FC12}" destId="{CE55FD95-5879-4095-8ED6-ADB4FF5BEA9A}" srcOrd="2" destOrd="0" presId="urn:microsoft.com/office/officeart/2005/8/layout/orgChart1#1"/>
    <dgm:cxn modelId="{0B8339AE-5D57-41B5-8C0B-48C6382FE1FA}" type="presParOf" srcId="{DED021A4-E320-4E6D-B679-2D3439515F8B}" destId="{91150B30-6304-4945-9CAB-1962E77EF472}" srcOrd="2" destOrd="0" presId="urn:microsoft.com/office/officeart/2005/8/layout/orgChart1#1"/>
    <dgm:cxn modelId="{8EB8ABD7-315A-4EB2-9D05-1346139E7EA0}" type="presParOf" srcId="{0D460F58-845A-48C8-9F75-E824E0984837}" destId="{88E1B36A-0C7A-463A-810A-C01B1CF99A93}" srcOrd="4" destOrd="0" presId="urn:microsoft.com/office/officeart/2005/8/layout/orgChart1#1"/>
    <dgm:cxn modelId="{09AB40E5-6C87-4AFC-91FF-060EB7D9E325}" type="presParOf" srcId="{0D460F58-845A-48C8-9F75-E824E0984837}" destId="{09724E06-D8DA-4BF6-9A8F-29EA1FAF8ABA}" srcOrd="5" destOrd="0" presId="urn:microsoft.com/office/officeart/2005/8/layout/orgChart1#1"/>
    <dgm:cxn modelId="{EBA7E3F2-991F-4782-993E-E85320103CAA}" type="presParOf" srcId="{09724E06-D8DA-4BF6-9A8F-29EA1FAF8ABA}" destId="{FF427FA1-44FB-437F-8A76-B0BE2CAA6397}" srcOrd="0" destOrd="0" presId="urn:microsoft.com/office/officeart/2005/8/layout/orgChart1#1"/>
    <dgm:cxn modelId="{03E89513-11A1-470E-8B89-A9D08F8D0878}" type="presParOf" srcId="{FF427FA1-44FB-437F-8A76-B0BE2CAA6397}" destId="{5FF262D9-F35A-499D-B0C4-F894A8DCE13C}" srcOrd="0" destOrd="0" presId="urn:microsoft.com/office/officeart/2005/8/layout/orgChart1#1"/>
    <dgm:cxn modelId="{D61B396C-53AA-430A-971A-5D6638ED8C24}" type="presParOf" srcId="{FF427FA1-44FB-437F-8A76-B0BE2CAA6397}" destId="{17AFFE8C-2461-448B-9FCD-E832FB3C77A7}" srcOrd="1" destOrd="0" presId="urn:microsoft.com/office/officeart/2005/8/layout/orgChart1#1"/>
    <dgm:cxn modelId="{B557E4F9-C0D1-4380-9382-38FBE57EE0CF}" type="presParOf" srcId="{09724E06-D8DA-4BF6-9A8F-29EA1FAF8ABA}" destId="{9FECA3BA-B4B9-414B-984E-D1892221734A}" srcOrd="1" destOrd="0" presId="urn:microsoft.com/office/officeart/2005/8/layout/orgChart1#1"/>
    <dgm:cxn modelId="{F66286DC-3E6A-4B9F-B98E-5FA860865FE5}" type="presParOf" srcId="{9FECA3BA-B4B9-414B-984E-D1892221734A}" destId="{D99AE5A3-DB32-4DC0-A895-0DB4EAC6EC85}" srcOrd="0" destOrd="0" presId="urn:microsoft.com/office/officeart/2005/8/layout/orgChart1#1"/>
    <dgm:cxn modelId="{3DD36C6A-A0A3-4F89-BB30-8E2910D08AF8}" type="presParOf" srcId="{9FECA3BA-B4B9-414B-984E-D1892221734A}" destId="{8D847D61-D5AE-495A-8986-76CE8844C561}" srcOrd="1" destOrd="0" presId="urn:microsoft.com/office/officeart/2005/8/layout/orgChart1#1"/>
    <dgm:cxn modelId="{28D0BE92-1C3B-4611-9DB0-61F827543570}" type="presParOf" srcId="{8D847D61-D5AE-495A-8986-76CE8844C561}" destId="{72EDB54B-127B-421C-AA9D-3101C4BAEA9F}" srcOrd="0" destOrd="0" presId="urn:microsoft.com/office/officeart/2005/8/layout/orgChart1#1"/>
    <dgm:cxn modelId="{E8F9509B-F9E1-4E5A-85B9-EC9FA5B31A21}" type="presParOf" srcId="{72EDB54B-127B-421C-AA9D-3101C4BAEA9F}" destId="{D733FEB7-D26C-4FD6-A51F-9207EE7DA4D9}" srcOrd="0" destOrd="0" presId="urn:microsoft.com/office/officeart/2005/8/layout/orgChart1#1"/>
    <dgm:cxn modelId="{C1D8EDD6-EC91-4429-8345-0B452D5254EF}" type="presParOf" srcId="{72EDB54B-127B-421C-AA9D-3101C4BAEA9F}" destId="{8EA522F9-8FBF-4EC2-AA46-9D42002FEE89}" srcOrd="1" destOrd="0" presId="urn:microsoft.com/office/officeart/2005/8/layout/orgChart1#1"/>
    <dgm:cxn modelId="{A51E386C-6453-4E01-BFE4-6665E82FE767}" type="presParOf" srcId="{8D847D61-D5AE-495A-8986-76CE8844C561}" destId="{5F747244-CB59-436B-BF04-C0F0D6F32F96}" srcOrd="1" destOrd="0" presId="urn:microsoft.com/office/officeart/2005/8/layout/orgChart1#1"/>
    <dgm:cxn modelId="{ED561FC5-3582-41C6-847B-2CE5342E7B04}" type="presParOf" srcId="{8D847D61-D5AE-495A-8986-76CE8844C561}" destId="{59D2004F-8279-4177-83C1-D70F3ADAE70B}" srcOrd="2" destOrd="0" presId="urn:microsoft.com/office/officeart/2005/8/layout/orgChart1#1"/>
    <dgm:cxn modelId="{AF85D686-BCE2-4FD0-8485-36B52D33EC52}" type="presParOf" srcId="{09724E06-D8DA-4BF6-9A8F-29EA1FAF8ABA}" destId="{79694EFA-F92E-4056-A336-896B40EB6BC6}" srcOrd="2" destOrd="0" presId="urn:microsoft.com/office/officeart/2005/8/layout/orgChart1#1"/>
    <dgm:cxn modelId="{0A5B0B02-1132-4577-B028-8186F4DCA73A}" type="presParOf" srcId="{0D460F58-845A-48C8-9F75-E824E0984837}" destId="{B2C8EC94-422A-4DA0-8D72-7317AC9C9FB4}" srcOrd="6" destOrd="0" presId="urn:microsoft.com/office/officeart/2005/8/layout/orgChart1#1"/>
    <dgm:cxn modelId="{65FE9DD9-2A9B-4EC5-BA06-976B0E75618E}" type="presParOf" srcId="{0D460F58-845A-48C8-9F75-E824E0984837}" destId="{6585A604-4F1C-4793-866B-60D22604E916}" srcOrd="7" destOrd="0" presId="urn:microsoft.com/office/officeart/2005/8/layout/orgChart1#1"/>
    <dgm:cxn modelId="{E67D5611-BE6A-4B26-85FC-CA73C5D6F04B}" type="presParOf" srcId="{6585A604-4F1C-4793-866B-60D22604E916}" destId="{0E74F8AA-CDA0-49B6-94A7-12051A1E1887}" srcOrd="0" destOrd="0" presId="urn:microsoft.com/office/officeart/2005/8/layout/orgChart1#1"/>
    <dgm:cxn modelId="{7E907513-BF48-4708-9180-A95198F95C4E}" type="presParOf" srcId="{0E74F8AA-CDA0-49B6-94A7-12051A1E1887}" destId="{B35A8252-117C-436B-BBFD-88304056EA12}" srcOrd="0" destOrd="0" presId="urn:microsoft.com/office/officeart/2005/8/layout/orgChart1#1"/>
    <dgm:cxn modelId="{96F71316-DAF0-4D4C-A746-5F6F60430469}" type="presParOf" srcId="{0E74F8AA-CDA0-49B6-94A7-12051A1E1887}" destId="{FE1EE632-E675-442F-9128-1E5E43CF9CA2}" srcOrd="1" destOrd="0" presId="urn:microsoft.com/office/officeart/2005/8/layout/orgChart1#1"/>
    <dgm:cxn modelId="{F39B96DE-7D27-4D11-8D46-E536547A0223}" type="presParOf" srcId="{6585A604-4F1C-4793-866B-60D22604E916}" destId="{50CBDC0E-9D0D-40B6-81D9-C3D97F606255}" srcOrd="1" destOrd="0" presId="urn:microsoft.com/office/officeart/2005/8/layout/orgChart1#1"/>
    <dgm:cxn modelId="{D72F6D28-AE1F-448A-8968-5B07AAC2B78C}" type="presParOf" srcId="{50CBDC0E-9D0D-40B6-81D9-C3D97F606255}" destId="{1C71A983-E3D0-4F8E-9E18-40FD6D3D1CA2}" srcOrd="0" destOrd="0" presId="urn:microsoft.com/office/officeart/2005/8/layout/orgChart1#1"/>
    <dgm:cxn modelId="{7D743060-B8A4-47BA-81A3-0711DFA85C16}" type="presParOf" srcId="{50CBDC0E-9D0D-40B6-81D9-C3D97F606255}" destId="{D0D18AD8-B2FC-455F-A71E-DA8D2B9E899E}" srcOrd="1" destOrd="0" presId="urn:microsoft.com/office/officeart/2005/8/layout/orgChart1#1"/>
    <dgm:cxn modelId="{CB04D9F2-1FFD-4E44-A6B7-F9B410DF8B14}" type="presParOf" srcId="{D0D18AD8-B2FC-455F-A71E-DA8D2B9E899E}" destId="{7F808266-A082-4F9B-929F-8FB419898796}" srcOrd="0" destOrd="0" presId="urn:microsoft.com/office/officeart/2005/8/layout/orgChart1#1"/>
    <dgm:cxn modelId="{D52EC322-7E9C-4D72-858A-D00A596D71E5}" type="presParOf" srcId="{7F808266-A082-4F9B-929F-8FB419898796}" destId="{DADF5DC0-82DB-469E-BA70-C7F4FB91A752}" srcOrd="0" destOrd="0" presId="urn:microsoft.com/office/officeart/2005/8/layout/orgChart1#1"/>
    <dgm:cxn modelId="{0336DF8E-B871-4368-83FA-56EE0B856B9A}" type="presParOf" srcId="{7F808266-A082-4F9B-929F-8FB419898796}" destId="{69C894A6-184C-4D7B-959B-709ADCE7D331}" srcOrd="1" destOrd="0" presId="urn:microsoft.com/office/officeart/2005/8/layout/orgChart1#1"/>
    <dgm:cxn modelId="{428C453D-A21A-44A6-9642-B58BFB722245}" type="presParOf" srcId="{D0D18AD8-B2FC-455F-A71E-DA8D2B9E899E}" destId="{F26C06C7-0BC8-4E2B-A292-C49A5BA6885C}" srcOrd="1" destOrd="0" presId="urn:microsoft.com/office/officeart/2005/8/layout/orgChart1#1"/>
    <dgm:cxn modelId="{8F452B9C-79B4-4869-8F77-473441ED2D44}" type="presParOf" srcId="{D0D18AD8-B2FC-455F-A71E-DA8D2B9E899E}" destId="{6C897AD2-964E-42EF-89F7-D120B1DE40C6}" srcOrd="2" destOrd="0" presId="urn:microsoft.com/office/officeart/2005/8/layout/orgChart1#1"/>
    <dgm:cxn modelId="{EE1F6797-0E5E-4B5D-BD72-17D755C9C411}" type="presParOf" srcId="{6585A604-4F1C-4793-866B-60D22604E916}" destId="{B5750708-E587-4F41-9ED0-F6063E9997E3}" srcOrd="2" destOrd="0" presId="urn:microsoft.com/office/officeart/2005/8/layout/orgChart1#1"/>
    <dgm:cxn modelId="{81ADA689-35C0-48E9-AF62-CF20603805EC}" type="presParOf" srcId="{7C164361-B204-4C1C-86B5-B8FA325F58C7}" destId="{993F8165-B8B7-401A-82A0-6F79DB89F346}" srcOrd="2" destOrd="0" presId="urn:microsoft.com/office/officeart/2005/8/layout/orgChart1#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C71A983-E3D0-4F8E-9E18-40FD6D3D1CA2}">
      <dsp:nvSpPr>
        <dsp:cNvPr id="0" name=""/>
        <dsp:cNvSpPr/>
      </dsp:nvSpPr>
      <dsp:spPr>
        <a:xfrm>
          <a:off x="4033312" y="1567041"/>
          <a:ext cx="162122" cy="497175"/>
        </a:xfrm>
        <a:custGeom>
          <a:avLst/>
          <a:gdLst/>
          <a:ahLst/>
          <a:cxnLst/>
          <a:rect l="0" t="0" r="0" b="0"/>
          <a:pathLst>
            <a:path>
              <a:moveTo>
                <a:pt x="0" y="0"/>
              </a:moveTo>
              <a:lnTo>
                <a:pt x="0" y="497175"/>
              </a:lnTo>
              <a:lnTo>
                <a:pt x="162122" y="4971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C8EC94-422A-4DA0-8D72-7317AC9C9FB4}">
      <dsp:nvSpPr>
        <dsp:cNvPr id="0" name=""/>
        <dsp:cNvSpPr/>
      </dsp:nvSpPr>
      <dsp:spPr>
        <a:xfrm>
          <a:off x="2503957" y="799662"/>
          <a:ext cx="1961681" cy="226971"/>
        </a:xfrm>
        <a:custGeom>
          <a:avLst/>
          <a:gdLst/>
          <a:ahLst/>
          <a:cxnLst/>
          <a:rect l="0" t="0" r="0" b="0"/>
          <a:pathLst>
            <a:path>
              <a:moveTo>
                <a:pt x="0" y="0"/>
              </a:moveTo>
              <a:lnTo>
                <a:pt x="0" y="113485"/>
              </a:lnTo>
              <a:lnTo>
                <a:pt x="1961681" y="113485"/>
              </a:lnTo>
              <a:lnTo>
                <a:pt x="1961681" y="2269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9AE5A3-DB32-4DC0-A895-0DB4EAC6EC85}">
      <dsp:nvSpPr>
        <dsp:cNvPr id="0" name=""/>
        <dsp:cNvSpPr/>
      </dsp:nvSpPr>
      <dsp:spPr>
        <a:xfrm>
          <a:off x="2725525" y="1567041"/>
          <a:ext cx="162122" cy="497175"/>
        </a:xfrm>
        <a:custGeom>
          <a:avLst/>
          <a:gdLst/>
          <a:ahLst/>
          <a:cxnLst/>
          <a:rect l="0" t="0" r="0" b="0"/>
          <a:pathLst>
            <a:path>
              <a:moveTo>
                <a:pt x="0" y="0"/>
              </a:moveTo>
              <a:lnTo>
                <a:pt x="0" y="497175"/>
              </a:lnTo>
              <a:lnTo>
                <a:pt x="162122" y="4971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E1B36A-0C7A-463A-810A-C01B1CF99A93}">
      <dsp:nvSpPr>
        <dsp:cNvPr id="0" name=""/>
        <dsp:cNvSpPr/>
      </dsp:nvSpPr>
      <dsp:spPr>
        <a:xfrm>
          <a:off x="2503957" y="799662"/>
          <a:ext cx="653893" cy="226971"/>
        </a:xfrm>
        <a:custGeom>
          <a:avLst/>
          <a:gdLst/>
          <a:ahLst/>
          <a:cxnLst/>
          <a:rect l="0" t="0" r="0" b="0"/>
          <a:pathLst>
            <a:path>
              <a:moveTo>
                <a:pt x="0" y="0"/>
              </a:moveTo>
              <a:lnTo>
                <a:pt x="0" y="113485"/>
              </a:lnTo>
              <a:lnTo>
                <a:pt x="653893" y="113485"/>
              </a:lnTo>
              <a:lnTo>
                <a:pt x="653893" y="2269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FCD39D-C0B1-4A5F-B5B2-5F8C1C6C4A93}">
      <dsp:nvSpPr>
        <dsp:cNvPr id="0" name=""/>
        <dsp:cNvSpPr/>
      </dsp:nvSpPr>
      <dsp:spPr>
        <a:xfrm>
          <a:off x="1417737" y="1567041"/>
          <a:ext cx="162122" cy="1264554"/>
        </a:xfrm>
        <a:custGeom>
          <a:avLst/>
          <a:gdLst/>
          <a:ahLst/>
          <a:cxnLst/>
          <a:rect l="0" t="0" r="0" b="0"/>
          <a:pathLst>
            <a:path>
              <a:moveTo>
                <a:pt x="0" y="0"/>
              </a:moveTo>
              <a:lnTo>
                <a:pt x="0" y="1264554"/>
              </a:lnTo>
              <a:lnTo>
                <a:pt x="162122" y="126455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6C21BB-89A5-489F-98DA-C18FCBDEB1A8}">
      <dsp:nvSpPr>
        <dsp:cNvPr id="0" name=""/>
        <dsp:cNvSpPr/>
      </dsp:nvSpPr>
      <dsp:spPr>
        <a:xfrm>
          <a:off x="1417737" y="1567041"/>
          <a:ext cx="162122" cy="497175"/>
        </a:xfrm>
        <a:custGeom>
          <a:avLst/>
          <a:gdLst/>
          <a:ahLst/>
          <a:cxnLst/>
          <a:rect l="0" t="0" r="0" b="0"/>
          <a:pathLst>
            <a:path>
              <a:moveTo>
                <a:pt x="0" y="0"/>
              </a:moveTo>
              <a:lnTo>
                <a:pt x="0" y="497175"/>
              </a:lnTo>
              <a:lnTo>
                <a:pt x="162122" y="4971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6352080-E70B-4511-A637-05F9F36159A8}">
      <dsp:nvSpPr>
        <dsp:cNvPr id="0" name=""/>
        <dsp:cNvSpPr/>
      </dsp:nvSpPr>
      <dsp:spPr>
        <a:xfrm>
          <a:off x="1850064" y="799662"/>
          <a:ext cx="653893" cy="226971"/>
        </a:xfrm>
        <a:custGeom>
          <a:avLst/>
          <a:gdLst/>
          <a:ahLst/>
          <a:cxnLst/>
          <a:rect l="0" t="0" r="0" b="0"/>
          <a:pathLst>
            <a:path>
              <a:moveTo>
                <a:pt x="653893" y="0"/>
              </a:moveTo>
              <a:lnTo>
                <a:pt x="653893" y="113485"/>
              </a:lnTo>
              <a:lnTo>
                <a:pt x="0" y="113485"/>
              </a:lnTo>
              <a:lnTo>
                <a:pt x="0" y="2269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810390-23B8-4B4D-B630-5D6E59610398}">
      <dsp:nvSpPr>
        <dsp:cNvPr id="0" name=""/>
        <dsp:cNvSpPr/>
      </dsp:nvSpPr>
      <dsp:spPr>
        <a:xfrm>
          <a:off x="109950" y="1567041"/>
          <a:ext cx="162122" cy="1264554"/>
        </a:xfrm>
        <a:custGeom>
          <a:avLst/>
          <a:gdLst/>
          <a:ahLst/>
          <a:cxnLst/>
          <a:rect l="0" t="0" r="0" b="0"/>
          <a:pathLst>
            <a:path>
              <a:moveTo>
                <a:pt x="0" y="0"/>
              </a:moveTo>
              <a:lnTo>
                <a:pt x="0" y="1264554"/>
              </a:lnTo>
              <a:lnTo>
                <a:pt x="162122" y="126455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B129BA-C6B2-46A9-9B35-B9DBE92CD428}">
      <dsp:nvSpPr>
        <dsp:cNvPr id="0" name=""/>
        <dsp:cNvSpPr/>
      </dsp:nvSpPr>
      <dsp:spPr>
        <a:xfrm>
          <a:off x="109950" y="1567041"/>
          <a:ext cx="162122" cy="497175"/>
        </a:xfrm>
        <a:custGeom>
          <a:avLst/>
          <a:gdLst/>
          <a:ahLst/>
          <a:cxnLst/>
          <a:rect l="0" t="0" r="0" b="0"/>
          <a:pathLst>
            <a:path>
              <a:moveTo>
                <a:pt x="0" y="0"/>
              </a:moveTo>
              <a:lnTo>
                <a:pt x="0" y="497175"/>
              </a:lnTo>
              <a:lnTo>
                <a:pt x="162122" y="4971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472726-201B-4CDB-BCE7-00705EF439C9}">
      <dsp:nvSpPr>
        <dsp:cNvPr id="0" name=""/>
        <dsp:cNvSpPr/>
      </dsp:nvSpPr>
      <dsp:spPr>
        <a:xfrm>
          <a:off x="542276" y="799662"/>
          <a:ext cx="1961681" cy="226971"/>
        </a:xfrm>
        <a:custGeom>
          <a:avLst/>
          <a:gdLst/>
          <a:ahLst/>
          <a:cxnLst/>
          <a:rect l="0" t="0" r="0" b="0"/>
          <a:pathLst>
            <a:path>
              <a:moveTo>
                <a:pt x="1961681" y="0"/>
              </a:moveTo>
              <a:lnTo>
                <a:pt x="1961681" y="113485"/>
              </a:lnTo>
              <a:lnTo>
                <a:pt x="0" y="113485"/>
              </a:lnTo>
              <a:lnTo>
                <a:pt x="0" y="2269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ABA1AA-B2B1-413C-A12C-31838EAB6661}">
      <dsp:nvSpPr>
        <dsp:cNvPr id="0" name=""/>
        <dsp:cNvSpPr/>
      </dsp:nvSpPr>
      <dsp:spPr>
        <a:xfrm>
          <a:off x="1963549" y="259254"/>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b="1" kern="1200" dirty="0">
              <a:latin typeface="仿宋_GB2312" panose="02010609030101010101" pitchFamily="3" charset="-122"/>
              <a:ea typeface="仿宋_GB2312" panose="02010609030101010101" pitchFamily="3" charset="-122"/>
            </a:rPr>
            <a:t>绩效评价框架体系</a:t>
          </a:r>
        </a:p>
      </dsp:txBody>
      <dsp:txXfrm>
        <a:off x="1963549" y="259254"/>
        <a:ext cx="1080816" cy="540408"/>
      </dsp:txXfrm>
    </dsp:sp>
    <dsp:sp modelId="{1D7F5857-2C1E-425D-915E-0CDA8798F70C}">
      <dsp:nvSpPr>
        <dsp:cNvPr id="0" name=""/>
        <dsp:cNvSpPr/>
      </dsp:nvSpPr>
      <dsp:spPr>
        <a:xfrm>
          <a:off x="1868" y="102663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投入</a:t>
          </a:r>
          <a:endParaRPr lang="en-US" altLang="zh-CN" sz="1000" b="1"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a:t>
          </a:r>
          <a:r>
            <a:rPr lang="en-US" altLang="zh-CN" sz="1000" b="1" kern="1200" dirty="0">
              <a:latin typeface="Arial Narrow" panose="020B0606020202030204" pitchFamily="2" charset="0"/>
              <a:ea typeface="仿宋_GB2312" panose="02010609030101010101" pitchFamily="3" charset="-122"/>
            </a:rPr>
            <a:t>16</a:t>
          </a:r>
          <a:r>
            <a:rPr lang="zh-CN" altLang="en-US" sz="1000" b="1" kern="1200" dirty="0">
              <a:latin typeface="Arial Narrow" panose="020B0606020202030204" pitchFamily="2" charset="0"/>
              <a:ea typeface="仿宋_GB2312" panose="02010609030101010101" pitchFamily="3" charset="-122"/>
            </a:rPr>
            <a:t>分）</a:t>
          </a:r>
        </a:p>
      </dsp:txBody>
      <dsp:txXfrm>
        <a:off x="1868" y="1026633"/>
        <a:ext cx="1080816" cy="540408"/>
      </dsp:txXfrm>
    </dsp:sp>
    <dsp:sp modelId="{915FCF84-4A0A-4E65-B305-ECBB7F1385A3}">
      <dsp:nvSpPr>
        <dsp:cNvPr id="0" name=""/>
        <dsp:cNvSpPr/>
      </dsp:nvSpPr>
      <dsp:spPr>
        <a:xfrm>
          <a:off x="272072" y="179401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项目立项</a:t>
          </a:r>
          <a:endParaRPr lang="en-US" altLang="zh-CN" sz="1000"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a:t>
          </a:r>
          <a:r>
            <a:rPr lang="en-US" altLang="zh-CN" sz="1000" kern="1200" dirty="0">
              <a:latin typeface="Arial Narrow" panose="020B0606020202030204" pitchFamily="2" charset="0"/>
              <a:ea typeface="仿宋_GB2312" panose="02010609030101010101" pitchFamily="3" charset="-122"/>
            </a:rPr>
            <a:t>8</a:t>
          </a:r>
          <a:r>
            <a:rPr lang="zh-CN" altLang="en-US" sz="1000" kern="1200" dirty="0">
              <a:latin typeface="Arial Narrow" panose="020B0606020202030204" pitchFamily="2" charset="0"/>
              <a:ea typeface="仿宋_GB2312" panose="02010609030101010101" pitchFamily="3" charset="-122"/>
            </a:rPr>
            <a:t>分）</a:t>
          </a:r>
        </a:p>
      </dsp:txBody>
      <dsp:txXfrm>
        <a:off x="272072" y="1794013"/>
        <a:ext cx="1080816" cy="540408"/>
      </dsp:txXfrm>
    </dsp:sp>
    <dsp:sp modelId="{56BCB5A3-9EB6-4654-8DD8-0696C0447BDB}">
      <dsp:nvSpPr>
        <dsp:cNvPr id="0" name=""/>
        <dsp:cNvSpPr/>
      </dsp:nvSpPr>
      <dsp:spPr>
        <a:xfrm>
          <a:off x="272072" y="2561392"/>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资金落实</a:t>
          </a:r>
          <a:endParaRPr lang="en-US" altLang="zh-CN" sz="1000"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a:t>
          </a:r>
          <a:r>
            <a:rPr lang="en-US" altLang="zh-CN" sz="1000" kern="1200" dirty="0">
              <a:latin typeface="Arial Narrow" panose="020B0606020202030204" pitchFamily="2" charset="0"/>
              <a:ea typeface="仿宋_GB2312" panose="02010609030101010101" pitchFamily="3" charset="-122"/>
            </a:rPr>
            <a:t>8</a:t>
          </a:r>
          <a:r>
            <a:rPr lang="zh-CN" altLang="en-US" sz="1000" kern="1200" dirty="0">
              <a:latin typeface="Arial Narrow" panose="020B0606020202030204" pitchFamily="2" charset="0"/>
              <a:ea typeface="仿宋_GB2312" panose="02010609030101010101" pitchFamily="3" charset="-122"/>
            </a:rPr>
            <a:t>分）</a:t>
          </a:r>
        </a:p>
      </dsp:txBody>
      <dsp:txXfrm>
        <a:off x="272072" y="2561392"/>
        <a:ext cx="1080816" cy="540408"/>
      </dsp:txXfrm>
    </dsp:sp>
    <dsp:sp modelId="{35ED0F50-076B-424F-89FA-98E136480A8E}">
      <dsp:nvSpPr>
        <dsp:cNvPr id="0" name=""/>
        <dsp:cNvSpPr/>
      </dsp:nvSpPr>
      <dsp:spPr>
        <a:xfrm>
          <a:off x="1309656" y="102663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过程</a:t>
          </a:r>
          <a:endParaRPr lang="en-US" altLang="zh-CN" sz="1000" b="1"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a:t>
          </a:r>
          <a:r>
            <a:rPr lang="en-US" altLang="zh-CN" sz="1000" b="1" kern="1200" dirty="0">
              <a:latin typeface="Arial Narrow" panose="020B0606020202030204" pitchFamily="2" charset="0"/>
              <a:ea typeface="仿宋_GB2312" panose="02010609030101010101" pitchFamily="3" charset="-122"/>
            </a:rPr>
            <a:t>24</a:t>
          </a:r>
          <a:r>
            <a:rPr lang="zh-CN" altLang="en-US" sz="1000" b="1" kern="1200" dirty="0">
              <a:latin typeface="Arial Narrow" panose="020B0606020202030204" pitchFamily="2" charset="0"/>
              <a:ea typeface="仿宋_GB2312" panose="02010609030101010101" pitchFamily="3" charset="-122"/>
            </a:rPr>
            <a:t>分）</a:t>
          </a:r>
        </a:p>
      </dsp:txBody>
      <dsp:txXfrm>
        <a:off x="1309656" y="1026633"/>
        <a:ext cx="1080816" cy="540408"/>
      </dsp:txXfrm>
    </dsp:sp>
    <dsp:sp modelId="{6602EEA0-EFE2-44D7-AA56-61A80F3AAEEF}">
      <dsp:nvSpPr>
        <dsp:cNvPr id="0" name=""/>
        <dsp:cNvSpPr/>
      </dsp:nvSpPr>
      <dsp:spPr>
        <a:xfrm>
          <a:off x="1579860" y="179401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项目管理</a:t>
          </a:r>
          <a:endParaRPr lang="en-US" altLang="zh-CN" sz="1000"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a:t>
          </a:r>
          <a:r>
            <a:rPr lang="en-US" altLang="zh-CN" sz="1000" kern="1200" dirty="0">
              <a:latin typeface="Arial Narrow" panose="020B0606020202030204" pitchFamily="2" charset="0"/>
              <a:ea typeface="仿宋_GB2312" panose="02010609030101010101" pitchFamily="3" charset="-122"/>
            </a:rPr>
            <a:t>12</a:t>
          </a:r>
          <a:r>
            <a:rPr lang="zh-CN" altLang="en-US" sz="1000" kern="1200" dirty="0">
              <a:latin typeface="Arial Narrow" panose="020B0606020202030204" pitchFamily="2" charset="0"/>
              <a:ea typeface="仿宋_GB2312" panose="02010609030101010101" pitchFamily="3" charset="-122"/>
            </a:rPr>
            <a:t>分）</a:t>
          </a:r>
        </a:p>
      </dsp:txBody>
      <dsp:txXfrm>
        <a:off x="1579860" y="1794013"/>
        <a:ext cx="1080816" cy="540408"/>
      </dsp:txXfrm>
    </dsp:sp>
    <dsp:sp modelId="{7F43F900-C6D2-44D1-9BE2-A3A3E8784527}">
      <dsp:nvSpPr>
        <dsp:cNvPr id="0" name=""/>
        <dsp:cNvSpPr/>
      </dsp:nvSpPr>
      <dsp:spPr>
        <a:xfrm>
          <a:off x="1579860" y="2561392"/>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财务管理</a:t>
          </a:r>
          <a:endParaRPr lang="en-US" altLang="zh-CN" sz="1000"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a:t>
          </a:r>
          <a:r>
            <a:rPr lang="en-US" altLang="zh-CN" sz="1000" kern="1200" dirty="0">
              <a:latin typeface="Arial Narrow" panose="020B0606020202030204" pitchFamily="2" charset="0"/>
              <a:ea typeface="仿宋_GB2312" panose="02010609030101010101" pitchFamily="3" charset="-122"/>
            </a:rPr>
            <a:t>12</a:t>
          </a:r>
          <a:r>
            <a:rPr lang="zh-CN" altLang="en-US" sz="1000" kern="1200" dirty="0">
              <a:latin typeface="Arial Narrow" panose="020B0606020202030204" pitchFamily="2" charset="0"/>
              <a:ea typeface="仿宋_GB2312" panose="02010609030101010101" pitchFamily="3" charset="-122"/>
            </a:rPr>
            <a:t>分）</a:t>
          </a:r>
        </a:p>
      </dsp:txBody>
      <dsp:txXfrm>
        <a:off x="1579860" y="2561392"/>
        <a:ext cx="1080816" cy="540408"/>
      </dsp:txXfrm>
    </dsp:sp>
    <dsp:sp modelId="{5FF262D9-F35A-499D-B0C4-F894A8DCE13C}">
      <dsp:nvSpPr>
        <dsp:cNvPr id="0" name=""/>
        <dsp:cNvSpPr/>
      </dsp:nvSpPr>
      <dsp:spPr>
        <a:xfrm>
          <a:off x="2617443" y="102663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产出</a:t>
          </a:r>
          <a:endParaRPr lang="en-US" altLang="zh-CN" sz="1000" b="1"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a:t>
          </a:r>
          <a:r>
            <a:rPr lang="en-US" altLang="zh-CN" sz="1000" b="1" kern="1200" dirty="0">
              <a:latin typeface="Arial Narrow" panose="020B0606020202030204" pitchFamily="2" charset="0"/>
              <a:ea typeface="仿宋_GB2312" panose="02010609030101010101" pitchFamily="3" charset="-122"/>
            </a:rPr>
            <a:t>36</a:t>
          </a:r>
          <a:r>
            <a:rPr lang="zh-CN" altLang="en-US" sz="1000" b="1" kern="1200" dirty="0">
              <a:latin typeface="Arial Narrow" panose="020B0606020202030204" pitchFamily="2" charset="0"/>
              <a:ea typeface="仿宋_GB2312" panose="02010609030101010101" pitchFamily="3" charset="-122"/>
            </a:rPr>
            <a:t>分）</a:t>
          </a:r>
        </a:p>
      </dsp:txBody>
      <dsp:txXfrm>
        <a:off x="2617443" y="1026633"/>
        <a:ext cx="1080816" cy="540408"/>
      </dsp:txXfrm>
    </dsp:sp>
    <dsp:sp modelId="{D733FEB7-D26C-4FD6-A51F-9207EE7DA4D9}">
      <dsp:nvSpPr>
        <dsp:cNvPr id="0" name=""/>
        <dsp:cNvSpPr/>
      </dsp:nvSpPr>
      <dsp:spPr>
        <a:xfrm>
          <a:off x="2887647" y="179401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项目产出</a:t>
          </a:r>
          <a:endParaRPr lang="en-US" altLang="zh-CN" sz="1000"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a:t>
          </a:r>
          <a:r>
            <a:rPr lang="en-US" altLang="zh-CN" sz="1000" kern="1200" dirty="0">
              <a:latin typeface="Arial Narrow" panose="020B0606020202030204" pitchFamily="2" charset="0"/>
              <a:ea typeface="仿宋_GB2312" panose="02010609030101010101" pitchFamily="3" charset="-122"/>
            </a:rPr>
            <a:t>36</a:t>
          </a:r>
          <a:r>
            <a:rPr lang="zh-CN" altLang="en-US" sz="1000" kern="1200" dirty="0">
              <a:latin typeface="Arial Narrow" panose="020B0606020202030204" pitchFamily="2" charset="0"/>
              <a:ea typeface="仿宋_GB2312" panose="02010609030101010101" pitchFamily="3" charset="-122"/>
            </a:rPr>
            <a:t>分）</a:t>
          </a:r>
        </a:p>
      </dsp:txBody>
      <dsp:txXfrm>
        <a:off x="2887647" y="1794013"/>
        <a:ext cx="1080816" cy="540408"/>
      </dsp:txXfrm>
    </dsp:sp>
    <dsp:sp modelId="{B35A8252-117C-436B-BBFD-88304056EA12}">
      <dsp:nvSpPr>
        <dsp:cNvPr id="0" name=""/>
        <dsp:cNvSpPr/>
      </dsp:nvSpPr>
      <dsp:spPr>
        <a:xfrm>
          <a:off x="3925231" y="102663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效果</a:t>
          </a:r>
          <a:endParaRPr lang="en-US" altLang="zh-CN" sz="1000" b="1"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b="1" kern="1200" dirty="0">
              <a:latin typeface="Arial Narrow" panose="020B0606020202030204" pitchFamily="2" charset="0"/>
              <a:ea typeface="仿宋_GB2312" panose="02010609030101010101" pitchFamily="3" charset="-122"/>
            </a:rPr>
            <a:t>（</a:t>
          </a:r>
          <a:r>
            <a:rPr lang="en-US" altLang="zh-CN" sz="1000" b="1" kern="1200" dirty="0">
              <a:latin typeface="Arial Narrow" panose="020B0606020202030204" pitchFamily="2" charset="0"/>
              <a:ea typeface="仿宋_GB2312" panose="02010609030101010101" pitchFamily="3" charset="-122"/>
            </a:rPr>
            <a:t>24</a:t>
          </a:r>
          <a:r>
            <a:rPr lang="zh-CN" altLang="en-US" sz="1000" b="1" kern="1200" dirty="0">
              <a:latin typeface="Arial Narrow" panose="020B0606020202030204" pitchFamily="2" charset="0"/>
              <a:ea typeface="仿宋_GB2312" panose="02010609030101010101" pitchFamily="3" charset="-122"/>
            </a:rPr>
            <a:t>分）</a:t>
          </a:r>
        </a:p>
      </dsp:txBody>
      <dsp:txXfrm>
        <a:off x="3925231" y="1026633"/>
        <a:ext cx="1080816" cy="540408"/>
      </dsp:txXfrm>
    </dsp:sp>
    <dsp:sp modelId="{DADF5DC0-82DB-469E-BA70-C7F4FB91A752}">
      <dsp:nvSpPr>
        <dsp:cNvPr id="0" name=""/>
        <dsp:cNvSpPr/>
      </dsp:nvSpPr>
      <dsp:spPr>
        <a:xfrm>
          <a:off x="4195435" y="1794013"/>
          <a:ext cx="1080816" cy="54040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项目效果</a:t>
          </a:r>
          <a:endParaRPr lang="en-US" altLang="zh-CN" sz="1000" kern="1200" dirty="0">
            <a:latin typeface="Arial Narrow" panose="020B0606020202030204" pitchFamily="2" charset="0"/>
            <a:ea typeface="仿宋_GB2312" panose="02010609030101010101" pitchFamily="3" charset="-122"/>
          </a:endParaRPr>
        </a:p>
        <a:p>
          <a:pPr marL="0" lvl="0" indent="0" algn="ctr" defTabSz="444500">
            <a:lnSpc>
              <a:spcPct val="100000"/>
            </a:lnSpc>
            <a:spcBef>
              <a:spcPct val="0"/>
            </a:spcBef>
            <a:spcAft>
              <a:spcPct val="35000"/>
            </a:spcAft>
            <a:buNone/>
          </a:pPr>
          <a:r>
            <a:rPr lang="zh-CN" altLang="en-US" sz="1000" kern="1200" dirty="0">
              <a:latin typeface="Arial Narrow" panose="020B0606020202030204" pitchFamily="2" charset="0"/>
              <a:ea typeface="仿宋_GB2312" panose="02010609030101010101" pitchFamily="3" charset="-122"/>
            </a:rPr>
            <a:t>（</a:t>
          </a:r>
          <a:r>
            <a:rPr lang="en-US" altLang="zh-CN" sz="1000" kern="1200">
              <a:latin typeface="Arial Narrow" panose="020B0606020202030204" pitchFamily="2" charset="0"/>
              <a:ea typeface="仿宋_GB2312" panose="02010609030101010101" pitchFamily="3" charset="-122"/>
            </a:rPr>
            <a:t>24</a:t>
          </a:r>
          <a:r>
            <a:rPr lang="zh-CN" altLang="en-US" sz="1000" kern="1200">
              <a:latin typeface="Arial Narrow" panose="020B0606020202030204" pitchFamily="2" charset="0"/>
              <a:ea typeface="仿宋_GB2312" panose="02010609030101010101" pitchFamily="3" charset="-122"/>
            </a:rPr>
            <a:t>分</a:t>
          </a:r>
          <a:r>
            <a:rPr lang="zh-CN" altLang="en-US" sz="1000" kern="1200" dirty="0">
              <a:latin typeface="Arial Narrow" panose="020B0606020202030204" pitchFamily="2" charset="0"/>
              <a:ea typeface="仿宋_GB2312" panose="02010609030101010101" pitchFamily="3" charset="-122"/>
            </a:rPr>
            <a:t>）</a:t>
          </a:r>
        </a:p>
      </dsp:txBody>
      <dsp:txXfrm>
        <a:off x="4195435" y="1794013"/>
        <a:ext cx="1080816" cy="54040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EAFDCB-5636-4861-8B65-1A840308D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34</Pages>
  <Words>3006</Words>
  <Characters>17138</Characters>
  <Application>Microsoft Office Word</Application>
  <DocSecurity>0</DocSecurity>
  <Lines>142</Lines>
  <Paragraphs>40</Paragraphs>
  <ScaleCrop>false</ScaleCrop>
  <Company>HXC</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108</cp:revision>
  <cp:lastPrinted>2019-07-29T10:27:00Z</cp:lastPrinted>
  <dcterms:created xsi:type="dcterms:W3CDTF">2017-05-27T10:59:00Z</dcterms:created>
  <dcterms:modified xsi:type="dcterms:W3CDTF">2024-12-23T06:08:00Z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1C9AEA3F816342009011F9E5744EA2EF_12</vt:lpwstr>
  </property>
</Properties>
</file>