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42" w:firstLineChars="100"/>
        <w:rPr>
          <w:rFonts w:ascii="Arial Narrow" w:hAnsi="Arial Narrow" w:cs="Arial Narrow"/>
          <w:b/>
          <w:bCs/>
          <w:color w:val="000000" w:themeColor="text1"/>
          <w:kern w:val="32"/>
          <w:sz w:val="44"/>
          <w:szCs w:val="44"/>
          <w:lang w:bidi="he-IL"/>
          <w14:textFill>
            <w14:solidFill>
              <w14:schemeClr w14:val="tx1"/>
            </w14:solidFill>
          </w14:textFill>
        </w:rPr>
      </w:pPr>
    </w:p>
    <w:p>
      <w:pPr>
        <w:spacing w:line="360" w:lineRule="auto"/>
        <w:ind w:firstLine="442" w:firstLineChars="100"/>
        <w:rPr>
          <w:rFonts w:ascii="Arial Narrow" w:hAnsi="Arial Narrow" w:cs="Arial Narrow"/>
          <w:b/>
          <w:bCs/>
          <w:color w:val="000000" w:themeColor="text1"/>
          <w:kern w:val="32"/>
          <w:sz w:val="44"/>
          <w:szCs w:val="44"/>
          <w:lang w:bidi="he-IL"/>
          <w14:textFill>
            <w14:solidFill>
              <w14:schemeClr w14:val="tx1"/>
            </w14:solidFill>
          </w14:textFill>
        </w:rPr>
      </w:pPr>
    </w:p>
    <w:p>
      <w:pPr>
        <w:spacing w:line="360" w:lineRule="auto"/>
        <w:ind w:firstLine="442" w:firstLineChars="100"/>
        <w:rPr>
          <w:rFonts w:ascii="Arial Narrow" w:hAnsi="Arial Narrow" w:cs="Arial Narrow"/>
          <w:b/>
          <w:bCs/>
          <w:color w:val="000000" w:themeColor="text1"/>
          <w:kern w:val="32"/>
          <w:sz w:val="44"/>
          <w:szCs w:val="44"/>
          <w:lang w:bidi="he-IL"/>
          <w14:textFill>
            <w14:solidFill>
              <w14:schemeClr w14:val="tx1"/>
            </w14:solidFill>
          </w14:textFill>
        </w:rPr>
      </w:pPr>
    </w:p>
    <w:p>
      <w:pPr>
        <w:spacing w:line="360" w:lineRule="auto"/>
        <w:ind w:firstLine="442" w:firstLineChars="100"/>
        <w:rPr>
          <w:rFonts w:ascii="Arial Narrow" w:hAnsi="Arial Narrow" w:cs="Arial Narrow"/>
          <w:b/>
          <w:bCs/>
          <w:color w:val="000000" w:themeColor="text1"/>
          <w:kern w:val="32"/>
          <w:sz w:val="44"/>
          <w:szCs w:val="44"/>
          <w:lang w:bidi="he-IL"/>
          <w14:textFill>
            <w14:solidFill>
              <w14:schemeClr w14:val="tx1"/>
            </w14:solidFill>
          </w14:textFill>
        </w:rPr>
      </w:pPr>
      <w:r>
        <w:rPr>
          <w:rFonts w:ascii="Arial Narrow" w:hAnsi="Arial Narrow" w:cs="Arial Narrow"/>
          <w:b/>
          <w:bCs/>
          <w:color w:val="000000" w:themeColor="text1"/>
          <w:kern w:val="32"/>
          <w:sz w:val="44"/>
          <w:szCs w:val="44"/>
          <w:lang w:bidi="he-IL"/>
          <w14:textFill>
            <w14:solidFill>
              <w14:schemeClr w14:val="tx1"/>
            </w14:solidFill>
          </w14:textFill>
        </w:rPr>
        <w:t>武汉经济技术开发区（汉南区）城乡建设局</w:t>
      </w:r>
    </w:p>
    <w:p>
      <w:pPr>
        <w:spacing w:line="360" w:lineRule="auto"/>
        <w:jc w:val="center"/>
        <w:rPr>
          <w:rFonts w:ascii="Arial Narrow" w:hAnsi="Arial Narrow" w:cs="Arial Narrow"/>
          <w:b/>
          <w:bCs/>
          <w:color w:val="000000" w:themeColor="text1"/>
          <w:kern w:val="32"/>
          <w:sz w:val="44"/>
          <w:szCs w:val="44"/>
          <w:lang w:bidi="he-IL"/>
          <w14:textFill>
            <w14:solidFill>
              <w14:schemeClr w14:val="tx1"/>
            </w14:solidFill>
          </w14:textFill>
        </w:rPr>
      </w:pPr>
      <w:r>
        <w:rPr>
          <w:rFonts w:ascii="Arial Narrow" w:hAnsi="Arial Narrow" w:cs="Arial Narrow"/>
          <w:b/>
          <w:bCs/>
          <w:color w:val="000000" w:themeColor="text1"/>
          <w:kern w:val="32"/>
          <w:sz w:val="44"/>
          <w:szCs w:val="44"/>
          <w:lang w:bidi="he-IL"/>
          <w14:textFill>
            <w14:solidFill>
              <w14:schemeClr w14:val="tx1"/>
            </w14:solidFill>
          </w14:textFill>
        </w:rPr>
        <w:t>智能家居之都发展规划编制经费</w:t>
      </w:r>
    </w:p>
    <w:p>
      <w:pPr>
        <w:spacing w:line="360" w:lineRule="auto"/>
        <w:jc w:val="center"/>
        <w:rPr>
          <w:rFonts w:ascii="Arial Narrow" w:hAnsi="Arial Narrow" w:cs="Arial Narrow"/>
          <w:b/>
          <w:bCs/>
          <w:color w:val="000000" w:themeColor="text1"/>
          <w:kern w:val="32"/>
          <w:sz w:val="44"/>
          <w:szCs w:val="44"/>
          <w:lang w:bidi="he-IL"/>
          <w14:textFill>
            <w14:solidFill>
              <w14:schemeClr w14:val="tx1"/>
            </w14:solidFill>
          </w14:textFill>
        </w:rPr>
      </w:pPr>
      <w:r>
        <w:rPr>
          <w:rFonts w:ascii="Arial Narrow" w:hAnsi="Arial Narrow" w:cs="Arial Narrow"/>
          <w:b/>
          <w:bCs/>
          <w:color w:val="000000" w:themeColor="text1"/>
          <w:kern w:val="32"/>
          <w:sz w:val="44"/>
          <w:szCs w:val="44"/>
          <w:lang w:bidi="he-IL"/>
          <w14:textFill>
            <w14:solidFill>
              <w14:schemeClr w14:val="tx1"/>
            </w14:solidFill>
          </w14:textFill>
        </w:rPr>
        <w:t>2018年度绩效自评报告</w:t>
      </w:r>
    </w:p>
    <w:p>
      <w:pPr>
        <w:rPr>
          <w:rFonts w:ascii="Arial Narrow" w:hAnsi="Arial Narrow" w:cs="Arial Narrow"/>
          <w:color w:val="000000" w:themeColor="text1"/>
          <w14:textFill>
            <w14:solidFill>
              <w14:schemeClr w14:val="tx1"/>
            </w14:solidFill>
          </w14:textFill>
        </w:rPr>
      </w:pPr>
    </w:p>
    <w:p>
      <w:pPr>
        <w:rPr>
          <w:rFonts w:ascii="Arial Narrow" w:hAnsi="Arial Narrow" w:cs="Arial Narrow"/>
          <w:color w:val="000000" w:themeColor="text1"/>
          <w14:textFill>
            <w14:solidFill>
              <w14:schemeClr w14:val="tx1"/>
            </w14:solidFill>
          </w14:textFill>
        </w:rPr>
      </w:pPr>
    </w:p>
    <w:p>
      <w:pPr>
        <w:rPr>
          <w:rFonts w:ascii="Arial Narrow" w:hAnsi="Arial Narrow" w:cs="Arial Narrow"/>
          <w:color w:val="000000" w:themeColor="text1"/>
          <w14:textFill>
            <w14:solidFill>
              <w14:schemeClr w14:val="tx1"/>
            </w14:solidFill>
          </w14:textFill>
        </w:rPr>
      </w:pPr>
    </w:p>
    <w:p>
      <w:pPr>
        <w:widowControl/>
        <w:spacing w:line="800" w:lineRule="exact"/>
        <w:jc w:val="left"/>
        <w:rPr>
          <w:rFonts w:ascii="Arial Narrow" w:hAnsi="Arial Narrow" w:cs="Arial Narrow"/>
          <w:b/>
          <w:bCs/>
          <w:color w:val="000000" w:themeColor="text1"/>
          <w:kern w:val="32"/>
          <w:sz w:val="32"/>
          <w:lang w:bidi="he-IL"/>
          <w14:textFill>
            <w14:solidFill>
              <w14:schemeClr w14:val="tx1"/>
            </w14:solidFill>
          </w14:textFill>
        </w:rPr>
      </w:pPr>
    </w:p>
    <w:p>
      <w:pPr>
        <w:widowControl/>
        <w:spacing w:line="480" w:lineRule="auto"/>
        <w:ind w:right="-240" w:rightChars="-80" w:firstLine="790" w:firstLineChars="246"/>
        <w:jc w:val="left"/>
        <w:rPr>
          <w:rFonts w:ascii="Arial Narrow" w:hAnsi="Arial Narrow" w:cs="Arial Narrow"/>
          <w:b/>
          <w:bCs/>
          <w:color w:val="000000" w:themeColor="text1"/>
          <w:kern w:val="32"/>
          <w:sz w:val="32"/>
          <w:lang w:bidi="he-IL"/>
          <w14:textFill>
            <w14:solidFill>
              <w14:schemeClr w14:val="tx1"/>
            </w14:solidFill>
          </w14:textFill>
        </w:rPr>
      </w:pPr>
      <w:r>
        <w:rPr>
          <w:rFonts w:ascii="Arial Narrow" w:hAnsi="Arial Narrow" w:cs="Arial Narrow"/>
          <w:b/>
          <w:bCs/>
          <w:color w:val="000000" w:themeColor="text1"/>
          <w:kern w:val="32"/>
          <w:sz w:val="32"/>
          <w:lang w:bidi="he-IL"/>
          <w14:textFill>
            <w14:solidFill>
              <w14:schemeClr w14:val="tx1"/>
            </w14:solidFill>
          </w14:textFill>
        </w:rPr>
        <w:t xml:space="preserve">项目名称： </w:t>
      </w:r>
      <w:r>
        <w:rPr>
          <w:rFonts w:ascii="Arial Narrow" w:hAnsi="Arial Narrow" w:cs="Arial Narrow"/>
          <w:b/>
          <w:bCs/>
          <w:color w:val="000000" w:themeColor="text1"/>
          <w:sz w:val="32"/>
          <w:szCs w:val="32"/>
          <w14:textFill>
            <w14:solidFill>
              <w14:schemeClr w14:val="tx1"/>
            </w14:solidFill>
          </w14:textFill>
        </w:rPr>
        <w:t>智能家居之都发展规划编制经费</w:t>
      </w:r>
      <w:r>
        <w:rPr>
          <w:rFonts w:ascii="Arial Narrow" w:hAnsi="Arial Narrow" w:cs="Arial Narrow"/>
          <w:b/>
          <w:bCs/>
          <w:color w:val="000000" w:themeColor="text1"/>
          <w:kern w:val="32"/>
          <w:sz w:val="32"/>
          <w:lang w:bidi="he-IL"/>
          <w14:textFill>
            <w14:solidFill>
              <w14:schemeClr w14:val="tx1"/>
            </w14:solidFill>
          </w14:textFill>
        </w:rPr>
        <w:t xml:space="preserve">  </w:t>
      </w:r>
    </w:p>
    <w:p>
      <w:pPr>
        <w:widowControl/>
        <w:spacing w:line="480" w:lineRule="auto"/>
        <w:ind w:right="-240" w:rightChars="-80" w:firstLine="790" w:firstLineChars="246"/>
        <w:jc w:val="left"/>
        <w:rPr>
          <w:rFonts w:ascii="Arial Narrow" w:hAnsi="Arial Narrow" w:cs="Arial Narrow"/>
          <w:b/>
          <w:bCs/>
          <w:color w:val="000000" w:themeColor="text1"/>
          <w:sz w:val="32"/>
          <w:szCs w:val="32"/>
          <w14:textFill>
            <w14:solidFill>
              <w14:schemeClr w14:val="tx1"/>
            </w14:solidFill>
          </w14:textFill>
        </w:rPr>
      </w:pPr>
      <w:r>
        <w:rPr>
          <w:rFonts w:ascii="Arial Narrow" w:hAnsi="Arial Narrow" w:cs="Arial Narrow"/>
          <w:b/>
          <w:bCs/>
          <w:color w:val="000000" w:themeColor="text1"/>
          <w:kern w:val="32"/>
          <w:sz w:val="32"/>
          <w:lang w:bidi="he-IL"/>
          <w14:textFill>
            <w14:solidFill>
              <w14:schemeClr w14:val="tx1"/>
            </w14:solidFill>
          </w14:textFill>
        </w:rPr>
        <w:t xml:space="preserve">项目单位： </w:t>
      </w:r>
      <w:r>
        <w:rPr>
          <w:rFonts w:ascii="Arial Narrow" w:hAnsi="Arial Narrow" w:cs="Arial Narrow"/>
          <w:b/>
          <w:bCs/>
          <w:color w:val="000000" w:themeColor="text1"/>
          <w:sz w:val="32"/>
          <w:szCs w:val="32"/>
          <w14:textFill>
            <w14:solidFill>
              <w14:schemeClr w14:val="tx1"/>
            </w14:solidFill>
          </w14:textFill>
        </w:rPr>
        <w:t>武汉经济技术开发区（汉南区）城乡建设局</w:t>
      </w:r>
    </w:p>
    <w:p>
      <w:pPr>
        <w:widowControl/>
        <w:spacing w:line="480" w:lineRule="auto"/>
        <w:ind w:right="-240" w:rightChars="-80" w:firstLine="790" w:firstLineChars="246"/>
        <w:jc w:val="left"/>
        <w:rPr>
          <w:rFonts w:ascii="Arial Narrow" w:hAnsi="Arial Narrow" w:cs="Arial Narrow"/>
          <w:b/>
          <w:bCs/>
          <w:color w:val="000000" w:themeColor="text1"/>
          <w:kern w:val="32"/>
          <w:sz w:val="32"/>
          <w:lang w:bidi="he-IL"/>
          <w14:textFill>
            <w14:solidFill>
              <w14:schemeClr w14:val="tx1"/>
            </w14:solidFill>
          </w14:textFill>
        </w:rPr>
      </w:pPr>
      <w:r>
        <w:rPr>
          <w:rFonts w:ascii="Arial Narrow" w:hAnsi="Arial Narrow" w:cs="Arial Narrow"/>
          <w:b/>
          <w:bCs/>
          <w:color w:val="000000" w:themeColor="text1"/>
          <w:kern w:val="32"/>
          <w:sz w:val="32"/>
          <w:lang w:bidi="he-IL"/>
          <w14:textFill>
            <w14:solidFill>
              <w14:schemeClr w14:val="tx1"/>
            </w14:solidFill>
          </w14:textFill>
        </w:rPr>
        <w:t xml:space="preserve">主管部门： </w:t>
      </w:r>
      <w:r>
        <w:rPr>
          <w:rFonts w:ascii="Arial Narrow" w:hAnsi="Arial Narrow" w:cs="Arial Narrow"/>
          <w:b/>
          <w:bCs/>
          <w:color w:val="000000" w:themeColor="text1"/>
          <w:sz w:val="32"/>
          <w:szCs w:val="32"/>
          <w14:textFill>
            <w14:solidFill>
              <w14:schemeClr w14:val="tx1"/>
            </w14:solidFill>
          </w14:textFill>
        </w:rPr>
        <w:t>武汉经济技术开发区（汉南区）城乡建设局</w:t>
      </w:r>
    </w:p>
    <w:p>
      <w:pPr>
        <w:widowControl/>
        <w:spacing w:line="480" w:lineRule="auto"/>
        <w:ind w:firstLine="790" w:firstLineChars="246"/>
        <w:jc w:val="left"/>
        <w:rPr>
          <w:rFonts w:ascii="Arial Narrow" w:hAnsi="Arial Narrow" w:cs="Arial Narrow"/>
          <w:b/>
          <w:bCs/>
          <w:color w:val="000000" w:themeColor="text1"/>
          <w:sz w:val="32"/>
          <w:szCs w:val="32"/>
          <w14:textFill>
            <w14:solidFill>
              <w14:schemeClr w14:val="tx1"/>
            </w14:solidFill>
          </w14:textFill>
        </w:rPr>
      </w:pPr>
      <w:r>
        <w:rPr>
          <w:rFonts w:ascii="Arial Narrow" w:hAnsi="Arial Narrow" w:cs="Arial Narrow"/>
          <w:b/>
          <w:bCs/>
          <w:color w:val="000000" w:themeColor="text1"/>
          <w:kern w:val="32"/>
          <w:sz w:val="32"/>
          <w:lang w:bidi="he-IL"/>
          <w14:textFill>
            <w14:solidFill>
              <w14:schemeClr w14:val="tx1"/>
            </w14:solidFill>
          </w14:textFill>
        </w:rPr>
        <w:t>评价机构：</w:t>
      </w:r>
      <w:r>
        <w:rPr>
          <w:rFonts w:ascii="Arial Narrow" w:hAnsi="Arial Narrow" w:cs="Arial Narrow"/>
          <w:b/>
          <w:bCs/>
          <w:color w:val="000000" w:themeColor="text1"/>
          <w:sz w:val="32"/>
          <w:szCs w:val="32"/>
          <w14:textFill>
            <w14:solidFill>
              <w14:schemeClr w14:val="tx1"/>
            </w14:solidFill>
          </w14:textFill>
        </w:rPr>
        <w:t xml:space="preserve"> 致同会计师事务所（特殊普通合伙）</w:t>
      </w:r>
    </w:p>
    <w:p>
      <w:pPr>
        <w:widowControl/>
        <w:spacing w:line="480" w:lineRule="auto"/>
        <w:ind w:firstLine="2554" w:firstLineChars="795"/>
        <w:jc w:val="left"/>
        <w:rPr>
          <w:rFonts w:ascii="Arial Narrow" w:hAnsi="Arial Narrow" w:cs="Arial Narrow"/>
          <w:b/>
          <w:bCs/>
          <w:color w:val="000000" w:themeColor="text1"/>
          <w:sz w:val="32"/>
          <w:szCs w:val="32"/>
          <w14:textFill>
            <w14:solidFill>
              <w14:schemeClr w14:val="tx1"/>
            </w14:solidFill>
          </w14:textFill>
        </w:rPr>
      </w:pPr>
      <w:r>
        <w:rPr>
          <w:rFonts w:ascii="Arial Narrow" w:hAnsi="Arial Narrow" w:cs="Arial Narrow"/>
          <w:b/>
          <w:bCs/>
          <w:color w:val="000000" w:themeColor="text1"/>
          <w:sz w:val="32"/>
          <w:szCs w:val="32"/>
          <w14:textFill>
            <w14:solidFill>
              <w14:schemeClr w14:val="tx1"/>
            </w14:solidFill>
          </w14:textFill>
        </w:rPr>
        <w:t>武汉分所</w:t>
      </w:r>
    </w:p>
    <w:p>
      <w:pPr>
        <w:spacing w:line="800" w:lineRule="exact"/>
        <w:rPr>
          <w:rFonts w:ascii="Arial Narrow" w:hAnsi="Arial Narrow" w:cs="Arial Narrow"/>
          <w:b/>
          <w:bCs/>
          <w:color w:val="000000" w:themeColor="text1"/>
          <w:sz w:val="32"/>
          <w:szCs w:val="32"/>
          <w14:textFill>
            <w14:solidFill>
              <w14:schemeClr w14:val="tx1"/>
            </w14:solidFill>
          </w14:textFill>
        </w:rPr>
      </w:pPr>
    </w:p>
    <w:p>
      <w:pPr>
        <w:spacing w:line="800" w:lineRule="exact"/>
        <w:rPr>
          <w:rFonts w:ascii="Arial Narrow" w:hAnsi="Arial Narrow" w:cs="Arial Narrow"/>
          <w:b/>
          <w:bCs/>
          <w:color w:val="000000" w:themeColor="text1"/>
          <w:sz w:val="32"/>
          <w:szCs w:val="32"/>
          <w14:textFill>
            <w14:solidFill>
              <w14:schemeClr w14:val="tx1"/>
            </w14:solidFill>
          </w14:textFill>
        </w:rPr>
      </w:pPr>
    </w:p>
    <w:p>
      <w:pPr>
        <w:spacing w:line="800" w:lineRule="exact"/>
        <w:jc w:val="center"/>
        <w:rPr>
          <w:rFonts w:ascii="Arial Narrow" w:hAnsi="Arial Narrow" w:cs="Arial Narrow"/>
          <w:b/>
          <w:bCs/>
          <w:color w:val="000000" w:themeColor="text1"/>
          <w:sz w:val="32"/>
          <w:szCs w:val="32"/>
          <w14:textFill>
            <w14:solidFill>
              <w14:schemeClr w14:val="tx1"/>
            </w14:solidFill>
          </w14:textFill>
        </w:rPr>
        <w:sectPr>
          <w:pgSz w:w="11906" w:h="16838"/>
          <w:pgMar w:top="2098" w:right="1531" w:bottom="1985" w:left="1531" w:header="851" w:footer="992" w:gutter="0"/>
          <w:cols w:space="425" w:num="1"/>
          <w:docGrid w:type="lines" w:linePitch="312" w:charSpace="0"/>
        </w:sectPr>
      </w:pPr>
      <w:r>
        <w:rPr>
          <w:rFonts w:ascii="Arial Narrow" w:hAnsi="Arial Narrow" w:cs="Arial Narrow"/>
          <w:b/>
          <w:bCs/>
          <w:color w:val="000000" w:themeColor="text1"/>
          <w:sz w:val="32"/>
          <w:szCs w:val="32"/>
          <w14:textFill>
            <w14:solidFill>
              <w14:schemeClr w14:val="tx1"/>
            </w14:solidFill>
          </w14:textFill>
        </w:rPr>
        <w:t>二〇一九年七月</w:t>
      </w:r>
    </w:p>
    <w:p>
      <w:pPr>
        <w:spacing w:line="800" w:lineRule="exact"/>
        <w:jc w:val="center"/>
        <w:rPr>
          <w:rFonts w:ascii="Arial Narrow" w:hAnsi="Arial Narrow" w:cs="Arial Narrow"/>
          <w:b/>
          <w:bCs/>
          <w:color w:val="000000" w:themeColor="text1"/>
          <w:sz w:val="32"/>
          <w:szCs w:val="32"/>
          <w14:textFill>
            <w14:solidFill>
              <w14:schemeClr w14:val="tx1"/>
            </w14:solidFill>
          </w14:textFill>
        </w:rPr>
        <w:sectPr>
          <w:pgSz w:w="11906" w:h="16838"/>
          <w:pgMar w:top="2098" w:right="1531" w:bottom="1985" w:left="1531" w:header="851" w:footer="992" w:gutter="0"/>
          <w:cols w:space="425" w:num="1"/>
          <w:docGrid w:type="lines" w:linePitch="312" w:charSpace="0"/>
        </w:sectPr>
      </w:pPr>
    </w:p>
    <w:p>
      <w:pPr>
        <w:spacing w:line="800" w:lineRule="exact"/>
        <w:jc w:val="center"/>
        <w:rPr>
          <w:rFonts w:ascii="Arial Narrow" w:hAnsi="Arial Narrow" w:cs="Arial Narrow"/>
          <w:b/>
          <w:color w:val="000000" w:themeColor="text1"/>
          <w:sz w:val="32"/>
          <w:szCs w:val="32"/>
          <w14:textFill>
            <w14:solidFill>
              <w14:schemeClr w14:val="tx1"/>
            </w14:solidFill>
          </w14:textFill>
        </w:rPr>
      </w:pPr>
      <w:r>
        <w:rPr>
          <w:rFonts w:ascii="Arial Narrow" w:hAnsi="Arial Narrow" w:cs="Arial Narrow"/>
          <w:b/>
          <w:color w:val="000000" w:themeColor="text1"/>
          <w:sz w:val="32"/>
          <w:szCs w:val="32"/>
          <w14:textFill>
            <w14:solidFill>
              <w14:schemeClr w14:val="tx1"/>
            </w14:solidFill>
          </w14:textFill>
        </w:rPr>
        <w:t>本次绩效评价结果</w:t>
      </w:r>
    </w:p>
    <w:p>
      <w:pPr>
        <w:spacing w:line="800" w:lineRule="exact"/>
        <w:jc w:val="center"/>
        <w:rPr>
          <w:rFonts w:ascii="Arial Narrow" w:hAnsi="Arial Narrow" w:cs="Arial Narrow"/>
          <w:b/>
          <w:color w:val="000000" w:themeColor="text1"/>
          <w:sz w:val="32"/>
          <w:szCs w:val="32"/>
          <w14:textFill>
            <w14:solidFill>
              <w14:schemeClr w14:val="tx1"/>
            </w14:solidFill>
          </w14:textFill>
        </w:rPr>
      </w:pPr>
    </w:p>
    <w:tbl>
      <w:tblPr>
        <w:tblStyle w:val="11"/>
        <w:tblW w:w="8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0"/>
        <w:gridCol w:w="2192"/>
        <w:gridCol w:w="2192"/>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50" w:type="dxa"/>
            <w:tcBorders>
              <w:bottom w:val="single" w:color="auto" w:sz="4" w:space="0"/>
            </w:tcBorders>
            <w:vAlign w:val="center"/>
          </w:tcPr>
          <w:p>
            <w:pPr>
              <w:jc w:val="center"/>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评价准则</w:t>
            </w:r>
          </w:p>
        </w:tc>
        <w:tc>
          <w:tcPr>
            <w:tcW w:w="2192" w:type="dxa"/>
            <w:tcBorders>
              <w:bottom w:val="single" w:color="auto" w:sz="4" w:space="0"/>
            </w:tcBorders>
            <w:vAlign w:val="center"/>
          </w:tcPr>
          <w:p>
            <w:pPr>
              <w:jc w:val="center"/>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权重</w:t>
            </w:r>
          </w:p>
        </w:tc>
        <w:tc>
          <w:tcPr>
            <w:tcW w:w="2192" w:type="dxa"/>
            <w:tcBorders>
              <w:bottom w:val="single" w:color="auto" w:sz="4" w:space="0"/>
            </w:tcBorders>
            <w:vAlign w:val="center"/>
          </w:tcPr>
          <w:p>
            <w:pPr>
              <w:jc w:val="center"/>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评价得分</w:t>
            </w:r>
          </w:p>
        </w:tc>
        <w:tc>
          <w:tcPr>
            <w:tcW w:w="2197" w:type="dxa"/>
            <w:tcBorders>
              <w:bottom w:val="single" w:color="auto" w:sz="4" w:space="0"/>
            </w:tcBorders>
            <w:vAlign w:val="center"/>
          </w:tcPr>
          <w:p>
            <w:pPr>
              <w:jc w:val="center"/>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评价等级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50" w:type="dxa"/>
            <w:tcBorders>
              <w:top w:val="single" w:color="auto" w:sz="4" w:space="0"/>
              <w:bottom w:val="single" w:color="auto" w:sz="4" w:space="0"/>
            </w:tcBorders>
            <w:vAlign w:val="center"/>
          </w:tcPr>
          <w:p>
            <w:pPr>
              <w:jc w:val="center"/>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投入</w:t>
            </w:r>
          </w:p>
        </w:tc>
        <w:tc>
          <w:tcPr>
            <w:tcW w:w="2192" w:type="dxa"/>
            <w:tcBorders>
              <w:top w:val="single" w:color="auto" w:sz="4" w:space="0"/>
              <w:bottom w:val="single" w:color="auto" w:sz="4" w:space="0"/>
            </w:tcBorders>
            <w:vAlign w:val="center"/>
          </w:tcPr>
          <w:p>
            <w:pPr>
              <w:jc w:val="center"/>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16</w:t>
            </w:r>
          </w:p>
        </w:tc>
        <w:tc>
          <w:tcPr>
            <w:tcW w:w="2192" w:type="dxa"/>
            <w:tcBorders>
              <w:top w:val="single" w:color="auto" w:sz="4" w:space="0"/>
              <w:bottom w:val="single" w:color="auto" w:sz="4" w:space="0"/>
            </w:tcBorders>
            <w:vAlign w:val="center"/>
          </w:tcPr>
          <w:p>
            <w:pPr>
              <w:jc w:val="center"/>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15</w:t>
            </w:r>
          </w:p>
        </w:tc>
        <w:tc>
          <w:tcPr>
            <w:tcW w:w="2197" w:type="dxa"/>
            <w:tcBorders>
              <w:top w:val="single" w:color="auto" w:sz="4" w:space="0"/>
              <w:bottom w:val="single" w:color="auto" w:sz="4" w:space="0"/>
            </w:tcBorders>
            <w:vAlign w:val="center"/>
          </w:tcPr>
          <w:p>
            <w:pPr>
              <w:jc w:val="center"/>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优（A）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50" w:type="dxa"/>
            <w:tcBorders>
              <w:top w:val="single" w:color="auto" w:sz="4" w:space="0"/>
              <w:bottom w:val="single" w:color="auto" w:sz="4" w:space="0"/>
            </w:tcBorders>
            <w:vAlign w:val="center"/>
          </w:tcPr>
          <w:p>
            <w:pPr>
              <w:jc w:val="center"/>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过程</w:t>
            </w:r>
          </w:p>
        </w:tc>
        <w:tc>
          <w:tcPr>
            <w:tcW w:w="2192" w:type="dxa"/>
            <w:tcBorders>
              <w:top w:val="single" w:color="auto" w:sz="4" w:space="0"/>
              <w:bottom w:val="single" w:color="auto" w:sz="4" w:space="0"/>
            </w:tcBorders>
            <w:vAlign w:val="center"/>
          </w:tcPr>
          <w:p>
            <w:pPr>
              <w:jc w:val="center"/>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24</w:t>
            </w:r>
          </w:p>
        </w:tc>
        <w:tc>
          <w:tcPr>
            <w:tcW w:w="2192" w:type="dxa"/>
            <w:tcBorders>
              <w:top w:val="single" w:color="auto" w:sz="4" w:space="0"/>
              <w:bottom w:val="single" w:color="auto" w:sz="4" w:space="0"/>
            </w:tcBorders>
            <w:vAlign w:val="center"/>
          </w:tcPr>
          <w:p>
            <w:pPr>
              <w:jc w:val="center"/>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23</w:t>
            </w:r>
          </w:p>
        </w:tc>
        <w:tc>
          <w:tcPr>
            <w:tcW w:w="2197" w:type="dxa"/>
            <w:tcBorders>
              <w:top w:val="single" w:color="auto" w:sz="4" w:space="0"/>
              <w:bottom w:val="single" w:color="auto" w:sz="4" w:space="0"/>
            </w:tcBorders>
            <w:vAlign w:val="center"/>
          </w:tcPr>
          <w:p>
            <w:pPr>
              <w:jc w:val="center"/>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优（A）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50" w:type="dxa"/>
            <w:tcBorders>
              <w:top w:val="single" w:color="auto" w:sz="4" w:space="0"/>
              <w:bottom w:val="single" w:color="auto" w:sz="4" w:space="0"/>
            </w:tcBorders>
            <w:vAlign w:val="center"/>
          </w:tcPr>
          <w:p>
            <w:pPr>
              <w:jc w:val="center"/>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产出</w:t>
            </w:r>
          </w:p>
        </w:tc>
        <w:tc>
          <w:tcPr>
            <w:tcW w:w="2192" w:type="dxa"/>
            <w:tcBorders>
              <w:top w:val="single" w:color="auto" w:sz="4" w:space="0"/>
              <w:bottom w:val="single" w:color="auto" w:sz="4" w:space="0"/>
            </w:tcBorders>
            <w:vAlign w:val="center"/>
          </w:tcPr>
          <w:p>
            <w:pPr>
              <w:jc w:val="center"/>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33</w:t>
            </w:r>
          </w:p>
        </w:tc>
        <w:tc>
          <w:tcPr>
            <w:tcW w:w="2192" w:type="dxa"/>
            <w:tcBorders>
              <w:top w:val="single" w:color="auto" w:sz="4" w:space="0"/>
              <w:bottom w:val="single" w:color="auto" w:sz="4" w:space="0"/>
            </w:tcBorders>
            <w:vAlign w:val="center"/>
          </w:tcPr>
          <w:p>
            <w:pPr>
              <w:jc w:val="center"/>
              <w:textAlignment w:val="top"/>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30</w:t>
            </w:r>
          </w:p>
        </w:tc>
        <w:tc>
          <w:tcPr>
            <w:tcW w:w="2197" w:type="dxa"/>
            <w:tcBorders>
              <w:top w:val="single" w:color="auto" w:sz="4" w:space="0"/>
              <w:bottom w:val="single" w:color="auto" w:sz="4" w:space="0"/>
            </w:tcBorders>
            <w:vAlign w:val="center"/>
          </w:tcPr>
          <w:p>
            <w:pPr>
              <w:jc w:val="center"/>
              <w:textAlignment w:val="top"/>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优（A）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50" w:type="dxa"/>
            <w:tcBorders>
              <w:top w:val="single" w:color="auto" w:sz="4" w:space="0"/>
              <w:bottom w:val="single" w:color="auto" w:sz="4" w:space="0"/>
            </w:tcBorders>
            <w:vAlign w:val="center"/>
          </w:tcPr>
          <w:p>
            <w:pPr>
              <w:jc w:val="center"/>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效果</w:t>
            </w:r>
          </w:p>
        </w:tc>
        <w:tc>
          <w:tcPr>
            <w:tcW w:w="2192" w:type="dxa"/>
            <w:tcBorders>
              <w:top w:val="single" w:color="auto" w:sz="4" w:space="0"/>
              <w:bottom w:val="single" w:color="auto" w:sz="4" w:space="0"/>
            </w:tcBorders>
            <w:vAlign w:val="center"/>
          </w:tcPr>
          <w:p>
            <w:pPr>
              <w:jc w:val="center"/>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27</w:t>
            </w:r>
          </w:p>
        </w:tc>
        <w:tc>
          <w:tcPr>
            <w:tcW w:w="2192" w:type="dxa"/>
            <w:tcBorders>
              <w:top w:val="single" w:color="auto" w:sz="4" w:space="0"/>
              <w:bottom w:val="single" w:color="auto" w:sz="4" w:space="0"/>
            </w:tcBorders>
            <w:vAlign w:val="center"/>
          </w:tcPr>
          <w:p>
            <w:pPr>
              <w:jc w:val="center"/>
              <w:textAlignment w:val="top"/>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24</w:t>
            </w:r>
          </w:p>
        </w:tc>
        <w:tc>
          <w:tcPr>
            <w:tcW w:w="2197" w:type="dxa"/>
            <w:tcBorders>
              <w:top w:val="single" w:color="auto" w:sz="4" w:space="0"/>
              <w:bottom w:val="single" w:color="auto" w:sz="4" w:space="0"/>
            </w:tcBorders>
            <w:vAlign w:val="center"/>
          </w:tcPr>
          <w:p>
            <w:pPr>
              <w:jc w:val="center"/>
              <w:textAlignment w:val="top"/>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良（B）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50" w:type="dxa"/>
            <w:tcBorders>
              <w:top w:val="single" w:color="auto" w:sz="4" w:space="0"/>
            </w:tcBorders>
            <w:vAlign w:val="center"/>
          </w:tcPr>
          <w:p>
            <w:pPr>
              <w:jc w:val="center"/>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综合绩效</w:t>
            </w:r>
          </w:p>
        </w:tc>
        <w:tc>
          <w:tcPr>
            <w:tcW w:w="2192" w:type="dxa"/>
            <w:tcBorders>
              <w:top w:val="single" w:color="auto" w:sz="4" w:space="0"/>
            </w:tcBorders>
            <w:vAlign w:val="center"/>
          </w:tcPr>
          <w:p>
            <w:pPr>
              <w:jc w:val="center"/>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100</w:t>
            </w:r>
          </w:p>
        </w:tc>
        <w:tc>
          <w:tcPr>
            <w:tcW w:w="2192" w:type="dxa"/>
            <w:tcBorders>
              <w:top w:val="single" w:color="auto" w:sz="4" w:space="0"/>
            </w:tcBorders>
            <w:vAlign w:val="center"/>
          </w:tcPr>
          <w:p>
            <w:pPr>
              <w:jc w:val="center"/>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92</w:t>
            </w:r>
          </w:p>
        </w:tc>
        <w:tc>
          <w:tcPr>
            <w:tcW w:w="2197" w:type="dxa"/>
            <w:tcBorders>
              <w:top w:val="single" w:color="auto" w:sz="4" w:space="0"/>
            </w:tcBorders>
            <w:vAlign w:val="center"/>
          </w:tcPr>
          <w:p>
            <w:pPr>
              <w:tabs>
                <w:tab w:val="left" w:pos="1099"/>
                <w:tab w:val="center" w:pos="1863"/>
              </w:tabs>
              <w:jc w:val="center"/>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优（A）</w:t>
            </w:r>
          </w:p>
        </w:tc>
      </w:tr>
    </w:tbl>
    <w:p>
      <w:pPr>
        <w:ind w:firstLine="480"/>
        <w:rPr>
          <w:rFonts w:ascii="Arial Narrow" w:hAnsi="Arial Narrow" w:cs="Arial Narrow"/>
          <w:color w:val="000000" w:themeColor="text1"/>
          <w:sz w:val="28"/>
          <w:szCs w:val="28"/>
          <w14:textFill>
            <w14:solidFill>
              <w14:schemeClr w14:val="tx1"/>
            </w14:solidFill>
          </w14:textFill>
        </w:rPr>
      </w:pPr>
    </w:p>
    <w:tbl>
      <w:tblPr>
        <w:tblStyle w:val="11"/>
        <w:tblW w:w="8339" w:type="dxa"/>
        <w:tblInd w:w="1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8339" w:type="dxa"/>
            <w:vAlign w:val="center"/>
          </w:tcPr>
          <w:p>
            <w:pPr>
              <w:jc w:val="center"/>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w w:val="90"/>
                <w:kern w:val="0"/>
                <w:sz w:val="28"/>
                <w:szCs w:val="28"/>
                <w14:textFill>
                  <w14:solidFill>
                    <w14:schemeClr w14:val="tx1"/>
                  </w14:solidFill>
                </w14:textFill>
              </w:rPr>
              <w:t>绩效评价工作组与项目实施无直接利益冲</w:t>
            </w:r>
            <w:r>
              <w:rPr>
                <w:rFonts w:ascii="Arial Narrow" w:hAnsi="Arial Narrow" w:cs="Arial Narrow"/>
                <w:color w:val="000000" w:themeColor="text1"/>
                <w:spacing w:val="10"/>
                <w:w w:val="90"/>
                <w:kern w:val="0"/>
                <w:sz w:val="28"/>
                <w:szCs w:val="28"/>
                <w14:textFill>
                  <w14:solidFill>
                    <w14:schemeClr w14:val="tx1"/>
                  </w14:solidFill>
                </w14:textFill>
              </w:rPr>
              <w:t>突</w:t>
            </w:r>
          </w:p>
        </w:tc>
      </w:tr>
    </w:tbl>
    <w:p>
      <w:pPr>
        <w:ind w:firstLine="482"/>
        <w:jc w:val="center"/>
        <w:rPr>
          <w:rFonts w:ascii="Arial Narrow" w:hAnsi="Arial Narrow" w:cs="Arial Narrow"/>
          <w:b/>
          <w:color w:val="000000" w:themeColor="text1"/>
          <w:sz w:val="28"/>
          <w:szCs w:val="28"/>
          <w14:textFill>
            <w14:solidFill>
              <w14:schemeClr w14:val="tx1"/>
            </w14:solidFill>
          </w14:textFill>
        </w:rPr>
      </w:pPr>
    </w:p>
    <w:p>
      <w:pPr>
        <w:ind w:firstLine="482"/>
        <w:jc w:val="center"/>
        <w:rPr>
          <w:rFonts w:ascii="Arial Narrow" w:hAnsi="Arial Narrow" w:cs="Arial Narrow"/>
          <w:b/>
          <w:color w:val="000000" w:themeColor="text1"/>
          <w:sz w:val="28"/>
          <w:szCs w:val="28"/>
          <w14:textFill>
            <w14:solidFill>
              <w14:schemeClr w14:val="tx1"/>
            </w14:solidFill>
          </w14:textFill>
        </w:rPr>
      </w:pPr>
    </w:p>
    <w:p>
      <w:pPr>
        <w:ind w:firstLine="482"/>
        <w:rPr>
          <w:rFonts w:ascii="Arial Narrow" w:hAnsi="Arial Narrow" w:cs="Arial Narrow"/>
          <w:b/>
          <w:color w:val="000000" w:themeColor="text1"/>
          <w:sz w:val="32"/>
          <w:szCs w:val="32"/>
          <w14:textFill>
            <w14:solidFill>
              <w14:schemeClr w14:val="tx1"/>
            </w14:solidFill>
          </w14:textFill>
        </w:rPr>
      </w:pPr>
      <w:r>
        <w:rPr>
          <w:rFonts w:ascii="Arial Narrow" w:hAnsi="Arial Narrow" w:cs="Arial Narrow"/>
          <w:b/>
          <w:color w:val="000000" w:themeColor="text1"/>
          <w:sz w:val="32"/>
          <w:szCs w:val="32"/>
          <w14:textFill>
            <w14:solidFill>
              <w14:schemeClr w14:val="tx1"/>
            </w14:solidFill>
          </w14:textFill>
        </w:rPr>
        <w:t>评价工作组</w:t>
      </w:r>
    </w:p>
    <w:p>
      <w:pPr>
        <w:ind w:firstLine="480"/>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组长：蒋中友、吴孟魁</w:t>
      </w:r>
    </w:p>
    <w:p>
      <w:pPr>
        <w:ind w:firstLine="480"/>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绩效评价专家：李海京</w:t>
      </w:r>
    </w:p>
    <w:p>
      <w:pPr>
        <w:ind w:firstLine="480"/>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绩效评价现场负责人：陈卓</w:t>
      </w:r>
    </w:p>
    <w:p>
      <w:pPr>
        <w:ind w:firstLine="480"/>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绩效评价小组成员：沈浮沉 李晨辉 李凌波</w:t>
      </w:r>
    </w:p>
    <w:p>
      <w:pPr>
        <w:ind w:firstLine="480"/>
        <w:rPr>
          <w:rFonts w:ascii="Arial Narrow" w:hAnsi="Arial Narrow" w:cs="Arial Narrow"/>
          <w:color w:val="000000" w:themeColor="text1"/>
          <w:sz w:val="28"/>
          <w:szCs w:val="28"/>
          <w14:textFill>
            <w14:solidFill>
              <w14:schemeClr w14:val="tx1"/>
            </w14:solidFill>
          </w14:textFill>
        </w:rPr>
      </w:pPr>
    </w:p>
    <w:p>
      <w:pPr>
        <w:ind w:firstLine="480"/>
        <w:rPr>
          <w:rFonts w:ascii="Arial Narrow" w:hAnsi="Arial Narrow" w:cs="Arial Narrow"/>
          <w:color w:val="000000" w:themeColor="text1"/>
          <w:sz w:val="28"/>
          <w:szCs w:val="28"/>
          <w14:textFill>
            <w14:solidFill>
              <w14:schemeClr w14:val="tx1"/>
            </w14:solidFill>
          </w14:textFill>
        </w:rPr>
      </w:pPr>
    </w:p>
    <w:p>
      <w:pPr>
        <w:ind w:firstLine="480"/>
        <w:rPr>
          <w:rFonts w:ascii="Arial Narrow" w:hAnsi="Arial Narrow" w:cs="Arial Narrow"/>
          <w:color w:val="000000" w:themeColor="text1"/>
          <w:sz w:val="28"/>
          <w:szCs w:val="28"/>
          <w14:textFill>
            <w14:solidFill>
              <w14:schemeClr w14:val="tx1"/>
            </w14:solidFill>
          </w14:textFill>
        </w:rPr>
      </w:pPr>
    </w:p>
    <w:p>
      <w:pPr>
        <w:ind w:firstLine="480"/>
        <w:rPr>
          <w:rFonts w:ascii="Arial Narrow" w:hAnsi="Arial Narrow" w:cs="Arial Narrow"/>
          <w:color w:val="000000" w:themeColor="text1"/>
          <w:sz w:val="28"/>
          <w:szCs w:val="28"/>
          <w14:textFill>
            <w14:solidFill>
              <w14:schemeClr w14:val="tx1"/>
            </w14:solidFill>
          </w14:textFill>
        </w:rPr>
      </w:pPr>
    </w:p>
    <w:p>
      <w:pPr>
        <w:ind w:firstLine="480"/>
        <w:rPr>
          <w:rFonts w:ascii="Arial Narrow" w:hAnsi="Arial Narrow" w:cs="Arial Narrow"/>
          <w:color w:val="000000" w:themeColor="text1"/>
          <w:sz w:val="28"/>
          <w:szCs w:val="28"/>
          <w14:textFill>
            <w14:solidFill>
              <w14:schemeClr w14:val="tx1"/>
            </w14:solidFill>
          </w14:textFill>
        </w:rPr>
      </w:pPr>
    </w:p>
    <w:p>
      <w:pPr>
        <w:ind w:firstLine="480"/>
        <w:rPr>
          <w:rFonts w:ascii="Arial Narrow" w:hAnsi="Arial Narrow" w:cs="Arial Narrow"/>
          <w:color w:val="000000" w:themeColor="text1"/>
          <w:sz w:val="28"/>
          <w:szCs w:val="28"/>
          <w14:textFill>
            <w14:solidFill>
              <w14:schemeClr w14:val="tx1"/>
            </w14:solidFill>
          </w14:textFill>
        </w:rPr>
      </w:pPr>
    </w:p>
    <w:p>
      <w:pPr>
        <w:ind w:firstLine="480"/>
        <w:rPr>
          <w:rFonts w:ascii="Arial Narrow" w:hAnsi="Arial Narrow" w:cs="Arial Narrow"/>
          <w:color w:val="000000" w:themeColor="text1"/>
          <w:sz w:val="28"/>
          <w:szCs w:val="28"/>
          <w14:textFill>
            <w14:solidFill>
              <w14:schemeClr w14:val="tx1"/>
            </w14:solidFill>
          </w14:textFill>
        </w:rPr>
      </w:pPr>
    </w:p>
    <w:p>
      <w:pPr>
        <w:ind w:firstLine="480"/>
        <w:rPr>
          <w:rFonts w:ascii="Arial Narrow" w:hAnsi="Arial Narrow" w:cs="Arial Narrow"/>
          <w:color w:val="000000" w:themeColor="text1"/>
          <w:sz w:val="28"/>
          <w:szCs w:val="28"/>
          <w14:textFill>
            <w14:solidFill>
              <w14:schemeClr w14:val="tx1"/>
            </w14:solidFill>
          </w14:textFill>
        </w:rPr>
      </w:pPr>
    </w:p>
    <w:p>
      <w:pPr>
        <w:ind w:firstLine="480"/>
        <w:rPr>
          <w:rFonts w:ascii="Arial Narrow" w:hAnsi="Arial Narrow" w:cs="Arial Narrow"/>
          <w:color w:val="000000" w:themeColor="text1"/>
          <w:sz w:val="28"/>
          <w:szCs w:val="28"/>
          <w14:textFill>
            <w14:solidFill>
              <w14:schemeClr w14:val="tx1"/>
            </w14:solidFill>
          </w14:textFill>
        </w:rPr>
      </w:pPr>
    </w:p>
    <w:p>
      <w:pPr>
        <w:ind w:firstLine="480"/>
        <w:rPr>
          <w:rFonts w:ascii="Arial Narrow" w:hAnsi="Arial Narrow" w:cs="Arial Narrow"/>
          <w:color w:val="000000" w:themeColor="text1"/>
          <w:sz w:val="28"/>
          <w:szCs w:val="28"/>
          <w14:textFill>
            <w14:solidFill>
              <w14:schemeClr w14:val="tx1"/>
            </w14:solidFill>
          </w14:textFill>
        </w:rPr>
      </w:pPr>
    </w:p>
    <w:p>
      <w:pPr>
        <w:ind w:firstLine="480"/>
        <w:rPr>
          <w:rFonts w:ascii="Arial Narrow" w:hAnsi="Arial Narrow" w:cs="Arial Narrow"/>
          <w:color w:val="000000" w:themeColor="text1"/>
          <w:sz w:val="28"/>
          <w:szCs w:val="28"/>
          <w14:textFill>
            <w14:solidFill>
              <w14:schemeClr w14:val="tx1"/>
            </w14:solidFill>
          </w14:textFill>
        </w:rPr>
      </w:pPr>
    </w:p>
    <w:p>
      <w:pPr>
        <w:ind w:firstLine="480"/>
        <w:rPr>
          <w:rFonts w:ascii="Arial Narrow" w:hAnsi="Arial Narrow" w:cs="Arial Narrow"/>
          <w:color w:val="000000" w:themeColor="text1"/>
          <w:sz w:val="28"/>
          <w:szCs w:val="28"/>
          <w14:textFill>
            <w14:solidFill>
              <w14:schemeClr w14:val="tx1"/>
            </w14:solidFill>
          </w14:textFill>
        </w:rPr>
      </w:pPr>
    </w:p>
    <w:p>
      <w:pPr>
        <w:ind w:firstLine="480"/>
        <w:rPr>
          <w:rFonts w:ascii="Arial Narrow" w:hAnsi="Arial Narrow" w:cs="Arial Narrow"/>
          <w:color w:val="000000" w:themeColor="text1"/>
          <w:sz w:val="28"/>
          <w:szCs w:val="28"/>
          <w14:textFill>
            <w14:solidFill>
              <w14:schemeClr w14:val="tx1"/>
            </w14:solidFill>
          </w14:textFill>
        </w:rPr>
      </w:pPr>
    </w:p>
    <w:p>
      <w:pPr>
        <w:ind w:firstLine="480"/>
        <w:rPr>
          <w:rFonts w:ascii="Arial Narrow" w:hAnsi="Arial Narrow" w:cs="Arial Narrow"/>
          <w:color w:val="000000" w:themeColor="text1"/>
          <w:sz w:val="28"/>
          <w:szCs w:val="28"/>
          <w14:textFill>
            <w14:solidFill>
              <w14:schemeClr w14:val="tx1"/>
            </w14:solidFill>
          </w14:textFill>
        </w:rPr>
      </w:pPr>
    </w:p>
    <w:p>
      <w:pPr>
        <w:ind w:firstLine="480"/>
        <w:rPr>
          <w:rFonts w:ascii="Arial Narrow" w:hAnsi="Arial Narrow" w:cs="Arial Narrow"/>
          <w:color w:val="000000" w:themeColor="text1"/>
          <w:sz w:val="28"/>
          <w:szCs w:val="28"/>
          <w14:textFill>
            <w14:solidFill>
              <w14:schemeClr w14:val="tx1"/>
            </w14:solidFill>
          </w14:textFill>
        </w:rPr>
      </w:pPr>
    </w:p>
    <w:p>
      <w:pPr>
        <w:ind w:firstLine="480"/>
        <w:rPr>
          <w:rFonts w:ascii="Arial Narrow" w:hAnsi="Arial Narrow" w:cs="Arial Narrow"/>
          <w:color w:val="000000" w:themeColor="text1"/>
          <w:sz w:val="28"/>
          <w:szCs w:val="28"/>
          <w14:textFill>
            <w14:solidFill>
              <w14:schemeClr w14:val="tx1"/>
            </w14:solidFill>
          </w14:textFill>
        </w:rPr>
      </w:pPr>
    </w:p>
    <w:p>
      <w:pPr>
        <w:ind w:firstLine="480"/>
        <w:rPr>
          <w:rFonts w:ascii="Arial Narrow" w:hAnsi="Arial Narrow" w:cs="Arial Narrow"/>
          <w:color w:val="000000" w:themeColor="text1"/>
          <w:sz w:val="28"/>
          <w:szCs w:val="28"/>
          <w14:textFill>
            <w14:solidFill>
              <w14:schemeClr w14:val="tx1"/>
            </w14:solidFill>
          </w14:textFill>
        </w:rPr>
      </w:pPr>
    </w:p>
    <w:p>
      <w:pPr>
        <w:ind w:firstLine="480"/>
        <w:rPr>
          <w:rFonts w:ascii="Arial Narrow" w:hAnsi="Arial Narrow" w:cs="Arial Narrow"/>
          <w:color w:val="000000" w:themeColor="text1"/>
          <w:sz w:val="28"/>
          <w:szCs w:val="28"/>
          <w14:textFill>
            <w14:solidFill>
              <w14:schemeClr w14:val="tx1"/>
            </w14:solidFill>
          </w14:textFill>
        </w:rPr>
      </w:pPr>
    </w:p>
    <w:p>
      <w:pPr>
        <w:ind w:firstLine="480"/>
        <w:rPr>
          <w:rFonts w:ascii="Arial Narrow" w:hAnsi="Arial Narrow" w:cs="Arial Narrow"/>
          <w:color w:val="000000" w:themeColor="text1"/>
          <w:sz w:val="28"/>
          <w:szCs w:val="28"/>
          <w14:textFill>
            <w14:solidFill>
              <w14:schemeClr w14:val="tx1"/>
            </w14:solidFill>
          </w14:textFill>
        </w:rPr>
      </w:pPr>
    </w:p>
    <w:p>
      <w:pPr>
        <w:ind w:firstLine="480"/>
        <w:rPr>
          <w:rFonts w:ascii="Arial Narrow" w:hAnsi="Arial Narrow" w:cs="Arial Narrow"/>
          <w:color w:val="000000" w:themeColor="text1"/>
          <w:sz w:val="28"/>
          <w:szCs w:val="28"/>
          <w14:textFill>
            <w14:solidFill>
              <w14:schemeClr w14:val="tx1"/>
            </w14:solidFill>
          </w14:textFill>
        </w:rPr>
      </w:pPr>
    </w:p>
    <w:p>
      <w:pPr>
        <w:rPr>
          <w:rFonts w:ascii="Arial Narrow" w:hAnsi="Arial Narrow" w:cs="Arial Narrow"/>
          <w:b/>
          <w:bCs/>
          <w:color w:val="000000" w:themeColor="text1"/>
          <w:sz w:val="28"/>
          <w:szCs w:val="28"/>
          <w14:textFill>
            <w14:solidFill>
              <w14:schemeClr w14:val="tx1"/>
            </w14:solidFill>
          </w14:textFill>
        </w:rPr>
      </w:pPr>
    </w:p>
    <w:p>
      <w:pPr>
        <w:pStyle w:val="8"/>
        <w:tabs>
          <w:tab w:val="right" w:leader="dot" w:pos="8844"/>
        </w:tabs>
        <w:adjustRightInd w:val="0"/>
        <w:snapToGrid w:val="0"/>
        <w:spacing w:line="360" w:lineRule="auto"/>
        <w:rPr>
          <w:rFonts w:ascii="Arial Narrow" w:hAnsi="Arial Narrow" w:cs="Arial Narrow"/>
          <w:b/>
          <w:color w:val="000000" w:themeColor="text1"/>
          <w:sz w:val="24"/>
          <w14:textFill>
            <w14:solidFill>
              <w14:schemeClr w14:val="tx1"/>
            </w14:solidFill>
          </w14:textFill>
        </w:rPr>
      </w:pPr>
    </w:p>
    <w:p>
      <w:pPr>
        <w:pStyle w:val="8"/>
        <w:tabs>
          <w:tab w:val="right" w:leader="dot" w:pos="8844"/>
        </w:tabs>
        <w:adjustRightInd w:val="0"/>
        <w:snapToGrid w:val="0"/>
        <w:spacing w:line="360" w:lineRule="auto"/>
        <w:rPr>
          <w:rFonts w:ascii="Arial Narrow" w:hAnsi="Arial Narrow" w:cs="Arial Narrow"/>
          <w:b/>
          <w:color w:val="000000" w:themeColor="text1"/>
          <w:sz w:val="24"/>
          <w14:textFill>
            <w14:solidFill>
              <w14:schemeClr w14:val="tx1"/>
            </w14:solidFill>
          </w14:textFill>
        </w:rPr>
      </w:pPr>
    </w:p>
    <w:p>
      <w:pPr>
        <w:pStyle w:val="8"/>
        <w:tabs>
          <w:tab w:val="right" w:leader="dot" w:pos="8844"/>
        </w:tabs>
        <w:adjustRightInd w:val="0"/>
        <w:snapToGrid w:val="0"/>
        <w:spacing w:line="360" w:lineRule="auto"/>
        <w:jc w:val="center"/>
        <w:rPr>
          <w:rFonts w:ascii="Arial Narrow" w:hAnsi="Arial Narrow" w:cs="Arial Narrow"/>
          <w:b/>
          <w:color w:val="000000" w:themeColor="text1"/>
          <w:sz w:val="24"/>
          <w14:textFill>
            <w14:solidFill>
              <w14:schemeClr w14:val="tx1"/>
            </w14:solidFill>
          </w14:textFill>
        </w:rPr>
      </w:pPr>
      <w:r>
        <w:rPr>
          <w:rFonts w:ascii="Arial Narrow" w:hAnsi="Arial Narrow" w:cs="Arial Narrow"/>
          <w:b/>
          <w:color w:val="000000" w:themeColor="text1"/>
          <w:sz w:val="28"/>
          <w:szCs w:val="28"/>
          <w14:textFill>
            <w14:solidFill>
              <w14:schemeClr w14:val="tx1"/>
            </w14:solidFill>
          </w14:textFill>
        </w:rPr>
        <w:t>目</w:t>
      </w:r>
      <w:r>
        <w:rPr>
          <w:rFonts w:hint="eastAsia" w:ascii="Arial Narrow" w:hAnsi="Arial Narrow" w:cs="Arial Narrow"/>
          <w:b/>
          <w:color w:val="000000" w:themeColor="text1"/>
          <w:sz w:val="28"/>
          <w:szCs w:val="28"/>
          <w14:textFill>
            <w14:solidFill>
              <w14:schemeClr w14:val="tx1"/>
            </w14:solidFill>
          </w14:textFill>
        </w:rPr>
        <w:t xml:space="preserve">  </w:t>
      </w:r>
      <w:r>
        <w:rPr>
          <w:rFonts w:ascii="Arial Narrow" w:hAnsi="Arial Narrow" w:cs="Arial Narrow"/>
          <w:b/>
          <w:color w:val="000000" w:themeColor="text1"/>
          <w:sz w:val="28"/>
          <w:szCs w:val="28"/>
          <w14:textFill>
            <w14:solidFill>
              <w14:schemeClr w14:val="tx1"/>
            </w14:solidFill>
          </w14:textFill>
        </w:rPr>
        <w:t>录</w:t>
      </w:r>
    </w:p>
    <w:p>
      <w:pPr>
        <w:pStyle w:val="8"/>
        <w:tabs>
          <w:tab w:val="right" w:leader="dot" w:pos="8844"/>
        </w:tabs>
        <w:spacing w:line="360" w:lineRule="auto"/>
        <w:rPr>
          <w:rFonts w:ascii="Arial Narrow" w:hAnsi="Arial Narrow" w:cs="Arial Narrow"/>
          <w:sz w:val="24"/>
        </w:rPr>
      </w:pPr>
      <w:r>
        <w:rPr>
          <w:rFonts w:ascii="Arial Narrow" w:hAnsi="Arial Narrow" w:cs="Arial Narrow"/>
          <w:b/>
          <w:color w:val="000000" w:themeColor="text1"/>
          <w:sz w:val="24"/>
          <w14:textFill>
            <w14:solidFill>
              <w14:schemeClr w14:val="tx1"/>
            </w14:solidFill>
          </w14:textFill>
        </w:rPr>
        <w:fldChar w:fldCharType="begin"/>
      </w:r>
      <w:r>
        <w:rPr>
          <w:rFonts w:ascii="Arial Narrow" w:hAnsi="Arial Narrow" w:cs="Arial Narrow"/>
          <w:b/>
          <w:color w:val="000000" w:themeColor="text1"/>
          <w:sz w:val="24"/>
          <w14:textFill>
            <w14:solidFill>
              <w14:schemeClr w14:val="tx1"/>
            </w14:solidFill>
          </w14:textFill>
        </w:rPr>
        <w:instrText xml:space="preserve">TOC \o "1-3" \h \u </w:instrText>
      </w:r>
      <w:r>
        <w:rPr>
          <w:rFonts w:ascii="Arial Narrow" w:hAnsi="Arial Narrow" w:cs="Arial Narrow"/>
          <w:b/>
          <w:color w:val="000000" w:themeColor="text1"/>
          <w:sz w:val="24"/>
          <w14:textFill>
            <w14:solidFill>
              <w14:schemeClr w14:val="tx1"/>
            </w14:solidFill>
          </w14:textFill>
        </w:rPr>
        <w:fldChar w:fldCharType="separate"/>
      </w:r>
      <w:r>
        <w:fldChar w:fldCharType="begin"/>
      </w:r>
      <w:r>
        <w:instrText xml:space="preserve"> HYPERLINK \l "_Toc29097" </w:instrText>
      </w:r>
      <w:r>
        <w:fldChar w:fldCharType="separate"/>
      </w:r>
      <w:r>
        <w:rPr>
          <w:rFonts w:ascii="Arial Narrow" w:hAnsi="Arial Narrow" w:cs="Arial Narrow"/>
          <w:sz w:val="24"/>
        </w:rPr>
        <w:t>一、摘要</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_Toc29097 </w:instrText>
      </w:r>
      <w:r>
        <w:rPr>
          <w:rFonts w:ascii="Arial Narrow" w:hAnsi="Arial Narrow" w:cs="Arial Narrow"/>
          <w:sz w:val="24"/>
        </w:rPr>
        <w:fldChar w:fldCharType="separate"/>
      </w:r>
      <w:r>
        <w:rPr>
          <w:rFonts w:ascii="Arial Narrow" w:hAnsi="Arial Narrow" w:cs="Arial Narrow"/>
          <w:sz w:val="24"/>
        </w:rPr>
        <w:t>1</w:t>
      </w:r>
      <w:r>
        <w:rPr>
          <w:rFonts w:ascii="Arial Narrow" w:hAnsi="Arial Narrow" w:cs="Arial Narrow"/>
          <w:sz w:val="24"/>
        </w:rPr>
        <w:fldChar w:fldCharType="end"/>
      </w:r>
      <w:r>
        <w:rPr>
          <w:rFonts w:ascii="Arial Narrow" w:hAnsi="Arial Narrow" w:cs="Arial Narrow"/>
          <w:sz w:val="24"/>
        </w:rPr>
        <w:fldChar w:fldCharType="end"/>
      </w:r>
    </w:p>
    <w:p>
      <w:pPr>
        <w:pStyle w:val="9"/>
        <w:tabs>
          <w:tab w:val="right" w:leader="dot" w:pos="8844"/>
        </w:tabs>
        <w:spacing w:line="360" w:lineRule="auto"/>
        <w:ind w:left="600"/>
        <w:rPr>
          <w:rFonts w:ascii="Arial Narrow" w:hAnsi="Arial Narrow" w:cs="Arial Narrow"/>
          <w:sz w:val="24"/>
        </w:rPr>
      </w:pPr>
      <w:r>
        <w:fldChar w:fldCharType="begin"/>
      </w:r>
      <w:r>
        <w:instrText xml:space="preserve"> HYPERLINK \l "_Toc6508" </w:instrText>
      </w:r>
      <w:r>
        <w:fldChar w:fldCharType="separate"/>
      </w:r>
      <w:r>
        <w:rPr>
          <w:rFonts w:ascii="Arial Narrow" w:hAnsi="Arial Narrow" w:cs="Arial Narrow"/>
          <w:sz w:val="24"/>
        </w:rPr>
        <w:t>（一）基本情况</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_Toc6508 </w:instrText>
      </w:r>
      <w:r>
        <w:rPr>
          <w:rFonts w:ascii="Arial Narrow" w:hAnsi="Arial Narrow" w:cs="Arial Narrow"/>
          <w:sz w:val="24"/>
        </w:rPr>
        <w:fldChar w:fldCharType="separate"/>
      </w:r>
      <w:r>
        <w:rPr>
          <w:rFonts w:ascii="Arial Narrow" w:hAnsi="Arial Narrow" w:cs="Arial Narrow"/>
          <w:sz w:val="24"/>
        </w:rPr>
        <w:t>1</w:t>
      </w:r>
      <w:r>
        <w:rPr>
          <w:rFonts w:ascii="Arial Narrow" w:hAnsi="Arial Narrow" w:cs="Arial Narrow"/>
          <w:sz w:val="24"/>
        </w:rPr>
        <w:fldChar w:fldCharType="end"/>
      </w:r>
      <w:r>
        <w:rPr>
          <w:rFonts w:ascii="Arial Narrow" w:hAnsi="Arial Narrow" w:cs="Arial Narrow"/>
          <w:sz w:val="24"/>
        </w:rPr>
        <w:fldChar w:fldCharType="end"/>
      </w:r>
    </w:p>
    <w:p>
      <w:pPr>
        <w:pStyle w:val="9"/>
        <w:tabs>
          <w:tab w:val="right" w:leader="dot" w:pos="8844"/>
        </w:tabs>
        <w:spacing w:line="360" w:lineRule="auto"/>
        <w:ind w:left="600"/>
        <w:rPr>
          <w:rFonts w:ascii="Arial Narrow" w:hAnsi="Arial Narrow" w:cs="Arial Narrow"/>
          <w:sz w:val="24"/>
        </w:rPr>
      </w:pPr>
      <w:r>
        <w:fldChar w:fldCharType="begin"/>
      </w:r>
      <w:r>
        <w:instrText xml:space="preserve"> HYPERLINK \l "_Toc24746" </w:instrText>
      </w:r>
      <w:r>
        <w:fldChar w:fldCharType="separate"/>
      </w:r>
      <w:r>
        <w:rPr>
          <w:rFonts w:ascii="Arial Narrow" w:hAnsi="Arial Narrow" w:cs="Arial Narrow"/>
          <w:sz w:val="24"/>
        </w:rPr>
        <w:t>（二）绩效评价结论</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_Toc24746 </w:instrText>
      </w:r>
      <w:r>
        <w:rPr>
          <w:rFonts w:ascii="Arial Narrow" w:hAnsi="Arial Narrow" w:cs="Arial Narrow"/>
          <w:sz w:val="24"/>
        </w:rPr>
        <w:fldChar w:fldCharType="separate"/>
      </w:r>
      <w:r>
        <w:rPr>
          <w:rFonts w:ascii="Arial Narrow" w:hAnsi="Arial Narrow" w:cs="Arial Narrow"/>
          <w:sz w:val="24"/>
        </w:rPr>
        <w:t>1</w:t>
      </w:r>
      <w:r>
        <w:rPr>
          <w:rFonts w:ascii="Arial Narrow" w:hAnsi="Arial Narrow" w:cs="Arial Narrow"/>
          <w:sz w:val="24"/>
        </w:rPr>
        <w:fldChar w:fldCharType="end"/>
      </w:r>
      <w:r>
        <w:rPr>
          <w:rFonts w:ascii="Arial Narrow" w:hAnsi="Arial Narrow" w:cs="Arial Narrow"/>
          <w:sz w:val="24"/>
        </w:rPr>
        <w:fldChar w:fldCharType="end"/>
      </w:r>
    </w:p>
    <w:p>
      <w:pPr>
        <w:pStyle w:val="9"/>
        <w:tabs>
          <w:tab w:val="right" w:leader="dot" w:pos="8844"/>
        </w:tabs>
        <w:spacing w:line="360" w:lineRule="auto"/>
        <w:ind w:left="600"/>
        <w:rPr>
          <w:rFonts w:ascii="Arial Narrow" w:hAnsi="Arial Narrow" w:cs="Arial Narrow"/>
          <w:sz w:val="24"/>
        </w:rPr>
      </w:pPr>
      <w:r>
        <w:fldChar w:fldCharType="begin"/>
      </w:r>
      <w:r>
        <w:instrText xml:space="preserve"> HYPERLINK \l "_Toc21776" </w:instrText>
      </w:r>
      <w:r>
        <w:fldChar w:fldCharType="separate"/>
      </w:r>
      <w:r>
        <w:rPr>
          <w:rFonts w:ascii="Arial Narrow" w:hAnsi="Arial Narrow" w:cs="Arial Narrow"/>
          <w:sz w:val="24"/>
        </w:rPr>
        <w:t>（三）项目的经验与问题</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_Toc21776 </w:instrText>
      </w:r>
      <w:r>
        <w:rPr>
          <w:rFonts w:ascii="Arial Narrow" w:hAnsi="Arial Narrow" w:cs="Arial Narrow"/>
          <w:sz w:val="24"/>
        </w:rPr>
        <w:fldChar w:fldCharType="separate"/>
      </w:r>
      <w:r>
        <w:rPr>
          <w:rFonts w:ascii="Arial Narrow" w:hAnsi="Arial Narrow" w:cs="Arial Narrow"/>
          <w:sz w:val="24"/>
        </w:rPr>
        <w:t>3</w:t>
      </w:r>
      <w:r>
        <w:rPr>
          <w:rFonts w:ascii="Arial Narrow" w:hAnsi="Arial Narrow" w:cs="Arial Narrow"/>
          <w:sz w:val="24"/>
        </w:rPr>
        <w:fldChar w:fldCharType="end"/>
      </w:r>
      <w:r>
        <w:rPr>
          <w:rFonts w:ascii="Arial Narrow" w:hAnsi="Arial Narrow" w:cs="Arial Narrow"/>
          <w:sz w:val="24"/>
        </w:rPr>
        <w:fldChar w:fldCharType="end"/>
      </w:r>
    </w:p>
    <w:p>
      <w:pPr>
        <w:pStyle w:val="9"/>
        <w:tabs>
          <w:tab w:val="right" w:leader="dot" w:pos="8844"/>
        </w:tabs>
        <w:spacing w:line="360" w:lineRule="auto"/>
        <w:ind w:left="600"/>
        <w:rPr>
          <w:rFonts w:ascii="Arial Narrow" w:hAnsi="Arial Narrow" w:cs="Arial Narrow"/>
          <w:sz w:val="24"/>
        </w:rPr>
      </w:pPr>
      <w:r>
        <w:fldChar w:fldCharType="begin"/>
      </w:r>
      <w:r>
        <w:instrText xml:space="preserve"> HYPERLINK \l "_Toc18545" </w:instrText>
      </w:r>
      <w:r>
        <w:fldChar w:fldCharType="separate"/>
      </w:r>
      <w:r>
        <w:rPr>
          <w:rFonts w:ascii="Arial Narrow" w:hAnsi="Arial Narrow" w:cs="Arial Narrow"/>
          <w:sz w:val="24"/>
        </w:rPr>
        <w:t>（四）建议</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_Toc18545 </w:instrText>
      </w:r>
      <w:r>
        <w:rPr>
          <w:rFonts w:ascii="Arial Narrow" w:hAnsi="Arial Narrow" w:cs="Arial Narrow"/>
          <w:sz w:val="24"/>
        </w:rPr>
        <w:fldChar w:fldCharType="separate"/>
      </w:r>
      <w:r>
        <w:rPr>
          <w:rFonts w:ascii="Arial Narrow" w:hAnsi="Arial Narrow" w:cs="Arial Narrow"/>
          <w:sz w:val="24"/>
        </w:rPr>
        <w:t>3</w:t>
      </w:r>
      <w:r>
        <w:rPr>
          <w:rFonts w:ascii="Arial Narrow" w:hAnsi="Arial Narrow" w:cs="Arial Narrow"/>
          <w:sz w:val="24"/>
        </w:rPr>
        <w:fldChar w:fldCharType="end"/>
      </w:r>
      <w:r>
        <w:rPr>
          <w:rFonts w:ascii="Arial Narrow" w:hAnsi="Arial Narrow" w:cs="Arial Narrow"/>
          <w:sz w:val="24"/>
        </w:rPr>
        <w:fldChar w:fldCharType="end"/>
      </w:r>
    </w:p>
    <w:p>
      <w:pPr>
        <w:pStyle w:val="8"/>
        <w:tabs>
          <w:tab w:val="right" w:leader="dot" w:pos="8844"/>
        </w:tabs>
        <w:spacing w:line="360" w:lineRule="auto"/>
        <w:rPr>
          <w:rFonts w:ascii="Arial Narrow" w:hAnsi="Arial Narrow" w:cs="Arial Narrow"/>
          <w:sz w:val="24"/>
        </w:rPr>
      </w:pPr>
      <w:r>
        <w:fldChar w:fldCharType="begin"/>
      </w:r>
      <w:r>
        <w:instrText xml:space="preserve"> HYPERLINK \l "_Toc12229" </w:instrText>
      </w:r>
      <w:r>
        <w:fldChar w:fldCharType="separate"/>
      </w:r>
      <w:r>
        <w:rPr>
          <w:rFonts w:ascii="Arial Narrow" w:hAnsi="Arial Narrow" w:cs="Arial Narrow"/>
          <w:sz w:val="24"/>
        </w:rPr>
        <w:t>二、正文</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_Toc12229 </w:instrText>
      </w:r>
      <w:r>
        <w:rPr>
          <w:rFonts w:ascii="Arial Narrow" w:hAnsi="Arial Narrow" w:cs="Arial Narrow"/>
          <w:sz w:val="24"/>
        </w:rPr>
        <w:fldChar w:fldCharType="separate"/>
      </w:r>
      <w:r>
        <w:rPr>
          <w:rFonts w:ascii="Arial Narrow" w:hAnsi="Arial Narrow" w:cs="Arial Narrow"/>
          <w:sz w:val="24"/>
        </w:rPr>
        <w:t>5</w:t>
      </w:r>
      <w:r>
        <w:rPr>
          <w:rFonts w:ascii="Arial Narrow" w:hAnsi="Arial Narrow" w:cs="Arial Narrow"/>
          <w:sz w:val="24"/>
        </w:rPr>
        <w:fldChar w:fldCharType="end"/>
      </w:r>
      <w:r>
        <w:rPr>
          <w:rFonts w:ascii="Arial Narrow" w:hAnsi="Arial Narrow" w:cs="Arial Narrow"/>
          <w:sz w:val="24"/>
        </w:rPr>
        <w:fldChar w:fldCharType="end"/>
      </w:r>
    </w:p>
    <w:p>
      <w:pPr>
        <w:pStyle w:val="9"/>
        <w:tabs>
          <w:tab w:val="right" w:leader="dot" w:pos="8844"/>
        </w:tabs>
        <w:spacing w:line="360" w:lineRule="auto"/>
        <w:ind w:left="600"/>
        <w:rPr>
          <w:rFonts w:ascii="Arial Narrow" w:hAnsi="Arial Narrow" w:cs="Arial Narrow"/>
          <w:sz w:val="24"/>
        </w:rPr>
      </w:pPr>
      <w:r>
        <w:fldChar w:fldCharType="begin"/>
      </w:r>
      <w:r>
        <w:instrText xml:space="preserve"> HYPERLINK \l "_Toc23507" </w:instrText>
      </w:r>
      <w:r>
        <w:fldChar w:fldCharType="separate"/>
      </w:r>
      <w:r>
        <w:rPr>
          <w:rFonts w:ascii="Arial Narrow" w:hAnsi="Arial Narrow" w:cs="Arial Narrow"/>
          <w:sz w:val="24"/>
        </w:rPr>
        <w:t>（一）项目基本情况</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_Toc23507 </w:instrText>
      </w:r>
      <w:r>
        <w:rPr>
          <w:rFonts w:ascii="Arial Narrow" w:hAnsi="Arial Narrow" w:cs="Arial Narrow"/>
          <w:sz w:val="24"/>
        </w:rPr>
        <w:fldChar w:fldCharType="separate"/>
      </w:r>
      <w:r>
        <w:rPr>
          <w:rFonts w:ascii="Arial Narrow" w:hAnsi="Arial Narrow" w:cs="Arial Narrow"/>
          <w:sz w:val="24"/>
        </w:rPr>
        <w:t>5</w:t>
      </w:r>
      <w:r>
        <w:rPr>
          <w:rFonts w:ascii="Arial Narrow" w:hAnsi="Arial Narrow" w:cs="Arial Narrow"/>
          <w:sz w:val="24"/>
        </w:rPr>
        <w:fldChar w:fldCharType="end"/>
      </w:r>
      <w:r>
        <w:rPr>
          <w:rFonts w:ascii="Arial Narrow" w:hAnsi="Arial Narrow" w:cs="Arial Narrow"/>
          <w:sz w:val="24"/>
        </w:rPr>
        <w:fldChar w:fldCharType="end"/>
      </w:r>
    </w:p>
    <w:p>
      <w:pPr>
        <w:pStyle w:val="4"/>
        <w:tabs>
          <w:tab w:val="right" w:leader="dot" w:pos="8844"/>
        </w:tabs>
        <w:spacing w:line="360" w:lineRule="auto"/>
        <w:ind w:left="1200"/>
        <w:rPr>
          <w:rFonts w:ascii="Arial Narrow" w:hAnsi="Arial Narrow" w:cs="Arial Narrow"/>
          <w:sz w:val="24"/>
        </w:rPr>
      </w:pPr>
      <w:r>
        <w:fldChar w:fldCharType="begin"/>
      </w:r>
      <w:r>
        <w:instrText xml:space="preserve"> HYPERLINK \l "_Toc32310" </w:instrText>
      </w:r>
      <w:r>
        <w:fldChar w:fldCharType="separate"/>
      </w:r>
      <w:r>
        <w:rPr>
          <w:rFonts w:ascii="Arial Narrow" w:hAnsi="Arial Narrow" w:cs="Arial Narrow"/>
          <w:bCs/>
          <w:sz w:val="24"/>
        </w:rPr>
        <w:t>1、项目立项背景和依据</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_Toc32310 </w:instrText>
      </w:r>
      <w:r>
        <w:rPr>
          <w:rFonts w:ascii="Arial Narrow" w:hAnsi="Arial Narrow" w:cs="Arial Narrow"/>
          <w:sz w:val="24"/>
        </w:rPr>
        <w:fldChar w:fldCharType="separate"/>
      </w:r>
      <w:r>
        <w:rPr>
          <w:rFonts w:ascii="Arial Narrow" w:hAnsi="Arial Narrow" w:cs="Arial Narrow"/>
          <w:sz w:val="24"/>
        </w:rPr>
        <w:t>5</w:t>
      </w:r>
      <w:r>
        <w:rPr>
          <w:rFonts w:ascii="Arial Narrow" w:hAnsi="Arial Narrow" w:cs="Arial Narrow"/>
          <w:sz w:val="24"/>
        </w:rPr>
        <w:fldChar w:fldCharType="end"/>
      </w:r>
      <w:r>
        <w:rPr>
          <w:rFonts w:ascii="Arial Narrow" w:hAnsi="Arial Narrow" w:cs="Arial Narrow"/>
          <w:sz w:val="24"/>
        </w:rPr>
        <w:fldChar w:fldCharType="end"/>
      </w:r>
    </w:p>
    <w:p>
      <w:pPr>
        <w:pStyle w:val="4"/>
        <w:tabs>
          <w:tab w:val="right" w:leader="dot" w:pos="8844"/>
        </w:tabs>
        <w:spacing w:line="360" w:lineRule="auto"/>
        <w:ind w:left="1200"/>
        <w:rPr>
          <w:rFonts w:ascii="Arial Narrow" w:hAnsi="Arial Narrow" w:cs="Arial Narrow"/>
          <w:sz w:val="24"/>
        </w:rPr>
      </w:pPr>
      <w:r>
        <w:fldChar w:fldCharType="begin"/>
      </w:r>
      <w:r>
        <w:instrText xml:space="preserve"> HYPERLINK \l "_Toc32085" </w:instrText>
      </w:r>
      <w:r>
        <w:fldChar w:fldCharType="separate"/>
      </w:r>
      <w:r>
        <w:rPr>
          <w:rFonts w:ascii="Arial Narrow" w:hAnsi="Arial Narrow" w:cs="Arial Narrow"/>
          <w:sz w:val="24"/>
        </w:rPr>
        <w:t>2、项目绩效目标</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_Toc32085 </w:instrText>
      </w:r>
      <w:r>
        <w:rPr>
          <w:rFonts w:ascii="Arial Narrow" w:hAnsi="Arial Narrow" w:cs="Arial Narrow"/>
          <w:sz w:val="24"/>
        </w:rPr>
        <w:fldChar w:fldCharType="separate"/>
      </w:r>
      <w:r>
        <w:rPr>
          <w:rFonts w:ascii="Arial Narrow" w:hAnsi="Arial Narrow" w:cs="Arial Narrow"/>
          <w:sz w:val="24"/>
        </w:rPr>
        <w:t>6</w:t>
      </w:r>
      <w:r>
        <w:rPr>
          <w:rFonts w:ascii="Arial Narrow" w:hAnsi="Arial Narrow" w:cs="Arial Narrow"/>
          <w:sz w:val="24"/>
        </w:rPr>
        <w:fldChar w:fldCharType="end"/>
      </w:r>
      <w:r>
        <w:rPr>
          <w:rFonts w:ascii="Arial Narrow" w:hAnsi="Arial Narrow" w:cs="Arial Narrow"/>
          <w:sz w:val="24"/>
        </w:rPr>
        <w:fldChar w:fldCharType="end"/>
      </w:r>
    </w:p>
    <w:p>
      <w:pPr>
        <w:pStyle w:val="4"/>
        <w:tabs>
          <w:tab w:val="right" w:leader="dot" w:pos="8844"/>
        </w:tabs>
        <w:spacing w:line="360" w:lineRule="auto"/>
        <w:ind w:left="1200"/>
        <w:rPr>
          <w:rFonts w:ascii="Arial Narrow" w:hAnsi="Arial Narrow" w:cs="Arial Narrow"/>
          <w:sz w:val="24"/>
        </w:rPr>
      </w:pPr>
      <w:r>
        <w:fldChar w:fldCharType="begin"/>
      </w:r>
      <w:r>
        <w:instrText xml:space="preserve"> HYPERLINK \l "_Toc32594" </w:instrText>
      </w:r>
      <w:r>
        <w:fldChar w:fldCharType="separate"/>
      </w:r>
      <w:r>
        <w:rPr>
          <w:rFonts w:ascii="Arial Narrow" w:hAnsi="Arial Narrow" w:cs="Arial Narrow"/>
          <w:sz w:val="24"/>
        </w:rPr>
        <w:t>3、经费来源和使用情况</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_Toc32594 </w:instrText>
      </w:r>
      <w:r>
        <w:rPr>
          <w:rFonts w:ascii="Arial Narrow" w:hAnsi="Arial Narrow" w:cs="Arial Narrow"/>
          <w:sz w:val="24"/>
        </w:rPr>
        <w:fldChar w:fldCharType="separate"/>
      </w:r>
      <w:r>
        <w:rPr>
          <w:rFonts w:ascii="Arial Narrow" w:hAnsi="Arial Narrow" w:cs="Arial Narrow"/>
          <w:sz w:val="24"/>
        </w:rPr>
        <w:t>6</w:t>
      </w:r>
      <w:r>
        <w:rPr>
          <w:rFonts w:ascii="Arial Narrow" w:hAnsi="Arial Narrow" w:cs="Arial Narrow"/>
          <w:sz w:val="24"/>
        </w:rPr>
        <w:fldChar w:fldCharType="end"/>
      </w:r>
      <w:r>
        <w:rPr>
          <w:rFonts w:ascii="Arial Narrow" w:hAnsi="Arial Narrow" w:cs="Arial Narrow"/>
          <w:sz w:val="24"/>
        </w:rPr>
        <w:fldChar w:fldCharType="end"/>
      </w:r>
    </w:p>
    <w:p>
      <w:pPr>
        <w:pStyle w:val="4"/>
        <w:tabs>
          <w:tab w:val="right" w:leader="dot" w:pos="8844"/>
        </w:tabs>
        <w:spacing w:line="360" w:lineRule="auto"/>
        <w:ind w:left="1200"/>
        <w:rPr>
          <w:rFonts w:ascii="Arial Narrow" w:hAnsi="Arial Narrow" w:cs="Arial Narrow"/>
          <w:sz w:val="24"/>
        </w:rPr>
      </w:pPr>
      <w:r>
        <w:fldChar w:fldCharType="begin"/>
      </w:r>
      <w:r>
        <w:instrText xml:space="preserve"> HYPERLINK \l "_Toc9401" </w:instrText>
      </w:r>
      <w:r>
        <w:fldChar w:fldCharType="separate"/>
      </w:r>
      <w:r>
        <w:rPr>
          <w:rFonts w:ascii="Arial Narrow" w:hAnsi="Arial Narrow" w:cs="Arial Narrow"/>
          <w:bCs/>
          <w:sz w:val="24"/>
        </w:rPr>
        <w:t>4、项目实施情况</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_Toc9401 </w:instrText>
      </w:r>
      <w:r>
        <w:rPr>
          <w:rFonts w:ascii="Arial Narrow" w:hAnsi="Arial Narrow" w:cs="Arial Narrow"/>
          <w:sz w:val="24"/>
        </w:rPr>
        <w:fldChar w:fldCharType="separate"/>
      </w:r>
      <w:r>
        <w:rPr>
          <w:rFonts w:ascii="Arial Narrow" w:hAnsi="Arial Narrow" w:cs="Arial Narrow"/>
          <w:sz w:val="24"/>
        </w:rPr>
        <w:t>6</w:t>
      </w:r>
      <w:r>
        <w:rPr>
          <w:rFonts w:ascii="Arial Narrow" w:hAnsi="Arial Narrow" w:cs="Arial Narrow"/>
          <w:sz w:val="24"/>
        </w:rPr>
        <w:fldChar w:fldCharType="end"/>
      </w:r>
      <w:r>
        <w:rPr>
          <w:rFonts w:ascii="Arial Narrow" w:hAnsi="Arial Narrow" w:cs="Arial Narrow"/>
          <w:sz w:val="24"/>
        </w:rPr>
        <w:fldChar w:fldCharType="end"/>
      </w:r>
    </w:p>
    <w:p>
      <w:pPr>
        <w:pStyle w:val="9"/>
        <w:tabs>
          <w:tab w:val="right" w:leader="dot" w:pos="8844"/>
        </w:tabs>
        <w:spacing w:line="360" w:lineRule="auto"/>
        <w:ind w:left="600"/>
        <w:rPr>
          <w:rFonts w:ascii="Arial Narrow" w:hAnsi="Arial Narrow" w:cs="Arial Narrow"/>
          <w:sz w:val="24"/>
        </w:rPr>
      </w:pPr>
      <w:r>
        <w:fldChar w:fldCharType="begin"/>
      </w:r>
      <w:r>
        <w:instrText xml:space="preserve"> HYPERLINK \l "_Toc30238" </w:instrText>
      </w:r>
      <w:r>
        <w:fldChar w:fldCharType="separate"/>
      </w:r>
      <w:r>
        <w:rPr>
          <w:rFonts w:ascii="Arial Narrow" w:hAnsi="Arial Narrow" w:cs="Arial Narrow"/>
          <w:bCs/>
          <w:sz w:val="24"/>
        </w:rPr>
        <w:t>（二）绩效评价工作情况</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_Toc30238 </w:instrText>
      </w:r>
      <w:r>
        <w:rPr>
          <w:rFonts w:ascii="Arial Narrow" w:hAnsi="Arial Narrow" w:cs="Arial Narrow"/>
          <w:sz w:val="24"/>
        </w:rPr>
        <w:fldChar w:fldCharType="separate"/>
      </w:r>
      <w:r>
        <w:rPr>
          <w:rFonts w:ascii="Arial Narrow" w:hAnsi="Arial Narrow" w:cs="Arial Narrow"/>
          <w:sz w:val="24"/>
        </w:rPr>
        <w:t>7</w:t>
      </w:r>
      <w:r>
        <w:rPr>
          <w:rFonts w:ascii="Arial Narrow" w:hAnsi="Arial Narrow" w:cs="Arial Narrow"/>
          <w:sz w:val="24"/>
        </w:rPr>
        <w:fldChar w:fldCharType="end"/>
      </w:r>
      <w:r>
        <w:rPr>
          <w:rFonts w:ascii="Arial Narrow" w:hAnsi="Arial Narrow" w:cs="Arial Narrow"/>
          <w:sz w:val="24"/>
        </w:rPr>
        <w:fldChar w:fldCharType="end"/>
      </w:r>
    </w:p>
    <w:p>
      <w:pPr>
        <w:pStyle w:val="4"/>
        <w:tabs>
          <w:tab w:val="right" w:leader="dot" w:pos="8844"/>
        </w:tabs>
        <w:spacing w:line="360" w:lineRule="auto"/>
        <w:ind w:left="1200"/>
        <w:rPr>
          <w:rFonts w:ascii="Arial Narrow" w:hAnsi="Arial Narrow" w:cs="Arial Narrow"/>
          <w:sz w:val="24"/>
        </w:rPr>
      </w:pPr>
      <w:r>
        <w:fldChar w:fldCharType="begin"/>
      </w:r>
      <w:r>
        <w:instrText xml:space="preserve"> HYPERLINK \l "_Toc12819" </w:instrText>
      </w:r>
      <w:r>
        <w:fldChar w:fldCharType="separate"/>
      </w:r>
      <w:r>
        <w:rPr>
          <w:rFonts w:ascii="Arial Narrow" w:hAnsi="Arial Narrow" w:cs="Arial Narrow"/>
          <w:sz w:val="24"/>
        </w:rPr>
        <w:t>1、绩效评价目的</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_Toc12819 </w:instrText>
      </w:r>
      <w:r>
        <w:rPr>
          <w:rFonts w:ascii="Arial Narrow" w:hAnsi="Arial Narrow" w:cs="Arial Narrow"/>
          <w:sz w:val="24"/>
        </w:rPr>
        <w:fldChar w:fldCharType="separate"/>
      </w:r>
      <w:r>
        <w:rPr>
          <w:rFonts w:ascii="Arial Narrow" w:hAnsi="Arial Narrow" w:cs="Arial Narrow"/>
          <w:sz w:val="24"/>
        </w:rPr>
        <w:t>7</w:t>
      </w:r>
      <w:r>
        <w:rPr>
          <w:rFonts w:ascii="Arial Narrow" w:hAnsi="Arial Narrow" w:cs="Arial Narrow"/>
          <w:sz w:val="24"/>
        </w:rPr>
        <w:fldChar w:fldCharType="end"/>
      </w:r>
      <w:r>
        <w:rPr>
          <w:rFonts w:ascii="Arial Narrow" w:hAnsi="Arial Narrow" w:cs="Arial Narrow"/>
          <w:sz w:val="24"/>
        </w:rPr>
        <w:fldChar w:fldCharType="end"/>
      </w:r>
    </w:p>
    <w:p>
      <w:pPr>
        <w:pStyle w:val="4"/>
        <w:tabs>
          <w:tab w:val="right" w:leader="dot" w:pos="8844"/>
        </w:tabs>
        <w:spacing w:line="360" w:lineRule="auto"/>
        <w:ind w:left="1200"/>
        <w:rPr>
          <w:rFonts w:ascii="Arial Narrow" w:hAnsi="Arial Narrow" w:cs="Arial Narrow"/>
          <w:sz w:val="24"/>
        </w:rPr>
      </w:pPr>
      <w:r>
        <w:fldChar w:fldCharType="begin"/>
      </w:r>
      <w:r>
        <w:instrText xml:space="preserve"> HYPERLINK \l "_Toc20209" </w:instrText>
      </w:r>
      <w:r>
        <w:fldChar w:fldCharType="separate"/>
      </w:r>
      <w:r>
        <w:rPr>
          <w:rFonts w:ascii="Arial Narrow" w:hAnsi="Arial Narrow" w:cs="Arial Narrow"/>
          <w:sz w:val="24"/>
        </w:rPr>
        <w:t>2、绩效评价框架</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_Toc20209 </w:instrText>
      </w:r>
      <w:r>
        <w:rPr>
          <w:rFonts w:ascii="Arial Narrow" w:hAnsi="Arial Narrow" w:cs="Arial Narrow"/>
          <w:sz w:val="24"/>
        </w:rPr>
        <w:fldChar w:fldCharType="separate"/>
      </w:r>
      <w:r>
        <w:rPr>
          <w:rFonts w:ascii="Arial Narrow" w:hAnsi="Arial Narrow" w:cs="Arial Narrow"/>
          <w:sz w:val="24"/>
        </w:rPr>
        <w:t>8</w:t>
      </w:r>
      <w:r>
        <w:rPr>
          <w:rFonts w:ascii="Arial Narrow" w:hAnsi="Arial Narrow" w:cs="Arial Narrow"/>
          <w:sz w:val="24"/>
        </w:rPr>
        <w:fldChar w:fldCharType="end"/>
      </w:r>
      <w:r>
        <w:rPr>
          <w:rFonts w:ascii="Arial Narrow" w:hAnsi="Arial Narrow" w:cs="Arial Narrow"/>
          <w:sz w:val="24"/>
        </w:rPr>
        <w:fldChar w:fldCharType="end"/>
      </w:r>
    </w:p>
    <w:p>
      <w:pPr>
        <w:pStyle w:val="9"/>
        <w:tabs>
          <w:tab w:val="right" w:leader="dot" w:pos="8844"/>
        </w:tabs>
        <w:spacing w:line="360" w:lineRule="auto"/>
        <w:ind w:left="600"/>
        <w:rPr>
          <w:rFonts w:ascii="Arial Narrow" w:hAnsi="Arial Narrow" w:cs="Arial Narrow"/>
          <w:sz w:val="24"/>
        </w:rPr>
      </w:pPr>
      <w:r>
        <w:fldChar w:fldCharType="begin"/>
      </w:r>
      <w:r>
        <w:instrText xml:space="preserve"> HYPERLINK \l "_Toc8851" </w:instrText>
      </w:r>
      <w:r>
        <w:fldChar w:fldCharType="separate"/>
      </w:r>
      <w:r>
        <w:rPr>
          <w:rFonts w:ascii="Arial Narrow" w:hAnsi="Arial Narrow" w:cs="Arial Narrow"/>
          <w:bCs/>
          <w:sz w:val="24"/>
        </w:rPr>
        <w:t>（三）绩效分析及评价结论</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_Toc8851 </w:instrText>
      </w:r>
      <w:r>
        <w:rPr>
          <w:rFonts w:ascii="Arial Narrow" w:hAnsi="Arial Narrow" w:cs="Arial Narrow"/>
          <w:sz w:val="24"/>
        </w:rPr>
        <w:fldChar w:fldCharType="separate"/>
      </w:r>
      <w:r>
        <w:rPr>
          <w:rFonts w:ascii="Arial Narrow" w:hAnsi="Arial Narrow" w:cs="Arial Narrow"/>
          <w:sz w:val="24"/>
        </w:rPr>
        <w:t>15</w:t>
      </w:r>
      <w:r>
        <w:rPr>
          <w:rFonts w:ascii="Arial Narrow" w:hAnsi="Arial Narrow" w:cs="Arial Narrow"/>
          <w:sz w:val="24"/>
        </w:rPr>
        <w:fldChar w:fldCharType="end"/>
      </w:r>
      <w:r>
        <w:rPr>
          <w:rFonts w:ascii="Arial Narrow" w:hAnsi="Arial Narrow" w:cs="Arial Narrow"/>
          <w:sz w:val="24"/>
        </w:rPr>
        <w:fldChar w:fldCharType="end"/>
      </w:r>
    </w:p>
    <w:p>
      <w:pPr>
        <w:pStyle w:val="4"/>
        <w:tabs>
          <w:tab w:val="right" w:leader="dot" w:pos="8844"/>
        </w:tabs>
        <w:spacing w:line="360" w:lineRule="auto"/>
        <w:ind w:left="1200"/>
        <w:rPr>
          <w:rFonts w:ascii="Arial Narrow" w:hAnsi="Arial Narrow" w:cs="Arial Narrow"/>
          <w:sz w:val="24"/>
        </w:rPr>
      </w:pPr>
      <w:r>
        <w:fldChar w:fldCharType="begin"/>
      </w:r>
      <w:r>
        <w:instrText xml:space="preserve"> HYPERLINK \l "_Toc5036" </w:instrText>
      </w:r>
      <w:r>
        <w:fldChar w:fldCharType="separate"/>
      </w:r>
      <w:r>
        <w:rPr>
          <w:rFonts w:ascii="Arial Narrow" w:hAnsi="Arial Narrow" w:cs="Arial Narrow"/>
          <w:sz w:val="24"/>
        </w:rPr>
        <w:t>1、绩效分析</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_Toc5036 </w:instrText>
      </w:r>
      <w:r>
        <w:rPr>
          <w:rFonts w:ascii="Arial Narrow" w:hAnsi="Arial Narrow" w:cs="Arial Narrow"/>
          <w:sz w:val="24"/>
        </w:rPr>
        <w:fldChar w:fldCharType="separate"/>
      </w:r>
      <w:r>
        <w:rPr>
          <w:rFonts w:ascii="Arial Narrow" w:hAnsi="Arial Narrow" w:cs="Arial Narrow"/>
          <w:sz w:val="24"/>
        </w:rPr>
        <w:t>15</w:t>
      </w:r>
      <w:r>
        <w:rPr>
          <w:rFonts w:ascii="Arial Narrow" w:hAnsi="Arial Narrow" w:cs="Arial Narrow"/>
          <w:sz w:val="24"/>
        </w:rPr>
        <w:fldChar w:fldCharType="end"/>
      </w:r>
      <w:r>
        <w:rPr>
          <w:rFonts w:ascii="Arial Narrow" w:hAnsi="Arial Narrow" w:cs="Arial Narrow"/>
          <w:sz w:val="24"/>
        </w:rPr>
        <w:fldChar w:fldCharType="end"/>
      </w:r>
    </w:p>
    <w:p>
      <w:pPr>
        <w:pStyle w:val="4"/>
        <w:tabs>
          <w:tab w:val="right" w:leader="dot" w:pos="8844"/>
        </w:tabs>
        <w:spacing w:line="360" w:lineRule="auto"/>
        <w:ind w:left="1200"/>
        <w:rPr>
          <w:rFonts w:ascii="Arial Narrow" w:hAnsi="Arial Narrow" w:cs="Arial Narrow"/>
          <w:sz w:val="24"/>
        </w:rPr>
      </w:pPr>
      <w:r>
        <w:fldChar w:fldCharType="begin"/>
      </w:r>
      <w:r>
        <w:instrText xml:space="preserve"> HYPERLINK \l "_Toc31828" </w:instrText>
      </w:r>
      <w:r>
        <w:fldChar w:fldCharType="separate"/>
      </w:r>
      <w:r>
        <w:rPr>
          <w:rFonts w:ascii="Arial Narrow" w:hAnsi="Arial Narrow" w:cs="Arial Narrow"/>
          <w:bCs/>
          <w:sz w:val="24"/>
        </w:rPr>
        <w:t>2、评价结论</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_Toc31828 </w:instrText>
      </w:r>
      <w:r>
        <w:rPr>
          <w:rFonts w:ascii="Arial Narrow" w:hAnsi="Arial Narrow" w:cs="Arial Narrow"/>
          <w:sz w:val="24"/>
        </w:rPr>
        <w:fldChar w:fldCharType="separate"/>
      </w:r>
      <w:r>
        <w:rPr>
          <w:rFonts w:ascii="Arial Narrow" w:hAnsi="Arial Narrow" w:cs="Arial Narrow"/>
          <w:sz w:val="24"/>
        </w:rPr>
        <w:t>22</w:t>
      </w:r>
      <w:r>
        <w:rPr>
          <w:rFonts w:ascii="Arial Narrow" w:hAnsi="Arial Narrow" w:cs="Arial Narrow"/>
          <w:sz w:val="24"/>
        </w:rPr>
        <w:fldChar w:fldCharType="end"/>
      </w:r>
      <w:r>
        <w:rPr>
          <w:rFonts w:ascii="Arial Narrow" w:hAnsi="Arial Narrow" w:cs="Arial Narrow"/>
          <w:sz w:val="24"/>
        </w:rPr>
        <w:fldChar w:fldCharType="end"/>
      </w:r>
    </w:p>
    <w:p>
      <w:pPr>
        <w:pStyle w:val="9"/>
        <w:tabs>
          <w:tab w:val="right" w:leader="dot" w:pos="8844"/>
        </w:tabs>
        <w:spacing w:line="360" w:lineRule="auto"/>
        <w:ind w:left="600"/>
        <w:rPr>
          <w:rFonts w:ascii="Arial Narrow" w:hAnsi="Arial Narrow" w:cs="Arial Narrow"/>
          <w:sz w:val="24"/>
        </w:rPr>
      </w:pPr>
      <w:r>
        <w:fldChar w:fldCharType="begin"/>
      </w:r>
      <w:r>
        <w:instrText xml:space="preserve"> HYPERLINK \l "_Toc20150" </w:instrText>
      </w:r>
      <w:r>
        <w:fldChar w:fldCharType="separate"/>
      </w:r>
      <w:r>
        <w:rPr>
          <w:rFonts w:ascii="Arial Narrow" w:hAnsi="Arial Narrow" w:cs="Arial Narrow"/>
          <w:sz w:val="24"/>
        </w:rPr>
        <w:t>（四）主要经验及做法、存在的问题和建议</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_Toc20150 </w:instrText>
      </w:r>
      <w:r>
        <w:rPr>
          <w:rFonts w:ascii="Arial Narrow" w:hAnsi="Arial Narrow" w:cs="Arial Narrow"/>
          <w:sz w:val="24"/>
        </w:rPr>
        <w:fldChar w:fldCharType="separate"/>
      </w:r>
      <w:r>
        <w:rPr>
          <w:rFonts w:ascii="Arial Narrow" w:hAnsi="Arial Narrow" w:cs="Arial Narrow"/>
          <w:sz w:val="24"/>
        </w:rPr>
        <w:t>23</w:t>
      </w:r>
      <w:r>
        <w:rPr>
          <w:rFonts w:ascii="Arial Narrow" w:hAnsi="Arial Narrow" w:cs="Arial Narrow"/>
          <w:sz w:val="24"/>
        </w:rPr>
        <w:fldChar w:fldCharType="end"/>
      </w:r>
      <w:r>
        <w:rPr>
          <w:rFonts w:ascii="Arial Narrow" w:hAnsi="Arial Narrow" w:cs="Arial Narrow"/>
          <w:sz w:val="24"/>
        </w:rPr>
        <w:fldChar w:fldCharType="end"/>
      </w:r>
    </w:p>
    <w:p>
      <w:pPr>
        <w:pStyle w:val="4"/>
        <w:tabs>
          <w:tab w:val="right" w:leader="dot" w:pos="8844"/>
        </w:tabs>
        <w:spacing w:line="360" w:lineRule="auto"/>
        <w:ind w:left="1200"/>
        <w:rPr>
          <w:rFonts w:ascii="Arial Narrow" w:hAnsi="Arial Narrow" w:cs="Arial Narrow"/>
          <w:sz w:val="24"/>
        </w:rPr>
      </w:pPr>
      <w:r>
        <w:fldChar w:fldCharType="begin"/>
      </w:r>
      <w:r>
        <w:instrText xml:space="preserve"> HYPERLINK \l "_Toc12788" </w:instrText>
      </w:r>
      <w:r>
        <w:fldChar w:fldCharType="separate"/>
      </w:r>
      <w:r>
        <w:rPr>
          <w:rFonts w:ascii="Arial Narrow" w:hAnsi="Arial Narrow" w:cs="Arial Narrow"/>
          <w:bCs/>
          <w:sz w:val="24"/>
        </w:rPr>
        <w:t>1、主要经验及做法</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_Toc12788 </w:instrText>
      </w:r>
      <w:r>
        <w:rPr>
          <w:rFonts w:ascii="Arial Narrow" w:hAnsi="Arial Narrow" w:cs="Arial Narrow"/>
          <w:sz w:val="24"/>
        </w:rPr>
        <w:fldChar w:fldCharType="separate"/>
      </w:r>
      <w:r>
        <w:rPr>
          <w:rFonts w:ascii="Arial Narrow" w:hAnsi="Arial Narrow" w:cs="Arial Narrow"/>
          <w:sz w:val="24"/>
        </w:rPr>
        <w:t>24</w:t>
      </w:r>
      <w:r>
        <w:rPr>
          <w:rFonts w:ascii="Arial Narrow" w:hAnsi="Arial Narrow" w:cs="Arial Narrow"/>
          <w:sz w:val="24"/>
        </w:rPr>
        <w:fldChar w:fldCharType="end"/>
      </w:r>
      <w:r>
        <w:rPr>
          <w:rFonts w:ascii="Arial Narrow" w:hAnsi="Arial Narrow" w:cs="Arial Narrow"/>
          <w:sz w:val="24"/>
        </w:rPr>
        <w:fldChar w:fldCharType="end"/>
      </w:r>
    </w:p>
    <w:p>
      <w:pPr>
        <w:pStyle w:val="4"/>
        <w:tabs>
          <w:tab w:val="right" w:leader="dot" w:pos="8844"/>
        </w:tabs>
        <w:spacing w:line="360" w:lineRule="auto"/>
        <w:ind w:left="1200"/>
        <w:rPr>
          <w:rFonts w:ascii="Arial Narrow" w:hAnsi="Arial Narrow" w:cs="Arial Narrow"/>
          <w:sz w:val="24"/>
        </w:rPr>
      </w:pPr>
      <w:r>
        <w:fldChar w:fldCharType="begin"/>
      </w:r>
      <w:r>
        <w:instrText xml:space="preserve"> HYPERLINK \l "_Toc15035" </w:instrText>
      </w:r>
      <w:r>
        <w:fldChar w:fldCharType="separate"/>
      </w:r>
      <w:r>
        <w:rPr>
          <w:rFonts w:ascii="Arial Narrow" w:hAnsi="Arial Narrow" w:cs="Arial Narrow"/>
          <w:bCs/>
          <w:sz w:val="24"/>
        </w:rPr>
        <w:t>2、存在的问题及原因分析</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_Toc15035 </w:instrText>
      </w:r>
      <w:r>
        <w:rPr>
          <w:rFonts w:ascii="Arial Narrow" w:hAnsi="Arial Narrow" w:cs="Arial Narrow"/>
          <w:sz w:val="24"/>
        </w:rPr>
        <w:fldChar w:fldCharType="separate"/>
      </w:r>
      <w:r>
        <w:rPr>
          <w:rFonts w:ascii="Arial Narrow" w:hAnsi="Arial Narrow" w:cs="Arial Narrow"/>
          <w:sz w:val="24"/>
        </w:rPr>
        <w:t>24</w:t>
      </w:r>
      <w:r>
        <w:rPr>
          <w:rFonts w:ascii="Arial Narrow" w:hAnsi="Arial Narrow" w:cs="Arial Narrow"/>
          <w:sz w:val="24"/>
        </w:rPr>
        <w:fldChar w:fldCharType="end"/>
      </w:r>
      <w:r>
        <w:rPr>
          <w:rFonts w:ascii="Arial Narrow" w:hAnsi="Arial Narrow" w:cs="Arial Narrow"/>
          <w:sz w:val="24"/>
        </w:rPr>
        <w:fldChar w:fldCharType="end"/>
      </w:r>
    </w:p>
    <w:p>
      <w:pPr>
        <w:pStyle w:val="4"/>
        <w:tabs>
          <w:tab w:val="right" w:leader="dot" w:pos="8844"/>
        </w:tabs>
        <w:spacing w:line="360" w:lineRule="auto"/>
        <w:ind w:left="1200"/>
        <w:rPr>
          <w:rFonts w:ascii="Arial Narrow" w:hAnsi="Arial Narrow" w:cs="Arial Narrow"/>
          <w:sz w:val="24"/>
        </w:rPr>
      </w:pPr>
      <w:r>
        <w:fldChar w:fldCharType="begin"/>
      </w:r>
      <w:r>
        <w:instrText xml:space="preserve"> HYPERLINK \l "_Toc976" </w:instrText>
      </w:r>
      <w:r>
        <w:fldChar w:fldCharType="separate"/>
      </w:r>
      <w:r>
        <w:rPr>
          <w:rFonts w:ascii="Arial Narrow" w:hAnsi="Arial Narrow" w:cs="Arial Narrow"/>
          <w:bCs/>
          <w:sz w:val="24"/>
        </w:rPr>
        <w:t>3、建议</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_Toc976 </w:instrText>
      </w:r>
      <w:r>
        <w:rPr>
          <w:rFonts w:ascii="Arial Narrow" w:hAnsi="Arial Narrow" w:cs="Arial Narrow"/>
          <w:sz w:val="24"/>
        </w:rPr>
        <w:fldChar w:fldCharType="separate"/>
      </w:r>
      <w:r>
        <w:rPr>
          <w:rFonts w:ascii="Arial Narrow" w:hAnsi="Arial Narrow" w:cs="Arial Narrow"/>
          <w:sz w:val="24"/>
        </w:rPr>
        <w:t>24</w:t>
      </w:r>
      <w:r>
        <w:rPr>
          <w:rFonts w:ascii="Arial Narrow" w:hAnsi="Arial Narrow" w:cs="Arial Narrow"/>
          <w:sz w:val="24"/>
        </w:rPr>
        <w:fldChar w:fldCharType="end"/>
      </w:r>
      <w:r>
        <w:rPr>
          <w:rFonts w:ascii="Arial Narrow" w:hAnsi="Arial Narrow" w:cs="Arial Narrow"/>
          <w:sz w:val="24"/>
        </w:rPr>
        <w:fldChar w:fldCharType="end"/>
      </w:r>
    </w:p>
    <w:p>
      <w:pPr>
        <w:pStyle w:val="9"/>
        <w:tabs>
          <w:tab w:val="right" w:leader="dot" w:pos="8844"/>
        </w:tabs>
        <w:spacing w:line="360" w:lineRule="auto"/>
        <w:ind w:left="600"/>
        <w:rPr>
          <w:rFonts w:ascii="Arial Narrow" w:hAnsi="Arial Narrow" w:cs="Arial Narrow"/>
          <w:sz w:val="24"/>
        </w:rPr>
      </w:pPr>
      <w:r>
        <w:fldChar w:fldCharType="begin"/>
      </w:r>
      <w:r>
        <w:instrText xml:space="preserve"> HYPERLINK \l "_Toc19842" </w:instrText>
      </w:r>
      <w:r>
        <w:fldChar w:fldCharType="separate"/>
      </w:r>
      <w:r>
        <w:rPr>
          <w:rFonts w:ascii="Arial Narrow" w:hAnsi="Arial Narrow" w:cs="Arial Narrow"/>
          <w:sz w:val="24"/>
        </w:rPr>
        <w:t>（五）其他需说明的问题</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_Toc19842 </w:instrText>
      </w:r>
      <w:r>
        <w:rPr>
          <w:rFonts w:ascii="Arial Narrow" w:hAnsi="Arial Narrow" w:cs="Arial Narrow"/>
          <w:sz w:val="24"/>
        </w:rPr>
        <w:fldChar w:fldCharType="separate"/>
      </w:r>
      <w:r>
        <w:rPr>
          <w:rFonts w:ascii="Arial Narrow" w:hAnsi="Arial Narrow" w:cs="Arial Narrow"/>
          <w:sz w:val="24"/>
        </w:rPr>
        <w:t>24</w:t>
      </w:r>
      <w:r>
        <w:rPr>
          <w:rFonts w:ascii="Arial Narrow" w:hAnsi="Arial Narrow" w:cs="Arial Narrow"/>
          <w:sz w:val="24"/>
        </w:rPr>
        <w:fldChar w:fldCharType="end"/>
      </w:r>
      <w:r>
        <w:rPr>
          <w:rFonts w:ascii="Arial Narrow" w:hAnsi="Arial Narrow" w:cs="Arial Narrow"/>
          <w:sz w:val="24"/>
        </w:rPr>
        <w:fldChar w:fldCharType="end"/>
      </w:r>
    </w:p>
    <w:p>
      <w:pPr>
        <w:pStyle w:val="4"/>
        <w:tabs>
          <w:tab w:val="right" w:leader="dot" w:pos="8844"/>
        </w:tabs>
        <w:spacing w:line="360" w:lineRule="auto"/>
        <w:ind w:left="1200"/>
        <w:rPr>
          <w:rFonts w:ascii="Arial Narrow" w:hAnsi="Arial Narrow" w:cs="Arial Narrow"/>
          <w:sz w:val="24"/>
        </w:rPr>
      </w:pPr>
      <w:r>
        <w:fldChar w:fldCharType="begin"/>
      </w:r>
      <w:r>
        <w:instrText xml:space="preserve"> HYPERLINK \l "_Toc21512" </w:instrText>
      </w:r>
      <w:r>
        <w:fldChar w:fldCharType="separate"/>
      </w:r>
      <w:r>
        <w:rPr>
          <w:rFonts w:ascii="Arial Narrow" w:hAnsi="Arial Narrow" w:cs="Arial Narrow"/>
          <w:sz w:val="24"/>
        </w:rPr>
        <w:t>1、关于评价责任的说明</w:t>
      </w:r>
      <w:r>
        <w:rPr>
          <w:rFonts w:ascii="Arial Narrow" w:hAnsi="Arial Narrow" w:cs="Arial Narrow"/>
          <w:sz w:val="24"/>
        </w:rPr>
        <w:tab/>
      </w:r>
      <w:r>
        <w:rPr>
          <w:rFonts w:ascii="Arial Narrow" w:hAnsi="Arial Narrow" w:cs="Arial Narrow"/>
          <w:sz w:val="24"/>
        </w:rPr>
        <w:t>2</w:t>
      </w:r>
      <w:r>
        <w:rPr>
          <w:rFonts w:ascii="Arial Narrow" w:hAnsi="Arial Narrow" w:cs="Arial Narrow"/>
          <w:sz w:val="24"/>
        </w:rPr>
        <w:fldChar w:fldCharType="end"/>
      </w:r>
      <w:r>
        <w:rPr>
          <w:rFonts w:ascii="Arial Narrow" w:hAnsi="Arial Narrow" w:cs="Arial Narrow"/>
          <w:sz w:val="24"/>
        </w:rPr>
        <w:t>6</w:t>
      </w:r>
    </w:p>
    <w:p>
      <w:pPr>
        <w:pStyle w:val="4"/>
        <w:tabs>
          <w:tab w:val="right" w:leader="dot" w:pos="8844"/>
        </w:tabs>
        <w:spacing w:line="360" w:lineRule="auto"/>
        <w:ind w:left="1200"/>
        <w:rPr>
          <w:rFonts w:ascii="Arial Narrow" w:hAnsi="Arial Narrow" w:cs="Arial Narrow"/>
          <w:sz w:val="24"/>
        </w:rPr>
      </w:pPr>
      <w:r>
        <w:fldChar w:fldCharType="begin"/>
      </w:r>
      <w:r>
        <w:instrText xml:space="preserve"> HYPERLINK \l "_Toc24150" </w:instrText>
      </w:r>
      <w:r>
        <w:fldChar w:fldCharType="separate"/>
      </w:r>
      <w:r>
        <w:rPr>
          <w:rFonts w:ascii="Arial Narrow" w:hAnsi="Arial Narrow" w:cs="Arial Narrow"/>
          <w:sz w:val="24"/>
        </w:rPr>
        <w:t>2、关于本项目评价中局限性的说明</w:t>
      </w:r>
      <w:r>
        <w:rPr>
          <w:rFonts w:ascii="Arial Narrow" w:hAnsi="Arial Narrow" w:cs="Arial Narrow"/>
          <w:sz w:val="24"/>
        </w:rPr>
        <w:tab/>
      </w:r>
      <w:r>
        <w:rPr>
          <w:rFonts w:ascii="Arial Narrow" w:hAnsi="Arial Narrow" w:cs="Arial Narrow"/>
          <w:sz w:val="24"/>
        </w:rPr>
        <w:t>2</w:t>
      </w:r>
      <w:r>
        <w:rPr>
          <w:rFonts w:ascii="Arial Narrow" w:hAnsi="Arial Narrow" w:cs="Arial Narrow"/>
          <w:sz w:val="24"/>
        </w:rPr>
        <w:fldChar w:fldCharType="end"/>
      </w:r>
      <w:r>
        <w:rPr>
          <w:rFonts w:ascii="Arial Narrow" w:hAnsi="Arial Narrow" w:cs="Arial Narrow"/>
          <w:sz w:val="24"/>
        </w:rPr>
        <w:t>6</w:t>
      </w:r>
    </w:p>
    <w:p>
      <w:pPr>
        <w:pStyle w:val="9"/>
        <w:tabs>
          <w:tab w:val="right" w:leader="dot" w:pos="8844"/>
        </w:tabs>
        <w:spacing w:line="360" w:lineRule="auto"/>
        <w:ind w:left="600"/>
        <w:rPr>
          <w:rFonts w:ascii="Arial Narrow" w:hAnsi="Arial Narrow" w:cs="Arial Narrow"/>
          <w:sz w:val="24"/>
        </w:rPr>
      </w:pPr>
      <w:r>
        <w:rPr>
          <w:rFonts w:ascii="Arial Narrow" w:hAnsi="Arial Narrow" w:cs="Arial Narrow"/>
          <w:sz w:val="24"/>
        </w:rPr>
        <w:t>附件</w:t>
      </w:r>
    </w:p>
    <w:p>
      <w:pPr>
        <w:rPr>
          <w:rFonts w:ascii="Arial Narrow" w:hAnsi="Arial Narrow" w:cs="Arial Narrow"/>
        </w:rPr>
      </w:pPr>
    </w:p>
    <w:p>
      <w:pPr>
        <w:keepNext/>
        <w:adjustRightInd w:val="0"/>
        <w:snapToGrid w:val="0"/>
        <w:spacing w:line="360" w:lineRule="auto"/>
        <w:outlineLvl w:val="0"/>
        <w:rPr>
          <w:rFonts w:ascii="Arial Narrow" w:hAnsi="Arial Narrow" w:cs="Arial Narrow"/>
          <w:b/>
          <w:color w:val="000000" w:themeColor="text1"/>
          <w:sz w:val="24"/>
          <w14:textFill>
            <w14:solidFill>
              <w14:schemeClr w14:val="tx1"/>
            </w14:solidFill>
          </w14:textFill>
        </w:rPr>
      </w:pPr>
      <w:r>
        <w:rPr>
          <w:rFonts w:ascii="Arial Narrow" w:hAnsi="Arial Narrow" w:cs="Arial Narrow"/>
          <w:color w:val="000000" w:themeColor="text1"/>
          <w:sz w:val="24"/>
          <w14:textFill>
            <w14:solidFill>
              <w14:schemeClr w14:val="tx1"/>
            </w14:solidFill>
          </w14:textFill>
        </w:rPr>
        <w:fldChar w:fldCharType="end"/>
      </w:r>
    </w:p>
    <w:p>
      <w:pPr>
        <w:keepNext/>
        <w:adjustRightInd w:val="0"/>
        <w:snapToGrid w:val="0"/>
        <w:spacing w:line="360" w:lineRule="auto"/>
        <w:outlineLvl w:val="0"/>
        <w:rPr>
          <w:rFonts w:ascii="Arial Narrow" w:hAnsi="Arial Narrow" w:cs="Arial Narrow"/>
          <w:b/>
          <w:color w:val="000000" w:themeColor="text1"/>
          <w:sz w:val="24"/>
          <w14:textFill>
            <w14:solidFill>
              <w14:schemeClr w14:val="tx1"/>
            </w14:solidFill>
          </w14:textFill>
        </w:rPr>
        <w:sectPr>
          <w:pgSz w:w="11906" w:h="16838"/>
          <w:pgMar w:top="2098" w:right="1531" w:bottom="1985" w:left="1531" w:header="851" w:footer="992" w:gutter="0"/>
          <w:cols w:space="425" w:num="1"/>
          <w:docGrid w:type="lines" w:linePitch="312" w:charSpace="0"/>
        </w:sectPr>
      </w:pPr>
    </w:p>
    <w:p>
      <w:pPr>
        <w:keepNext/>
        <w:spacing w:line="520" w:lineRule="exact"/>
        <w:outlineLvl w:val="0"/>
        <w:rPr>
          <w:rFonts w:ascii="Arial Narrow" w:hAnsi="Arial Narrow" w:cs="Arial Narrow"/>
          <w:b/>
          <w:color w:val="000000" w:themeColor="text1"/>
          <w:sz w:val="24"/>
          <w14:textFill>
            <w14:solidFill>
              <w14:schemeClr w14:val="tx1"/>
            </w14:solidFill>
          </w14:textFill>
        </w:rPr>
      </w:pPr>
      <w:bookmarkStart w:id="0" w:name="_Toc29097"/>
      <w:r>
        <w:rPr>
          <w:rFonts w:ascii="Arial Narrow" w:hAnsi="Arial Narrow" w:cs="Arial Narrow"/>
          <w:b/>
          <w:color w:val="000000" w:themeColor="text1"/>
          <w:sz w:val="24"/>
          <w14:textFill>
            <w14:solidFill>
              <w14:schemeClr w14:val="tx1"/>
            </w14:solidFill>
          </w14:textFill>
        </w:rPr>
        <w:t>一、摘要</w:t>
      </w:r>
      <w:bookmarkEnd w:id="0"/>
    </w:p>
    <w:p>
      <w:pPr>
        <w:keepNext/>
        <w:spacing w:line="520" w:lineRule="exact"/>
        <w:ind w:firstLine="482" w:firstLineChars="200"/>
        <w:outlineLvl w:val="1"/>
        <w:rPr>
          <w:rFonts w:ascii="Arial Narrow" w:hAnsi="Arial Narrow" w:cs="Arial Narrow"/>
          <w:sz w:val="24"/>
        </w:rPr>
      </w:pPr>
      <w:bookmarkStart w:id="1" w:name="_Toc22341"/>
      <w:bookmarkStart w:id="2" w:name="_Toc6508"/>
      <w:r>
        <w:rPr>
          <w:rFonts w:ascii="Arial Narrow" w:hAnsi="Arial Narrow" w:cs="Arial Narrow"/>
          <w:b/>
          <w:color w:val="000000" w:themeColor="text1"/>
          <w:sz w:val="24"/>
          <w14:textFill>
            <w14:solidFill>
              <w14:schemeClr w14:val="tx1"/>
            </w14:solidFill>
          </w14:textFill>
        </w:rPr>
        <w:t>（一）基本情况</w:t>
      </w:r>
      <w:bookmarkEnd w:id="1"/>
      <w:bookmarkEnd w:id="2"/>
    </w:p>
    <w:p>
      <w:pPr>
        <w:spacing w:line="360" w:lineRule="auto"/>
        <w:ind w:firstLine="480" w:firstLineChars="200"/>
        <w:rPr>
          <w:rFonts w:ascii="Arial Narrow" w:hAnsi="Arial Narrow" w:cs="Arial Narrow"/>
          <w:color w:val="000000" w:themeColor="text1"/>
          <w:sz w:val="24"/>
          <w14:textFill>
            <w14:solidFill>
              <w14:schemeClr w14:val="tx1"/>
            </w14:solidFill>
          </w14:textFill>
        </w:rPr>
      </w:pPr>
      <w:bookmarkStart w:id="3" w:name="_Toc26201"/>
      <w:bookmarkStart w:id="4" w:name="_Toc22832"/>
      <w:r>
        <w:rPr>
          <w:rFonts w:ascii="Arial Narrow" w:hAnsi="Arial Narrow" w:cs="Arial Narrow"/>
          <w:color w:val="000000" w:themeColor="text1"/>
          <w:sz w:val="24"/>
          <w14:textFill>
            <w14:solidFill>
              <w14:schemeClr w14:val="tx1"/>
            </w14:solidFill>
          </w14:textFill>
        </w:rPr>
        <w:t>1、项目基本情况</w:t>
      </w:r>
      <w:bookmarkEnd w:id="3"/>
      <w:bookmarkEnd w:id="4"/>
    </w:p>
    <w:p>
      <w:pPr>
        <w:tabs>
          <w:tab w:val="left" w:pos="6128"/>
        </w:tabs>
        <w:spacing w:line="360" w:lineRule="auto"/>
        <w:ind w:firstLine="480" w:firstLineChars="200"/>
        <w:rPr>
          <w:rFonts w:ascii="Arial Narrow" w:hAnsi="Arial Narrow" w:cs="Arial Narrow"/>
          <w:color w:val="000000" w:themeColor="text1"/>
          <w:sz w:val="24"/>
          <w14:textFill>
            <w14:solidFill>
              <w14:schemeClr w14:val="tx1"/>
            </w14:solidFill>
          </w14:textFill>
        </w:rPr>
      </w:pPr>
      <w:r>
        <w:rPr>
          <w:rFonts w:ascii="Arial Narrow" w:hAnsi="Arial Narrow" w:cs="Arial Narrow"/>
          <w:sz w:val="24"/>
        </w:rPr>
        <w:t>为深入贯彻落实《国务院办公厅关于促进开发区改革和创新发展的若干意见》和《省人民政府关于促进开发区改革和创新发展的实施意见》，根据武汉市委十三届三中全会精神及武汉经济技术开发区（汉南区）建设</w:t>
      </w:r>
      <w:r>
        <w:rPr>
          <w:rFonts w:hint="eastAsia" w:ascii="Arial Narrow" w:hAnsi="Arial Narrow" w:cs="Arial Narrow"/>
          <w:sz w:val="24"/>
        </w:rPr>
        <w:t>“</w:t>
      </w:r>
      <w:r>
        <w:rPr>
          <w:rFonts w:ascii="Arial Narrow" w:hAnsi="Arial Narrow" w:cs="Arial Narrow"/>
          <w:sz w:val="24"/>
        </w:rPr>
        <w:t>智能家居之都规划编制专项经费</w:t>
      </w:r>
      <w:r>
        <w:rPr>
          <w:rFonts w:hint="eastAsia" w:ascii="Arial Narrow" w:hAnsi="Arial Narrow" w:cs="Arial Narrow"/>
          <w:sz w:val="24"/>
        </w:rPr>
        <w:t>”</w:t>
      </w:r>
      <w:r>
        <w:rPr>
          <w:rFonts w:ascii="Arial Narrow" w:hAnsi="Arial Narrow" w:cs="Arial Narrow"/>
          <w:sz w:val="24"/>
        </w:rPr>
        <w:t>的目标，推进智能家居产业全面快速发展需求，智能家居之都发展规划编制经费项目拟围绕以下五个方面开展《规划》编制工作：高起点定位，国际化视野；深挖产业链价值核心，本土化发展策略；瞄准招商引资，精准制定发展路径；落实产业空间，坚持产城融合发展；建设智库平台，促进创新要素集聚</w:t>
      </w:r>
      <w:r>
        <w:rPr>
          <w:rFonts w:ascii="Arial Narrow" w:hAnsi="Arial Narrow" w:cs="Arial Narrow"/>
          <w:color w:val="000000" w:themeColor="text1"/>
          <w:sz w:val="24"/>
          <w14:textFill>
            <w14:solidFill>
              <w14:schemeClr w14:val="tx1"/>
            </w14:solidFill>
          </w14:textFill>
        </w:rPr>
        <w:t>。</w:t>
      </w:r>
    </w:p>
    <w:p>
      <w:pPr>
        <w:tabs>
          <w:tab w:val="left" w:pos="6128"/>
        </w:tabs>
        <w:adjustRightInd w:val="0"/>
        <w:snapToGrid w:val="0"/>
        <w:spacing w:line="360" w:lineRule="auto"/>
        <w:ind w:firstLine="480" w:firstLineChars="200"/>
        <w:rPr>
          <w:rFonts w:ascii="Arial Narrow" w:hAnsi="Arial Narrow" w:cs="Arial Narrow"/>
          <w:color w:val="000000" w:themeColor="text1"/>
          <w:sz w:val="24"/>
          <w14:textFill>
            <w14:solidFill>
              <w14:schemeClr w14:val="tx1"/>
            </w14:solidFill>
          </w14:textFill>
        </w:rPr>
      </w:pPr>
      <w:bookmarkStart w:id="5" w:name="_Toc22475"/>
      <w:bookmarkStart w:id="6" w:name="_Toc28157"/>
      <w:r>
        <w:rPr>
          <w:rFonts w:ascii="Arial Narrow" w:hAnsi="Arial Narrow" w:cs="Arial Narrow"/>
          <w:color w:val="000000" w:themeColor="text1"/>
          <w:sz w:val="24"/>
          <w14:textFill>
            <w14:solidFill>
              <w14:schemeClr w14:val="tx1"/>
            </w14:solidFill>
          </w14:textFill>
        </w:rPr>
        <w:t>2、绩效评价工作情况</w:t>
      </w:r>
      <w:bookmarkEnd w:id="5"/>
      <w:bookmarkEnd w:id="6"/>
      <w:r>
        <w:rPr>
          <w:rFonts w:ascii="Arial Narrow" w:hAnsi="Arial Narrow" w:cs="Arial Narrow"/>
          <w:color w:val="000000" w:themeColor="text1"/>
          <w:sz w:val="24"/>
          <w14:textFill>
            <w14:solidFill>
              <w14:schemeClr w14:val="tx1"/>
            </w14:solidFill>
          </w14:textFill>
        </w:rPr>
        <w:tab/>
      </w:r>
    </w:p>
    <w:p>
      <w:pPr>
        <w:tabs>
          <w:tab w:val="left" w:pos="6128"/>
        </w:tabs>
        <w:adjustRightInd w:val="0"/>
        <w:snapToGrid w:val="0"/>
        <w:spacing w:line="360" w:lineRule="auto"/>
        <w:ind w:firstLine="480" w:firstLineChars="200"/>
        <w:rPr>
          <w:rFonts w:ascii="Arial Narrow" w:hAnsi="Arial Narrow" w:cs="Arial Narrow"/>
          <w:color w:val="FF0000"/>
          <w:sz w:val="24"/>
        </w:rPr>
      </w:pPr>
      <w:r>
        <w:rPr>
          <w:rFonts w:ascii="Arial Narrow" w:hAnsi="Arial Narrow" w:cs="Arial Narrow"/>
          <w:color w:val="000000" w:themeColor="text1"/>
          <w:sz w:val="24"/>
          <w14:textFill>
            <w14:solidFill>
              <w14:schemeClr w14:val="tx1"/>
            </w14:solidFill>
          </w14:textFill>
        </w:rPr>
        <w:t>致同会计师事务所（特殊普通合伙）武汉分所接受</w:t>
      </w:r>
      <w:r>
        <w:rPr>
          <w:rFonts w:ascii="Arial Narrow" w:hAnsi="Arial Narrow" w:cs="Arial Narrow"/>
          <w:sz w:val="24"/>
        </w:rPr>
        <w:t>武汉经济技术开发区（汉南区）城乡建设局委托，从7月10日—7月26日，历时17天，投入7人，根据《区财政局关于2019年开展预算绩效评价工作的通知》（武经开财〔2019〕29号）开展现场评价工作，</w:t>
      </w:r>
      <w:r>
        <w:rPr>
          <w:rFonts w:ascii="Arial Narrow" w:hAnsi="Arial Narrow" w:cs="Arial Narrow"/>
          <w:color w:val="000000" w:themeColor="text1"/>
          <w:sz w:val="24"/>
          <w14:textFill>
            <w14:solidFill>
              <w14:schemeClr w14:val="tx1"/>
            </w14:solidFill>
          </w14:textFill>
        </w:rPr>
        <w:t>项目由省财政厅专家库成员李海京提供指导</w:t>
      </w:r>
      <w:r>
        <w:rPr>
          <w:rFonts w:ascii="Arial Narrow" w:hAnsi="Arial Narrow" w:cs="Arial Narrow"/>
          <w:sz w:val="24"/>
        </w:rPr>
        <w:t>。</w:t>
      </w:r>
    </w:p>
    <w:p>
      <w:pPr>
        <w:numPr>
          <w:ilvl w:val="0"/>
          <w:numId w:val="1"/>
        </w:numPr>
        <w:spacing w:line="360" w:lineRule="auto"/>
        <w:ind w:firstLine="482" w:firstLineChars="200"/>
        <w:outlineLvl w:val="1"/>
        <w:rPr>
          <w:rFonts w:ascii="Arial Narrow" w:hAnsi="Arial Narrow" w:cs="Arial Narrow"/>
          <w:b/>
          <w:color w:val="000000" w:themeColor="text1"/>
          <w:sz w:val="24"/>
          <w14:textFill>
            <w14:solidFill>
              <w14:schemeClr w14:val="tx1"/>
            </w14:solidFill>
          </w14:textFill>
        </w:rPr>
      </w:pPr>
      <w:bookmarkStart w:id="7" w:name="_Toc481590349"/>
      <w:bookmarkStart w:id="8" w:name="_Toc24746"/>
      <w:bookmarkStart w:id="9" w:name="_Toc20883"/>
      <w:bookmarkStart w:id="10" w:name="_Toc31832"/>
      <w:r>
        <w:rPr>
          <w:rFonts w:ascii="Arial Narrow" w:hAnsi="Arial Narrow" w:cs="Arial Narrow"/>
          <w:b/>
          <w:color w:val="000000" w:themeColor="text1"/>
          <w:sz w:val="24"/>
          <w14:textFill>
            <w14:solidFill>
              <w14:schemeClr w14:val="tx1"/>
            </w14:solidFill>
          </w14:textFill>
        </w:rPr>
        <w:t>绩效评价结论</w:t>
      </w:r>
      <w:bookmarkEnd w:id="7"/>
      <w:bookmarkEnd w:id="8"/>
      <w:bookmarkEnd w:id="9"/>
      <w:bookmarkEnd w:id="10"/>
    </w:p>
    <w:p>
      <w:pPr>
        <w:spacing w:line="360" w:lineRule="auto"/>
        <w:ind w:firstLine="480" w:firstLineChars="200"/>
        <w:rPr>
          <w:rFonts w:ascii="Arial Narrow" w:hAnsi="Arial Narrow" w:cs="Arial Narrow"/>
          <w:b/>
          <w:color w:val="000000" w:themeColor="text1"/>
          <w:sz w:val="24"/>
          <w14:textFill>
            <w14:solidFill>
              <w14:schemeClr w14:val="tx1"/>
            </w14:solidFill>
          </w14:textFill>
        </w:rPr>
      </w:pPr>
      <w:r>
        <w:rPr>
          <w:rFonts w:ascii="Arial Narrow" w:hAnsi="Arial Narrow" w:cs="Arial Narrow"/>
          <w:bCs/>
          <w:color w:val="000000" w:themeColor="text1"/>
          <w:sz w:val="24"/>
          <w14:textFill>
            <w14:solidFill>
              <w14:schemeClr w14:val="tx1"/>
            </w14:solidFill>
          </w14:textFill>
        </w:rPr>
        <w:t>1、评分结果</w:t>
      </w:r>
    </w:p>
    <w:p>
      <w:pPr>
        <w:snapToGrid w:val="0"/>
        <w:spacing w:line="360" w:lineRule="auto"/>
        <w:ind w:firstLine="480" w:firstLineChars="200"/>
        <w:rPr>
          <w:rFonts w:ascii="Arial Narrow" w:hAnsi="Arial Narrow" w:cs="Arial Narrow"/>
          <w:bCs/>
          <w:color w:val="000000" w:themeColor="text1"/>
          <w:sz w:val="24"/>
          <w14:textFill>
            <w14:solidFill>
              <w14:schemeClr w14:val="tx1"/>
            </w14:solidFill>
          </w14:textFill>
        </w:rPr>
      </w:pPr>
      <w:bookmarkStart w:id="11" w:name="_Toc28448"/>
      <w:r>
        <w:rPr>
          <w:rFonts w:hint="eastAsia" w:ascii="Arial Narrow" w:hAnsi="Arial Narrow" w:cs="Arial Narrow"/>
          <w:bCs/>
          <w:color w:val="000000" w:themeColor="text1"/>
          <w:sz w:val="24"/>
          <w14:textFill>
            <w14:solidFill>
              <w14:schemeClr w14:val="tx1"/>
            </w14:solidFill>
          </w14:textFill>
        </w:rPr>
        <w:t>“</w:t>
      </w:r>
      <w:r>
        <w:rPr>
          <w:rFonts w:ascii="Arial Narrow" w:hAnsi="Arial Narrow" w:cs="Arial Narrow"/>
          <w:bCs/>
          <w:color w:val="000000" w:themeColor="text1"/>
          <w:sz w:val="24"/>
          <w14:textFill>
            <w14:solidFill>
              <w14:schemeClr w14:val="tx1"/>
            </w14:solidFill>
          </w14:textFill>
        </w:rPr>
        <w:t>智能家居之都发展规划编制经费</w:t>
      </w:r>
      <w:r>
        <w:rPr>
          <w:rFonts w:hint="eastAsia" w:ascii="Arial Narrow" w:hAnsi="Arial Narrow" w:cs="Arial Narrow"/>
          <w:bCs/>
          <w:color w:val="000000" w:themeColor="text1"/>
          <w:sz w:val="24"/>
          <w14:textFill>
            <w14:solidFill>
              <w14:schemeClr w14:val="tx1"/>
            </w14:solidFill>
          </w14:textFill>
        </w:rPr>
        <w:t>”</w:t>
      </w:r>
      <w:r>
        <w:rPr>
          <w:rFonts w:ascii="Arial Narrow" w:hAnsi="Arial Narrow" w:cs="Arial Narrow"/>
          <w:bCs/>
          <w:color w:val="000000" w:themeColor="text1"/>
          <w:sz w:val="24"/>
          <w14:textFill>
            <w14:solidFill>
              <w14:schemeClr w14:val="tx1"/>
            </w14:solidFill>
          </w14:textFill>
        </w:rPr>
        <w:t>绩效评价得分为92分，评价结果为优。</w:t>
      </w:r>
      <w:bookmarkEnd w:id="11"/>
      <w:r>
        <w:rPr>
          <w:rFonts w:ascii="Arial Narrow" w:hAnsi="Arial Narrow" w:cs="Arial Narrow"/>
          <w:color w:val="000000"/>
          <w:sz w:val="24"/>
        </w:rPr>
        <w:t>其中投入得分15分，过程得分23分，产出得分30分，效果得分24分。</w:t>
      </w:r>
    </w:p>
    <w:p>
      <w:pPr>
        <w:spacing w:line="360" w:lineRule="auto"/>
        <w:ind w:firstLine="480" w:firstLineChars="200"/>
        <w:rPr>
          <w:rFonts w:ascii="Arial Narrow" w:hAnsi="Arial Narrow" w:cs="Arial Narrow"/>
          <w:bCs/>
          <w:color w:val="000000" w:themeColor="text1"/>
          <w:sz w:val="24"/>
          <w14:textFill>
            <w14:solidFill>
              <w14:schemeClr w14:val="tx1"/>
            </w14:solidFill>
          </w14:textFill>
        </w:rPr>
      </w:pPr>
      <w:bookmarkStart w:id="12" w:name="_Toc24893"/>
      <w:r>
        <w:rPr>
          <w:rFonts w:ascii="Arial Narrow" w:hAnsi="Arial Narrow" w:cs="Arial Narrow"/>
          <w:bCs/>
          <w:color w:val="000000" w:themeColor="text1"/>
          <w:sz w:val="24"/>
          <w14:textFill>
            <w14:solidFill>
              <w14:schemeClr w14:val="tx1"/>
            </w14:solidFill>
          </w14:textFill>
        </w:rPr>
        <w:t>下图为各指标得分情况：</w:t>
      </w:r>
      <w:bookmarkEnd w:id="12"/>
    </w:p>
    <w:p>
      <w:pPr>
        <w:jc w:val="center"/>
        <w:rPr>
          <w:rFonts w:ascii="Arial Narrow" w:hAnsi="Arial Narrow" w:cs="Arial Narrow"/>
        </w:rPr>
      </w:pPr>
      <w:r>
        <w:rPr>
          <w:rFonts w:ascii="Arial Narrow" w:hAnsi="Arial Narrow" w:cs="Arial Narrow"/>
        </w:rPr>
        <w:drawing>
          <wp:inline distT="0" distB="0" distL="114300" distR="114300">
            <wp:extent cx="4251960" cy="2369185"/>
            <wp:effectExtent l="0" t="0" r="2540" b="571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360" w:lineRule="auto"/>
        <w:ind w:firstLine="480" w:firstLineChars="200"/>
        <w:rPr>
          <w:rFonts w:ascii="Arial Narrow" w:hAnsi="Arial Narrow" w:cs="Arial Narrow"/>
          <w:bCs/>
          <w:color w:val="000000" w:themeColor="text1"/>
          <w:sz w:val="24"/>
          <w14:textFill>
            <w14:solidFill>
              <w14:schemeClr w14:val="tx1"/>
            </w14:solidFill>
          </w14:textFill>
        </w:rPr>
      </w:pPr>
      <w:bookmarkStart w:id="13" w:name="_Toc5555"/>
      <w:r>
        <w:rPr>
          <w:rFonts w:ascii="Arial Narrow" w:hAnsi="Arial Narrow" w:cs="Arial Narrow"/>
          <w:bCs/>
          <w:color w:val="000000" w:themeColor="text1"/>
          <w:sz w:val="24"/>
          <w14:textFill>
            <w14:solidFill>
              <w14:schemeClr w14:val="tx1"/>
            </w14:solidFill>
          </w14:textFill>
        </w:rPr>
        <w:t>2、主要结论</w:t>
      </w:r>
    </w:p>
    <w:p>
      <w:pPr>
        <w:spacing w:line="360" w:lineRule="auto"/>
        <w:ind w:firstLine="480" w:firstLineChars="200"/>
        <w:rPr>
          <w:rFonts w:ascii="Arial Narrow" w:hAnsi="Arial Narrow" w:cs="Arial Narrow"/>
          <w:color w:val="000000" w:themeColor="text1"/>
          <w:sz w:val="24"/>
          <w14:textFill>
            <w14:solidFill>
              <w14:schemeClr w14:val="tx1"/>
            </w14:solidFill>
          </w14:textFill>
        </w:rPr>
      </w:pPr>
      <w:r>
        <w:rPr>
          <w:rFonts w:ascii="Arial Narrow" w:hAnsi="Arial Narrow" w:cs="Arial Narrow"/>
          <w:color w:val="000000" w:themeColor="text1"/>
          <w:sz w:val="24"/>
          <w14:textFill>
            <w14:solidFill>
              <w14:schemeClr w14:val="tx1"/>
            </w14:solidFill>
          </w14:textFill>
        </w:rPr>
        <w:t>（1）投入。项目投入评价得分为15分，评价等级为</w:t>
      </w:r>
      <w:bookmarkEnd w:id="13"/>
      <w:bookmarkStart w:id="14" w:name="_Toc1724"/>
      <w:r>
        <w:rPr>
          <w:rFonts w:ascii="Arial Narrow" w:hAnsi="Arial Narrow" w:cs="Arial Narrow"/>
          <w:color w:val="000000" w:themeColor="text1"/>
          <w:sz w:val="24"/>
          <w14:textFill>
            <w14:solidFill>
              <w14:schemeClr w14:val="tx1"/>
            </w14:solidFill>
          </w14:textFill>
        </w:rPr>
        <w:t>优。项目按照规定的程序申请设立，所提交的申报资料符合相关要求，项目执行过程中未发生重大变化；项目设立了年度目标及长期目标；资金及时落实到位。</w:t>
      </w:r>
    </w:p>
    <w:p>
      <w:pPr>
        <w:spacing w:line="360" w:lineRule="auto"/>
        <w:ind w:firstLine="482"/>
        <w:rPr>
          <w:rFonts w:ascii="Arial Narrow" w:hAnsi="Arial Narrow" w:cs="Arial Narrow"/>
          <w:sz w:val="24"/>
        </w:rPr>
      </w:pPr>
      <w:r>
        <w:rPr>
          <w:rFonts w:ascii="Arial Narrow" w:hAnsi="Arial Narrow" w:cs="Arial Narrow"/>
          <w:color w:val="000000" w:themeColor="text1"/>
          <w:sz w:val="24"/>
          <w14:textFill>
            <w14:solidFill>
              <w14:schemeClr w14:val="tx1"/>
            </w14:solidFill>
          </w14:textFill>
        </w:rPr>
        <w:t>（2）过程。项目过程评价得分为23分，评价等级为</w:t>
      </w:r>
      <w:bookmarkEnd w:id="14"/>
      <w:r>
        <w:rPr>
          <w:rFonts w:ascii="Arial Narrow" w:hAnsi="Arial Narrow" w:cs="Arial Narrow"/>
          <w:color w:val="000000" w:themeColor="text1"/>
          <w:sz w:val="24"/>
          <w14:textFill>
            <w14:solidFill>
              <w14:schemeClr w14:val="tx1"/>
            </w14:solidFill>
          </w14:textFill>
        </w:rPr>
        <w:t>优。该</w:t>
      </w:r>
      <w:r>
        <w:rPr>
          <w:rFonts w:ascii="Arial Narrow" w:hAnsi="Arial Narrow" w:cs="Arial Narrow"/>
          <w:sz w:val="24"/>
        </w:rPr>
        <w:t>项目主要执行上级部门文书审批管理制度、督查工作制、档案管理制、物资采购制、岗位责任制等进行管理，管理制度较为健全、合法合规。项目执行遵守合同制，该项目和工程咨询公司签订了工程咨询服务合同，受托方在合同约定的时间内完成咨询报告，且使报告达到合同规定的要求；受托方提供的咨询成果达不到合同规定要求的，受托方无条件完善、修改。财务管理制度方面，该项目单位未对项目制定专项资金管理办法，主要依据城乡建设局财务制度对专项资金进行管理；单位资金管理办法符合财务会计制度的规定，资金的拨付有完整的审批程序和手续，符合项目预算批复或合同规定的用途，且不存在截留、挤占、挪用、虚列支出等情况。</w:t>
      </w:r>
    </w:p>
    <w:p>
      <w:pPr>
        <w:spacing w:line="360" w:lineRule="auto"/>
        <w:ind w:firstLine="480" w:firstLineChars="200"/>
        <w:rPr>
          <w:rFonts w:ascii="Arial Narrow" w:hAnsi="Arial Narrow" w:cs="Arial Narrow"/>
          <w:sz w:val="24"/>
        </w:rPr>
      </w:pPr>
      <w:bookmarkStart w:id="15" w:name="_Toc7473"/>
      <w:r>
        <w:rPr>
          <w:rFonts w:ascii="Arial Narrow" w:hAnsi="Arial Narrow" w:cs="Arial Narrow"/>
          <w:color w:val="000000" w:themeColor="text1"/>
          <w:sz w:val="24"/>
          <w14:textFill>
            <w14:solidFill>
              <w14:schemeClr w14:val="tx1"/>
            </w14:solidFill>
          </w14:textFill>
        </w:rPr>
        <w:t>（3）产出。项目产出评价得分为30分，评价等级为</w:t>
      </w:r>
      <w:bookmarkEnd w:id="15"/>
      <w:bookmarkStart w:id="16" w:name="_Toc24529"/>
      <w:r>
        <w:rPr>
          <w:rFonts w:ascii="Arial Narrow" w:hAnsi="Arial Narrow" w:cs="Arial Narrow"/>
          <w:color w:val="000000" w:themeColor="text1"/>
          <w:sz w:val="24"/>
          <w14:textFill>
            <w14:solidFill>
              <w14:schemeClr w14:val="tx1"/>
            </w14:solidFill>
          </w14:textFill>
        </w:rPr>
        <w:t>优。该项目实施后，全年召开了3次专家研讨会，建立了项目库、企业库、专家库，并列出了2018-2020年的工作清单；验收并提交了《武汉经济技术开发区</w:t>
      </w:r>
      <w:r>
        <w:rPr>
          <w:rFonts w:hint="eastAsia" w:ascii="Arial Narrow" w:hAnsi="Arial Narrow" w:cs="Arial Narrow"/>
          <w:color w:val="000000" w:themeColor="text1"/>
          <w:sz w:val="24"/>
          <w14:textFill>
            <w14:solidFill>
              <w14:schemeClr w14:val="tx1"/>
            </w14:solidFill>
          </w14:textFill>
        </w:rPr>
        <w:t>“</w:t>
      </w:r>
      <w:r>
        <w:rPr>
          <w:rFonts w:ascii="Arial Narrow" w:hAnsi="Arial Narrow" w:cs="Arial Narrow"/>
          <w:color w:val="000000" w:themeColor="text1"/>
          <w:sz w:val="24"/>
          <w14:textFill>
            <w14:solidFill>
              <w14:schemeClr w14:val="tx1"/>
            </w14:solidFill>
          </w14:textFill>
        </w:rPr>
        <w:t>智能家居之都</w:t>
      </w:r>
      <w:r>
        <w:rPr>
          <w:rFonts w:hint="eastAsia" w:ascii="Arial Narrow" w:hAnsi="Arial Narrow" w:cs="Arial Narrow"/>
          <w:color w:val="000000" w:themeColor="text1"/>
          <w:sz w:val="24"/>
          <w14:textFill>
            <w14:solidFill>
              <w14:schemeClr w14:val="tx1"/>
            </w14:solidFill>
          </w14:textFill>
        </w:rPr>
        <w:t>”</w:t>
      </w:r>
      <w:r>
        <w:rPr>
          <w:rFonts w:ascii="Arial Narrow" w:hAnsi="Arial Narrow" w:cs="Arial Narrow"/>
          <w:color w:val="000000" w:themeColor="text1"/>
          <w:sz w:val="24"/>
          <w14:textFill>
            <w14:solidFill>
              <w14:schemeClr w14:val="tx1"/>
            </w14:solidFill>
          </w14:textFill>
        </w:rPr>
        <w:t>发展规划》文本、《武汉经济技术开发区</w:t>
      </w:r>
      <w:r>
        <w:rPr>
          <w:rFonts w:hint="eastAsia" w:ascii="Arial Narrow" w:hAnsi="Arial Narrow" w:cs="Arial Narrow"/>
          <w:color w:val="000000" w:themeColor="text1"/>
          <w:sz w:val="24"/>
          <w14:textFill>
            <w14:solidFill>
              <w14:schemeClr w14:val="tx1"/>
            </w14:solidFill>
          </w14:textFill>
        </w:rPr>
        <w:t>“</w:t>
      </w:r>
      <w:r>
        <w:rPr>
          <w:rFonts w:ascii="Arial Narrow" w:hAnsi="Arial Narrow" w:cs="Arial Narrow"/>
          <w:color w:val="000000" w:themeColor="text1"/>
          <w:sz w:val="24"/>
          <w14:textFill>
            <w14:solidFill>
              <w14:schemeClr w14:val="tx1"/>
            </w14:solidFill>
          </w14:textFill>
        </w:rPr>
        <w:t>智能家居之都</w:t>
      </w:r>
      <w:r>
        <w:rPr>
          <w:rFonts w:hint="eastAsia" w:ascii="Arial Narrow" w:hAnsi="Arial Narrow" w:cs="Arial Narrow"/>
          <w:color w:val="000000" w:themeColor="text1"/>
          <w:sz w:val="24"/>
          <w14:textFill>
            <w14:solidFill>
              <w14:schemeClr w14:val="tx1"/>
            </w14:solidFill>
          </w14:textFill>
        </w:rPr>
        <w:t>”</w:t>
      </w:r>
      <w:r>
        <w:rPr>
          <w:rFonts w:ascii="Arial Narrow" w:hAnsi="Arial Narrow" w:cs="Arial Narrow"/>
          <w:color w:val="000000" w:themeColor="text1"/>
          <w:sz w:val="24"/>
          <w14:textFill>
            <w14:solidFill>
              <w14:schemeClr w14:val="tx1"/>
            </w14:solidFill>
          </w14:textFill>
        </w:rPr>
        <w:t>发展规划》编制说明等书面报告15份；完成了</w:t>
      </w:r>
      <w:r>
        <w:rPr>
          <w:rFonts w:hint="eastAsia" w:ascii="Arial Narrow" w:hAnsi="Arial Narrow" w:cs="Arial Narrow"/>
          <w:color w:val="000000" w:themeColor="text1"/>
          <w:sz w:val="24"/>
          <w14:textFill>
            <w14:solidFill>
              <w14:schemeClr w14:val="tx1"/>
            </w14:solidFill>
          </w14:textFill>
        </w:rPr>
        <w:t>“</w:t>
      </w:r>
      <w:r>
        <w:rPr>
          <w:rFonts w:ascii="Arial Narrow" w:hAnsi="Arial Narrow" w:cs="Arial Narrow"/>
          <w:color w:val="000000" w:themeColor="text1"/>
          <w:sz w:val="24"/>
          <w14:textFill>
            <w14:solidFill>
              <w14:schemeClr w14:val="tx1"/>
            </w14:solidFill>
          </w14:textFill>
        </w:rPr>
        <w:t>智能家居之都</w:t>
      </w:r>
      <w:r>
        <w:rPr>
          <w:rFonts w:hint="eastAsia" w:ascii="Arial Narrow" w:hAnsi="Arial Narrow" w:cs="Arial Narrow"/>
          <w:color w:val="000000" w:themeColor="text1"/>
          <w:sz w:val="24"/>
          <w14:textFill>
            <w14:solidFill>
              <w14:schemeClr w14:val="tx1"/>
            </w14:solidFill>
          </w14:textFill>
        </w:rPr>
        <w:t>”</w:t>
      </w:r>
      <w:r>
        <w:rPr>
          <w:rFonts w:ascii="Arial Narrow" w:hAnsi="Arial Narrow" w:cs="Arial Narrow"/>
          <w:color w:val="000000" w:themeColor="text1"/>
          <w:sz w:val="24"/>
          <w14:textFill>
            <w14:solidFill>
              <w14:schemeClr w14:val="tx1"/>
            </w14:solidFill>
          </w14:textFill>
        </w:rPr>
        <w:t>发展规划的编制。项目实施单位组织相关集团、企业赴河北雄安新区、山东青岛的智能家居产业园考察学习。</w:t>
      </w:r>
    </w:p>
    <w:p>
      <w:pPr>
        <w:spacing w:line="360" w:lineRule="auto"/>
        <w:ind w:firstLine="480" w:firstLineChars="200"/>
        <w:rPr>
          <w:rFonts w:ascii="Arial Narrow" w:hAnsi="Arial Narrow" w:cs="Arial Narrow"/>
          <w:sz w:val="24"/>
        </w:rPr>
      </w:pPr>
      <w:r>
        <w:rPr>
          <w:rFonts w:ascii="Arial Narrow" w:hAnsi="Arial Narrow" w:cs="Arial Narrow"/>
          <w:color w:val="000000" w:themeColor="text1"/>
          <w:sz w:val="24"/>
          <w14:textFill>
            <w14:solidFill>
              <w14:schemeClr w14:val="tx1"/>
            </w14:solidFill>
          </w14:textFill>
        </w:rPr>
        <w:t>（4）效果。项目效益评价得分为24分，评价等级为良。</w:t>
      </w:r>
      <w:bookmarkEnd w:id="16"/>
      <w:r>
        <w:rPr>
          <w:rFonts w:ascii="Arial Narrow" w:hAnsi="Arial Narrow" w:cs="Arial Narrow"/>
          <w:sz w:val="24"/>
        </w:rPr>
        <w:t>项目实施后，项目实施单位通过实地考研调查、撰写调研报告，形成了智能家居制度规划；通过向招商局、经信局等单位进行了</w:t>
      </w:r>
      <w:r>
        <w:rPr>
          <w:rFonts w:hint="eastAsia" w:ascii="Arial Narrow" w:hAnsi="Arial Narrow" w:cs="Arial Narrow"/>
          <w:sz w:val="24"/>
        </w:rPr>
        <w:t>“</w:t>
      </w:r>
      <w:r>
        <w:rPr>
          <w:rFonts w:ascii="Arial Narrow" w:hAnsi="Arial Narrow" w:cs="Arial Narrow"/>
          <w:sz w:val="24"/>
        </w:rPr>
        <w:t>智能家居之都</w:t>
      </w:r>
      <w:r>
        <w:rPr>
          <w:rFonts w:hint="eastAsia" w:ascii="Arial Narrow" w:hAnsi="Arial Narrow" w:cs="Arial Narrow"/>
          <w:sz w:val="24"/>
        </w:rPr>
        <w:t>”</w:t>
      </w:r>
      <w:r>
        <w:rPr>
          <w:rFonts w:ascii="Arial Narrow" w:hAnsi="Arial Narrow" w:cs="Arial Narrow"/>
          <w:sz w:val="24"/>
        </w:rPr>
        <w:t>推广宣传，规划进一步加强与招商部门和园区的对接，配合招商部门及园区做好智能家居高端产业的引进工作，提高地区经济。</w:t>
      </w:r>
    </w:p>
    <w:p>
      <w:pPr>
        <w:spacing w:line="360" w:lineRule="auto"/>
        <w:ind w:firstLine="482" w:firstLineChars="200"/>
        <w:outlineLvl w:val="1"/>
        <w:rPr>
          <w:rFonts w:ascii="Arial Narrow" w:hAnsi="Arial Narrow" w:cs="Arial Narrow"/>
          <w:b/>
          <w:color w:val="000000" w:themeColor="text1"/>
          <w:sz w:val="24"/>
          <w14:textFill>
            <w14:solidFill>
              <w14:schemeClr w14:val="tx1"/>
            </w14:solidFill>
          </w14:textFill>
        </w:rPr>
      </w:pPr>
      <w:bookmarkStart w:id="17" w:name="_Toc481590350"/>
      <w:bookmarkStart w:id="18" w:name="_Toc21776"/>
      <w:bookmarkStart w:id="19" w:name="_Toc10313"/>
      <w:bookmarkStart w:id="20" w:name="_Toc448"/>
      <w:r>
        <w:rPr>
          <w:rFonts w:ascii="Arial Narrow" w:hAnsi="Arial Narrow" w:cs="Arial Narrow"/>
          <w:b/>
          <w:color w:val="000000" w:themeColor="text1"/>
          <w:sz w:val="24"/>
          <w14:textFill>
            <w14:solidFill>
              <w14:schemeClr w14:val="tx1"/>
            </w14:solidFill>
          </w14:textFill>
        </w:rPr>
        <w:t>（三）项目的经验与问题</w:t>
      </w:r>
      <w:bookmarkEnd w:id="17"/>
      <w:bookmarkEnd w:id="18"/>
      <w:bookmarkEnd w:id="19"/>
      <w:bookmarkEnd w:id="20"/>
    </w:p>
    <w:p>
      <w:pPr>
        <w:spacing w:line="360" w:lineRule="auto"/>
        <w:ind w:firstLine="480" w:firstLineChars="200"/>
        <w:rPr>
          <w:rFonts w:ascii="Arial Narrow" w:hAnsi="Arial Narrow" w:cs="Arial Narrow"/>
          <w:bCs/>
          <w:color w:val="000000" w:themeColor="text1"/>
          <w:sz w:val="24"/>
          <w14:textFill>
            <w14:solidFill>
              <w14:schemeClr w14:val="tx1"/>
            </w14:solidFill>
          </w14:textFill>
        </w:rPr>
      </w:pPr>
      <w:bookmarkStart w:id="21" w:name="_Toc18917"/>
      <w:bookmarkStart w:id="22" w:name="_Toc16871"/>
      <w:r>
        <w:rPr>
          <w:rFonts w:ascii="Arial Narrow" w:hAnsi="Arial Narrow" w:cs="Arial Narrow"/>
          <w:bCs/>
          <w:color w:val="000000" w:themeColor="text1"/>
          <w:sz w:val="24"/>
          <w14:textFill>
            <w14:solidFill>
              <w14:schemeClr w14:val="tx1"/>
            </w14:solidFill>
          </w14:textFill>
        </w:rPr>
        <w:t>1、经验</w:t>
      </w:r>
      <w:bookmarkEnd w:id="21"/>
      <w:bookmarkEnd w:id="22"/>
    </w:p>
    <w:p>
      <w:pPr>
        <w:spacing w:line="360" w:lineRule="auto"/>
        <w:ind w:firstLine="480" w:firstLineChars="200"/>
        <w:rPr>
          <w:rFonts w:ascii="Arial Narrow" w:hAnsi="Arial Narrow" w:cs="Arial Narrow"/>
          <w:color w:val="000000" w:themeColor="text1"/>
          <w:sz w:val="24"/>
          <w14:textFill>
            <w14:solidFill>
              <w14:schemeClr w14:val="tx1"/>
            </w14:solidFill>
          </w14:textFill>
        </w:rPr>
      </w:pPr>
      <w:r>
        <w:rPr>
          <w:rFonts w:ascii="Arial Narrow" w:hAnsi="Arial Narrow" w:cs="Arial Narrow"/>
          <w:bCs/>
          <w:color w:val="000000" w:themeColor="text1"/>
          <w:sz w:val="24"/>
          <w14:textFill>
            <w14:solidFill>
              <w14:schemeClr w14:val="tx1"/>
            </w14:solidFill>
          </w14:textFill>
        </w:rPr>
        <w:t>（1）考察、研讨工作有效</w:t>
      </w:r>
      <w:r>
        <w:rPr>
          <w:rFonts w:hint="eastAsia" w:ascii="Arial Narrow" w:hAnsi="Arial Narrow" w:cs="Arial Narrow"/>
          <w:bCs/>
          <w:color w:val="000000" w:themeColor="text1"/>
          <w:sz w:val="24"/>
          <w14:textFill>
            <w14:solidFill>
              <w14:schemeClr w14:val="tx1"/>
            </w14:solidFill>
          </w14:textFill>
        </w:rPr>
        <w:t>开展</w:t>
      </w:r>
      <w:r>
        <w:rPr>
          <w:rFonts w:ascii="Arial Narrow" w:hAnsi="Arial Narrow" w:cs="Arial Narrow"/>
          <w:bCs/>
          <w:color w:val="000000" w:themeColor="text1"/>
          <w:sz w:val="24"/>
          <w14:textFill>
            <w14:solidFill>
              <w14:schemeClr w14:val="tx1"/>
            </w14:solidFill>
          </w14:textFill>
        </w:rPr>
        <w:t>。</w:t>
      </w:r>
      <w:r>
        <w:rPr>
          <w:rFonts w:ascii="Arial Narrow" w:hAnsi="Arial Narrow" w:cs="Arial Narrow"/>
          <w:color w:val="000000" w:themeColor="text1"/>
          <w:sz w:val="24"/>
          <w14:textFill>
            <w14:solidFill>
              <w14:schemeClr w14:val="tx1"/>
            </w14:solidFill>
          </w14:textFill>
        </w:rPr>
        <w:t>该项目实施后，全年共召开了3次专家研讨会，建立了项目库、企业库、专家库，并列出了2018-2020年的工作清单，并在专家调研后完成了</w:t>
      </w:r>
      <w:r>
        <w:rPr>
          <w:rFonts w:hint="eastAsia" w:ascii="Arial Narrow" w:hAnsi="Arial Narrow" w:cs="Arial Narrow"/>
          <w:color w:val="000000" w:themeColor="text1"/>
          <w:sz w:val="24"/>
          <w14:textFill>
            <w14:solidFill>
              <w14:schemeClr w14:val="tx1"/>
            </w14:solidFill>
          </w14:textFill>
        </w:rPr>
        <w:t>“</w:t>
      </w:r>
      <w:r>
        <w:rPr>
          <w:rFonts w:ascii="Arial Narrow" w:hAnsi="Arial Narrow" w:cs="Arial Narrow"/>
          <w:color w:val="000000" w:themeColor="text1"/>
          <w:sz w:val="24"/>
          <w14:textFill>
            <w14:solidFill>
              <w14:schemeClr w14:val="tx1"/>
            </w14:solidFill>
          </w14:textFill>
        </w:rPr>
        <w:t>智能家居之都</w:t>
      </w:r>
      <w:r>
        <w:rPr>
          <w:rFonts w:hint="eastAsia" w:ascii="Arial Narrow" w:hAnsi="Arial Narrow" w:cs="Arial Narrow"/>
          <w:color w:val="000000" w:themeColor="text1"/>
          <w:sz w:val="24"/>
          <w14:textFill>
            <w14:solidFill>
              <w14:schemeClr w14:val="tx1"/>
            </w14:solidFill>
          </w14:textFill>
        </w:rPr>
        <w:t>”</w:t>
      </w:r>
      <w:r>
        <w:rPr>
          <w:rFonts w:ascii="Arial Narrow" w:hAnsi="Arial Narrow" w:cs="Arial Narrow"/>
          <w:color w:val="000000" w:themeColor="text1"/>
          <w:sz w:val="24"/>
          <w14:textFill>
            <w14:solidFill>
              <w14:schemeClr w14:val="tx1"/>
            </w14:solidFill>
          </w14:textFill>
        </w:rPr>
        <w:t>发展规划编制初稿，随后修改并形成定稿；全年组织两次考察调研</w:t>
      </w:r>
    </w:p>
    <w:p>
      <w:pPr>
        <w:tabs>
          <w:tab w:val="center" w:pos="4422"/>
        </w:tabs>
        <w:spacing w:line="360" w:lineRule="auto"/>
        <w:ind w:firstLine="480" w:firstLineChars="200"/>
        <w:rPr>
          <w:rFonts w:ascii="Arial Narrow" w:hAnsi="Arial Narrow" w:cs="Arial Narrow"/>
          <w:bCs/>
          <w:color w:val="000000" w:themeColor="text1"/>
          <w:sz w:val="24"/>
          <w14:textFill>
            <w14:solidFill>
              <w14:schemeClr w14:val="tx1"/>
            </w14:solidFill>
          </w14:textFill>
        </w:rPr>
      </w:pPr>
      <w:r>
        <w:rPr>
          <w:rFonts w:ascii="Arial Narrow" w:hAnsi="Arial Narrow" w:cs="Arial Narrow"/>
          <w:bCs/>
          <w:color w:val="000000" w:themeColor="text1"/>
          <w:sz w:val="24"/>
          <w14:textFill>
            <w14:solidFill>
              <w14:schemeClr w14:val="tx1"/>
            </w14:solidFill>
          </w14:textFill>
        </w:rPr>
        <w:t>（2）有效提升地区经济。通过实地调研考察学习，针对项目开展专家研讨会形成智能家居的制度规划，有效的推进智能家居的产业发展，同时通过向招商局、经信局等单位宣传推广其调研成果，并宣传“</w:t>
      </w:r>
      <w:r>
        <w:rPr>
          <w:rFonts w:hint="eastAsia" w:ascii="Arial Narrow" w:hAnsi="Arial Narrow" w:cs="Arial Narrow"/>
          <w:bCs/>
          <w:color w:val="000000" w:themeColor="text1"/>
          <w:sz w:val="24"/>
          <w14:textFill>
            <w14:solidFill>
              <w14:schemeClr w14:val="tx1"/>
            </w14:solidFill>
          </w14:textFill>
        </w:rPr>
        <w:t>智能</w:t>
      </w:r>
      <w:r>
        <w:rPr>
          <w:rFonts w:ascii="Arial Narrow" w:hAnsi="Arial Narrow" w:cs="Arial Narrow"/>
          <w:bCs/>
          <w:color w:val="000000" w:themeColor="text1"/>
          <w:sz w:val="24"/>
          <w14:textFill>
            <w14:solidFill>
              <w14:schemeClr w14:val="tx1"/>
            </w14:solidFill>
          </w14:textFill>
        </w:rPr>
        <w:t>家具之都”的理念，吸引外资企业的投资，多方位多层面的促进地区经济发展。</w:t>
      </w:r>
    </w:p>
    <w:p>
      <w:pPr>
        <w:spacing w:line="360" w:lineRule="auto"/>
        <w:ind w:firstLine="720" w:firstLineChars="300"/>
        <w:rPr>
          <w:rFonts w:ascii="Arial Narrow" w:hAnsi="Arial Narrow" w:cs="Arial Narrow"/>
          <w:sz w:val="24"/>
        </w:rPr>
      </w:pPr>
      <w:bookmarkStart w:id="23" w:name="_Toc10894"/>
      <w:bookmarkStart w:id="24" w:name="_Toc6475"/>
      <w:r>
        <w:rPr>
          <w:rFonts w:ascii="Arial Narrow" w:hAnsi="Arial Narrow" w:cs="Arial Narrow"/>
          <w:bCs/>
          <w:color w:val="000000" w:themeColor="text1"/>
          <w:sz w:val="24"/>
          <w14:textFill>
            <w14:solidFill>
              <w14:schemeClr w14:val="tx1"/>
            </w14:solidFill>
          </w14:textFill>
        </w:rPr>
        <w:t>2、问题</w:t>
      </w:r>
      <w:bookmarkEnd w:id="23"/>
      <w:bookmarkEnd w:id="24"/>
      <w:bookmarkStart w:id="25" w:name="_Toc481590351"/>
    </w:p>
    <w:p>
      <w:pPr>
        <w:spacing w:line="360" w:lineRule="auto"/>
        <w:ind w:firstLine="480" w:firstLineChars="200"/>
        <w:rPr>
          <w:rFonts w:ascii="Arial Narrow" w:hAnsi="Arial Narrow" w:cs="Arial Narrow"/>
          <w:bCs/>
          <w:color w:val="000000" w:themeColor="text1"/>
          <w:sz w:val="24"/>
          <w14:textFill>
            <w14:solidFill>
              <w14:schemeClr w14:val="tx1"/>
            </w14:solidFill>
          </w14:textFill>
        </w:rPr>
      </w:pPr>
      <w:r>
        <w:rPr>
          <w:rFonts w:ascii="Arial Narrow" w:hAnsi="Arial Narrow" w:cs="Arial Narrow"/>
          <w:bCs/>
          <w:color w:val="000000" w:themeColor="text1"/>
          <w:sz w:val="24"/>
          <w14:textFill>
            <w14:solidFill>
              <w14:schemeClr w14:val="tx1"/>
            </w14:solidFill>
          </w14:textFill>
        </w:rPr>
        <w:t>（1）年初</w:t>
      </w:r>
      <w:r>
        <w:rPr>
          <w:rFonts w:ascii="Arial Narrow" w:hAnsi="Arial Narrow" w:cs="Arial Narrow"/>
          <w:bCs/>
          <w:sz w:val="24"/>
        </w:rPr>
        <w:t>指标值设置可能存在问题</w:t>
      </w:r>
      <w:r>
        <w:rPr>
          <w:rFonts w:ascii="Arial Narrow" w:hAnsi="Arial Narrow" w:cs="Arial Narrow"/>
          <w:bCs/>
          <w:color w:val="000000" w:themeColor="text1"/>
          <w:sz w:val="24"/>
          <w14:textFill>
            <w14:solidFill>
              <w14:schemeClr w14:val="tx1"/>
            </w14:solidFill>
          </w14:textFill>
        </w:rPr>
        <w:t>。评价小组通过查看相关考察报告及工作报告了解到，武汉经济技术开发区(汉南区)建设局组织企业、集团赴各地智能家居产业园考察、调研</w:t>
      </w:r>
      <w:bookmarkStart w:id="26" w:name="_Toc25724"/>
      <w:r>
        <w:rPr>
          <w:rFonts w:ascii="Arial Narrow" w:hAnsi="Arial Narrow" w:cs="Arial Narrow"/>
          <w:bCs/>
          <w:color w:val="000000" w:themeColor="text1"/>
          <w:sz w:val="24"/>
          <w14:textFill>
            <w14:solidFill>
              <w14:schemeClr w14:val="tx1"/>
            </w14:solidFill>
          </w14:textFill>
        </w:rPr>
        <w:t>。但全年实现调研考察次数为2次，低于年初设置指标值，导致原因可能是在年初设置时，未考虑突发情况，设置指标值偏高。</w:t>
      </w:r>
    </w:p>
    <w:p>
      <w:pPr>
        <w:spacing w:line="360" w:lineRule="auto"/>
        <w:ind w:firstLine="480" w:firstLineChars="200"/>
        <w:rPr>
          <w:rFonts w:ascii="Arial Narrow" w:hAnsi="Arial Narrow" w:cs="Arial Narrow"/>
          <w:bCs/>
          <w:color w:val="000000" w:themeColor="text1"/>
          <w:sz w:val="24"/>
          <w14:textFill>
            <w14:solidFill>
              <w14:schemeClr w14:val="tx1"/>
            </w14:solidFill>
          </w14:textFill>
        </w:rPr>
      </w:pPr>
      <w:r>
        <w:rPr>
          <w:rFonts w:ascii="Arial Narrow" w:hAnsi="Arial Narrow" w:cs="Arial Narrow"/>
          <w:bCs/>
          <w:color w:val="000000" w:themeColor="text1"/>
          <w:sz w:val="24"/>
          <w14:textFill>
            <w14:solidFill>
              <w14:schemeClr w14:val="tx1"/>
            </w14:solidFill>
          </w14:textFill>
        </w:rPr>
        <w:t>（2）</w:t>
      </w:r>
      <w:bookmarkEnd w:id="26"/>
      <w:bookmarkStart w:id="27" w:name="_Toc7198"/>
      <w:r>
        <w:rPr>
          <w:rFonts w:ascii="Arial Narrow" w:hAnsi="Arial Narrow" w:cs="Arial Narrow"/>
          <w:bCs/>
          <w:color w:val="000000" w:themeColor="text1"/>
          <w:sz w:val="24"/>
          <w14:textFill>
            <w14:solidFill>
              <w14:schemeClr w14:val="tx1"/>
            </w14:solidFill>
          </w14:textFill>
        </w:rPr>
        <w:t>资料留底工作不</w:t>
      </w:r>
      <w:r>
        <w:rPr>
          <w:rFonts w:hint="eastAsia" w:ascii="Arial Narrow" w:hAnsi="Arial Narrow" w:cs="Arial Narrow"/>
          <w:bCs/>
          <w:color w:val="000000" w:themeColor="text1"/>
          <w:sz w:val="24"/>
          <w14:textFill>
            <w14:solidFill>
              <w14:schemeClr w14:val="tx1"/>
            </w14:solidFill>
          </w14:textFill>
        </w:rPr>
        <w:t>到位</w:t>
      </w:r>
      <w:r>
        <w:rPr>
          <w:rFonts w:ascii="Arial Narrow" w:hAnsi="Arial Narrow" w:cs="Arial Narrow"/>
          <w:bCs/>
          <w:color w:val="000000" w:themeColor="text1"/>
          <w:sz w:val="24"/>
          <w14:textFill>
            <w14:solidFill>
              <w14:schemeClr w14:val="tx1"/>
            </w14:solidFill>
          </w14:textFill>
        </w:rPr>
        <w:t>。</w:t>
      </w:r>
      <w:bookmarkEnd w:id="27"/>
      <w:r>
        <w:rPr>
          <w:rFonts w:ascii="Arial Narrow" w:hAnsi="Arial Narrow" w:cs="Arial Narrow"/>
          <w:bCs/>
          <w:color w:val="000000" w:themeColor="text1"/>
          <w:sz w:val="24"/>
          <w14:textFill>
            <w14:solidFill>
              <w14:schemeClr w14:val="tx1"/>
            </w14:solidFill>
          </w14:textFill>
        </w:rPr>
        <w:t>项目实施单位全年组织开展多次赴智能家居产业园考察调研工作，组织召开专家调研会，编制、并确定相关工作制度、规划，项目完成情况良好，但是评价小组在开展绩效评价工作中，获取到的相关记录、留痕资料较少，项目实施单位并未进行留底工作，不能有效地反映工作</w:t>
      </w:r>
      <w:r>
        <w:rPr>
          <w:rFonts w:hint="eastAsia" w:ascii="Arial Narrow" w:hAnsi="Arial Narrow" w:cs="Arial Narrow"/>
          <w:bCs/>
          <w:color w:val="000000" w:themeColor="text1"/>
          <w:sz w:val="24"/>
          <w14:textFill>
            <w14:solidFill>
              <w14:schemeClr w14:val="tx1"/>
            </w14:solidFill>
          </w14:textFill>
        </w:rPr>
        <w:t>情况</w:t>
      </w:r>
      <w:r>
        <w:rPr>
          <w:rFonts w:ascii="Arial Narrow" w:hAnsi="Arial Narrow" w:cs="Arial Narrow"/>
          <w:bCs/>
          <w:color w:val="000000" w:themeColor="text1"/>
          <w:sz w:val="24"/>
          <w14:textFill>
            <w14:solidFill>
              <w14:schemeClr w14:val="tx1"/>
            </w14:solidFill>
          </w14:textFill>
        </w:rPr>
        <w:t>，也不利于后期</w:t>
      </w:r>
      <w:r>
        <w:rPr>
          <w:rFonts w:hint="eastAsia" w:ascii="Arial Narrow" w:hAnsi="Arial Narrow" w:cs="Arial Narrow"/>
          <w:bCs/>
          <w:color w:val="000000" w:themeColor="text1"/>
          <w:sz w:val="24"/>
          <w14:textFill>
            <w14:solidFill>
              <w14:schemeClr w14:val="tx1"/>
            </w14:solidFill>
          </w14:textFill>
        </w:rPr>
        <w:t>评价</w:t>
      </w:r>
      <w:r>
        <w:rPr>
          <w:rFonts w:ascii="Arial Narrow" w:hAnsi="Arial Narrow" w:cs="Arial Narrow"/>
          <w:bCs/>
          <w:color w:val="000000" w:themeColor="text1"/>
          <w:sz w:val="24"/>
          <w14:textFill>
            <w14:solidFill>
              <w14:schemeClr w14:val="tx1"/>
            </w14:solidFill>
          </w14:textFill>
        </w:rPr>
        <w:t>工作的开展。</w:t>
      </w:r>
    </w:p>
    <w:p>
      <w:pPr>
        <w:spacing w:line="360" w:lineRule="auto"/>
        <w:ind w:firstLine="482" w:firstLineChars="200"/>
        <w:outlineLvl w:val="1"/>
        <w:rPr>
          <w:rFonts w:ascii="Arial Narrow" w:hAnsi="Arial Narrow" w:cs="Arial Narrow"/>
          <w:b/>
          <w:color w:val="000000" w:themeColor="text1"/>
          <w:sz w:val="24"/>
          <w14:textFill>
            <w14:solidFill>
              <w14:schemeClr w14:val="tx1"/>
            </w14:solidFill>
          </w14:textFill>
        </w:rPr>
      </w:pPr>
      <w:bookmarkStart w:id="28" w:name="_Toc20433"/>
      <w:bookmarkStart w:id="29" w:name="_Toc18445"/>
      <w:bookmarkStart w:id="30" w:name="_Toc18545"/>
      <w:r>
        <w:rPr>
          <w:rFonts w:ascii="Arial Narrow" w:hAnsi="Arial Narrow" w:cs="Arial Narrow"/>
          <w:b/>
          <w:color w:val="000000" w:themeColor="text1"/>
          <w:sz w:val="24"/>
          <w14:textFill>
            <w14:solidFill>
              <w14:schemeClr w14:val="tx1"/>
            </w14:solidFill>
          </w14:textFill>
        </w:rPr>
        <w:t>（四）建议</w:t>
      </w:r>
      <w:bookmarkEnd w:id="25"/>
      <w:bookmarkEnd w:id="28"/>
      <w:bookmarkEnd w:id="29"/>
      <w:bookmarkEnd w:id="30"/>
      <w:bookmarkStart w:id="31" w:name="_Toc32631"/>
      <w:bookmarkStart w:id="32" w:name="_Toc27246"/>
    </w:p>
    <w:bookmarkEnd w:id="31"/>
    <w:bookmarkEnd w:id="32"/>
    <w:p>
      <w:pPr>
        <w:spacing w:line="360" w:lineRule="auto"/>
        <w:ind w:firstLine="480" w:firstLineChars="200"/>
        <w:outlineLvl w:val="1"/>
        <w:rPr>
          <w:rFonts w:ascii="Arial Narrow" w:hAnsi="Arial Narrow" w:cs="Arial Narrow"/>
          <w:bCs/>
          <w:color w:val="000000" w:themeColor="text1"/>
          <w:sz w:val="24"/>
          <w14:textFill>
            <w14:solidFill>
              <w14:schemeClr w14:val="tx1"/>
            </w14:solidFill>
          </w14:textFill>
        </w:rPr>
      </w:pPr>
      <w:r>
        <w:rPr>
          <w:rFonts w:ascii="Arial Narrow" w:hAnsi="Arial Narrow" w:cs="Arial Narrow"/>
          <w:bCs/>
          <w:color w:val="000000" w:themeColor="text1"/>
          <w:sz w:val="24"/>
          <w14:textFill>
            <w14:solidFill>
              <w14:schemeClr w14:val="tx1"/>
            </w14:solidFill>
          </w14:textFill>
        </w:rPr>
        <w:t>1、</w:t>
      </w:r>
      <w:r>
        <w:rPr>
          <w:rFonts w:ascii="Arial Narrow" w:hAnsi="Arial Narrow" w:cs="Arial Narrow"/>
          <w:kern w:val="0"/>
          <w:sz w:val="24"/>
          <w:lang w:bidi="ar"/>
        </w:rPr>
        <w:t>合理编制整体目标，设置合适绩效指标值，健全绩效指标体系。项目单位在年初应考虑多方因素，编制整体绩效目标，充分把握全局的工作计划以及各项工作内容，对全局工作进行整合，设计出合适完整的整体项目目标，为设计的指标选择合适的指标值，健全完善绩效指标体系。</w:t>
      </w:r>
    </w:p>
    <w:p>
      <w:pPr>
        <w:adjustRightInd w:val="0"/>
        <w:spacing w:before="50" w:after="50" w:line="360" w:lineRule="auto"/>
        <w:ind w:firstLine="480" w:firstLineChars="200"/>
        <w:rPr>
          <w:rFonts w:ascii="Arial Narrow" w:hAnsi="Arial Narrow" w:cs="Arial Narrow"/>
          <w:sz w:val="24"/>
          <w:szCs w:val="28"/>
        </w:rPr>
        <w:sectPr>
          <w:headerReference r:id="rId3" w:type="default"/>
          <w:footerReference r:id="rId4" w:type="default"/>
          <w:pgSz w:w="11906" w:h="16838"/>
          <w:pgMar w:top="2835" w:right="1800" w:bottom="1440" w:left="1800" w:header="851" w:footer="992" w:gutter="0"/>
          <w:pgNumType w:start="1"/>
          <w:cols w:space="720" w:num="1"/>
          <w:docGrid w:type="lines" w:linePitch="312" w:charSpace="0"/>
        </w:sectPr>
      </w:pPr>
      <w:r>
        <w:rPr>
          <w:rFonts w:ascii="Arial Narrow" w:hAnsi="Arial Narrow" w:cs="Arial Narrow"/>
          <w:bCs/>
          <w:color w:val="000000" w:themeColor="text1"/>
          <w:sz w:val="24"/>
          <w14:textFill>
            <w14:solidFill>
              <w14:schemeClr w14:val="tx1"/>
            </w14:solidFill>
          </w14:textFill>
        </w:rPr>
        <w:t>2、</w:t>
      </w:r>
      <w:r>
        <w:rPr>
          <w:rFonts w:ascii="Arial Narrow" w:hAnsi="Arial Narrow" w:cs="Arial Narrow"/>
          <w:sz w:val="24"/>
          <w:szCs w:val="28"/>
        </w:rPr>
        <w:t>加强工作记录管理。项目实施单位可针对该项目工作内容，安排人员负责项目实施过程中工作留痕记录；针对具体的业务制定管理规定，并确保有相应的执行管理规定的记录，做到项目实施后能有效地进行监督管理、开展评价工作。</w:t>
      </w:r>
    </w:p>
    <w:p>
      <w:pPr>
        <w:keepNext/>
        <w:spacing w:line="520" w:lineRule="exact"/>
        <w:outlineLvl w:val="0"/>
        <w:rPr>
          <w:rFonts w:ascii="Arial Narrow" w:hAnsi="Arial Narrow" w:cs="Arial Narrow"/>
          <w:b/>
          <w:color w:val="000000" w:themeColor="text1"/>
          <w:sz w:val="24"/>
          <w14:textFill>
            <w14:solidFill>
              <w14:schemeClr w14:val="tx1"/>
            </w14:solidFill>
          </w14:textFill>
        </w:rPr>
      </w:pPr>
      <w:bookmarkStart w:id="33" w:name="_Toc12229"/>
      <w:bookmarkStart w:id="34" w:name="_Toc8652"/>
      <w:r>
        <w:rPr>
          <w:rFonts w:ascii="Arial Narrow" w:hAnsi="Arial Narrow" w:cs="Arial Narrow"/>
          <w:b/>
          <w:color w:val="000000" w:themeColor="text1"/>
          <w:sz w:val="24"/>
          <w14:textFill>
            <w14:solidFill>
              <w14:schemeClr w14:val="tx1"/>
            </w14:solidFill>
          </w14:textFill>
        </w:rPr>
        <w:t>二、正文</w:t>
      </w:r>
      <w:bookmarkEnd w:id="33"/>
      <w:bookmarkEnd w:id="34"/>
    </w:p>
    <w:p>
      <w:pPr>
        <w:spacing w:line="520" w:lineRule="exact"/>
        <w:ind w:firstLine="482" w:firstLineChars="200"/>
        <w:outlineLvl w:val="1"/>
        <w:rPr>
          <w:rFonts w:ascii="Arial Narrow" w:hAnsi="Arial Narrow" w:cs="Arial Narrow"/>
          <w:b/>
          <w:color w:val="000000" w:themeColor="text1"/>
          <w:sz w:val="24"/>
          <w14:textFill>
            <w14:solidFill>
              <w14:schemeClr w14:val="tx1"/>
            </w14:solidFill>
          </w14:textFill>
        </w:rPr>
      </w:pPr>
      <w:bookmarkStart w:id="35" w:name="_Toc23507"/>
      <w:bookmarkStart w:id="36" w:name="_Toc29894"/>
      <w:r>
        <w:rPr>
          <w:rFonts w:ascii="Arial Narrow" w:hAnsi="Arial Narrow" w:cs="Arial Narrow"/>
          <w:b/>
          <w:color w:val="000000" w:themeColor="text1"/>
          <w:sz w:val="24"/>
          <w14:textFill>
            <w14:solidFill>
              <w14:schemeClr w14:val="tx1"/>
            </w14:solidFill>
          </w14:textFill>
        </w:rPr>
        <w:t>（一）项目基本情况</w:t>
      </w:r>
      <w:bookmarkEnd w:id="35"/>
      <w:bookmarkEnd w:id="36"/>
    </w:p>
    <w:p>
      <w:pPr>
        <w:spacing w:line="520" w:lineRule="exact"/>
        <w:ind w:firstLine="480" w:firstLineChars="200"/>
        <w:outlineLvl w:val="2"/>
        <w:rPr>
          <w:rFonts w:ascii="Arial Narrow" w:hAnsi="Arial Narrow" w:cs="Arial Narrow"/>
          <w:bCs/>
          <w:color w:val="000000" w:themeColor="text1"/>
          <w:sz w:val="24"/>
          <w14:textFill>
            <w14:solidFill>
              <w14:schemeClr w14:val="tx1"/>
            </w14:solidFill>
          </w14:textFill>
        </w:rPr>
      </w:pPr>
      <w:bookmarkStart w:id="37" w:name="_Toc10993"/>
      <w:bookmarkStart w:id="38" w:name="_Toc32310"/>
      <w:r>
        <w:rPr>
          <w:rFonts w:ascii="Arial Narrow" w:hAnsi="Arial Narrow" w:cs="Arial Narrow"/>
          <w:bCs/>
          <w:color w:val="000000" w:themeColor="text1"/>
          <w:sz w:val="24"/>
          <w14:textFill>
            <w14:solidFill>
              <w14:schemeClr w14:val="tx1"/>
            </w14:solidFill>
          </w14:textFill>
        </w:rPr>
        <w:t>1、项目立项背景和依据</w:t>
      </w:r>
      <w:bookmarkEnd w:id="37"/>
      <w:bookmarkEnd w:id="38"/>
    </w:p>
    <w:p>
      <w:pPr>
        <w:spacing w:line="360" w:lineRule="auto"/>
        <w:ind w:firstLine="480" w:firstLineChars="200"/>
        <w:rPr>
          <w:rFonts w:ascii="Arial Narrow" w:hAnsi="Arial Narrow" w:cs="Arial Narrow"/>
          <w:b/>
          <w:color w:val="000000" w:themeColor="text1"/>
          <w:sz w:val="24"/>
          <w14:textFill>
            <w14:solidFill>
              <w14:schemeClr w14:val="tx1"/>
            </w14:solidFill>
          </w14:textFill>
        </w:rPr>
      </w:pPr>
      <w:bookmarkStart w:id="39" w:name="_Toc602"/>
      <w:r>
        <w:rPr>
          <w:rFonts w:ascii="Arial Narrow" w:hAnsi="Arial Narrow" w:cs="Arial Narrow"/>
          <w:color w:val="000000" w:themeColor="text1"/>
          <w:sz w:val="24"/>
          <w14:textFill>
            <w14:solidFill>
              <w14:schemeClr w14:val="tx1"/>
            </w14:solidFill>
          </w14:textFill>
        </w:rPr>
        <w:t>1.1 项目立项背景及依据</w:t>
      </w:r>
      <w:bookmarkEnd w:id="39"/>
    </w:p>
    <w:p>
      <w:pPr>
        <w:spacing w:line="360" w:lineRule="auto"/>
        <w:ind w:firstLine="482"/>
        <w:rPr>
          <w:rFonts w:ascii="Arial Narrow" w:hAnsi="Arial Narrow" w:cs="Arial Narrow"/>
          <w:sz w:val="24"/>
        </w:rPr>
      </w:pPr>
      <w:r>
        <w:rPr>
          <w:rFonts w:ascii="Arial Narrow" w:hAnsi="Arial Narrow" w:cs="Arial Narrow"/>
          <w:sz w:val="24"/>
        </w:rPr>
        <w:t>为深入贯彻落实《国务院办公厅关于促进开发区改革和创新发展的若干意见》和《省人民政府关于促进开发区改革和创新发展的实施意见》，根据武汉市委十三届三中全会精神及武汉经济技术开发区（汉南区）建设</w:t>
      </w:r>
      <w:r>
        <w:rPr>
          <w:rFonts w:hint="eastAsia" w:ascii="Arial Narrow" w:hAnsi="Arial Narrow" w:cs="Arial Narrow"/>
          <w:sz w:val="24"/>
        </w:rPr>
        <w:t>“</w:t>
      </w:r>
      <w:r>
        <w:rPr>
          <w:rFonts w:ascii="Arial Narrow" w:hAnsi="Arial Narrow" w:cs="Arial Narrow"/>
          <w:sz w:val="24"/>
        </w:rPr>
        <w:t>智能家居之都</w:t>
      </w:r>
      <w:r>
        <w:rPr>
          <w:rFonts w:hint="eastAsia" w:ascii="Arial Narrow" w:hAnsi="Arial Narrow" w:cs="Arial Narrow"/>
          <w:sz w:val="24"/>
        </w:rPr>
        <w:t>”</w:t>
      </w:r>
      <w:r>
        <w:rPr>
          <w:rFonts w:ascii="Arial Narrow" w:hAnsi="Arial Narrow" w:cs="Arial Narrow"/>
          <w:sz w:val="24"/>
        </w:rPr>
        <w:t>的目标，推进智能家居产业全面快速发展需求，武汉经开区（汉南区）要着力打造</w:t>
      </w:r>
      <w:r>
        <w:rPr>
          <w:rFonts w:hint="eastAsia" w:ascii="Arial Narrow" w:hAnsi="Arial Narrow" w:cs="Arial Narrow"/>
          <w:sz w:val="24"/>
        </w:rPr>
        <w:t>“</w:t>
      </w:r>
      <w:r>
        <w:rPr>
          <w:rFonts w:ascii="Arial Narrow" w:hAnsi="Arial Narrow" w:cs="Arial Narrow"/>
          <w:sz w:val="24"/>
        </w:rPr>
        <w:t>智能家居之都</w:t>
      </w:r>
      <w:r>
        <w:rPr>
          <w:rFonts w:hint="eastAsia" w:ascii="Arial Narrow" w:hAnsi="Arial Narrow" w:cs="Arial Narrow"/>
          <w:sz w:val="24"/>
        </w:rPr>
        <w:t>”</w:t>
      </w:r>
      <w:r>
        <w:rPr>
          <w:rFonts w:ascii="Arial Narrow" w:hAnsi="Arial Narrow" w:cs="Arial Narrow"/>
          <w:sz w:val="24"/>
        </w:rPr>
        <w:t>。随着智能家居消费市场不断扩大，物联网、人工智能等智能家居关键技术持续突破，大批智能家居前装市场龙头企业项目落户本区，</w:t>
      </w:r>
      <w:r>
        <w:rPr>
          <w:rFonts w:hint="eastAsia" w:ascii="Arial Narrow" w:hAnsi="Arial Narrow" w:cs="Arial Narrow"/>
          <w:sz w:val="24"/>
        </w:rPr>
        <w:t>“</w:t>
      </w:r>
      <w:r>
        <w:rPr>
          <w:rFonts w:ascii="Arial Narrow" w:hAnsi="Arial Narrow" w:cs="Arial Narrow"/>
          <w:sz w:val="24"/>
        </w:rPr>
        <w:t>智能家居之都</w:t>
      </w:r>
      <w:r>
        <w:rPr>
          <w:rFonts w:hint="eastAsia" w:ascii="Arial Narrow" w:hAnsi="Arial Narrow" w:cs="Arial Narrow"/>
          <w:sz w:val="24"/>
        </w:rPr>
        <w:t>”</w:t>
      </w:r>
      <w:r>
        <w:rPr>
          <w:rFonts w:ascii="Arial Narrow" w:hAnsi="Arial Narrow" w:cs="Arial Narrow"/>
          <w:sz w:val="24"/>
        </w:rPr>
        <w:t>建设迎来发展黄金机遇期。</w:t>
      </w:r>
    </w:p>
    <w:p>
      <w:pPr>
        <w:snapToGrid w:val="0"/>
        <w:spacing w:line="360" w:lineRule="auto"/>
        <w:ind w:firstLine="480" w:firstLineChars="200"/>
        <w:rPr>
          <w:rFonts w:ascii="Arial Narrow" w:hAnsi="Arial Narrow" w:cs="Arial Narrow"/>
          <w:color w:val="000000" w:themeColor="text1"/>
          <w:sz w:val="24"/>
          <w14:textFill>
            <w14:solidFill>
              <w14:schemeClr w14:val="tx1"/>
            </w14:solidFill>
          </w14:textFill>
        </w:rPr>
      </w:pPr>
      <w:r>
        <w:rPr>
          <w:rFonts w:ascii="Arial Narrow" w:hAnsi="Arial Narrow" w:cs="Arial Narrow"/>
          <w:color w:val="000000" w:themeColor="text1"/>
          <w:sz w:val="24"/>
          <w14:textFill>
            <w14:solidFill>
              <w14:schemeClr w14:val="tx1"/>
            </w14:solidFill>
          </w14:textFill>
        </w:rPr>
        <w:t>1.2 项目所属领域</w:t>
      </w:r>
    </w:p>
    <w:p>
      <w:pPr>
        <w:snapToGrid w:val="0"/>
        <w:spacing w:line="360" w:lineRule="auto"/>
        <w:ind w:firstLine="480" w:firstLineChars="200"/>
        <w:rPr>
          <w:rFonts w:ascii="Arial Narrow" w:hAnsi="Arial Narrow" w:cs="Arial Narrow"/>
          <w:sz w:val="24"/>
        </w:rPr>
      </w:pPr>
      <w:r>
        <w:rPr>
          <w:rFonts w:hint="eastAsia" w:ascii="Arial Narrow" w:hAnsi="Arial Narrow" w:cs="Arial Narrow"/>
          <w:bCs/>
          <w:color w:val="000000" w:themeColor="text1"/>
          <w:sz w:val="24"/>
          <w14:textFill>
            <w14:solidFill>
              <w14:schemeClr w14:val="tx1"/>
            </w14:solidFill>
          </w14:textFill>
        </w:rPr>
        <w:t>“</w:t>
      </w:r>
      <w:r>
        <w:rPr>
          <w:rFonts w:ascii="Arial Narrow" w:hAnsi="Arial Narrow" w:cs="Arial Narrow"/>
          <w:bCs/>
          <w:color w:val="000000" w:themeColor="text1"/>
          <w:sz w:val="24"/>
          <w14:textFill>
            <w14:solidFill>
              <w14:schemeClr w14:val="tx1"/>
            </w14:solidFill>
          </w14:textFill>
        </w:rPr>
        <w:t>智能家居之都发展规划编制经费</w:t>
      </w:r>
      <w:r>
        <w:rPr>
          <w:rFonts w:hint="eastAsia" w:ascii="Arial Narrow" w:hAnsi="Arial Narrow" w:cs="Arial Narrow"/>
          <w:bCs/>
          <w:color w:val="000000" w:themeColor="text1"/>
          <w:sz w:val="24"/>
          <w14:textFill>
            <w14:solidFill>
              <w14:schemeClr w14:val="tx1"/>
            </w14:solidFill>
          </w14:textFill>
        </w:rPr>
        <w:t>”</w:t>
      </w:r>
      <w:r>
        <w:rPr>
          <w:rFonts w:ascii="Arial Narrow" w:hAnsi="Arial Narrow" w:cs="Arial Narrow"/>
          <w:sz w:val="24"/>
        </w:rPr>
        <w:t>项目属于信息化技术领域：智能家居是以住宅为平台，基于物联网技术，由硬件（智能家电、安防系统、智能家具等）系统、软件系统、云计算平台构成的家居生态圈，并通过收集、分析用户数据，提供个性化家居生活服务。</w:t>
      </w:r>
    </w:p>
    <w:p>
      <w:pPr>
        <w:snapToGrid w:val="0"/>
        <w:spacing w:line="360" w:lineRule="auto"/>
        <w:ind w:firstLine="480" w:firstLineChars="200"/>
        <w:rPr>
          <w:rFonts w:ascii="Arial Narrow" w:hAnsi="Arial Narrow" w:cs="Arial Narrow"/>
          <w:color w:val="000000" w:themeColor="text1"/>
          <w:sz w:val="24"/>
          <w14:textFill>
            <w14:solidFill>
              <w14:schemeClr w14:val="tx1"/>
            </w14:solidFill>
          </w14:textFill>
        </w:rPr>
      </w:pPr>
      <w:r>
        <w:rPr>
          <w:rFonts w:ascii="Arial Narrow" w:hAnsi="Arial Narrow" w:cs="Arial Narrow"/>
          <w:color w:val="000000" w:themeColor="text1"/>
          <w:sz w:val="24"/>
          <w14:textFill>
            <w14:solidFill>
              <w14:schemeClr w14:val="tx1"/>
            </w14:solidFill>
          </w14:textFill>
        </w:rPr>
        <w:t>1.3 项目性质与特点</w:t>
      </w:r>
    </w:p>
    <w:p>
      <w:pPr>
        <w:spacing w:line="360" w:lineRule="auto"/>
        <w:ind w:firstLine="482"/>
        <w:rPr>
          <w:rFonts w:ascii="Arial Narrow" w:hAnsi="Arial Narrow" w:cs="Arial Narrow"/>
          <w:sz w:val="24"/>
        </w:rPr>
      </w:pPr>
      <w:r>
        <w:rPr>
          <w:rFonts w:hint="eastAsia" w:ascii="Arial Narrow" w:hAnsi="Arial Narrow" w:cs="Arial Narrow"/>
          <w:bCs/>
          <w:color w:val="000000" w:themeColor="text1"/>
          <w:sz w:val="24"/>
          <w14:textFill>
            <w14:solidFill>
              <w14:schemeClr w14:val="tx1"/>
            </w14:solidFill>
          </w14:textFill>
        </w:rPr>
        <w:t>“</w:t>
      </w:r>
      <w:r>
        <w:rPr>
          <w:rFonts w:ascii="Arial Narrow" w:hAnsi="Arial Narrow" w:cs="Arial Narrow"/>
          <w:bCs/>
          <w:color w:val="000000" w:themeColor="text1"/>
          <w:sz w:val="24"/>
          <w14:textFill>
            <w14:solidFill>
              <w14:schemeClr w14:val="tx1"/>
            </w14:solidFill>
          </w14:textFill>
        </w:rPr>
        <w:t>智能家居之都发展规划编制经费</w:t>
      </w:r>
      <w:r>
        <w:rPr>
          <w:rFonts w:hint="eastAsia" w:ascii="Arial Narrow" w:hAnsi="Arial Narrow" w:cs="Arial Narrow"/>
          <w:bCs/>
          <w:color w:val="000000" w:themeColor="text1"/>
          <w:sz w:val="24"/>
          <w14:textFill>
            <w14:solidFill>
              <w14:schemeClr w14:val="tx1"/>
            </w14:solidFill>
          </w14:textFill>
        </w:rPr>
        <w:t>”</w:t>
      </w:r>
      <w:r>
        <w:rPr>
          <w:rFonts w:ascii="Arial Narrow" w:hAnsi="Arial Narrow" w:cs="Arial Narrow"/>
          <w:sz w:val="24"/>
        </w:rPr>
        <w:t>项目中的</w:t>
      </w:r>
      <w:r>
        <w:rPr>
          <w:rFonts w:hint="eastAsia" w:ascii="Arial Narrow" w:hAnsi="Arial Narrow" w:cs="Arial Narrow"/>
          <w:sz w:val="24"/>
        </w:rPr>
        <w:t>“</w:t>
      </w:r>
      <w:r>
        <w:rPr>
          <w:rFonts w:ascii="Arial Narrow" w:hAnsi="Arial Narrow" w:cs="Arial Narrow"/>
          <w:sz w:val="24"/>
        </w:rPr>
        <w:t>智能家居之都</w:t>
      </w:r>
      <w:r>
        <w:rPr>
          <w:rFonts w:hint="eastAsia" w:ascii="Arial Narrow" w:hAnsi="Arial Narrow" w:cs="Arial Narrow"/>
          <w:sz w:val="24"/>
        </w:rPr>
        <w:t>”</w:t>
      </w:r>
      <w:r>
        <w:rPr>
          <w:rFonts w:ascii="Arial Narrow" w:hAnsi="Arial Narrow" w:cs="Arial Narrow"/>
          <w:sz w:val="24"/>
        </w:rPr>
        <w:t>指的是：基于物联网、大数据、人工智能等信息化技术，以人的需求为核心，由</w:t>
      </w:r>
      <w:r>
        <w:rPr>
          <w:rFonts w:ascii="Arial Narrow" w:hAnsi="Arial Narrow" w:cs="Arial Narrow"/>
          <w:bCs/>
          <w:sz w:val="24"/>
        </w:rPr>
        <w:t>感知层、网络层、平台层和应用层</w:t>
      </w:r>
      <w:r>
        <w:rPr>
          <w:rFonts w:ascii="Arial Narrow" w:hAnsi="Arial Narrow" w:cs="Arial Narrow"/>
          <w:sz w:val="24"/>
        </w:rPr>
        <w:t>构成的</w:t>
      </w:r>
      <w:r>
        <w:rPr>
          <w:rFonts w:ascii="Arial Narrow" w:hAnsi="Arial Narrow" w:cs="Arial Narrow"/>
          <w:bCs/>
          <w:sz w:val="24"/>
        </w:rPr>
        <w:t>智慧都市生态圈</w:t>
      </w:r>
      <w:r>
        <w:rPr>
          <w:rFonts w:ascii="Arial Narrow" w:hAnsi="Arial Narrow" w:cs="Arial Narrow"/>
          <w:sz w:val="24"/>
        </w:rPr>
        <w:t>。通过收集、分析用户数据，提供个性化、智能化服务，提升</w:t>
      </w:r>
      <w:r>
        <w:rPr>
          <w:rFonts w:ascii="Arial Narrow" w:hAnsi="Arial Narrow" w:cs="Arial Narrow"/>
          <w:bCs/>
          <w:sz w:val="24"/>
        </w:rPr>
        <w:t>家庭、社区和城市</w:t>
      </w:r>
      <w:r>
        <w:rPr>
          <w:rFonts w:ascii="Arial Narrow" w:hAnsi="Arial Narrow" w:cs="Arial Narrow"/>
          <w:sz w:val="24"/>
        </w:rPr>
        <w:t>等层面人居环境。</w:t>
      </w:r>
    </w:p>
    <w:p>
      <w:pPr>
        <w:snapToGrid w:val="0"/>
        <w:spacing w:line="360" w:lineRule="auto"/>
        <w:ind w:firstLine="480" w:firstLineChars="200"/>
        <w:rPr>
          <w:rFonts w:ascii="Arial Narrow" w:hAnsi="Arial Narrow" w:cs="Arial Narrow"/>
          <w:color w:val="000000" w:themeColor="text1"/>
          <w:sz w:val="24"/>
          <w14:textFill>
            <w14:solidFill>
              <w14:schemeClr w14:val="tx1"/>
            </w14:solidFill>
          </w14:textFill>
        </w:rPr>
      </w:pPr>
      <w:r>
        <w:rPr>
          <w:rFonts w:ascii="Arial Narrow" w:hAnsi="Arial Narrow" w:cs="Arial Narrow"/>
          <w:color w:val="000000" w:themeColor="text1"/>
          <w:sz w:val="24"/>
          <w14:textFill>
            <w14:solidFill>
              <w14:schemeClr w14:val="tx1"/>
            </w14:solidFill>
          </w14:textFill>
        </w:rPr>
        <w:t>1.4 项目立项时所属领域状况</w:t>
      </w:r>
    </w:p>
    <w:p>
      <w:pPr>
        <w:snapToGrid w:val="0"/>
        <w:spacing w:line="360" w:lineRule="auto"/>
        <w:ind w:firstLine="480" w:firstLineChars="200"/>
        <w:rPr>
          <w:rFonts w:ascii="Arial Narrow" w:hAnsi="Arial Narrow" w:cs="Arial Narrow"/>
          <w:sz w:val="24"/>
        </w:rPr>
      </w:pPr>
      <w:r>
        <w:rPr>
          <w:rFonts w:ascii="Arial Narrow" w:hAnsi="Arial Narrow" w:cs="Arial Narrow"/>
          <w:sz w:val="24"/>
        </w:rPr>
        <w:t>2017年，武汉开发区（汉南区）规模以上工业增加值约占全市的25%，是武汉工业经济的重要</w:t>
      </w:r>
      <w:r>
        <w:rPr>
          <w:rFonts w:hint="eastAsia" w:ascii="Arial Narrow" w:hAnsi="Arial Narrow" w:cs="Arial Narrow"/>
          <w:sz w:val="24"/>
        </w:rPr>
        <w:t>“</w:t>
      </w:r>
      <w:r>
        <w:rPr>
          <w:rFonts w:ascii="Arial Narrow" w:hAnsi="Arial Narrow" w:cs="Arial Narrow"/>
          <w:sz w:val="24"/>
        </w:rPr>
        <w:t>底盘</w:t>
      </w:r>
      <w:r>
        <w:rPr>
          <w:rFonts w:hint="eastAsia" w:ascii="Arial Narrow" w:hAnsi="Arial Narrow" w:cs="Arial Narrow"/>
          <w:sz w:val="24"/>
        </w:rPr>
        <w:t>”</w:t>
      </w:r>
      <w:r>
        <w:rPr>
          <w:rFonts w:ascii="Arial Narrow" w:hAnsi="Arial Narrow" w:cs="Arial Narrow"/>
          <w:sz w:val="24"/>
        </w:rPr>
        <w:t>。电子电器是开发区三大主导产业之一，拥有格力、海尔、美的等家电龙头企业。《武汉建设国家中心城市实施方案》中提出，武汉经开区（汉南区）要着力打造</w:t>
      </w:r>
      <w:r>
        <w:rPr>
          <w:rFonts w:hint="eastAsia" w:ascii="Arial Narrow" w:hAnsi="Arial Narrow" w:cs="Arial Narrow"/>
          <w:sz w:val="24"/>
        </w:rPr>
        <w:t>“</w:t>
      </w:r>
      <w:r>
        <w:rPr>
          <w:rFonts w:ascii="Arial Narrow" w:hAnsi="Arial Narrow" w:cs="Arial Narrow"/>
          <w:sz w:val="24"/>
        </w:rPr>
        <w:t>智能家居之都</w:t>
      </w:r>
      <w:r>
        <w:rPr>
          <w:rFonts w:hint="eastAsia" w:ascii="Arial Narrow" w:hAnsi="Arial Narrow" w:cs="Arial Narrow"/>
          <w:sz w:val="24"/>
        </w:rPr>
        <w:t>”</w:t>
      </w:r>
      <w:r>
        <w:rPr>
          <w:rFonts w:ascii="Arial Narrow" w:hAnsi="Arial Narrow" w:cs="Arial Narrow"/>
          <w:sz w:val="24"/>
        </w:rPr>
        <w:t>。随着智能家居消费市场不断扩大，物联网、人工智能等智能家居关键技术持续突破，中建紫光CBIM、中建三局绿投总部等一批智能家居前装市场龙头企业项目落户本区，</w:t>
      </w:r>
      <w:r>
        <w:rPr>
          <w:rFonts w:hint="eastAsia" w:ascii="Arial Narrow" w:hAnsi="Arial Narrow" w:cs="Arial Narrow"/>
          <w:sz w:val="24"/>
        </w:rPr>
        <w:t>“</w:t>
      </w:r>
      <w:r>
        <w:rPr>
          <w:rFonts w:ascii="Arial Narrow" w:hAnsi="Arial Narrow" w:cs="Arial Narrow"/>
          <w:sz w:val="24"/>
        </w:rPr>
        <w:t>智能家居之都</w:t>
      </w:r>
      <w:r>
        <w:rPr>
          <w:rFonts w:hint="eastAsia" w:ascii="Arial Narrow" w:hAnsi="Arial Narrow" w:cs="Arial Narrow"/>
          <w:sz w:val="24"/>
        </w:rPr>
        <w:t>”</w:t>
      </w:r>
      <w:r>
        <w:rPr>
          <w:rFonts w:ascii="Arial Narrow" w:hAnsi="Arial Narrow" w:cs="Arial Narrow"/>
          <w:sz w:val="24"/>
        </w:rPr>
        <w:t>建设迎来发展黄金机遇期。</w:t>
      </w:r>
    </w:p>
    <w:p>
      <w:pPr>
        <w:snapToGrid w:val="0"/>
        <w:spacing w:line="360" w:lineRule="auto"/>
        <w:ind w:firstLine="480" w:firstLineChars="200"/>
        <w:outlineLvl w:val="2"/>
        <w:rPr>
          <w:rFonts w:ascii="Arial Narrow" w:hAnsi="Arial Narrow" w:cs="Arial Narrow"/>
          <w:color w:val="000000" w:themeColor="text1"/>
          <w:sz w:val="24"/>
          <w14:textFill>
            <w14:solidFill>
              <w14:schemeClr w14:val="tx1"/>
            </w14:solidFill>
          </w14:textFill>
        </w:rPr>
      </w:pPr>
      <w:bookmarkStart w:id="40" w:name="_Toc14551"/>
      <w:bookmarkStart w:id="41" w:name="_Toc32085"/>
      <w:r>
        <w:rPr>
          <w:rFonts w:ascii="Arial Narrow" w:hAnsi="Arial Narrow" w:cs="Arial Narrow"/>
          <w:color w:val="000000" w:themeColor="text1"/>
          <w:sz w:val="24"/>
          <w14:textFill>
            <w14:solidFill>
              <w14:schemeClr w14:val="tx1"/>
            </w14:solidFill>
          </w14:textFill>
        </w:rPr>
        <w:t>2、项目绩效目标</w:t>
      </w:r>
      <w:bookmarkEnd w:id="40"/>
      <w:bookmarkEnd w:id="41"/>
    </w:p>
    <w:p>
      <w:pPr>
        <w:snapToGrid w:val="0"/>
        <w:spacing w:line="360" w:lineRule="auto"/>
        <w:ind w:firstLine="480" w:firstLineChars="200"/>
        <w:rPr>
          <w:rFonts w:ascii="Arial Narrow" w:hAnsi="Arial Narrow" w:cs="Arial Narrow"/>
          <w:color w:val="000000" w:themeColor="text1"/>
          <w:sz w:val="24"/>
          <w14:textFill>
            <w14:solidFill>
              <w14:schemeClr w14:val="tx1"/>
            </w14:solidFill>
          </w14:textFill>
        </w:rPr>
      </w:pPr>
      <w:bookmarkStart w:id="42" w:name="_Toc8166"/>
      <w:r>
        <w:rPr>
          <w:rFonts w:ascii="Arial Narrow" w:hAnsi="Arial Narrow" w:cs="Arial Narrow"/>
          <w:color w:val="000000" w:themeColor="text1"/>
          <w:sz w:val="24"/>
          <w14:textFill>
            <w14:solidFill>
              <w14:schemeClr w14:val="tx1"/>
            </w14:solidFill>
          </w14:textFill>
        </w:rPr>
        <w:t>（1）项目立项设定绩效目标</w:t>
      </w:r>
      <w:bookmarkEnd w:id="42"/>
    </w:p>
    <w:p>
      <w:pPr>
        <w:spacing w:line="360" w:lineRule="auto"/>
        <w:ind w:firstLine="480" w:firstLineChars="200"/>
        <w:rPr>
          <w:rFonts w:ascii="Arial Narrow" w:hAnsi="Arial Narrow" w:cs="Arial Narrow"/>
          <w:sz w:val="24"/>
        </w:rPr>
      </w:pPr>
      <w:r>
        <w:rPr>
          <w:rFonts w:ascii="Arial Narrow" w:hAnsi="Arial Narrow" w:cs="Arial Narrow"/>
          <w:sz w:val="24"/>
        </w:rPr>
        <w:t>项目实施单位为该项目设定了长期目标：推进智能家居产业园的发展，进而促进地区经济发展。并在此基础上设立了年度目标：开展项目调研，形成《武汉经济技术开发区</w:t>
      </w:r>
      <w:r>
        <w:rPr>
          <w:rFonts w:hint="eastAsia" w:ascii="Arial Narrow" w:hAnsi="Arial Narrow" w:cs="Arial Narrow"/>
          <w:sz w:val="24"/>
        </w:rPr>
        <w:t>“</w:t>
      </w:r>
      <w:r>
        <w:rPr>
          <w:rFonts w:ascii="Arial Narrow" w:hAnsi="Arial Narrow" w:cs="Arial Narrow"/>
          <w:sz w:val="24"/>
        </w:rPr>
        <w:t>智能家居之都</w:t>
      </w:r>
      <w:r>
        <w:rPr>
          <w:rFonts w:hint="eastAsia" w:ascii="Arial Narrow" w:hAnsi="Arial Narrow" w:cs="Arial Narrow"/>
          <w:sz w:val="24"/>
        </w:rPr>
        <w:t>”</w:t>
      </w:r>
      <w:r>
        <w:rPr>
          <w:rFonts w:ascii="Arial Narrow" w:hAnsi="Arial Narrow" w:cs="Arial Narrow"/>
          <w:sz w:val="24"/>
        </w:rPr>
        <w:t>》调研报告；系统梳理资料，开展对武汉经开区现状研究和智能家居产业的趋势研究；完成《武汉经济技术开发区</w:t>
      </w:r>
      <w:r>
        <w:rPr>
          <w:rFonts w:hint="eastAsia" w:ascii="Arial Narrow" w:hAnsi="Arial Narrow" w:cs="Arial Narrow"/>
          <w:sz w:val="24"/>
        </w:rPr>
        <w:t>“</w:t>
      </w:r>
      <w:r>
        <w:rPr>
          <w:rFonts w:ascii="Arial Narrow" w:hAnsi="Arial Narrow" w:cs="Arial Narrow"/>
          <w:sz w:val="24"/>
        </w:rPr>
        <w:t>智能家居之都</w:t>
      </w:r>
      <w:r>
        <w:rPr>
          <w:rFonts w:hint="eastAsia" w:ascii="Arial Narrow" w:hAnsi="Arial Narrow" w:cs="Arial Narrow"/>
          <w:sz w:val="24"/>
        </w:rPr>
        <w:t>”</w:t>
      </w:r>
      <w:r>
        <w:rPr>
          <w:rFonts w:ascii="Arial Narrow" w:hAnsi="Arial Narrow" w:cs="Arial Narrow"/>
          <w:sz w:val="24"/>
        </w:rPr>
        <w:t>发展规划》、《武汉经济技术开发区</w:t>
      </w:r>
      <w:r>
        <w:rPr>
          <w:rFonts w:hint="eastAsia" w:ascii="Arial Narrow" w:hAnsi="Arial Narrow" w:cs="Arial Narrow"/>
          <w:sz w:val="24"/>
        </w:rPr>
        <w:t>“</w:t>
      </w:r>
      <w:r>
        <w:rPr>
          <w:rFonts w:ascii="Arial Narrow" w:hAnsi="Arial Narrow" w:cs="Arial Narrow"/>
          <w:sz w:val="24"/>
        </w:rPr>
        <w:t>智能家居之都</w:t>
      </w:r>
      <w:r>
        <w:rPr>
          <w:rFonts w:hint="eastAsia" w:ascii="Arial Narrow" w:hAnsi="Arial Narrow" w:cs="Arial Narrow"/>
          <w:sz w:val="24"/>
        </w:rPr>
        <w:t>”</w:t>
      </w:r>
      <w:r>
        <w:rPr>
          <w:rFonts w:ascii="Arial Narrow" w:hAnsi="Arial Narrow" w:cs="Arial Narrow"/>
          <w:sz w:val="24"/>
        </w:rPr>
        <w:t>发展规划编制说明》编制、《武汉经济技术开发区</w:t>
      </w:r>
      <w:r>
        <w:rPr>
          <w:rFonts w:hint="eastAsia" w:ascii="Arial Narrow" w:hAnsi="Arial Narrow" w:cs="Arial Narrow"/>
          <w:sz w:val="24"/>
        </w:rPr>
        <w:t>“</w:t>
      </w:r>
      <w:r>
        <w:rPr>
          <w:rFonts w:ascii="Arial Narrow" w:hAnsi="Arial Narrow" w:cs="Arial Narrow"/>
          <w:sz w:val="24"/>
        </w:rPr>
        <w:t>智能家居之都</w:t>
      </w:r>
      <w:r>
        <w:rPr>
          <w:rFonts w:hint="eastAsia" w:ascii="Arial Narrow" w:hAnsi="Arial Narrow" w:cs="Arial Narrow"/>
          <w:sz w:val="24"/>
        </w:rPr>
        <w:t>”</w:t>
      </w:r>
      <w:r>
        <w:rPr>
          <w:rFonts w:ascii="Arial Narrow" w:hAnsi="Arial Narrow" w:cs="Arial Narrow"/>
          <w:sz w:val="24"/>
        </w:rPr>
        <w:t>发展规划（简本）》编制。</w:t>
      </w:r>
    </w:p>
    <w:p>
      <w:pPr>
        <w:spacing w:line="360" w:lineRule="auto"/>
        <w:ind w:firstLine="439" w:firstLineChars="183"/>
        <w:rPr>
          <w:rFonts w:ascii="Arial Narrow" w:hAnsi="Arial Narrow" w:cs="Arial Narrow"/>
          <w:color w:val="000000" w:themeColor="text1"/>
          <w:sz w:val="24"/>
          <w14:textFill>
            <w14:solidFill>
              <w14:schemeClr w14:val="tx1"/>
            </w14:solidFill>
          </w14:textFill>
        </w:rPr>
      </w:pPr>
      <w:r>
        <w:rPr>
          <w:rFonts w:ascii="Arial Narrow" w:hAnsi="Arial Narrow" w:cs="Arial Narrow"/>
          <w:color w:val="000000" w:themeColor="text1"/>
          <w:sz w:val="24"/>
          <w14:textFill>
            <w14:solidFill>
              <w14:schemeClr w14:val="tx1"/>
            </w14:solidFill>
          </w14:textFill>
        </w:rPr>
        <w:t>（2）绩效目标完成情况</w:t>
      </w:r>
    </w:p>
    <w:p>
      <w:pPr>
        <w:spacing w:line="360" w:lineRule="auto"/>
        <w:ind w:firstLine="480" w:firstLineChars="200"/>
        <w:rPr>
          <w:rFonts w:ascii="Arial Narrow" w:hAnsi="Arial Narrow" w:cs="Arial Narrow"/>
          <w:sz w:val="24"/>
          <w:highlight w:val="yellow"/>
        </w:rPr>
      </w:pPr>
      <w:bookmarkStart w:id="43" w:name="_Toc18708"/>
      <w:r>
        <w:rPr>
          <w:rFonts w:ascii="Arial Narrow" w:hAnsi="Arial Narrow" w:cs="Arial Narrow"/>
          <w:sz w:val="24"/>
        </w:rPr>
        <w:t>项目实施单位在2018年度完成了《武汉经济技术开发区</w:t>
      </w:r>
      <w:r>
        <w:rPr>
          <w:rFonts w:hint="eastAsia" w:ascii="Arial Narrow" w:hAnsi="Arial Narrow" w:cs="Arial Narrow"/>
          <w:sz w:val="24"/>
        </w:rPr>
        <w:t>“</w:t>
      </w:r>
      <w:r>
        <w:rPr>
          <w:rFonts w:ascii="Arial Narrow" w:hAnsi="Arial Narrow" w:cs="Arial Narrow"/>
          <w:sz w:val="24"/>
        </w:rPr>
        <w:t>智能家居之都</w:t>
      </w:r>
      <w:r>
        <w:rPr>
          <w:rFonts w:hint="eastAsia" w:ascii="Arial Narrow" w:hAnsi="Arial Narrow" w:cs="Arial Narrow"/>
          <w:sz w:val="24"/>
        </w:rPr>
        <w:t>”</w:t>
      </w:r>
      <w:r>
        <w:rPr>
          <w:rFonts w:ascii="Arial Narrow" w:hAnsi="Arial Narrow" w:cs="Arial Narrow"/>
          <w:sz w:val="24"/>
        </w:rPr>
        <w:t>发展规划》文本、《武汉经济技术开发区</w:t>
      </w:r>
      <w:r>
        <w:rPr>
          <w:rFonts w:hint="eastAsia" w:ascii="Arial Narrow" w:hAnsi="Arial Narrow" w:cs="Arial Narrow"/>
          <w:sz w:val="24"/>
        </w:rPr>
        <w:t>“</w:t>
      </w:r>
      <w:r>
        <w:rPr>
          <w:rFonts w:ascii="Arial Narrow" w:hAnsi="Arial Narrow" w:cs="Arial Narrow"/>
          <w:sz w:val="24"/>
        </w:rPr>
        <w:t>智能家居之都</w:t>
      </w:r>
      <w:r>
        <w:rPr>
          <w:rFonts w:hint="eastAsia" w:ascii="Arial Narrow" w:hAnsi="Arial Narrow" w:cs="Arial Narrow"/>
          <w:sz w:val="24"/>
        </w:rPr>
        <w:t>”</w:t>
      </w:r>
      <w:r>
        <w:rPr>
          <w:rFonts w:ascii="Arial Narrow" w:hAnsi="Arial Narrow" w:cs="Arial Narrow"/>
          <w:sz w:val="24"/>
        </w:rPr>
        <w:t>发展规划》编制说明；开展2次调研考察活动、召开3次专家研讨会并出具《武汉经济技术开发区</w:t>
      </w:r>
      <w:r>
        <w:rPr>
          <w:rFonts w:hint="eastAsia" w:ascii="Arial Narrow" w:hAnsi="Arial Narrow" w:cs="Arial Narrow"/>
          <w:sz w:val="24"/>
        </w:rPr>
        <w:t>“</w:t>
      </w:r>
      <w:r>
        <w:rPr>
          <w:rFonts w:ascii="Arial Narrow" w:hAnsi="Arial Narrow" w:cs="Arial Narrow"/>
          <w:sz w:val="24"/>
        </w:rPr>
        <w:t>智能家居之都</w:t>
      </w:r>
      <w:r>
        <w:rPr>
          <w:rFonts w:hint="eastAsia" w:ascii="Arial Narrow" w:hAnsi="Arial Narrow" w:cs="Arial Narrow"/>
          <w:sz w:val="24"/>
        </w:rPr>
        <w:t>”</w:t>
      </w:r>
      <w:r>
        <w:rPr>
          <w:rFonts w:ascii="Arial Narrow" w:hAnsi="Arial Narrow" w:cs="Arial Narrow"/>
          <w:sz w:val="24"/>
        </w:rPr>
        <w:t>》调研报告；建立了项目库、企业库、专家库。</w:t>
      </w:r>
    </w:p>
    <w:p>
      <w:pPr>
        <w:spacing w:line="360" w:lineRule="auto"/>
        <w:ind w:left="600" w:leftChars="200"/>
        <w:outlineLvl w:val="2"/>
        <w:rPr>
          <w:rFonts w:ascii="Arial Narrow" w:hAnsi="Arial Narrow" w:cs="Arial Narrow"/>
          <w:color w:val="000000" w:themeColor="text1"/>
          <w:sz w:val="24"/>
          <w14:textFill>
            <w14:solidFill>
              <w14:schemeClr w14:val="tx1"/>
            </w14:solidFill>
          </w14:textFill>
        </w:rPr>
      </w:pPr>
      <w:bookmarkStart w:id="44" w:name="_Toc32594"/>
      <w:r>
        <w:rPr>
          <w:rFonts w:ascii="Arial Narrow" w:hAnsi="Arial Narrow" w:cs="Arial Narrow"/>
          <w:color w:val="000000" w:themeColor="text1"/>
          <w:sz w:val="24"/>
          <w14:textFill>
            <w14:solidFill>
              <w14:schemeClr w14:val="tx1"/>
            </w14:solidFill>
          </w14:textFill>
        </w:rPr>
        <w:t>3、经费来源和使用情况</w:t>
      </w:r>
      <w:bookmarkEnd w:id="43"/>
      <w:bookmarkEnd w:id="44"/>
    </w:p>
    <w:p>
      <w:pPr>
        <w:snapToGrid w:val="0"/>
        <w:spacing w:line="360" w:lineRule="auto"/>
        <w:ind w:firstLine="480" w:firstLineChars="200"/>
        <w:rPr>
          <w:rFonts w:ascii="Arial Narrow" w:hAnsi="Arial Narrow" w:cs="Arial Narrow"/>
          <w:color w:val="000000" w:themeColor="text1"/>
          <w:sz w:val="24"/>
          <w14:textFill>
            <w14:solidFill>
              <w14:schemeClr w14:val="tx1"/>
            </w14:solidFill>
          </w14:textFill>
        </w:rPr>
      </w:pPr>
      <w:r>
        <w:rPr>
          <w:rFonts w:ascii="Arial Narrow" w:hAnsi="Arial Narrow" w:cs="Arial Narrow"/>
          <w:color w:val="000000" w:themeColor="text1"/>
          <w:sz w:val="24"/>
          <w14:textFill>
            <w14:solidFill>
              <w14:schemeClr w14:val="tx1"/>
            </w14:solidFill>
          </w14:textFill>
        </w:rPr>
        <w:t>（1）项目资金来源概况</w:t>
      </w:r>
    </w:p>
    <w:p>
      <w:pPr>
        <w:spacing w:line="360" w:lineRule="auto"/>
        <w:ind w:firstLine="482"/>
        <w:rPr>
          <w:rFonts w:ascii="Arial Narrow" w:hAnsi="Arial Narrow" w:cs="Arial Narrow"/>
          <w:sz w:val="24"/>
        </w:rPr>
      </w:pPr>
      <w:r>
        <w:rPr>
          <w:rFonts w:ascii="Arial Narrow" w:hAnsi="Arial Narrow" w:cs="Arial Narrow"/>
          <w:sz w:val="24"/>
        </w:rPr>
        <w:t>武汉经济开发区（汉南区）智能家居之都发展规划编制经费项目经费来源于当年财政拨款资金，项目到位资金90.00万元，资金及时落实到位。</w:t>
      </w:r>
    </w:p>
    <w:p>
      <w:pPr>
        <w:numPr>
          <w:ilvl w:val="0"/>
          <w:numId w:val="2"/>
        </w:numPr>
        <w:snapToGrid w:val="0"/>
        <w:spacing w:line="360" w:lineRule="auto"/>
        <w:ind w:firstLine="480" w:firstLineChars="200"/>
        <w:rPr>
          <w:rFonts w:ascii="Arial Narrow" w:hAnsi="Arial Narrow" w:cs="Arial Narrow"/>
          <w:color w:val="000000" w:themeColor="text1"/>
          <w:sz w:val="24"/>
          <w14:textFill>
            <w14:solidFill>
              <w14:schemeClr w14:val="tx1"/>
            </w14:solidFill>
          </w14:textFill>
        </w:rPr>
      </w:pPr>
      <w:r>
        <w:rPr>
          <w:rFonts w:ascii="Arial Narrow" w:hAnsi="Arial Narrow" w:cs="Arial Narrow"/>
          <w:color w:val="000000" w:themeColor="text1"/>
          <w:sz w:val="24"/>
          <w14:textFill>
            <w14:solidFill>
              <w14:schemeClr w14:val="tx1"/>
            </w14:solidFill>
          </w14:textFill>
        </w:rPr>
        <w:t>项目资金使用概况</w:t>
      </w:r>
    </w:p>
    <w:p>
      <w:pPr>
        <w:snapToGrid w:val="0"/>
        <w:spacing w:line="360" w:lineRule="auto"/>
        <w:ind w:firstLine="480" w:firstLineChars="200"/>
        <w:rPr>
          <w:rFonts w:ascii="Arial Narrow" w:hAnsi="Arial Narrow" w:cs="Arial Narrow"/>
          <w:color w:val="000000" w:themeColor="text1"/>
          <w:sz w:val="24"/>
          <w14:textFill>
            <w14:solidFill>
              <w14:schemeClr w14:val="tx1"/>
            </w14:solidFill>
          </w14:textFill>
        </w:rPr>
      </w:pPr>
      <w:r>
        <w:rPr>
          <w:rFonts w:hint="eastAsia" w:ascii="Arial Narrow" w:hAnsi="Arial Narrow" w:cs="Arial Narrow"/>
          <w:sz w:val="24"/>
        </w:rPr>
        <w:t>“</w:t>
      </w:r>
      <w:r>
        <w:rPr>
          <w:rFonts w:ascii="Arial Narrow" w:hAnsi="Arial Narrow" w:cs="Arial Narrow"/>
          <w:sz w:val="24"/>
        </w:rPr>
        <w:t>智能家居之都规划编制专项经费</w:t>
      </w:r>
      <w:r>
        <w:rPr>
          <w:rFonts w:hint="eastAsia" w:ascii="Arial Narrow" w:hAnsi="Arial Narrow" w:cs="Arial Narrow"/>
          <w:sz w:val="24"/>
        </w:rPr>
        <w:t>”</w:t>
      </w:r>
      <w:r>
        <w:rPr>
          <w:rFonts w:ascii="Arial Narrow" w:hAnsi="Arial Narrow" w:cs="Arial Narrow"/>
          <w:sz w:val="24"/>
        </w:rPr>
        <w:t>项目实际支出85.00万元，</w:t>
      </w:r>
      <w:r>
        <w:rPr>
          <w:rFonts w:ascii="Arial Narrow" w:hAnsi="Arial Narrow" w:cs="Arial Narrow"/>
          <w:color w:val="000000" w:themeColor="text1"/>
          <w:sz w:val="24"/>
          <w14:textFill>
            <w14:solidFill>
              <w14:schemeClr w14:val="tx1"/>
            </w14:solidFill>
          </w14:textFill>
        </w:rPr>
        <w:t>支出明细如下：</w:t>
      </w:r>
    </w:p>
    <w:tbl>
      <w:tblPr>
        <w:tblStyle w:val="11"/>
        <w:tblW w:w="8520" w:type="dxa"/>
        <w:jc w:val="center"/>
        <w:tblLayout w:type="fixed"/>
        <w:tblCellMar>
          <w:top w:w="0" w:type="dxa"/>
          <w:left w:w="0" w:type="dxa"/>
          <w:bottom w:w="0" w:type="dxa"/>
          <w:right w:w="0" w:type="dxa"/>
        </w:tblCellMar>
      </w:tblPr>
      <w:tblGrid>
        <w:gridCol w:w="1350"/>
        <w:gridCol w:w="1872"/>
        <w:gridCol w:w="1563"/>
        <w:gridCol w:w="1750"/>
        <w:gridCol w:w="1985"/>
      </w:tblGrid>
      <w:tr>
        <w:tblPrEx>
          <w:tblCellMar>
            <w:top w:w="0" w:type="dxa"/>
            <w:left w:w="0" w:type="dxa"/>
            <w:bottom w:w="0" w:type="dxa"/>
            <w:right w:w="0" w:type="dxa"/>
          </w:tblCellMar>
        </w:tblPrEx>
        <w:trPr>
          <w:trHeight w:val="461" w:hRule="atLeast"/>
          <w:jc w:val="center"/>
        </w:trPr>
        <w:tc>
          <w:tcPr>
            <w:tcW w:w="1350" w:type="dxa"/>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widowControl/>
              <w:jc w:val="center"/>
              <w:textAlignment w:val="center"/>
              <w:rPr>
                <w:rFonts w:ascii="Arial Narrow" w:hAnsi="Arial Narrow" w:cs="Arial Narrow"/>
                <w:b/>
                <w:color w:val="000000"/>
                <w:sz w:val="20"/>
                <w:szCs w:val="20"/>
              </w:rPr>
            </w:pPr>
            <w:r>
              <w:rPr>
                <w:rFonts w:ascii="Arial Narrow" w:hAnsi="Arial Narrow" w:cs="Arial Narrow"/>
                <w:b/>
                <w:color w:val="000000"/>
                <w:kern w:val="0"/>
                <w:sz w:val="20"/>
                <w:szCs w:val="20"/>
                <w:lang w:bidi="ar"/>
              </w:rPr>
              <w:t>资金使用者</w:t>
            </w:r>
          </w:p>
        </w:tc>
        <w:tc>
          <w:tcPr>
            <w:tcW w:w="1872" w:type="dxa"/>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widowControl/>
              <w:jc w:val="center"/>
              <w:textAlignment w:val="center"/>
              <w:rPr>
                <w:rFonts w:ascii="Arial Narrow" w:hAnsi="Arial Narrow" w:cs="Arial Narrow"/>
                <w:b/>
                <w:color w:val="000000"/>
                <w:sz w:val="20"/>
                <w:szCs w:val="20"/>
              </w:rPr>
            </w:pPr>
            <w:r>
              <w:rPr>
                <w:rFonts w:ascii="Arial Narrow" w:hAnsi="Arial Narrow" w:cs="Arial Narrow"/>
                <w:b/>
                <w:color w:val="000000"/>
                <w:kern w:val="0"/>
                <w:sz w:val="20"/>
                <w:szCs w:val="20"/>
                <w:lang w:bidi="ar"/>
              </w:rPr>
              <w:t>支出类型</w:t>
            </w:r>
          </w:p>
        </w:tc>
        <w:tc>
          <w:tcPr>
            <w:tcW w:w="1563" w:type="dxa"/>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widowControl/>
              <w:jc w:val="center"/>
              <w:textAlignment w:val="center"/>
              <w:rPr>
                <w:rFonts w:ascii="Arial Narrow" w:hAnsi="Arial Narrow" w:cs="Arial Narrow"/>
                <w:b/>
                <w:color w:val="000000"/>
                <w:sz w:val="20"/>
                <w:szCs w:val="20"/>
              </w:rPr>
            </w:pPr>
            <w:r>
              <w:rPr>
                <w:rFonts w:ascii="Arial Narrow" w:hAnsi="Arial Narrow" w:cs="Arial Narrow"/>
                <w:b/>
                <w:color w:val="000000"/>
                <w:kern w:val="0"/>
                <w:sz w:val="20"/>
                <w:szCs w:val="20"/>
                <w:lang w:bidi="ar"/>
              </w:rPr>
              <w:t>预算金额（万元）</w:t>
            </w:r>
          </w:p>
        </w:tc>
        <w:tc>
          <w:tcPr>
            <w:tcW w:w="1750" w:type="dxa"/>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widowControl/>
              <w:jc w:val="center"/>
              <w:textAlignment w:val="center"/>
              <w:rPr>
                <w:rFonts w:ascii="Arial Narrow" w:hAnsi="Arial Narrow" w:cs="Arial Narrow"/>
                <w:b/>
                <w:color w:val="000000"/>
                <w:sz w:val="20"/>
                <w:szCs w:val="20"/>
              </w:rPr>
            </w:pPr>
            <w:r>
              <w:rPr>
                <w:rFonts w:ascii="Arial Narrow" w:hAnsi="Arial Narrow" w:cs="Arial Narrow"/>
                <w:b/>
                <w:color w:val="000000"/>
                <w:kern w:val="0"/>
                <w:sz w:val="20"/>
                <w:szCs w:val="20"/>
                <w:lang w:bidi="ar"/>
              </w:rPr>
              <w:t>执行金额（万元）</w:t>
            </w:r>
          </w:p>
        </w:tc>
        <w:tc>
          <w:tcPr>
            <w:tcW w:w="1985" w:type="dxa"/>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widowControl/>
              <w:jc w:val="center"/>
              <w:textAlignment w:val="center"/>
              <w:rPr>
                <w:rFonts w:ascii="Arial Narrow" w:hAnsi="Arial Narrow" w:cs="Arial Narrow"/>
                <w:b/>
                <w:color w:val="000000"/>
                <w:sz w:val="20"/>
                <w:szCs w:val="20"/>
              </w:rPr>
            </w:pPr>
            <w:r>
              <w:rPr>
                <w:rFonts w:ascii="Arial Narrow" w:hAnsi="Arial Narrow" w:cs="Arial Narrow"/>
                <w:b/>
                <w:color w:val="000000"/>
                <w:kern w:val="0"/>
                <w:sz w:val="20"/>
                <w:szCs w:val="20"/>
                <w:lang w:bidi="ar"/>
              </w:rPr>
              <w:t>执行率</w:t>
            </w:r>
          </w:p>
        </w:tc>
      </w:tr>
      <w:tr>
        <w:tblPrEx>
          <w:tblCellMar>
            <w:top w:w="0" w:type="dxa"/>
            <w:left w:w="0" w:type="dxa"/>
            <w:bottom w:w="0" w:type="dxa"/>
            <w:right w:w="0" w:type="dxa"/>
          </w:tblCellMar>
        </w:tblPrEx>
        <w:trPr>
          <w:trHeight w:val="866" w:hRule="atLeast"/>
          <w:jc w:val="center"/>
        </w:trPr>
        <w:tc>
          <w:tcPr>
            <w:tcW w:w="135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widowControl/>
              <w:jc w:val="center"/>
              <w:textAlignment w:val="center"/>
              <w:rPr>
                <w:rFonts w:ascii="Arial Narrow" w:hAnsi="Arial Narrow" w:cs="Arial Narrow"/>
                <w:color w:val="000000"/>
                <w:sz w:val="20"/>
                <w:szCs w:val="20"/>
              </w:rPr>
            </w:pPr>
            <w:r>
              <w:rPr>
                <w:rFonts w:ascii="Arial Narrow" w:hAnsi="Arial Narrow" w:cs="Arial Narrow"/>
                <w:sz w:val="20"/>
                <w:szCs w:val="20"/>
              </w:rPr>
              <w:t>建设工程服务中心</w:t>
            </w:r>
          </w:p>
        </w:tc>
        <w:tc>
          <w:tcPr>
            <w:tcW w:w="1872"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widowControl/>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智能家居之都规划编制经费</w:t>
            </w:r>
          </w:p>
        </w:tc>
        <w:tc>
          <w:tcPr>
            <w:tcW w:w="1563"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widowControl/>
              <w:ind w:firstLine="400" w:firstLineChars="20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90.00</w:t>
            </w:r>
          </w:p>
        </w:tc>
        <w:tc>
          <w:tcPr>
            <w:tcW w:w="1750" w:type="dxa"/>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widowControl/>
              <w:ind w:firstLine="400" w:firstLineChars="20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85.00</w:t>
            </w:r>
          </w:p>
        </w:tc>
        <w:tc>
          <w:tcPr>
            <w:tcW w:w="1985"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widowControl/>
              <w:ind w:firstLine="400" w:firstLineChars="20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94.44%</w:t>
            </w:r>
          </w:p>
        </w:tc>
      </w:tr>
    </w:tbl>
    <w:p>
      <w:pPr>
        <w:spacing w:line="360" w:lineRule="auto"/>
        <w:ind w:firstLine="482" w:firstLineChars="200"/>
        <w:outlineLvl w:val="2"/>
        <w:rPr>
          <w:rFonts w:ascii="Arial Narrow" w:hAnsi="Arial Narrow" w:cs="Arial Narrow"/>
          <w:b/>
          <w:bCs/>
          <w:color w:val="000000" w:themeColor="text1"/>
          <w:sz w:val="24"/>
          <w14:textFill>
            <w14:solidFill>
              <w14:schemeClr w14:val="tx1"/>
            </w14:solidFill>
          </w14:textFill>
        </w:rPr>
      </w:pPr>
      <w:bookmarkStart w:id="45" w:name="_Toc30888"/>
      <w:bookmarkStart w:id="46" w:name="_Toc9401"/>
      <w:r>
        <w:rPr>
          <w:rFonts w:ascii="Arial Narrow" w:hAnsi="Arial Narrow" w:cs="Arial Narrow"/>
          <w:b/>
          <w:bCs/>
          <w:color w:val="000000" w:themeColor="text1"/>
          <w:sz w:val="24"/>
          <w14:textFill>
            <w14:solidFill>
              <w14:schemeClr w14:val="tx1"/>
            </w14:solidFill>
          </w14:textFill>
        </w:rPr>
        <w:t>4、项目实施情况</w:t>
      </w:r>
      <w:bookmarkEnd w:id="45"/>
      <w:bookmarkEnd w:id="46"/>
    </w:p>
    <w:p>
      <w:pPr>
        <w:spacing w:line="360" w:lineRule="auto"/>
        <w:ind w:firstLine="480" w:firstLineChars="200"/>
        <w:rPr>
          <w:rFonts w:ascii="Arial Narrow" w:hAnsi="Arial Narrow" w:cs="Arial Narrow"/>
          <w:color w:val="000000" w:themeColor="text1"/>
          <w:sz w:val="24"/>
          <w14:textFill>
            <w14:solidFill>
              <w14:schemeClr w14:val="tx1"/>
            </w14:solidFill>
          </w14:textFill>
        </w:rPr>
      </w:pPr>
      <w:bookmarkStart w:id="47" w:name="_Toc22022"/>
      <w:r>
        <w:rPr>
          <w:rFonts w:ascii="Arial Narrow" w:hAnsi="Arial Narrow" w:cs="Arial Narrow"/>
          <w:color w:val="000000" w:themeColor="text1"/>
          <w:sz w:val="24"/>
          <w14:textFill>
            <w14:solidFill>
              <w14:schemeClr w14:val="tx1"/>
            </w14:solidFill>
          </w14:textFill>
        </w:rPr>
        <w:t>（1）项目实施单位：</w:t>
      </w:r>
      <w:bookmarkEnd w:id="47"/>
      <w:r>
        <w:rPr>
          <w:rFonts w:ascii="Arial Narrow" w:hAnsi="Arial Narrow" w:cs="Arial Narrow"/>
          <w:color w:val="000000" w:themeColor="text1"/>
          <w:sz w:val="24"/>
          <w14:textFill>
            <w14:solidFill>
              <w14:schemeClr w14:val="tx1"/>
            </w14:solidFill>
          </w14:textFill>
        </w:rPr>
        <w:t>武汉经济技术开发区（汉南区）城乡建设局</w:t>
      </w:r>
    </w:p>
    <w:p>
      <w:pPr>
        <w:spacing w:line="360" w:lineRule="auto"/>
        <w:ind w:firstLine="480" w:firstLineChars="200"/>
        <w:rPr>
          <w:rFonts w:ascii="Arial Narrow" w:hAnsi="Arial Narrow" w:cs="Arial Narrow"/>
          <w:color w:val="000000" w:themeColor="text1"/>
          <w:sz w:val="24"/>
          <w:highlight w:val="yellow"/>
          <w14:textFill>
            <w14:solidFill>
              <w14:schemeClr w14:val="tx1"/>
            </w14:solidFill>
          </w14:textFill>
        </w:rPr>
      </w:pPr>
      <w:bookmarkStart w:id="48" w:name="_Toc29005"/>
      <w:r>
        <w:rPr>
          <w:rFonts w:ascii="Arial Narrow" w:hAnsi="Arial Narrow" w:cs="Arial Narrow"/>
          <w:color w:val="000000" w:themeColor="text1"/>
          <w:sz w:val="24"/>
          <w14:textFill>
            <w14:solidFill>
              <w14:schemeClr w14:val="tx1"/>
            </w14:solidFill>
          </w14:textFill>
        </w:rPr>
        <w:t>（2）项目实施周期与地点：</w:t>
      </w:r>
      <w:bookmarkEnd w:id="48"/>
      <w:r>
        <w:rPr>
          <w:rFonts w:ascii="Arial Narrow" w:hAnsi="Arial Narrow" w:cs="Arial Narrow"/>
          <w:color w:val="000000" w:themeColor="text1"/>
          <w:sz w:val="24"/>
          <w14:textFill>
            <w14:solidFill>
              <w14:schemeClr w14:val="tx1"/>
            </w14:solidFill>
          </w14:textFill>
        </w:rPr>
        <w:t>2018年1月至2018年12月；武汉经济技术开发区（汉南区）。</w:t>
      </w:r>
    </w:p>
    <w:p>
      <w:pPr>
        <w:spacing w:line="360" w:lineRule="auto"/>
        <w:ind w:firstLine="480" w:firstLineChars="200"/>
        <w:rPr>
          <w:rFonts w:ascii="Arial Narrow" w:hAnsi="Arial Narrow" w:cs="Arial Narrow"/>
          <w:color w:val="000000" w:themeColor="text1"/>
          <w:sz w:val="24"/>
          <w:highlight w:val="yellow"/>
          <w14:textFill>
            <w14:solidFill>
              <w14:schemeClr w14:val="tx1"/>
            </w14:solidFill>
          </w14:textFill>
        </w:rPr>
      </w:pPr>
      <w:bookmarkStart w:id="49" w:name="_Toc24131"/>
      <w:r>
        <w:rPr>
          <w:rFonts w:ascii="Arial Narrow" w:hAnsi="Arial Narrow" w:cs="Arial Narrow"/>
          <w:color w:val="000000" w:themeColor="text1"/>
          <w:sz w:val="24"/>
          <w14:textFill>
            <w14:solidFill>
              <w14:schemeClr w14:val="tx1"/>
            </w14:solidFill>
          </w14:textFill>
        </w:rPr>
        <w:t>（3）项目主要内容：</w:t>
      </w:r>
      <w:bookmarkEnd w:id="49"/>
      <w:r>
        <w:rPr>
          <w:rFonts w:ascii="Arial Narrow" w:hAnsi="Arial Narrow" w:cs="Arial Narrow"/>
          <w:color w:val="000000" w:themeColor="text1"/>
          <w:sz w:val="24"/>
          <w14:textFill>
            <w14:solidFill>
              <w14:schemeClr w14:val="tx1"/>
            </w14:solidFill>
          </w14:textFill>
        </w:rPr>
        <w:t>组织</w:t>
      </w:r>
      <w:r>
        <w:rPr>
          <w:rFonts w:ascii="Arial Narrow" w:hAnsi="Arial Narrow" w:cs="Arial Narrow"/>
          <w:sz w:val="24"/>
        </w:rPr>
        <w:t>项目调研，形成《武汉经济技术开发区</w:t>
      </w:r>
      <w:r>
        <w:rPr>
          <w:rFonts w:hint="eastAsia" w:ascii="Arial Narrow" w:hAnsi="Arial Narrow" w:cs="Arial Narrow"/>
          <w:sz w:val="24"/>
        </w:rPr>
        <w:t>“</w:t>
      </w:r>
      <w:r>
        <w:rPr>
          <w:rFonts w:ascii="Arial Narrow" w:hAnsi="Arial Narrow" w:cs="Arial Narrow"/>
          <w:sz w:val="24"/>
        </w:rPr>
        <w:t>智能家居之都</w:t>
      </w:r>
      <w:r>
        <w:rPr>
          <w:rFonts w:hint="eastAsia" w:ascii="Arial Narrow" w:hAnsi="Arial Narrow" w:cs="Arial Narrow"/>
          <w:sz w:val="24"/>
        </w:rPr>
        <w:t>”</w:t>
      </w:r>
      <w:r>
        <w:rPr>
          <w:rFonts w:ascii="Arial Narrow" w:hAnsi="Arial Narrow" w:cs="Arial Narrow"/>
          <w:sz w:val="24"/>
        </w:rPr>
        <w:t>》调研报告；系统梳理资料，开展对武汉经开区现状研究和智能家居产业的趋势研究；完成《武汉经济技术开发区</w:t>
      </w:r>
      <w:r>
        <w:rPr>
          <w:rFonts w:hint="eastAsia" w:ascii="Arial Narrow" w:hAnsi="Arial Narrow" w:cs="Arial Narrow"/>
          <w:sz w:val="24"/>
        </w:rPr>
        <w:t>“</w:t>
      </w:r>
      <w:r>
        <w:rPr>
          <w:rFonts w:ascii="Arial Narrow" w:hAnsi="Arial Narrow" w:cs="Arial Narrow"/>
          <w:sz w:val="24"/>
        </w:rPr>
        <w:t>智能家居之都</w:t>
      </w:r>
      <w:r>
        <w:rPr>
          <w:rFonts w:hint="eastAsia" w:ascii="Arial Narrow" w:hAnsi="Arial Narrow" w:cs="Arial Narrow"/>
          <w:sz w:val="24"/>
        </w:rPr>
        <w:t>”</w:t>
      </w:r>
      <w:r>
        <w:rPr>
          <w:rFonts w:ascii="Arial Narrow" w:hAnsi="Arial Narrow" w:cs="Arial Narrow"/>
          <w:sz w:val="24"/>
        </w:rPr>
        <w:t>发展规划》编制、《武汉经济技术开发区</w:t>
      </w:r>
      <w:r>
        <w:rPr>
          <w:rFonts w:hint="eastAsia" w:ascii="Arial Narrow" w:hAnsi="Arial Narrow" w:cs="Arial Narrow"/>
          <w:sz w:val="24"/>
        </w:rPr>
        <w:t>“</w:t>
      </w:r>
      <w:r>
        <w:rPr>
          <w:rFonts w:ascii="Arial Narrow" w:hAnsi="Arial Narrow" w:cs="Arial Narrow"/>
          <w:sz w:val="24"/>
        </w:rPr>
        <w:t>智能家居之都</w:t>
      </w:r>
      <w:r>
        <w:rPr>
          <w:rFonts w:hint="eastAsia" w:ascii="Arial Narrow" w:hAnsi="Arial Narrow" w:cs="Arial Narrow"/>
          <w:sz w:val="24"/>
        </w:rPr>
        <w:t>”</w:t>
      </w:r>
      <w:r>
        <w:rPr>
          <w:rFonts w:ascii="Arial Narrow" w:hAnsi="Arial Narrow" w:cs="Arial Narrow"/>
          <w:sz w:val="24"/>
        </w:rPr>
        <w:t>发展规划编制说明》编制、《武汉经济技术开发区</w:t>
      </w:r>
      <w:r>
        <w:rPr>
          <w:rFonts w:hint="eastAsia" w:ascii="Arial Narrow" w:hAnsi="Arial Narrow" w:cs="Arial Narrow"/>
          <w:sz w:val="24"/>
        </w:rPr>
        <w:t>“</w:t>
      </w:r>
      <w:r>
        <w:rPr>
          <w:rFonts w:ascii="Arial Narrow" w:hAnsi="Arial Narrow" w:cs="Arial Narrow"/>
          <w:sz w:val="24"/>
        </w:rPr>
        <w:t>智能家居之都</w:t>
      </w:r>
      <w:r>
        <w:rPr>
          <w:rFonts w:hint="eastAsia" w:ascii="Arial Narrow" w:hAnsi="Arial Narrow" w:cs="Arial Narrow"/>
          <w:sz w:val="24"/>
        </w:rPr>
        <w:t>”</w:t>
      </w:r>
      <w:r>
        <w:rPr>
          <w:rFonts w:ascii="Arial Narrow" w:hAnsi="Arial Narrow" w:cs="Arial Narrow"/>
          <w:sz w:val="24"/>
        </w:rPr>
        <w:t>发展规划图集》编制费用、《武汉经济技术开发区</w:t>
      </w:r>
      <w:r>
        <w:rPr>
          <w:rFonts w:hint="eastAsia" w:ascii="Arial Narrow" w:hAnsi="Arial Narrow" w:cs="Arial Narrow"/>
          <w:sz w:val="24"/>
        </w:rPr>
        <w:t>“</w:t>
      </w:r>
      <w:r>
        <w:rPr>
          <w:rFonts w:ascii="Arial Narrow" w:hAnsi="Arial Narrow" w:cs="Arial Narrow"/>
          <w:sz w:val="24"/>
        </w:rPr>
        <w:t>智能家居之都</w:t>
      </w:r>
      <w:r>
        <w:rPr>
          <w:rFonts w:hint="eastAsia" w:ascii="Arial Narrow" w:hAnsi="Arial Narrow" w:cs="Arial Narrow"/>
          <w:sz w:val="24"/>
        </w:rPr>
        <w:t>”</w:t>
      </w:r>
      <w:r>
        <w:rPr>
          <w:rFonts w:ascii="Arial Narrow" w:hAnsi="Arial Narrow" w:cs="Arial Narrow"/>
          <w:sz w:val="24"/>
        </w:rPr>
        <w:t>发展规划（简本）》编制。</w:t>
      </w:r>
    </w:p>
    <w:p>
      <w:pPr>
        <w:spacing w:line="360" w:lineRule="auto"/>
        <w:ind w:firstLine="480" w:firstLineChars="200"/>
        <w:rPr>
          <w:rFonts w:ascii="Arial Narrow" w:hAnsi="Arial Narrow" w:cs="Arial Narrow"/>
          <w:color w:val="000000" w:themeColor="text1"/>
          <w:sz w:val="24"/>
          <w:highlight w:val="yellow"/>
          <w14:textFill>
            <w14:solidFill>
              <w14:schemeClr w14:val="tx1"/>
            </w14:solidFill>
          </w14:textFill>
        </w:rPr>
      </w:pPr>
      <w:bookmarkStart w:id="50" w:name="_Toc4143"/>
      <w:r>
        <w:rPr>
          <w:rFonts w:ascii="Arial Narrow" w:hAnsi="Arial Narrow" w:cs="Arial Narrow"/>
          <w:color w:val="000000" w:themeColor="text1"/>
          <w:sz w:val="24"/>
          <w14:textFill>
            <w14:solidFill>
              <w14:schemeClr w14:val="tx1"/>
            </w14:solidFill>
          </w14:textFill>
        </w:rPr>
        <w:t>（4）项目完成概况：</w:t>
      </w:r>
      <w:bookmarkEnd w:id="50"/>
      <w:r>
        <w:rPr>
          <w:rFonts w:ascii="Arial Narrow" w:hAnsi="Arial Narrow" w:cs="Arial Narrow"/>
          <w:sz w:val="24"/>
        </w:rPr>
        <w:t>全年开展了三次专家研讨会，确立了项目库、企业库、专家库。该部门于年初完成了</w:t>
      </w:r>
      <w:r>
        <w:rPr>
          <w:rFonts w:hint="eastAsia" w:ascii="Arial Narrow" w:hAnsi="Arial Narrow" w:cs="Arial Narrow"/>
          <w:sz w:val="24"/>
        </w:rPr>
        <w:t>“</w:t>
      </w:r>
      <w:r>
        <w:rPr>
          <w:rFonts w:ascii="Arial Narrow" w:hAnsi="Arial Narrow" w:cs="Arial Narrow"/>
          <w:sz w:val="24"/>
        </w:rPr>
        <w:t>智能家居之都</w:t>
      </w:r>
      <w:r>
        <w:rPr>
          <w:rFonts w:hint="eastAsia" w:ascii="Arial Narrow" w:hAnsi="Arial Narrow" w:cs="Arial Narrow"/>
          <w:sz w:val="24"/>
        </w:rPr>
        <w:t>”</w:t>
      </w:r>
      <w:r>
        <w:rPr>
          <w:rFonts w:ascii="Arial Narrow" w:hAnsi="Arial Narrow" w:cs="Arial Narrow"/>
          <w:sz w:val="24"/>
        </w:rPr>
        <w:t>发展规划编制初稿，之后召开《规划》专家评审会，修改后形成定稿（包括《规划》文本、发展规划图集、项目库、企业库、专家库、建设重点任务清单等）并与规定时限内完成；组织车都集团、湖北省发展规划研究院有限公司，赴河北雄安新区、山东青岛开展考察学习；验收并提交了《武汉经济技术开发区</w:t>
      </w:r>
      <w:r>
        <w:rPr>
          <w:rFonts w:hint="eastAsia" w:ascii="Arial Narrow" w:hAnsi="Arial Narrow" w:cs="Arial Narrow"/>
          <w:sz w:val="24"/>
        </w:rPr>
        <w:t>“</w:t>
      </w:r>
      <w:r>
        <w:rPr>
          <w:rFonts w:ascii="Arial Narrow" w:hAnsi="Arial Narrow" w:cs="Arial Narrow"/>
          <w:sz w:val="24"/>
        </w:rPr>
        <w:t>智能家居之都</w:t>
      </w:r>
      <w:r>
        <w:rPr>
          <w:rFonts w:hint="eastAsia" w:ascii="Arial Narrow" w:hAnsi="Arial Narrow" w:cs="Arial Narrow"/>
          <w:sz w:val="24"/>
        </w:rPr>
        <w:t>”</w:t>
      </w:r>
      <w:r>
        <w:rPr>
          <w:rFonts w:ascii="Arial Narrow" w:hAnsi="Arial Narrow" w:cs="Arial Narrow"/>
          <w:sz w:val="24"/>
        </w:rPr>
        <w:t>发展规划》文本、《武汉经济技术开发区</w:t>
      </w:r>
      <w:r>
        <w:rPr>
          <w:rFonts w:hint="eastAsia" w:ascii="Arial Narrow" w:hAnsi="Arial Narrow" w:cs="Arial Narrow"/>
          <w:sz w:val="24"/>
        </w:rPr>
        <w:t>“</w:t>
      </w:r>
      <w:r>
        <w:rPr>
          <w:rFonts w:ascii="Arial Narrow" w:hAnsi="Arial Narrow" w:cs="Arial Narrow"/>
          <w:sz w:val="24"/>
        </w:rPr>
        <w:t>智能家居之都</w:t>
      </w:r>
      <w:r>
        <w:rPr>
          <w:rFonts w:hint="eastAsia" w:ascii="Arial Narrow" w:hAnsi="Arial Narrow" w:cs="Arial Narrow"/>
          <w:sz w:val="24"/>
        </w:rPr>
        <w:t>”</w:t>
      </w:r>
      <w:r>
        <w:rPr>
          <w:rFonts w:ascii="Arial Narrow" w:hAnsi="Arial Narrow" w:cs="Arial Narrow"/>
          <w:sz w:val="24"/>
        </w:rPr>
        <w:t>发展规划》编制说明、《武汉经济技术开发区</w:t>
      </w:r>
      <w:r>
        <w:rPr>
          <w:rFonts w:hint="eastAsia" w:ascii="Arial Narrow" w:hAnsi="Arial Narrow" w:cs="Arial Narrow"/>
          <w:sz w:val="24"/>
        </w:rPr>
        <w:t>“</w:t>
      </w:r>
      <w:r>
        <w:rPr>
          <w:rFonts w:ascii="Arial Narrow" w:hAnsi="Arial Narrow" w:cs="Arial Narrow"/>
          <w:sz w:val="24"/>
        </w:rPr>
        <w:t>智能家居之都</w:t>
      </w:r>
      <w:r>
        <w:rPr>
          <w:rFonts w:hint="eastAsia" w:ascii="Arial Narrow" w:hAnsi="Arial Narrow" w:cs="Arial Narrow"/>
          <w:sz w:val="24"/>
        </w:rPr>
        <w:t>”</w:t>
      </w:r>
      <w:r>
        <w:rPr>
          <w:rFonts w:ascii="Arial Narrow" w:hAnsi="Arial Narrow" w:cs="Arial Narrow"/>
          <w:sz w:val="24"/>
        </w:rPr>
        <w:t>发展规划》调研报告等，共计书面报告15份；向招商局、经信局等单位进行</w:t>
      </w:r>
      <w:r>
        <w:rPr>
          <w:rFonts w:hint="eastAsia" w:ascii="Arial Narrow" w:hAnsi="Arial Narrow" w:cs="Arial Narrow"/>
          <w:sz w:val="24"/>
        </w:rPr>
        <w:t>“</w:t>
      </w:r>
      <w:r>
        <w:rPr>
          <w:rFonts w:ascii="Arial Narrow" w:hAnsi="Arial Narrow" w:cs="Arial Narrow"/>
          <w:sz w:val="24"/>
        </w:rPr>
        <w:t>智能家居之都</w:t>
      </w:r>
      <w:r>
        <w:rPr>
          <w:rFonts w:hint="eastAsia" w:ascii="Arial Narrow" w:hAnsi="Arial Narrow" w:cs="Arial Narrow"/>
          <w:sz w:val="24"/>
        </w:rPr>
        <w:t>”</w:t>
      </w:r>
      <w:r>
        <w:rPr>
          <w:rFonts w:ascii="Arial Narrow" w:hAnsi="Arial Narrow" w:cs="Arial Narrow"/>
          <w:sz w:val="24"/>
        </w:rPr>
        <w:t>规划编制进行推广宣传。</w:t>
      </w:r>
    </w:p>
    <w:p>
      <w:pPr>
        <w:spacing w:line="360" w:lineRule="auto"/>
        <w:ind w:firstLine="482" w:firstLineChars="200"/>
        <w:outlineLvl w:val="1"/>
        <w:rPr>
          <w:rFonts w:ascii="Arial Narrow" w:hAnsi="Arial Narrow" w:cs="Arial Narrow"/>
          <w:b/>
          <w:bCs/>
          <w:color w:val="000000" w:themeColor="text1"/>
          <w:sz w:val="24"/>
          <w14:textFill>
            <w14:solidFill>
              <w14:schemeClr w14:val="tx1"/>
            </w14:solidFill>
          </w14:textFill>
        </w:rPr>
      </w:pPr>
      <w:bookmarkStart w:id="51" w:name="_Toc12403"/>
      <w:bookmarkStart w:id="52" w:name="_Toc30238"/>
      <w:r>
        <w:rPr>
          <w:rFonts w:ascii="Arial Narrow" w:hAnsi="Arial Narrow" w:cs="Arial Narrow"/>
          <w:b/>
          <w:bCs/>
          <w:color w:val="000000" w:themeColor="text1"/>
          <w:sz w:val="24"/>
          <w14:textFill>
            <w14:solidFill>
              <w14:schemeClr w14:val="tx1"/>
            </w14:solidFill>
          </w14:textFill>
        </w:rPr>
        <w:t>（二）绩效评价工作情况</w:t>
      </w:r>
      <w:bookmarkEnd w:id="51"/>
      <w:bookmarkEnd w:id="52"/>
    </w:p>
    <w:p>
      <w:pPr>
        <w:spacing w:line="360" w:lineRule="auto"/>
        <w:ind w:firstLine="480" w:firstLineChars="200"/>
        <w:outlineLvl w:val="2"/>
        <w:rPr>
          <w:rFonts w:ascii="Arial Narrow" w:hAnsi="Arial Narrow" w:cs="Arial Narrow"/>
          <w:color w:val="000000" w:themeColor="text1"/>
          <w:sz w:val="24"/>
          <w14:textFill>
            <w14:solidFill>
              <w14:schemeClr w14:val="tx1"/>
            </w14:solidFill>
          </w14:textFill>
        </w:rPr>
      </w:pPr>
      <w:bookmarkStart w:id="53" w:name="_Toc3136"/>
      <w:bookmarkStart w:id="54" w:name="_Toc12819"/>
      <w:r>
        <w:rPr>
          <w:rFonts w:ascii="Arial Narrow" w:hAnsi="Arial Narrow" w:cs="Arial Narrow"/>
          <w:color w:val="000000" w:themeColor="text1"/>
          <w:sz w:val="24"/>
          <w14:textFill>
            <w14:solidFill>
              <w14:schemeClr w14:val="tx1"/>
            </w14:solidFill>
          </w14:textFill>
        </w:rPr>
        <w:t>1、绩效评价目的</w:t>
      </w:r>
      <w:bookmarkEnd w:id="53"/>
      <w:bookmarkEnd w:id="54"/>
    </w:p>
    <w:p>
      <w:pPr>
        <w:spacing w:line="360" w:lineRule="auto"/>
        <w:ind w:firstLine="482"/>
        <w:rPr>
          <w:rFonts w:ascii="Arial Narrow" w:hAnsi="Arial Narrow" w:cs="Arial Narrow"/>
          <w:sz w:val="24"/>
        </w:rPr>
      </w:pPr>
      <w:r>
        <w:rPr>
          <w:rFonts w:ascii="Arial Narrow" w:hAnsi="Arial Narrow" w:cs="Arial Narrow"/>
          <w:sz w:val="24"/>
        </w:rPr>
        <w:t>为深化预算管理改革，提高财政资金使用效益，根据《中华人民共和国预算法》和《财政支出绩效评价管理暂行办法》等国家有关财务规章制度，结合城乡建设局智能家居之都发展规划编制经费项目支出具体情况，根据</w:t>
      </w:r>
      <w:r>
        <w:rPr>
          <w:rFonts w:ascii="Arial Narrow" w:hAnsi="Arial Narrow" w:cs="Arial Narrow"/>
          <w:color w:val="000000" w:themeColor="text1"/>
          <w:sz w:val="24"/>
          <w14:textFill>
            <w14:solidFill>
              <w14:schemeClr w14:val="tx1"/>
            </w14:solidFill>
          </w14:textFill>
        </w:rPr>
        <w:t>《区财政局关于2019年开展预算绩效评价工作的通知》（武经开财〔2019〕29号）要求进行此绩效评价工作，本次绩效</w:t>
      </w:r>
      <w:r>
        <w:rPr>
          <w:rFonts w:ascii="Arial Narrow" w:hAnsi="Arial Narrow" w:cs="Arial Narrow"/>
          <w:sz w:val="24"/>
        </w:rPr>
        <w:t>评价还力争实现以下目的：</w:t>
      </w:r>
    </w:p>
    <w:p>
      <w:pPr>
        <w:spacing w:line="360" w:lineRule="auto"/>
        <w:ind w:firstLine="482"/>
        <w:rPr>
          <w:rFonts w:ascii="Arial Narrow" w:hAnsi="Arial Narrow" w:cs="Arial Narrow"/>
          <w:sz w:val="24"/>
        </w:rPr>
      </w:pPr>
      <w:r>
        <w:rPr>
          <w:rFonts w:ascii="Arial Narrow" w:hAnsi="Arial Narrow" w:cs="Arial Narrow"/>
          <w:sz w:val="24"/>
        </w:rPr>
        <w:t>（1）按照城乡建设局</w:t>
      </w:r>
      <w:r>
        <w:rPr>
          <w:rFonts w:hint="eastAsia" w:ascii="Arial Narrow" w:hAnsi="Arial Narrow" w:cs="Arial Narrow"/>
          <w:sz w:val="24"/>
        </w:rPr>
        <w:t>“</w:t>
      </w:r>
      <w:r>
        <w:rPr>
          <w:rFonts w:ascii="Arial Narrow" w:hAnsi="Arial Narrow" w:cs="Arial Narrow"/>
          <w:bCs/>
          <w:color w:val="000000" w:themeColor="text1"/>
          <w:sz w:val="24"/>
          <w14:textFill>
            <w14:solidFill>
              <w14:schemeClr w14:val="tx1"/>
            </w14:solidFill>
          </w14:textFill>
        </w:rPr>
        <w:t>智能家居之都发展规划编制经费</w:t>
      </w:r>
      <w:r>
        <w:rPr>
          <w:rFonts w:hint="eastAsia" w:ascii="Arial Narrow" w:hAnsi="Arial Narrow" w:cs="Arial Narrow"/>
          <w:bCs/>
          <w:color w:val="000000" w:themeColor="text1"/>
          <w:sz w:val="24"/>
          <w14:textFill>
            <w14:solidFill>
              <w14:schemeClr w14:val="tx1"/>
            </w14:solidFill>
          </w14:textFill>
        </w:rPr>
        <w:t>”</w:t>
      </w:r>
      <w:r>
        <w:rPr>
          <w:rFonts w:ascii="Arial Narrow" w:hAnsi="Arial Narrow" w:cs="Arial Narrow"/>
          <w:sz w:val="24"/>
        </w:rPr>
        <w:t>项目资金管理要求，设计合理的指标体系和评价标准，采取科学、规范的评价方法，采用定性及定量相结合的评价指标，对城乡建设局</w:t>
      </w:r>
      <w:r>
        <w:rPr>
          <w:rFonts w:hint="eastAsia" w:ascii="Arial Narrow" w:hAnsi="Arial Narrow" w:cs="Arial Narrow"/>
          <w:sz w:val="24"/>
        </w:rPr>
        <w:t>“</w:t>
      </w:r>
      <w:r>
        <w:rPr>
          <w:rFonts w:ascii="Arial Narrow" w:hAnsi="Arial Narrow" w:cs="Arial Narrow"/>
          <w:bCs/>
          <w:color w:val="000000" w:themeColor="text1"/>
          <w:sz w:val="24"/>
          <w14:textFill>
            <w14:solidFill>
              <w14:schemeClr w14:val="tx1"/>
            </w14:solidFill>
          </w14:textFill>
        </w:rPr>
        <w:t>智能家居之都发展规划编制经费</w:t>
      </w:r>
      <w:r>
        <w:rPr>
          <w:rFonts w:hint="eastAsia" w:ascii="Arial Narrow" w:hAnsi="Arial Narrow" w:cs="Arial Narrow"/>
          <w:bCs/>
          <w:color w:val="000000" w:themeColor="text1"/>
          <w:sz w:val="24"/>
          <w14:textFill>
            <w14:solidFill>
              <w14:schemeClr w14:val="tx1"/>
            </w14:solidFill>
          </w14:textFill>
        </w:rPr>
        <w:t>”</w:t>
      </w:r>
      <w:r>
        <w:rPr>
          <w:rFonts w:ascii="Arial Narrow" w:hAnsi="Arial Narrow" w:cs="Arial Narrow"/>
          <w:sz w:val="24"/>
        </w:rPr>
        <w:t>的项目决策、项目管理、项目绩效进行客观公正地评价。</w:t>
      </w:r>
    </w:p>
    <w:p>
      <w:pPr>
        <w:spacing w:line="360" w:lineRule="auto"/>
        <w:ind w:firstLine="482"/>
        <w:rPr>
          <w:rFonts w:ascii="Arial Narrow" w:hAnsi="Arial Narrow" w:cs="Arial Narrow"/>
          <w:sz w:val="24"/>
        </w:rPr>
      </w:pPr>
      <w:r>
        <w:rPr>
          <w:rFonts w:ascii="Arial Narrow" w:hAnsi="Arial Narrow" w:cs="Arial Narrow"/>
          <w:sz w:val="24"/>
        </w:rPr>
        <w:t>（2）通过绩效评价为合理分配资金、优化支出提供依据，也为逐步建立</w:t>
      </w:r>
      <w:r>
        <w:rPr>
          <w:rFonts w:hint="eastAsia" w:ascii="Arial Narrow" w:hAnsi="Arial Narrow" w:cs="Arial Narrow"/>
          <w:sz w:val="24"/>
        </w:rPr>
        <w:t>“</w:t>
      </w:r>
      <w:r>
        <w:rPr>
          <w:rFonts w:ascii="Arial Narrow" w:hAnsi="Arial Narrow" w:cs="Arial Narrow"/>
          <w:sz w:val="24"/>
        </w:rPr>
        <w:t>预算编制有目标，预算执行有监控，预算完成有评价，评价结果有反馈，反馈结果有应用</w:t>
      </w:r>
      <w:r>
        <w:rPr>
          <w:rFonts w:hint="eastAsia" w:ascii="Arial Narrow" w:hAnsi="Arial Narrow" w:cs="Arial Narrow"/>
          <w:sz w:val="24"/>
        </w:rPr>
        <w:t>”</w:t>
      </w:r>
      <w:r>
        <w:rPr>
          <w:rFonts w:ascii="Arial Narrow" w:hAnsi="Arial Narrow" w:cs="Arial Narrow"/>
          <w:sz w:val="24"/>
        </w:rPr>
        <w:t>的绩效评价机制提供决策依据。</w:t>
      </w:r>
    </w:p>
    <w:p>
      <w:pPr>
        <w:spacing w:line="360" w:lineRule="auto"/>
        <w:ind w:firstLine="482"/>
        <w:rPr>
          <w:rFonts w:ascii="Arial Narrow" w:hAnsi="Arial Narrow" w:cs="Arial Narrow"/>
          <w:sz w:val="24"/>
        </w:rPr>
      </w:pPr>
      <w:r>
        <w:rPr>
          <w:rFonts w:ascii="Arial Narrow" w:hAnsi="Arial Narrow" w:cs="Arial Narrow"/>
          <w:sz w:val="24"/>
        </w:rPr>
        <w:t>（3）通过绩效评价总结前一年度项目实施的经验教训，为进一步加强</w:t>
      </w:r>
      <w:r>
        <w:rPr>
          <w:rFonts w:hint="eastAsia" w:ascii="Arial Narrow" w:hAnsi="Arial Narrow" w:cs="Arial Narrow"/>
          <w:sz w:val="24"/>
        </w:rPr>
        <w:t>“</w:t>
      </w:r>
      <w:r>
        <w:rPr>
          <w:rFonts w:ascii="Arial Narrow" w:hAnsi="Arial Narrow" w:cs="Arial Narrow"/>
          <w:bCs/>
          <w:color w:val="000000" w:themeColor="text1"/>
          <w:sz w:val="24"/>
          <w14:textFill>
            <w14:solidFill>
              <w14:schemeClr w14:val="tx1"/>
            </w14:solidFill>
          </w14:textFill>
        </w:rPr>
        <w:t>智能家居之都发展规划编制经费</w:t>
      </w:r>
      <w:r>
        <w:rPr>
          <w:rFonts w:hint="eastAsia" w:ascii="Arial Narrow" w:hAnsi="Arial Narrow" w:cs="Arial Narrow"/>
          <w:bCs/>
          <w:color w:val="000000" w:themeColor="text1"/>
          <w:sz w:val="24"/>
          <w14:textFill>
            <w14:solidFill>
              <w14:schemeClr w14:val="tx1"/>
            </w14:solidFill>
          </w14:textFill>
        </w:rPr>
        <w:t>”</w:t>
      </w:r>
      <w:r>
        <w:rPr>
          <w:rFonts w:ascii="Arial Narrow" w:hAnsi="Arial Narrow" w:cs="Arial Narrow"/>
          <w:sz w:val="24"/>
        </w:rPr>
        <w:t>管理，提高项目建设水平，发挥财政资金效益提供重要的参考依据，也为将来的城乡建设局智能家居之都发展规划编制经费项目提供借鉴。</w:t>
      </w:r>
    </w:p>
    <w:p>
      <w:pPr>
        <w:spacing w:line="360" w:lineRule="auto"/>
        <w:ind w:firstLine="480" w:firstLineChars="200"/>
        <w:outlineLvl w:val="2"/>
        <w:rPr>
          <w:rFonts w:ascii="Arial Narrow" w:hAnsi="Arial Narrow" w:cs="Arial Narrow"/>
          <w:color w:val="000000" w:themeColor="text1"/>
          <w:sz w:val="24"/>
          <w14:textFill>
            <w14:solidFill>
              <w14:schemeClr w14:val="tx1"/>
            </w14:solidFill>
          </w14:textFill>
        </w:rPr>
      </w:pPr>
      <w:bookmarkStart w:id="55" w:name="_Toc26366"/>
      <w:bookmarkStart w:id="56" w:name="_Toc20209"/>
      <w:r>
        <w:rPr>
          <w:rFonts w:ascii="Arial Narrow" w:hAnsi="Arial Narrow" w:cs="Arial Narrow"/>
          <w:color w:val="000000" w:themeColor="text1"/>
          <w:sz w:val="24"/>
          <w14:textFill>
            <w14:solidFill>
              <w14:schemeClr w14:val="tx1"/>
            </w14:solidFill>
          </w14:textFill>
        </w:rPr>
        <w:t>2、绩效评价框架</w:t>
      </w:r>
      <w:bookmarkEnd w:id="55"/>
      <w:bookmarkEnd w:id="56"/>
    </w:p>
    <w:p>
      <w:pPr>
        <w:spacing w:line="360" w:lineRule="auto"/>
        <w:ind w:firstLine="482" w:firstLineChars="200"/>
        <w:rPr>
          <w:rFonts w:ascii="Arial Narrow" w:hAnsi="Arial Narrow" w:cs="Arial Narrow"/>
          <w:b/>
          <w:bCs/>
          <w:sz w:val="24"/>
        </w:rPr>
      </w:pPr>
      <w:r>
        <w:rPr>
          <w:rFonts w:ascii="Arial Narrow" w:hAnsi="Arial Narrow" w:cs="Arial Narrow"/>
          <w:b/>
          <w:bCs/>
          <w:sz w:val="24"/>
        </w:rPr>
        <w:drawing>
          <wp:inline distT="0" distB="0" distL="114300" distR="114300">
            <wp:extent cx="4895215" cy="1419225"/>
            <wp:effectExtent l="0" t="0" r="635" b="9525"/>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9"/>
                    <a:stretch>
                      <a:fillRect/>
                    </a:stretch>
                  </pic:blipFill>
                  <pic:spPr>
                    <a:xfrm>
                      <a:off x="0" y="0"/>
                      <a:ext cx="4895215" cy="1419225"/>
                    </a:xfrm>
                    <a:prstGeom prst="rect">
                      <a:avLst/>
                    </a:prstGeom>
                    <a:noFill/>
                    <a:ln w="9525">
                      <a:noFill/>
                    </a:ln>
                  </pic:spPr>
                </pic:pic>
              </a:graphicData>
            </a:graphic>
          </wp:inline>
        </w:drawing>
      </w:r>
    </w:p>
    <w:p>
      <w:pPr>
        <w:spacing w:line="360" w:lineRule="auto"/>
        <w:ind w:firstLine="480" w:firstLineChars="200"/>
        <w:rPr>
          <w:rFonts w:ascii="Arial Narrow" w:hAnsi="Arial Narrow" w:cs="Arial Narrow"/>
          <w:color w:val="000000" w:themeColor="text1"/>
          <w:sz w:val="24"/>
          <w14:textFill>
            <w14:solidFill>
              <w14:schemeClr w14:val="tx1"/>
            </w14:solidFill>
          </w14:textFill>
        </w:rPr>
      </w:pPr>
      <w:r>
        <w:rPr>
          <w:rFonts w:ascii="Arial Narrow" w:hAnsi="Arial Narrow" w:cs="Arial Narrow"/>
          <w:color w:val="000000" w:themeColor="text1"/>
          <w:sz w:val="24"/>
          <w14:textFill>
            <w14:solidFill>
              <w14:schemeClr w14:val="tx1"/>
            </w14:solidFill>
          </w14:textFill>
        </w:rPr>
        <w:t>2.1评价原则</w:t>
      </w:r>
    </w:p>
    <w:p>
      <w:pPr>
        <w:spacing w:line="360" w:lineRule="auto"/>
        <w:ind w:firstLine="480" w:firstLineChars="200"/>
        <w:rPr>
          <w:rFonts w:ascii="Arial Narrow" w:hAnsi="Arial Narrow" w:cs="Arial Narrow"/>
          <w:color w:val="000000" w:themeColor="text1"/>
          <w:sz w:val="24"/>
          <w14:textFill>
            <w14:solidFill>
              <w14:schemeClr w14:val="tx1"/>
            </w14:solidFill>
          </w14:textFill>
        </w:rPr>
      </w:pPr>
      <w:r>
        <w:rPr>
          <w:rFonts w:ascii="Arial Narrow" w:hAnsi="Arial Narrow" w:cs="Arial Narrow"/>
          <w:color w:val="000000" w:themeColor="text1"/>
          <w:sz w:val="24"/>
          <w14:textFill>
            <w14:solidFill>
              <w14:schemeClr w14:val="tx1"/>
            </w14:solidFill>
          </w14:textFill>
        </w:rPr>
        <w:t>（1）科学规范原则。我们严格执行规定的程序，按照科学可行的要求，采用定量与定性分析相结合的方法，同时在反应项目产出、项目效益等方面的末级明细指标细化、量化程度高，如</w:t>
      </w:r>
      <w:r>
        <w:rPr>
          <w:rFonts w:ascii="Arial Narrow" w:hAnsi="Arial Narrow" w:cs="Arial Narrow"/>
          <w:sz w:val="24"/>
        </w:rPr>
        <w:t>研讨会召开完成率、编制成果提交及时率</w:t>
      </w:r>
      <w:r>
        <w:rPr>
          <w:rFonts w:ascii="Arial Narrow" w:hAnsi="Arial Narrow" w:cs="Arial Narrow"/>
          <w:color w:val="000000" w:themeColor="text1"/>
          <w:sz w:val="24"/>
          <w14:textFill>
            <w14:solidFill>
              <w14:schemeClr w14:val="tx1"/>
            </w14:solidFill>
          </w14:textFill>
        </w:rPr>
        <w:t>等，均可取得量化的数据为基础进行评分，降低评价人员的主观影响。</w:t>
      </w:r>
    </w:p>
    <w:p>
      <w:pPr>
        <w:spacing w:line="360" w:lineRule="auto"/>
        <w:ind w:firstLine="480" w:firstLineChars="200"/>
        <w:rPr>
          <w:rFonts w:ascii="Arial Narrow" w:hAnsi="Arial Narrow" w:cs="Arial Narrow"/>
          <w:color w:val="000000" w:themeColor="text1"/>
          <w:sz w:val="24"/>
          <w14:textFill>
            <w14:solidFill>
              <w14:schemeClr w14:val="tx1"/>
            </w14:solidFill>
          </w14:textFill>
        </w:rPr>
      </w:pPr>
      <w:r>
        <w:rPr>
          <w:rFonts w:ascii="Arial Narrow" w:hAnsi="Arial Narrow" w:cs="Arial Narrow"/>
          <w:color w:val="000000" w:themeColor="text1"/>
          <w:sz w:val="24"/>
          <w14:textFill>
            <w14:solidFill>
              <w14:schemeClr w14:val="tx1"/>
            </w14:solidFill>
          </w14:textFill>
        </w:rPr>
        <w:t>（2）公正公开原则。绩效评价符合真实、客观、公正的要求，依法公开并接受监督。</w:t>
      </w:r>
    </w:p>
    <w:p>
      <w:pPr>
        <w:spacing w:line="360" w:lineRule="auto"/>
        <w:ind w:firstLine="480" w:firstLineChars="200"/>
        <w:rPr>
          <w:rFonts w:ascii="Arial Narrow" w:hAnsi="Arial Narrow" w:cs="Arial Narrow"/>
          <w:color w:val="000000" w:themeColor="text1"/>
          <w:sz w:val="24"/>
          <w14:textFill>
            <w14:solidFill>
              <w14:schemeClr w14:val="tx1"/>
            </w14:solidFill>
          </w14:textFill>
        </w:rPr>
      </w:pPr>
      <w:r>
        <w:rPr>
          <w:rFonts w:ascii="Arial Narrow" w:hAnsi="Arial Narrow" w:cs="Arial Narrow"/>
          <w:color w:val="000000" w:themeColor="text1"/>
          <w:sz w:val="24"/>
          <w14:textFill>
            <w14:solidFill>
              <w14:schemeClr w14:val="tx1"/>
            </w14:solidFill>
          </w14:textFill>
        </w:rPr>
        <w:t>（3）分级分类原则。绩效评价由区财政局、预算单位根据评价对象的特点分类组织实施。</w:t>
      </w:r>
    </w:p>
    <w:p>
      <w:pPr>
        <w:spacing w:line="360" w:lineRule="auto"/>
        <w:ind w:firstLine="480" w:firstLineChars="200"/>
        <w:rPr>
          <w:rFonts w:ascii="Arial Narrow" w:hAnsi="Arial Narrow" w:cs="Arial Narrow"/>
          <w:color w:val="000000" w:themeColor="text1"/>
          <w:sz w:val="24"/>
          <w14:textFill>
            <w14:solidFill>
              <w14:schemeClr w14:val="tx1"/>
            </w14:solidFill>
          </w14:textFill>
        </w:rPr>
      </w:pPr>
      <w:r>
        <w:rPr>
          <w:rFonts w:ascii="Arial Narrow" w:hAnsi="Arial Narrow" w:cs="Arial Narrow"/>
          <w:color w:val="000000" w:themeColor="text1"/>
          <w:sz w:val="24"/>
          <w14:textFill>
            <w14:solidFill>
              <w14:schemeClr w14:val="tx1"/>
            </w14:solidFill>
          </w14:textFill>
        </w:rPr>
        <w:t>（4）绩效相关原则。我们使用与绩效目标有直接的联系，能够恰当反映目标的实现程度，如研讨会形成成果率、规划成果验收完成率等，均为能够反映项目目标实现程度的绩效指标。</w:t>
      </w:r>
    </w:p>
    <w:p>
      <w:pPr>
        <w:spacing w:line="360" w:lineRule="auto"/>
        <w:ind w:firstLine="482"/>
        <w:rPr>
          <w:rFonts w:ascii="Arial Narrow" w:hAnsi="Arial Narrow" w:cs="Arial Narrow"/>
          <w:sz w:val="24"/>
        </w:rPr>
      </w:pPr>
      <w:r>
        <w:rPr>
          <w:rFonts w:ascii="Arial Narrow" w:hAnsi="Arial Narrow" w:cs="Arial Narrow"/>
          <w:sz w:val="24"/>
        </w:rPr>
        <w:t>2.2绩效评价指标体系</w:t>
      </w:r>
    </w:p>
    <w:p>
      <w:pPr>
        <w:spacing w:line="360" w:lineRule="auto"/>
        <w:ind w:firstLine="482"/>
        <w:rPr>
          <w:rFonts w:ascii="Arial Narrow" w:hAnsi="Arial Narrow" w:cs="Arial Narrow"/>
          <w:sz w:val="24"/>
        </w:rPr>
      </w:pPr>
      <w:r>
        <w:rPr>
          <w:rFonts w:ascii="Arial Narrow" w:hAnsi="Arial Narrow" w:cs="Arial Narrow"/>
          <w:sz w:val="24"/>
        </w:rPr>
        <w:t>评价指标体系是开展绩效评价工作的核心。评价小组参考2019年湖北省财政支出重点项目绩效评价报告和指标体系框架，依据《</w:t>
      </w:r>
      <w:r>
        <w:rPr>
          <w:rFonts w:ascii="Arial Narrow" w:hAnsi="Arial Narrow" w:cs="Arial Narrow"/>
          <w:color w:val="000000" w:themeColor="text1"/>
          <w:sz w:val="24"/>
          <w14:textFill>
            <w14:solidFill>
              <w14:schemeClr w14:val="tx1"/>
            </w14:solidFill>
          </w14:textFill>
        </w:rPr>
        <w:t>区财政局关于2019年开展预算绩效评价工作的通知》（武经开财〔2019〕29号）</w:t>
      </w:r>
      <w:r>
        <w:rPr>
          <w:rFonts w:ascii="Arial Narrow" w:hAnsi="Arial Narrow" w:cs="Arial Narrow"/>
          <w:sz w:val="24"/>
        </w:rPr>
        <w:t>文件，结合工商行政管理专项经费的特点，运用定量定性原则，确定了绩效评价一级指标、二级指标和三级指标。</w:t>
      </w:r>
    </w:p>
    <w:p>
      <w:pPr>
        <w:snapToGrid w:val="0"/>
        <w:ind w:firstLine="480"/>
        <w:rPr>
          <w:rFonts w:ascii="Arial Narrow" w:hAnsi="Arial Narrow" w:cs="Arial Narrow"/>
          <w:sz w:val="24"/>
        </w:rPr>
      </w:pPr>
      <w:r>
        <w:rPr>
          <w:rFonts w:ascii="Arial Narrow" w:hAnsi="Arial Narrow" w:cs="Arial Narrow"/>
          <w:sz w:val="24"/>
        </w:rPr>
        <w:t xml:space="preserve"> 绩效评价指标体系包括投入、过程、产出、效果四个方面。</w:t>
      </w:r>
    </w:p>
    <w:p>
      <w:pPr>
        <w:spacing w:line="360" w:lineRule="auto"/>
        <w:ind w:firstLine="482"/>
        <w:rPr>
          <w:rFonts w:ascii="Arial Narrow" w:hAnsi="Arial Narrow" w:cs="Arial Narrow"/>
          <w:sz w:val="24"/>
        </w:rPr>
      </w:pPr>
      <w:r>
        <w:rPr>
          <w:rFonts w:ascii="Arial Narrow" w:hAnsi="Arial Narrow" w:cs="Arial Narrow"/>
          <w:sz w:val="24"/>
        </w:rPr>
        <w:t>一级指</w:t>
      </w:r>
      <w:r>
        <w:rPr>
          <w:rFonts w:hint="eastAsia" w:ascii="仿宋_GB2312" w:hAnsi="仿宋_GB2312" w:cs="仿宋_GB2312"/>
          <w:sz w:val="24"/>
        </w:rPr>
        <w:t>标“投入”</w:t>
      </w:r>
      <w:r>
        <w:rPr>
          <w:rFonts w:ascii="Arial Narrow" w:hAnsi="Arial Narrow" w:cs="Arial Narrow"/>
          <w:sz w:val="24"/>
        </w:rPr>
        <w:t>权重16分，下设二级指</w:t>
      </w:r>
      <w:r>
        <w:rPr>
          <w:rFonts w:hint="eastAsia" w:ascii="仿宋_GB2312" w:hAnsi="仿宋_GB2312" w:cs="仿宋_GB2312"/>
          <w:sz w:val="24"/>
        </w:rPr>
        <w:t>标“项目立项”、“资金落实”</w:t>
      </w:r>
      <w:r>
        <w:rPr>
          <w:rFonts w:ascii="Arial Narrow" w:hAnsi="Arial Narrow" w:cs="Arial Narrow"/>
          <w:sz w:val="24"/>
        </w:rPr>
        <w:t>，主要评价项目立项规范性、绩效目标合理性和资金到位率和到位及时率；</w:t>
      </w:r>
    </w:p>
    <w:p>
      <w:pPr>
        <w:spacing w:line="360" w:lineRule="auto"/>
        <w:ind w:firstLine="482"/>
        <w:rPr>
          <w:rFonts w:ascii="Arial Narrow" w:hAnsi="Arial Narrow" w:cs="Arial Narrow"/>
          <w:sz w:val="24"/>
        </w:rPr>
      </w:pPr>
      <w:r>
        <w:rPr>
          <w:rFonts w:hint="eastAsia" w:ascii="仿宋_GB2312" w:hAnsi="仿宋_GB2312" w:cs="仿宋_GB2312"/>
          <w:sz w:val="24"/>
        </w:rPr>
        <w:t>“过程”</w:t>
      </w:r>
      <w:r>
        <w:rPr>
          <w:rFonts w:ascii="Arial Narrow" w:hAnsi="Arial Narrow" w:cs="Arial Narrow"/>
          <w:sz w:val="24"/>
        </w:rPr>
        <w:t>权重24分，下设二级指</w:t>
      </w:r>
      <w:r>
        <w:rPr>
          <w:rFonts w:hint="eastAsia" w:ascii="仿宋_GB2312" w:hAnsi="仿宋_GB2312" w:cs="仿宋_GB2312"/>
          <w:sz w:val="24"/>
        </w:rPr>
        <w:t>标“项目管理”和“财务管理”，</w:t>
      </w:r>
      <w:r>
        <w:rPr>
          <w:rFonts w:ascii="Arial Narrow" w:hAnsi="Arial Narrow" w:cs="Arial Narrow"/>
          <w:sz w:val="24"/>
        </w:rPr>
        <w:t>具体指标有管理制度健全性、制度执行有效性、项目质量可控性以及财务管理制度健全性、资金使用合规性和财务监控有效性等；</w:t>
      </w:r>
    </w:p>
    <w:p>
      <w:pPr>
        <w:spacing w:line="360" w:lineRule="auto"/>
        <w:ind w:firstLine="482"/>
        <w:rPr>
          <w:rFonts w:ascii="Arial Narrow" w:hAnsi="Arial Narrow" w:cs="Arial Narrow"/>
          <w:sz w:val="24"/>
        </w:rPr>
      </w:pPr>
      <w:r>
        <w:rPr>
          <w:rFonts w:hint="eastAsia" w:ascii="仿宋_GB2312" w:hAnsi="仿宋_GB2312" w:cs="仿宋_GB2312"/>
          <w:sz w:val="24"/>
        </w:rPr>
        <w:t>“产出”</w:t>
      </w:r>
      <w:r>
        <w:rPr>
          <w:rFonts w:ascii="Arial Narrow" w:hAnsi="Arial Narrow" w:cs="Arial Narrow"/>
          <w:sz w:val="24"/>
        </w:rPr>
        <w:t>权重33分，下设二级</w:t>
      </w:r>
      <w:r>
        <w:rPr>
          <w:rFonts w:hint="eastAsia" w:ascii="仿宋_GB2312" w:hAnsi="仿宋_GB2312" w:cs="仿宋_GB2312"/>
          <w:sz w:val="24"/>
        </w:rPr>
        <w:t>指标“项目产出”，</w:t>
      </w:r>
      <w:r>
        <w:rPr>
          <w:rFonts w:ascii="Arial Narrow" w:hAnsi="Arial Narrow" w:cs="Arial Narrow"/>
          <w:sz w:val="24"/>
        </w:rPr>
        <w:t>项目产出主要评价项目建设工作的完成情况，如研讨会召开完成率、考察调研次数、规划编制完善率、研讨会形成成果率、咨询报告验收率、规划成果验收完成率以及资金使用率；</w:t>
      </w:r>
    </w:p>
    <w:p>
      <w:pPr>
        <w:spacing w:line="360" w:lineRule="auto"/>
        <w:ind w:firstLine="482"/>
        <w:rPr>
          <w:rFonts w:ascii="Arial Narrow" w:hAnsi="Arial Narrow" w:cs="Arial Narrow"/>
          <w:sz w:val="24"/>
        </w:rPr>
      </w:pPr>
      <w:r>
        <w:rPr>
          <w:rFonts w:hint="eastAsia" w:ascii="仿宋_GB2312" w:hAnsi="仿宋_GB2312" w:cs="仿宋_GB2312"/>
          <w:sz w:val="24"/>
        </w:rPr>
        <w:t>“效果”权</w:t>
      </w:r>
      <w:r>
        <w:rPr>
          <w:rFonts w:ascii="Arial Narrow" w:hAnsi="Arial Narrow" w:cs="Arial Narrow"/>
          <w:sz w:val="24"/>
        </w:rPr>
        <w:t>重27分，下设二级</w:t>
      </w:r>
      <w:r>
        <w:rPr>
          <w:rFonts w:hint="eastAsia" w:ascii="仿宋_GB2312" w:hAnsi="仿宋_GB2312" w:cs="仿宋_GB2312"/>
          <w:sz w:val="24"/>
        </w:rPr>
        <w:t>指标“项目效益”，</w:t>
      </w:r>
      <w:r>
        <w:rPr>
          <w:rFonts w:ascii="Arial Narrow" w:hAnsi="Arial Narrow" w:cs="Arial Narrow"/>
          <w:sz w:val="24"/>
        </w:rPr>
        <w:t>三级指标包括编制成果提交及时率、调研成果完成率、规划文本宣传度、提升地区经济、可持续影响、社会公众满意度。</w:t>
      </w:r>
    </w:p>
    <w:p>
      <w:pPr>
        <w:spacing w:line="360" w:lineRule="auto"/>
        <w:ind w:firstLine="482"/>
        <w:rPr>
          <w:rFonts w:ascii="Arial Narrow" w:hAnsi="Arial Narrow" w:cs="Arial Narrow"/>
          <w:sz w:val="24"/>
        </w:rPr>
      </w:pPr>
      <w:r>
        <w:rPr>
          <w:rFonts w:ascii="Arial Narrow" w:hAnsi="Arial Narrow" w:cs="Arial Narrow"/>
          <w:sz w:val="24"/>
        </w:rPr>
        <w:t>具体指标的分布情况、权重、指标解释、指标说明如下表所示：</w:t>
      </w:r>
    </w:p>
    <w:tbl>
      <w:tblPr>
        <w:tblStyle w:val="11"/>
        <w:tblW w:w="884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658"/>
        <w:gridCol w:w="1219"/>
        <w:gridCol w:w="2314"/>
        <w:gridCol w:w="46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788" w:hRule="atLeast"/>
          <w:tblHeader/>
        </w:trPr>
        <w:tc>
          <w:tcPr>
            <w:tcW w:w="1877" w:type="dxa"/>
            <w:gridSpan w:val="2"/>
            <w:vAlign w:val="center"/>
          </w:tcPr>
          <w:p>
            <w:pPr>
              <w:adjustRightInd w:val="0"/>
              <w:snapToGrid w:val="0"/>
              <w:jc w:val="center"/>
              <w:rPr>
                <w:rFonts w:ascii="Arial Narrow" w:hAnsi="Arial Narrow" w:cs="Arial Narrow"/>
                <w:b/>
                <w:bCs/>
                <w:sz w:val="24"/>
              </w:rPr>
            </w:pPr>
            <w:r>
              <w:rPr>
                <w:rFonts w:ascii="Arial Narrow" w:hAnsi="Arial Narrow" w:cs="Arial Narrow"/>
                <w:b/>
                <w:bCs/>
                <w:sz w:val="24"/>
              </w:rPr>
              <w:t>指标名称（权重）</w:t>
            </w:r>
          </w:p>
        </w:tc>
        <w:tc>
          <w:tcPr>
            <w:tcW w:w="2314" w:type="dxa"/>
            <w:vAlign w:val="center"/>
          </w:tcPr>
          <w:p>
            <w:pPr>
              <w:adjustRightInd w:val="0"/>
              <w:snapToGrid w:val="0"/>
              <w:jc w:val="center"/>
              <w:rPr>
                <w:rFonts w:ascii="Arial Narrow" w:hAnsi="Arial Narrow" w:cs="Arial Narrow"/>
                <w:b/>
                <w:bCs/>
                <w:sz w:val="24"/>
              </w:rPr>
            </w:pPr>
            <w:r>
              <w:rPr>
                <w:rFonts w:ascii="Arial Narrow" w:hAnsi="Arial Narrow" w:cs="Arial Narrow"/>
                <w:b/>
                <w:bCs/>
                <w:sz w:val="24"/>
              </w:rPr>
              <w:t>指标解释</w:t>
            </w:r>
          </w:p>
        </w:tc>
        <w:tc>
          <w:tcPr>
            <w:tcW w:w="4650" w:type="dxa"/>
            <w:vAlign w:val="center"/>
          </w:tcPr>
          <w:p>
            <w:pPr>
              <w:adjustRightInd w:val="0"/>
              <w:snapToGrid w:val="0"/>
              <w:jc w:val="center"/>
              <w:rPr>
                <w:rFonts w:ascii="Arial Narrow" w:hAnsi="Arial Narrow" w:cs="Arial Narrow"/>
                <w:b/>
                <w:bCs/>
                <w:sz w:val="24"/>
              </w:rPr>
            </w:pPr>
            <w:r>
              <w:rPr>
                <w:rFonts w:ascii="Arial Narrow" w:hAnsi="Arial Narrow" w:cs="Arial Narrow"/>
                <w:b/>
                <w:bCs/>
                <w:sz w:val="24"/>
              </w:rPr>
              <w:t>指标说明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58" w:hRule="atLeast"/>
        </w:trPr>
        <w:tc>
          <w:tcPr>
            <w:tcW w:w="658" w:type="dxa"/>
            <w:vMerge w:val="restart"/>
            <w:vAlign w:val="center"/>
          </w:tcPr>
          <w:p>
            <w:pPr>
              <w:widowControl/>
              <w:adjustRightInd w:val="0"/>
              <w:snapToGrid w:val="0"/>
              <w:jc w:val="center"/>
              <w:rPr>
                <w:rFonts w:hint="eastAsia" w:ascii="Arial Narrow" w:hAnsi="Arial Narrow" w:eastAsia="仿宋_GB2312" w:cs="Arial Narrow"/>
                <w:color w:val="000000"/>
                <w:sz w:val="24"/>
                <w:lang w:eastAsia="zh-CN"/>
              </w:rPr>
            </w:pPr>
            <w:r>
              <w:rPr>
                <w:rFonts w:ascii="Arial Narrow" w:hAnsi="Arial Narrow" w:cs="Arial Narrow"/>
                <w:color w:val="000000"/>
                <w:sz w:val="24"/>
              </w:rPr>
              <w:t>项目</w:t>
            </w:r>
          </w:p>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立项</w:t>
            </w:r>
          </w:p>
        </w:tc>
        <w:tc>
          <w:tcPr>
            <w:tcW w:w="1219"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项目立项规范性（4）</w:t>
            </w:r>
          </w:p>
        </w:tc>
        <w:tc>
          <w:tcPr>
            <w:tcW w:w="2314"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项目的申请、设立过程是否符合相关要求，用以反映和考核项目立项的规范情况。</w:t>
            </w:r>
          </w:p>
        </w:tc>
        <w:tc>
          <w:tcPr>
            <w:tcW w:w="4650" w:type="dxa"/>
            <w:vAlign w:val="center"/>
          </w:tcPr>
          <w:p>
            <w:pPr>
              <w:widowControl/>
              <w:adjustRightInd w:val="0"/>
              <w:snapToGrid w:val="0"/>
              <w:rPr>
                <w:rFonts w:hint="eastAsia" w:ascii="Arial Narrow" w:hAnsi="Arial Narrow" w:eastAsia="仿宋_GB2312" w:cs="Arial Narrow"/>
                <w:color w:val="000000"/>
                <w:sz w:val="24"/>
                <w:lang w:eastAsia="zh-CN"/>
              </w:rPr>
            </w:pPr>
            <w:r>
              <w:rPr>
                <w:rFonts w:ascii="Arial Narrow" w:hAnsi="Arial Narrow" w:cs="Arial Narrow"/>
                <w:color w:val="000000"/>
                <w:sz w:val="24"/>
              </w:rPr>
              <w:t>评价要点：</w:t>
            </w:r>
          </w:p>
          <w:p>
            <w:pPr>
              <w:widowControl/>
              <w:adjustRightInd w:val="0"/>
              <w:snapToGrid w:val="0"/>
              <w:rPr>
                <w:rFonts w:hint="eastAsia" w:ascii="Arial Narrow" w:hAnsi="Arial Narrow" w:eastAsia="仿宋_GB2312" w:cs="Arial Narrow"/>
                <w:color w:val="000000"/>
                <w:sz w:val="24"/>
                <w:lang w:eastAsia="zh-CN"/>
              </w:rPr>
            </w:pPr>
            <w:r>
              <w:rPr>
                <w:rFonts w:ascii="Arial Narrow" w:hAnsi="Arial Narrow" w:cs="Arial Narrow"/>
                <w:color w:val="000000"/>
                <w:sz w:val="24"/>
              </w:rPr>
              <w:t>①项目是否有规划，项目是否按照规定的程序申请设立；</w:t>
            </w:r>
          </w:p>
          <w:p>
            <w:pPr>
              <w:widowControl/>
              <w:adjustRightInd w:val="0"/>
              <w:snapToGrid w:val="0"/>
              <w:rPr>
                <w:rFonts w:hint="eastAsia" w:ascii="Arial Narrow" w:hAnsi="Arial Narrow" w:eastAsia="仿宋_GB2312" w:cs="Arial Narrow"/>
                <w:color w:val="000000"/>
                <w:sz w:val="24"/>
                <w:lang w:eastAsia="zh-CN"/>
              </w:rPr>
            </w:pPr>
            <w:r>
              <w:rPr>
                <w:rFonts w:ascii="Arial Narrow" w:hAnsi="Arial Narrow" w:cs="Arial Narrow"/>
                <w:color w:val="000000"/>
                <w:sz w:val="24"/>
              </w:rPr>
              <w:t>②是否按管理办法和分配办法分配资金。</w:t>
            </w:r>
          </w:p>
          <w:p>
            <w:pPr>
              <w:widowControl/>
              <w:adjustRightInd w:val="0"/>
              <w:snapToGrid w:val="0"/>
              <w:rPr>
                <w:rFonts w:hint="eastAsia" w:ascii="Arial Narrow" w:hAnsi="Arial Narrow" w:eastAsia="仿宋_GB2312" w:cs="Arial Narrow"/>
                <w:color w:val="000000"/>
                <w:sz w:val="24"/>
                <w:lang w:eastAsia="zh-CN"/>
              </w:rPr>
            </w:pPr>
            <w:r>
              <w:rPr>
                <w:rFonts w:ascii="Arial Narrow" w:hAnsi="Arial Narrow" w:cs="Arial Narrow"/>
                <w:color w:val="000000"/>
                <w:sz w:val="24"/>
              </w:rPr>
              <w:t>③所提交的文件、材料是否符合相关要求；</w:t>
            </w:r>
          </w:p>
          <w:p>
            <w:pPr>
              <w:widowControl/>
              <w:adjustRightInd w:val="0"/>
              <w:snapToGrid w:val="0"/>
              <w:rPr>
                <w:rFonts w:ascii="Arial Narrow" w:hAnsi="Arial Narrow" w:cs="Arial Narrow"/>
                <w:color w:val="000000"/>
                <w:sz w:val="24"/>
              </w:rPr>
            </w:pPr>
            <w:r>
              <w:rPr>
                <w:rFonts w:ascii="Arial Narrow" w:hAnsi="Arial Narrow" w:cs="Arial Narrow"/>
                <w:color w:val="000000"/>
                <w:sz w:val="24"/>
              </w:rPr>
              <w:t>④项目执行时是否发生重大调整。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6" w:hRule="atLeast"/>
        </w:trPr>
        <w:tc>
          <w:tcPr>
            <w:tcW w:w="658" w:type="dxa"/>
            <w:vMerge w:val="continue"/>
            <w:vAlign w:val="center"/>
          </w:tcPr>
          <w:p>
            <w:pPr>
              <w:widowControl/>
              <w:adjustRightInd w:val="0"/>
              <w:snapToGrid w:val="0"/>
              <w:jc w:val="center"/>
              <w:rPr>
                <w:rFonts w:ascii="Arial Narrow" w:hAnsi="Arial Narrow" w:cs="Arial Narrow"/>
                <w:color w:val="000000"/>
                <w:sz w:val="24"/>
              </w:rPr>
            </w:pPr>
          </w:p>
        </w:tc>
        <w:tc>
          <w:tcPr>
            <w:tcW w:w="1219"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绩效目标合理性（4）</w:t>
            </w:r>
          </w:p>
        </w:tc>
        <w:tc>
          <w:tcPr>
            <w:tcW w:w="2314"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项目是否设定绩效目标和绩效指标，所设定的绩效目标和指标是否符合实际，用以反映和考核项目绩效目标与项目实施的相符情况。</w:t>
            </w:r>
          </w:p>
        </w:tc>
        <w:tc>
          <w:tcPr>
            <w:tcW w:w="4650" w:type="dxa"/>
            <w:vAlign w:val="center"/>
          </w:tcPr>
          <w:p>
            <w:pPr>
              <w:widowControl/>
              <w:adjustRightInd w:val="0"/>
              <w:snapToGrid w:val="0"/>
              <w:rPr>
                <w:rFonts w:hint="eastAsia" w:ascii="Arial Narrow" w:hAnsi="Arial Narrow" w:eastAsia="仿宋_GB2312" w:cs="Arial Narrow"/>
                <w:color w:val="000000"/>
                <w:sz w:val="24"/>
                <w:lang w:eastAsia="zh-CN"/>
              </w:rPr>
            </w:pPr>
            <w:r>
              <w:rPr>
                <w:rFonts w:ascii="Arial Narrow" w:hAnsi="Arial Narrow" w:cs="Arial Narrow"/>
                <w:color w:val="000000"/>
                <w:sz w:val="24"/>
              </w:rPr>
              <w:t>评价要点：</w:t>
            </w:r>
          </w:p>
          <w:p>
            <w:pPr>
              <w:widowControl/>
              <w:adjustRightInd w:val="0"/>
              <w:snapToGrid w:val="0"/>
              <w:rPr>
                <w:rFonts w:hint="eastAsia" w:ascii="Arial Narrow" w:hAnsi="Arial Narrow" w:eastAsia="仿宋_GB2312" w:cs="Arial Narrow"/>
                <w:color w:val="000000"/>
                <w:sz w:val="24"/>
                <w:lang w:eastAsia="zh-CN"/>
              </w:rPr>
            </w:pPr>
            <w:r>
              <w:rPr>
                <w:rFonts w:ascii="Arial Narrow" w:hAnsi="Arial Narrow" w:cs="Arial Narrow"/>
                <w:color w:val="000000"/>
                <w:sz w:val="24"/>
              </w:rPr>
              <w:t>①是否设定长期目标、年度目标和绩效指标；</w:t>
            </w:r>
          </w:p>
          <w:p>
            <w:pPr>
              <w:widowControl/>
              <w:adjustRightInd w:val="0"/>
              <w:snapToGrid w:val="0"/>
              <w:rPr>
                <w:rFonts w:hint="eastAsia" w:ascii="Arial Narrow" w:hAnsi="Arial Narrow" w:eastAsia="仿宋_GB2312" w:cs="Arial Narrow"/>
                <w:color w:val="000000"/>
                <w:sz w:val="24"/>
                <w:lang w:eastAsia="zh-CN"/>
              </w:rPr>
            </w:pPr>
            <w:r>
              <w:rPr>
                <w:rFonts w:ascii="Arial Narrow" w:hAnsi="Arial Narrow" w:cs="Arial Narrow"/>
                <w:color w:val="000000"/>
                <w:sz w:val="24"/>
              </w:rPr>
              <w:t>②目标和指标的设计是否符合目标管理规范；</w:t>
            </w:r>
          </w:p>
          <w:p>
            <w:pPr>
              <w:widowControl/>
              <w:adjustRightInd w:val="0"/>
              <w:snapToGrid w:val="0"/>
              <w:rPr>
                <w:rFonts w:hint="eastAsia" w:ascii="Arial Narrow" w:hAnsi="Arial Narrow" w:eastAsia="仿宋_GB2312" w:cs="Arial Narrow"/>
                <w:color w:val="000000"/>
                <w:sz w:val="24"/>
                <w:lang w:eastAsia="zh-CN"/>
              </w:rPr>
            </w:pPr>
            <w:r>
              <w:rPr>
                <w:rFonts w:ascii="Arial Narrow" w:hAnsi="Arial Narrow" w:cs="Arial Narrow"/>
                <w:color w:val="000000"/>
                <w:sz w:val="24"/>
              </w:rPr>
              <w:t>③根据绩效目标和完成情况的对比考核目标设立的合理性；</w:t>
            </w:r>
          </w:p>
          <w:p>
            <w:pPr>
              <w:widowControl/>
              <w:adjustRightInd w:val="0"/>
              <w:snapToGrid w:val="0"/>
              <w:rPr>
                <w:rFonts w:ascii="Arial Narrow" w:hAnsi="Arial Narrow" w:cs="Arial Narrow"/>
                <w:color w:val="000000"/>
                <w:sz w:val="24"/>
              </w:rPr>
            </w:pPr>
            <w:r>
              <w:rPr>
                <w:rFonts w:ascii="Arial Narrow" w:hAnsi="Arial Narrow" w:cs="Arial Narrow"/>
                <w:color w:val="000000"/>
                <w:sz w:val="24"/>
              </w:rPr>
              <w:t>④绩效指标是否具有可测性。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6" w:hRule="atLeast"/>
        </w:trPr>
        <w:tc>
          <w:tcPr>
            <w:tcW w:w="658" w:type="dxa"/>
            <w:vMerge w:val="restart"/>
            <w:vAlign w:val="center"/>
          </w:tcPr>
          <w:p>
            <w:pPr>
              <w:widowControl/>
              <w:adjustRightInd w:val="0"/>
              <w:snapToGrid w:val="0"/>
              <w:jc w:val="center"/>
              <w:rPr>
                <w:rFonts w:hint="eastAsia" w:ascii="Arial Narrow" w:hAnsi="Arial Narrow" w:eastAsia="仿宋_GB2312" w:cs="Arial Narrow"/>
                <w:color w:val="000000"/>
                <w:sz w:val="24"/>
                <w:lang w:eastAsia="zh-CN"/>
              </w:rPr>
            </w:pPr>
            <w:r>
              <w:rPr>
                <w:rFonts w:ascii="Arial Narrow" w:hAnsi="Arial Narrow" w:cs="Arial Narrow"/>
                <w:color w:val="000000"/>
                <w:sz w:val="24"/>
              </w:rPr>
              <w:t>资金</w:t>
            </w:r>
          </w:p>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落实</w:t>
            </w:r>
          </w:p>
        </w:tc>
        <w:tc>
          <w:tcPr>
            <w:tcW w:w="1219"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资金到位率（4）</w:t>
            </w:r>
          </w:p>
        </w:tc>
        <w:tc>
          <w:tcPr>
            <w:tcW w:w="2314"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实际到位资金与计划投入资金的比率，用以反映和考核资金落实情况对项目实施的总体保障程度。</w:t>
            </w:r>
          </w:p>
        </w:tc>
        <w:tc>
          <w:tcPr>
            <w:tcW w:w="4650" w:type="dxa"/>
            <w:vAlign w:val="center"/>
          </w:tcPr>
          <w:p>
            <w:pPr>
              <w:widowControl/>
              <w:adjustRightInd w:val="0"/>
              <w:snapToGrid w:val="0"/>
              <w:rPr>
                <w:rFonts w:ascii="Arial Narrow" w:hAnsi="Arial Narrow" w:cs="Arial Narrow"/>
                <w:color w:val="000000"/>
                <w:sz w:val="24"/>
              </w:rPr>
            </w:pPr>
            <w:r>
              <w:rPr>
                <w:rFonts w:ascii="Arial Narrow" w:hAnsi="Arial Narrow" w:cs="Arial Narrow"/>
                <w:color w:val="000000"/>
                <w:sz w:val="24"/>
              </w:rPr>
              <w:t>评价要点：</w:t>
            </w:r>
          </w:p>
          <w:p>
            <w:pPr>
              <w:widowControl/>
              <w:adjustRightInd w:val="0"/>
              <w:snapToGrid w:val="0"/>
              <w:rPr>
                <w:rFonts w:ascii="Arial Narrow" w:hAnsi="Arial Narrow" w:cs="Arial Narrow"/>
                <w:color w:val="000000"/>
                <w:sz w:val="24"/>
              </w:rPr>
            </w:pPr>
            <w:r>
              <w:rPr>
                <w:rFonts w:ascii="Arial Narrow" w:hAnsi="Arial Narrow" w:cs="Arial Narrow"/>
                <w:color w:val="000000"/>
                <w:sz w:val="24"/>
              </w:rPr>
              <w:t>资金到位率=（实际到位资金/计划投入资金）×100%。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364" w:hRule="atLeast"/>
        </w:trPr>
        <w:tc>
          <w:tcPr>
            <w:tcW w:w="658" w:type="dxa"/>
            <w:vMerge w:val="continue"/>
            <w:vAlign w:val="center"/>
          </w:tcPr>
          <w:p>
            <w:pPr>
              <w:widowControl/>
              <w:adjustRightInd w:val="0"/>
              <w:snapToGrid w:val="0"/>
              <w:jc w:val="center"/>
              <w:rPr>
                <w:rFonts w:ascii="Arial Narrow" w:hAnsi="Arial Narrow" w:cs="Arial Narrow"/>
                <w:color w:val="000000"/>
                <w:sz w:val="24"/>
              </w:rPr>
            </w:pPr>
          </w:p>
        </w:tc>
        <w:tc>
          <w:tcPr>
            <w:tcW w:w="1219"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到位及时率（4）</w:t>
            </w:r>
          </w:p>
        </w:tc>
        <w:tc>
          <w:tcPr>
            <w:tcW w:w="2314"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及时到位资金与应到位资金的比率，用以反映和考核项目资金落实的及时性程度。</w:t>
            </w:r>
          </w:p>
        </w:tc>
        <w:tc>
          <w:tcPr>
            <w:tcW w:w="4650" w:type="dxa"/>
            <w:vAlign w:val="center"/>
          </w:tcPr>
          <w:p>
            <w:pPr>
              <w:widowControl/>
              <w:adjustRightInd w:val="0"/>
              <w:snapToGrid w:val="0"/>
              <w:rPr>
                <w:rFonts w:ascii="Arial Narrow" w:hAnsi="Arial Narrow" w:cs="Arial Narrow"/>
                <w:color w:val="000000"/>
                <w:sz w:val="24"/>
              </w:rPr>
            </w:pPr>
            <w:r>
              <w:rPr>
                <w:rFonts w:ascii="Arial Narrow" w:hAnsi="Arial Narrow" w:cs="Arial Narrow"/>
                <w:color w:val="000000"/>
                <w:sz w:val="24"/>
              </w:rPr>
              <w:t>评价要点：</w:t>
            </w:r>
          </w:p>
          <w:p>
            <w:pPr>
              <w:widowControl/>
              <w:adjustRightInd w:val="0"/>
              <w:snapToGrid w:val="0"/>
              <w:rPr>
                <w:rFonts w:ascii="Arial Narrow" w:hAnsi="Arial Narrow" w:cs="Arial Narrow"/>
                <w:color w:val="000000"/>
                <w:sz w:val="24"/>
              </w:rPr>
            </w:pPr>
            <w:r>
              <w:rPr>
                <w:rFonts w:ascii="Arial Narrow" w:hAnsi="Arial Narrow" w:cs="Arial Narrow"/>
                <w:color w:val="000000"/>
                <w:sz w:val="24"/>
              </w:rPr>
              <w:t>到位及时率=（及时到位资金/应到位资金）×100%。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09" w:hRule="atLeast"/>
        </w:trPr>
        <w:tc>
          <w:tcPr>
            <w:tcW w:w="658" w:type="dxa"/>
            <w:vMerge w:val="restart"/>
            <w:vAlign w:val="center"/>
          </w:tcPr>
          <w:p>
            <w:pPr>
              <w:widowControl/>
              <w:adjustRightInd w:val="0"/>
              <w:snapToGrid w:val="0"/>
              <w:jc w:val="center"/>
              <w:rPr>
                <w:rFonts w:hint="eastAsia" w:ascii="Arial Narrow" w:hAnsi="Arial Narrow" w:eastAsia="仿宋_GB2312" w:cs="Arial Narrow"/>
                <w:color w:val="000000"/>
                <w:sz w:val="24"/>
                <w:lang w:eastAsia="zh-CN"/>
              </w:rPr>
            </w:pPr>
            <w:r>
              <w:rPr>
                <w:rFonts w:ascii="Arial Narrow" w:hAnsi="Arial Narrow" w:cs="Arial Narrow"/>
                <w:color w:val="000000"/>
                <w:sz w:val="24"/>
              </w:rPr>
              <w:t>项目</w:t>
            </w:r>
          </w:p>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管理</w:t>
            </w:r>
          </w:p>
        </w:tc>
        <w:tc>
          <w:tcPr>
            <w:tcW w:w="1219"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管理制度健全性（4）</w:t>
            </w:r>
          </w:p>
        </w:tc>
        <w:tc>
          <w:tcPr>
            <w:tcW w:w="2314"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项目管理制度是否健全，用以反映和考核项目管理制度对项目顺利实施的保障情况。</w:t>
            </w:r>
          </w:p>
        </w:tc>
        <w:tc>
          <w:tcPr>
            <w:tcW w:w="4650" w:type="dxa"/>
            <w:vAlign w:val="center"/>
          </w:tcPr>
          <w:p>
            <w:pPr>
              <w:widowControl/>
              <w:adjustRightInd w:val="0"/>
              <w:snapToGrid w:val="0"/>
              <w:rPr>
                <w:rFonts w:hint="eastAsia" w:ascii="Arial Narrow" w:hAnsi="Arial Narrow" w:eastAsia="仿宋_GB2312" w:cs="Arial Narrow"/>
                <w:color w:val="000000"/>
                <w:sz w:val="24"/>
                <w:lang w:eastAsia="zh-CN"/>
              </w:rPr>
            </w:pPr>
            <w:r>
              <w:rPr>
                <w:rFonts w:ascii="Arial Narrow" w:hAnsi="Arial Narrow" w:cs="Arial Narrow"/>
                <w:color w:val="000000"/>
                <w:sz w:val="24"/>
              </w:rPr>
              <w:t>评价要点：</w:t>
            </w:r>
          </w:p>
          <w:p>
            <w:pPr>
              <w:widowControl/>
              <w:adjustRightInd w:val="0"/>
              <w:snapToGrid w:val="0"/>
              <w:rPr>
                <w:rFonts w:hint="eastAsia" w:ascii="Arial Narrow" w:hAnsi="Arial Narrow" w:eastAsia="仿宋_GB2312" w:cs="Arial Narrow"/>
                <w:color w:val="000000"/>
                <w:sz w:val="24"/>
                <w:lang w:eastAsia="zh-CN"/>
              </w:rPr>
            </w:pPr>
            <w:r>
              <w:rPr>
                <w:rFonts w:ascii="Arial Narrow" w:hAnsi="Arial Narrow" w:cs="Arial Narrow"/>
                <w:color w:val="000000"/>
                <w:sz w:val="24"/>
              </w:rPr>
              <w:t>①是否已制定或具有相应的项目管理制度；</w:t>
            </w:r>
          </w:p>
          <w:p>
            <w:pPr>
              <w:widowControl/>
              <w:adjustRightInd w:val="0"/>
              <w:snapToGrid w:val="0"/>
              <w:rPr>
                <w:rFonts w:ascii="Arial Narrow" w:hAnsi="Arial Narrow" w:cs="Arial Narrow"/>
                <w:color w:val="000000"/>
                <w:sz w:val="24"/>
              </w:rPr>
            </w:pPr>
            <w:r>
              <w:rPr>
                <w:rFonts w:ascii="Arial Narrow" w:hAnsi="Arial Narrow" w:cs="Arial Narrow"/>
                <w:color w:val="000000"/>
                <w:sz w:val="24"/>
              </w:rPr>
              <w:t>②项目管理制度是否合法、合规、完整。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656" w:hRule="atLeast"/>
        </w:trPr>
        <w:tc>
          <w:tcPr>
            <w:tcW w:w="658" w:type="dxa"/>
            <w:vMerge w:val="continue"/>
            <w:vAlign w:val="center"/>
          </w:tcPr>
          <w:p>
            <w:pPr>
              <w:widowControl/>
              <w:adjustRightInd w:val="0"/>
              <w:snapToGrid w:val="0"/>
              <w:jc w:val="center"/>
              <w:rPr>
                <w:rFonts w:ascii="Arial Narrow" w:hAnsi="Arial Narrow" w:cs="Arial Narrow"/>
                <w:color w:val="000000"/>
                <w:sz w:val="24"/>
              </w:rPr>
            </w:pPr>
          </w:p>
        </w:tc>
        <w:tc>
          <w:tcPr>
            <w:tcW w:w="1219"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制度执行有效性（4）</w:t>
            </w:r>
          </w:p>
        </w:tc>
        <w:tc>
          <w:tcPr>
            <w:tcW w:w="2314"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项目实施是否符合相关项目管理规定，用以反映和考核项目管理制度的有效执行情况。</w:t>
            </w:r>
          </w:p>
        </w:tc>
        <w:tc>
          <w:tcPr>
            <w:tcW w:w="4650" w:type="dxa"/>
            <w:vAlign w:val="center"/>
          </w:tcPr>
          <w:p>
            <w:pPr>
              <w:widowControl/>
              <w:adjustRightInd w:val="0"/>
              <w:snapToGrid w:val="0"/>
              <w:rPr>
                <w:rFonts w:hint="eastAsia" w:ascii="Arial Narrow" w:hAnsi="Arial Narrow" w:eastAsia="仿宋_GB2312" w:cs="Arial Narrow"/>
                <w:color w:val="000000"/>
                <w:sz w:val="24"/>
                <w:lang w:eastAsia="zh-CN"/>
              </w:rPr>
            </w:pPr>
            <w:r>
              <w:rPr>
                <w:rFonts w:ascii="Arial Narrow" w:hAnsi="Arial Narrow" w:cs="Arial Narrow"/>
                <w:color w:val="000000"/>
                <w:sz w:val="24"/>
              </w:rPr>
              <w:t>评价要点：</w:t>
            </w:r>
          </w:p>
          <w:p>
            <w:pPr>
              <w:widowControl/>
              <w:adjustRightInd w:val="0"/>
              <w:snapToGrid w:val="0"/>
              <w:rPr>
                <w:rFonts w:hint="eastAsia" w:ascii="Arial Narrow" w:hAnsi="Arial Narrow" w:eastAsia="仿宋_GB2312" w:cs="Arial Narrow"/>
                <w:color w:val="000000"/>
                <w:sz w:val="24"/>
                <w:lang w:eastAsia="zh-CN"/>
              </w:rPr>
            </w:pPr>
            <w:r>
              <w:rPr>
                <w:rFonts w:ascii="Arial Narrow" w:hAnsi="Arial Narrow" w:cs="Arial Narrow"/>
                <w:color w:val="000000"/>
                <w:sz w:val="24"/>
              </w:rPr>
              <w:t>①是否遵守相应的项目管理制度，如台账管理制、招标管理制、后勤管理制、采购制、合同制、工作考核奖惩办法。</w:t>
            </w:r>
          </w:p>
          <w:p>
            <w:pPr>
              <w:widowControl/>
              <w:adjustRightInd w:val="0"/>
              <w:snapToGrid w:val="0"/>
              <w:rPr>
                <w:rFonts w:ascii="Arial Narrow" w:hAnsi="Arial Narrow" w:cs="Arial Narrow"/>
                <w:color w:val="000000"/>
                <w:sz w:val="24"/>
              </w:rPr>
            </w:pPr>
            <w:r>
              <w:rPr>
                <w:rFonts w:ascii="Arial Narrow" w:hAnsi="Arial Narrow" w:cs="Arial Narrow"/>
                <w:color w:val="000000"/>
                <w:sz w:val="24"/>
              </w:rPr>
              <w:t>②制度执行过程是否留痕。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993" w:hRule="atLeast"/>
        </w:trPr>
        <w:tc>
          <w:tcPr>
            <w:tcW w:w="658" w:type="dxa"/>
            <w:vMerge w:val="continue"/>
            <w:vAlign w:val="center"/>
          </w:tcPr>
          <w:p>
            <w:pPr>
              <w:widowControl/>
              <w:adjustRightInd w:val="0"/>
              <w:snapToGrid w:val="0"/>
              <w:jc w:val="center"/>
              <w:rPr>
                <w:rFonts w:ascii="Arial Narrow" w:hAnsi="Arial Narrow" w:cs="Arial Narrow"/>
                <w:color w:val="000000"/>
                <w:sz w:val="24"/>
              </w:rPr>
            </w:pPr>
          </w:p>
        </w:tc>
        <w:tc>
          <w:tcPr>
            <w:tcW w:w="1219"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项目质量可控性（4）</w:t>
            </w:r>
          </w:p>
        </w:tc>
        <w:tc>
          <w:tcPr>
            <w:tcW w:w="2314"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项目实施单位是否为达到项目质量要求而采取了必需的措施,用以反映和考核项目实施单位对项目质量的控制情况。</w:t>
            </w:r>
          </w:p>
        </w:tc>
        <w:tc>
          <w:tcPr>
            <w:tcW w:w="4650" w:type="dxa"/>
            <w:vAlign w:val="center"/>
          </w:tcPr>
          <w:p>
            <w:pPr>
              <w:widowControl/>
              <w:adjustRightInd w:val="0"/>
              <w:snapToGrid w:val="0"/>
              <w:rPr>
                <w:rFonts w:hint="eastAsia" w:ascii="Arial Narrow" w:hAnsi="Arial Narrow" w:eastAsia="仿宋_GB2312" w:cs="Arial Narrow"/>
                <w:color w:val="000000"/>
                <w:sz w:val="24"/>
                <w:lang w:eastAsia="zh-CN"/>
              </w:rPr>
            </w:pPr>
            <w:r>
              <w:rPr>
                <w:rFonts w:ascii="Arial Narrow" w:hAnsi="Arial Narrow" w:cs="Arial Narrow"/>
                <w:color w:val="000000"/>
                <w:sz w:val="24"/>
              </w:rPr>
              <w:t>评价要点：</w:t>
            </w:r>
          </w:p>
          <w:p>
            <w:pPr>
              <w:widowControl/>
              <w:adjustRightInd w:val="0"/>
              <w:snapToGrid w:val="0"/>
              <w:rPr>
                <w:rFonts w:hint="eastAsia" w:ascii="Arial Narrow" w:hAnsi="Arial Narrow" w:eastAsia="仿宋_GB2312" w:cs="Arial Narrow"/>
                <w:color w:val="000000"/>
                <w:sz w:val="24"/>
                <w:lang w:eastAsia="zh-CN"/>
              </w:rPr>
            </w:pPr>
            <w:r>
              <w:rPr>
                <w:rFonts w:ascii="Arial Narrow" w:hAnsi="Arial Narrow" w:cs="Arial Narrow"/>
                <w:color w:val="000000"/>
                <w:sz w:val="24"/>
              </w:rPr>
              <w:t>①是否已制定或具有相应的项目质量要求或标准；</w:t>
            </w:r>
          </w:p>
          <w:p>
            <w:pPr>
              <w:widowControl/>
              <w:adjustRightInd w:val="0"/>
              <w:snapToGrid w:val="0"/>
              <w:rPr>
                <w:rFonts w:ascii="Arial Narrow" w:hAnsi="Arial Narrow" w:cs="Arial Narrow"/>
                <w:color w:val="000000"/>
                <w:sz w:val="24"/>
              </w:rPr>
            </w:pPr>
            <w:r>
              <w:rPr>
                <w:rFonts w:ascii="Arial Narrow" w:hAnsi="Arial Narrow" w:cs="Arial Narrow"/>
                <w:color w:val="000000"/>
                <w:sz w:val="24"/>
              </w:rPr>
              <w:t>②是否采取了相应的项目质量检查等必需的控制措施或手段。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802" w:hRule="atLeast"/>
        </w:trPr>
        <w:tc>
          <w:tcPr>
            <w:tcW w:w="658" w:type="dxa"/>
            <w:vMerge w:val="restart"/>
            <w:vAlign w:val="center"/>
          </w:tcPr>
          <w:p>
            <w:pPr>
              <w:widowControl/>
              <w:adjustRightInd w:val="0"/>
              <w:snapToGrid w:val="0"/>
              <w:jc w:val="center"/>
              <w:rPr>
                <w:rFonts w:hint="eastAsia" w:ascii="Arial Narrow" w:hAnsi="Arial Narrow" w:eastAsia="仿宋_GB2312" w:cs="Arial Narrow"/>
                <w:color w:val="000000"/>
                <w:sz w:val="24"/>
                <w:lang w:eastAsia="zh-CN"/>
              </w:rPr>
            </w:pPr>
            <w:r>
              <w:rPr>
                <w:rFonts w:ascii="Arial Narrow" w:hAnsi="Arial Narrow" w:cs="Arial Narrow"/>
                <w:color w:val="000000"/>
                <w:sz w:val="24"/>
              </w:rPr>
              <w:t>财务</w:t>
            </w:r>
          </w:p>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管理</w:t>
            </w:r>
          </w:p>
        </w:tc>
        <w:tc>
          <w:tcPr>
            <w:tcW w:w="1219"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管理制度健全性（4）</w:t>
            </w:r>
          </w:p>
        </w:tc>
        <w:tc>
          <w:tcPr>
            <w:tcW w:w="2314"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项目实施单位的财务制度是否健全，用以反映和考核财务管理制度对资金规范、安全运行的保障情况。</w:t>
            </w:r>
          </w:p>
        </w:tc>
        <w:tc>
          <w:tcPr>
            <w:tcW w:w="4650" w:type="dxa"/>
            <w:vAlign w:val="center"/>
          </w:tcPr>
          <w:p>
            <w:pPr>
              <w:widowControl/>
              <w:adjustRightInd w:val="0"/>
              <w:snapToGrid w:val="0"/>
              <w:rPr>
                <w:rFonts w:hint="eastAsia" w:ascii="Arial Narrow" w:hAnsi="Arial Narrow" w:eastAsia="仿宋_GB2312" w:cs="Arial Narrow"/>
                <w:color w:val="000000"/>
                <w:sz w:val="24"/>
                <w:lang w:eastAsia="zh-CN"/>
              </w:rPr>
            </w:pPr>
            <w:r>
              <w:rPr>
                <w:rFonts w:ascii="Arial Narrow" w:hAnsi="Arial Narrow" w:cs="Arial Narrow"/>
                <w:color w:val="000000"/>
                <w:sz w:val="24"/>
              </w:rPr>
              <w:t>评价要点：</w:t>
            </w:r>
          </w:p>
          <w:p>
            <w:pPr>
              <w:widowControl/>
              <w:adjustRightInd w:val="0"/>
              <w:snapToGrid w:val="0"/>
              <w:rPr>
                <w:rFonts w:hint="eastAsia" w:ascii="Arial Narrow" w:hAnsi="Arial Narrow" w:eastAsia="仿宋_GB2312" w:cs="Arial Narrow"/>
                <w:color w:val="000000"/>
                <w:sz w:val="24"/>
                <w:lang w:eastAsia="zh-CN"/>
              </w:rPr>
            </w:pPr>
            <w:r>
              <w:rPr>
                <w:rFonts w:ascii="Arial Narrow" w:hAnsi="Arial Narrow" w:cs="Arial Narrow"/>
                <w:color w:val="000000"/>
                <w:sz w:val="24"/>
              </w:rPr>
              <w:t>①是否已制定或具有相应的项目资金管理办法；</w:t>
            </w:r>
          </w:p>
          <w:p>
            <w:pPr>
              <w:widowControl/>
              <w:adjustRightInd w:val="0"/>
              <w:snapToGrid w:val="0"/>
              <w:rPr>
                <w:rFonts w:ascii="Arial Narrow" w:hAnsi="Arial Narrow" w:cs="Arial Narrow"/>
                <w:color w:val="000000"/>
                <w:sz w:val="24"/>
              </w:rPr>
            </w:pPr>
            <w:r>
              <w:rPr>
                <w:rFonts w:ascii="Arial Narrow" w:hAnsi="Arial Narrow" w:cs="Arial Narrow"/>
                <w:color w:val="000000"/>
                <w:sz w:val="24"/>
              </w:rPr>
              <w:t>②项目资金管理办法是否符合相关财务会计制度的规定。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6" w:hRule="atLeast"/>
        </w:trPr>
        <w:tc>
          <w:tcPr>
            <w:tcW w:w="658" w:type="dxa"/>
            <w:vMerge w:val="continue"/>
            <w:vAlign w:val="center"/>
          </w:tcPr>
          <w:p>
            <w:pPr>
              <w:widowControl/>
              <w:adjustRightInd w:val="0"/>
              <w:snapToGrid w:val="0"/>
              <w:jc w:val="center"/>
              <w:rPr>
                <w:rFonts w:ascii="Arial Narrow" w:hAnsi="Arial Narrow" w:cs="Arial Narrow"/>
                <w:color w:val="000000"/>
                <w:sz w:val="24"/>
              </w:rPr>
            </w:pPr>
          </w:p>
        </w:tc>
        <w:tc>
          <w:tcPr>
            <w:tcW w:w="1219"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资金使用合规性（5）</w:t>
            </w:r>
          </w:p>
        </w:tc>
        <w:tc>
          <w:tcPr>
            <w:tcW w:w="2314"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项目资金使用是否符合相关的财务管理制度规定，用以反映和考核项目资金的规范运行情况。</w:t>
            </w:r>
          </w:p>
        </w:tc>
        <w:tc>
          <w:tcPr>
            <w:tcW w:w="4650" w:type="dxa"/>
            <w:vAlign w:val="center"/>
          </w:tcPr>
          <w:p>
            <w:pPr>
              <w:widowControl/>
              <w:adjustRightInd w:val="0"/>
              <w:snapToGrid w:val="0"/>
              <w:rPr>
                <w:rFonts w:hint="eastAsia" w:ascii="Arial Narrow" w:hAnsi="Arial Narrow" w:eastAsia="仿宋_GB2312" w:cs="Arial Narrow"/>
                <w:color w:val="000000"/>
                <w:sz w:val="24"/>
                <w:lang w:eastAsia="zh-CN"/>
              </w:rPr>
            </w:pPr>
            <w:r>
              <w:rPr>
                <w:rFonts w:ascii="Arial Narrow" w:hAnsi="Arial Narrow" w:cs="Arial Narrow"/>
                <w:color w:val="000000"/>
                <w:sz w:val="24"/>
              </w:rPr>
              <w:t>评价要点：</w:t>
            </w:r>
          </w:p>
          <w:p>
            <w:pPr>
              <w:widowControl/>
              <w:adjustRightInd w:val="0"/>
              <w:snapToGrid w:val="0"/>
              <w:rPr>
                <w:rFonts w:hint="eastAsia" w:ascii="Arial Narrow" w:hAnsi="Arial Narrow" w:eastAsia="仿宋_GB2312" w:cs="Arial Narrow"/>
                <w:color w:val="000000"/>
                <w:sz w:val="24"/>
                <w:lang w:eastAsia="zh-CN"/>
              </w:rPr>
            </w:pPr>
            <w:r>
              <w:rPr>
                <w:rFonts w:ascii="Arial Narrow" w:hAnsi="Arial Narrow" w:cs="Arial Narrow"/>
                <w:color w:val="000000"/>
                <w:sz w:val="24"/>
              </w:rPr>
              <w:t>①是否符合国家财经法规和财务管理制度以及有关专项资金管理办法的规定；</w:t>
            </w:r>
          </w:p>
          <w:p>
            <w:pPr>
              <w:widowControl/>
              <w:adjustRightInd w:val="0"/>
              <w:snapToGrid w:val="0"/>
              <w:rPr>
                <w:rFonts w:hint="eastAsia" w:ascii="Arial Narrow" w:hAnsi="Arial Narrow" w:eastAsia="仿宋_GB2312" w:cs="Arial Narrow"/>
                <w:color w:val="000000"/>
                <w:sz w:val="24"/>
                <w:lang w:eastAsia="zh-CN"/>
              </w:rPr>
            </w:pPr>
            <w:r>
              <w:rPr>
                <w:rFonts w:ascii="Arial Narrow" w:hAnsi="Arial Narrow" w:cs="Arial Narrow"/>
                <w:color w:val="000000"/>
                <w:sz w:val="24"/>
              </w:rPr>
              <w:t>②资金的拨付是否有完整的审批程序和手续；</w:t>
            </w:r>
          </w:p>
          <w:p>
            <w:pPr>
              <w:widowControl/>
              <w:adjustRightInd w:val="0"/>
              <w:snapToGrid w:val="0"/>
              <w:rPr>
                <w:rFonts w:hint="eastAsia" w:ascii="Arial Narrow" w:hAnsi="Arial Narrow" w:eastAsia="仿宋_GB2312" w:cs="Arial Narrow"/>
                <w:color w:val="000000"/>
                <w:sz w:val="24"/>
                <w:lang w:eastAsia="zh-CN"/>
              </w:rPr>
            </w:pPr>
            <w:r>
              <w:rPr>
                <w:rFonts w:ascii="Arial Narrow" w:hAnsi="Arial Narrow" w:cs="Arial Narrow"/>
                <w:color w:val="000000"/>
                <w:sz w:val="24"/>
              </w:rPr>
              <w:t>③项目的重大开支是否经过评估认证；</w:t>
            </w:r>
          </w:p>
          <w:p>
            <w:pPr>
              <w:widowControl/>
              <w:adjustRightInd w:val="0"/>
              <w:snapToGrid w:val="0"/>
              <w:rPr>
                <w:rFonts w:hint="eastAsia" w:ascii="Arial Narrow" w:hAnsi="Arial Narrow" w:eastAsia="仿宋_GB2312" w:cs="Arial Narrow"/>
                <w:color w:val="000000"/>
                <w:sz w:val="24"/>
                <w:lang w:eastAsia="zh-CN"/>
              </w:rPr>
            </w:pPr>
            <w:r>
              <w:rPr>
                <w:rFonts w:ascii="Arial Narrow" w:hAnsi="Arial Narrow" w:cs="Arial Narrow"/>
                <w:color w:val="000000"/>
                <w:sz w:val="24"/>
              </w:rPr>
              <w:t>④是否符合项目预算批复或合同规定的用途；</w:t>
            </w:r>
          </w:p>
          <w:p>
            <w:pPr>
              <w:widowControl/>
              <w:adjustRightInd w:val="0"/>
              <w:snapToGrid w:val="0"/>
              <w:rPr>
                <w:rFonts w:ascii="Arial Narrow" w:hAnsi="Arial Narrow" w:cs="Arial Narrow"/>
                <w:color w:val="000000"/>
                <w:sz w:val="24"/>
              </w:rPr>
            </w:pPr>
            <w:r>
              <w:rPr>
                <w:rFonts w:ascii="Arial Narrow" w:hAnsi="Arial Narrow" w:cs="Arial Narrow"/>
                <w:color w:val="000000"/>
                <w:sz w:val="24"/>
              </w:rPr>
              <w:t>⑤是否存在截留、挤占、挪用、虚列支出等情况。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569" w:hRule="atLeast"/>
        </w:trPr>
        <w:tc>
          <w:tcPr>
            <w:tcW w:w="658" w:type="dxa"/>
            <w:vMerge w:val="continue"/>
            <w:vAlign w:val="center"/>
          </w:tcPr>
          <w:p>
            <w:pPr>
              <w:widowControl/>
              <w:adjustRightInd w:val="0"/>
              <w:snapToGrid w:val="0"/>
              <w:jc w:val="center"/>
              <w:rPr>
                <w:rFonts w:ascii="Arial Narrow" w:hAnsi="Arial Narrow" w:cs="Arial Narrow"/>
                <w:color w:val="000000"/>
                <w:sz w:val="24"/>
              </w:rPr>
            </w:pPr>
          </w:p>
        </w:tc>
        <w:tc>
          <w:tcPr>
            <w:tcW w:w="1219"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财务监控有效性（3）</w:t>
            </w:r>
          </w:p>
        </w:tc>
        <w:tc>
          <w:tcPr>
            <w:tcW w:w="2314"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项目实施单位是否为保障资金的安全、规范运行而采取了必要的监控措施，用以反映和考核项目实施单位对资金运行的控制情况。</w:t>
            </w:r>
          </w:p>
        </w:tc>
        <w:tc>
          <w:tcPr>
            <w:tcW w:w="4650" w:type="dxa"/>
            <w:vAlign w:val="center"/>
          </w:tcPr>
          <w:p>
            <w:pPr>
              <w:widowControl/>
              <w:adjustRightInd w:val="0"/>
              <w:snapToGrid w:val="0"/>
              <w:rPr>
                <w:rFonts w:hint="eastAsia" w:ascii="Arial Narrow" w:hAnsi="Arial Narrow" w:eastAsia="仿宋_GB2312" w:cs="Arial Narrow"/>
                <w:color w:val="000000"/>
                <w:sz w:val="24"/>
                <w:lang w:eastAsia="zh-CN"/>
              </w:rPr>
            </w:pPr>
            <w:r>
              <w:rPr>
                <w:rFonts w:ascii="Arial Narrow" w:hAnsi="Arial Narrow" w:cs="Arial Narrow"/>
                <w:color w:val="000000"/>
                <w:sz w:val="24"/>
              </w:rPr>
              <w:t>评价要点：</w:t>
            </w:r>
          </w:p>
          <w:p>
            <w:pPr>
              <w:widowControl/>
              <w:adjustRightInd w:val="0"/>
              <w:snapToGrid w:val="0"/>
              <w:rPr>
                <w:rFonts w:hint="eastAsia" w:ascii="Arial Narrow" w:hAnsi="Arial Narrow" w:eastAsia="仿宋_GB2312" w:cs="Arial Narrow"/>
                <w:color w:val="000000"/>
                <w:sz w:val="24"/>
                <w:lang w:eastAsia="zh-CN"/>
              </w:rPr>
            </w:pPr>
            <w:r>
              <w:rPr>
                <w:rFonts w:ascii="Arial Narrow" w:hAnsi="Arial Narrow" w:cs="Arial Narrow"/>
                <w:color w:val="000000"/>
                <w:sz w:val="24"/>
              </w:rPr>
              <w:t>①是否已制定或具有相应的监控机制；</w:t>
            </w:r>
          </w:p>
          <w:p>
            <w:pPr>
              <w:widowControl/>
              <w:adjustRightInd w:val="0"/>
              <w:snapToGrid w:val="0"/>
              <w:rPr>
                <w:rFonts w:ascii="Arial Narrow" w:hAnsi="Arial Narrow" w:cs="Arial Narrow"/>
                <w:color w:val="000000"/>
                <w:sz w:val="24"/>
              </w:rPr>
            </w:pPr>
            <w:r>
              <w:rPr>
                <w:rFonts w:ascii="Arial Narrow" w:hAnsi="Arial Narrow" w:cs="Arial Narrow"/>
                <w:color w:val="000000"/>
                <w:sz w:val="24"/>
              </w:rPr>
              <w:t>②是否采取了相应的财务检查等必要的监控措施或手段。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257" w:hRule="atLeast"/>
        </w:trPr>
        <w:tc>
          <w:tcPr>
            <w:tcW w:w="658" w:type="dxa"/>
            <w:vMerge w:val="restart"/>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项目产出</w:t>
            </w:r>
          </w:p>
        </w:tc>
        <w:tc>
          <w:tcPr>
            <w:tcW w:w="1219"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研讨会召开完成率（3）</w:t>
            </w:r>
          </w:p>
        </w:tc>
        <w:tc>
          <w:tcPr>
            <w:tcW w:w="2314"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项目实施后，全年实际召开的专家研讨会完成情况，用以反映和考核项目数量指标。</w:t>
            </w:r>
          </w:p>
        </w:tc>
        <w:tc>
          <w:tcPr>
            <w:tcW w:w="4650" w:type="dxa"/>
            <w:vAlign w:val="center"/>
          </w:tcPr>
          <w:p>
            <w:pPr>
              <w:widowControl/>
              <w:adjustRightInd w:val="0"/>
              <w:snapToGrid w:val="0"/>
              <w:rPr>
                <w:rFonts w:ascii="Arial Narrow" w:hAnsi="Arial Narrow" w:cs="Arial Narrow"/>
                <w:color w:val="000000"/>
                <w:sz w:val="24"/>
              </w:rPr>
            </w:pPr>
            <w:r>
              <w:rPr>
                <w:rFonts w:ascii="Arial Narrow" w:hAnsi="Arial Narrow" w:cs="Arial Narrow"/>
                <w:color w:val="000000"/>
                <w:sz w:val="24"/>
              </w:rPr>
              <w:t>评价要点：</w:t>
            </w:r>
          </w:p>
          <w:p>
            <w:pPr>
              <w:widowControl/>
              <w:adjustRightInd w:val="0"/>
              <w:snapToGrid w:val="0"/>
              <w:rPr>
                <w:rFonts w:ascii="Arial Narrow" w:hAnsi="Arial Narrow" w:cs="Arial Narrow"/>
                <w:color w:val="000000"/>
                <w:sz w:val="24"/>
              </w:rPr>
            </w:pPr>
            <w:r>
              <w:rPr>
                <w:rFonts w:ascii="Arial Narrow" w:hAnsi="Arial Narrow" w:cs="Arial Narrow"/>
                <w:color w:val="000000"/>
                <w:sz w:val="24"/>
              </w:rPr>
              <w:t>是否召开了3次专家研讨会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6" w:hRule="atLeast"/>
        </w:trPr>
        <w:tc>
          <w:tcPr>
            <w:tcW w:w="658" w:type="dxa"/>
            <w:vMerge w:val="continue"/>
            <w:vAlign w:val="center"/>
          </w:tcPr>
          <w:p>
            <w:pPr>
              <w:widowControl/>
              <w:adjustRightInd w:val="0"/>
              <w:snapToGrid w:val="0"/>
              <w:jc w:val="center"/>
              <w:rPr>
                <w:rFonts w:ascii="Arial Narrow" w:hAnsi="Arial Narrow" w:cs="Arial Narrow"/>
                <w:color w:val="000000"/>
                <w:sz w:val="24"/>
              </w:rPr>
            </w:pPr>
          </w:p>
        </w:tc>
        <w:tc>
          <w:tcPr>
            <w:tcW w:w="1219"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考察调研次数（5）</w:t>
            </w:r>
          </w:p>
        </w:tc>
        <w:tc>
          <w:tcPr>
            <w:tcW w:w="2314"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项目实施后，全年实际外出考察调研次数，用以反映和考核项目数量指标。</w:t>
            </w:r>
          </w:p>
        </w:tc>
        <w:tc>
          <w:tcPr>
            <w:tcW w:w="4650" w:type="dxa"/>
            <w:vAlign w:val="center"/>
          </w:tcPr>
          <w:p>
            <w:pPr>
              <w:widowControl/>
              <w:adjustRightInd w:val="0"/>
              <w:snapToGrid w:val="0"/>
              <w:rPr>
                <w:rFonts w:ascii="Arial Narrow" w:hAnsi="Arial Narrow" w:cs="Arial Narrow"/>
                <w:color w:val="000000"/>
                <w:sz w:val="24"/>
              </w:rPr>
            </w:pPr>
            <w:r>
              <w:rPr>
                <w:rFonts w:ascii="Arial Narrow" w:hAnsi="Arial Narrow" w:cs="Arial Narrow"/>
                <w:color w:val="000000"/>
                <w:sz w:val="24"/>
              </w:rPr>
              <w:t>评价要点：</w:t>
            </w:r>
          </w:p>
          <w:p>
            <w:pPr>
              <w:widowControl/>
              <w:adjustRightInd w:val="0"/>
              <w:snapToGrid w:val="0"/>
              <w:rPr>
                <w:rFonts w:ascii="Arial Narrow" w:hAnsi="Arial Narrow" w:cs="Arial Narrow"/>
                <w:color w:val="000000"/>
                <w:sz w:val="24"/>
              </w:rPr>
            </w:pPr>
            <w:r>
              <w:rPr>
                <w:rFonts w:ascii="Arial Narrow" w:hAnsi="Arial Narrow" w:cs="Arial Narrow"/>
                <w:color w:val="000000"/>
                <w:sz w:val="24"/>
              </w:rPr>
              <w:t>①是否外出其他省市调研；</w:t>
            </w:r>
          </w:p>
          <w:p>
            <w:pPr>
              <w:widowControl/>
              <w:adjustRightInd w:val="0"/>
              <w:snapToGrid w:val="0"/>
              <w:rPr>
                <w:rFonts w:ascii="Arial Narrow" w:hAnsi="Arial Narrow" w:cs="Arial Narrow"/>
                <w:color w:val="000000"/>
                <w:sz w:val="24"/>
              </w:rPr>
            </w:pPr>
            <w:r>
              <w:rPr>
                <w:rFonts w:ascii="Arial Narrow" w:hAnsi="Arial Narrow" w:cs="Arial Narrow"/>
                <w:color w:val="000000"/>
                <w:sz w:val="24"/>
              </w:rPr>
              <w:t>②是否面向重点企业进行补充调研。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6" w:hRule="atLeast"/>
        </w:trPr>
        <w:tc>
          <w:tcPr>
            <w:tcW w:w="658" w:type="dxa"/>
            <w:vMerge w:val="continue"/>
            <w:vAlign w:val="center"/>
          </w:tcPr>
          <w:p>
            <w:pPr>
              <w:widowControl/>
              <w:adjustRightInd w:val="0"/>
              <w:snapToGrid w:val="0"/>
              <w:jc w:val="center"/>
              <w:rPr>
                <w:rFonts w:ascii="Arial Narrow" w:hAnsi="Arial Narrow" w:cs="Arial Narrow"/>
                <w:color w:val="000000"/>
                <w:sz w:val="24"/>
              </w:rPr>
            </w:pPr>
          </w:p>
        </w:tc>
        <w:tc>
          <w:tcPr>
            <w:tcW w:w="1219"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规划编制完善率（5）</w:t>
            </w:r>
          </w:p>
        </w:tc>
        <w:tc>
          <w:tcPr>
            <w:tcW w:w="2314"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项目实施后，评审专家对规划编制完善修改情况，用以反映和考核项目质量指标。</w:t>
            </w:r>
          </w:p>
        </w:tc>
        <w:tc>
          <w:tcPr>
            <w:tcW w:w="4650" w:type="dxa"/>
            <w:vAlign w:val="center"/>
          </w:tcPr>
          <w:p>
            <w:pPr>
              <w:widowControl/>
              <w:adjustRightInd w:val="0"/>
              <w:snapToGrid w:val="0"/>
              <w:rPr>
                <w:rFonts w:ascii="Arial Narrow" w:hAnsi="Arial Narrow" w:cs="Arial Narrow"/>
                <w:color w:val="000000"/>
                <w:sz w:val="24"/>
              </w:rPr>
            </w:pPr>
            <w:r>
              <w:rPr>
                <w:rFonts w:ascii="Arial Narrow" w:hAnsi="Arial Narrow" w:cs="Arial Narrow"/>
                <w:color w:val="000000"/>
                <w:sz w:val="24"/>
              </w:rPr>
              <w:t>评价要点：</w:t>
            </w:r>
          </w:p>
          <w:p>
            <w:pPr>
              <w:widowControl/>
              <w:adjustRightInd w:val="0"/>
              <w:snapToGrid w:val="0"/>
              <w:rPr>
                <w:rFonts w:ascii="Arial Narrow" w:hAnsi="Arial Narrow" w:cs="Arial Narrow"/>
                <w:color w:val="000000"/>
                <w:sz w:val="24"/>
              </w:rPr>
            </w:pPr>
            <w:r>
              <w:rPr>
                <w:rFonts w:ascii="Arial Narrow" w:hAnsi="Arial Narrow" w:cs="Arial Narrow"/>
                <w:color w:val="000000"/>
                <w:sz w:val="24"/>
              </w:rPr>
              <w:t>是否邀请专家对规划编制进行完善修改。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6" w:hRule="atLeast"/>
        </w:trPr>
        <w:tc>
          <w:tcPr>
            <w:tcW w:w="658" w:type="dxa"/>
            <w:vMerge w:val="continue"/>
            <w:vAlign w:val="center"/>
          </w:tcPr>
          <w:p>
            <w:pPr>
              <w:widowControl/>
              <w:adjustRightInd w:val="0"/>
              <w:snapToGrid w:val="0"/>
              <w:jc w:val="center"/>
              <w:rPr>
                <w:rFonts w:ascii="Arial Narrow" w:hAnsi="Arial Narrow" w:cs="Arial Narrow"/>
                <w:color w:val="000000"/>
                <w:sz w:val="24"/>
              </w:rPr>
            </w:pPr>
          </w:p>
        </w:tc>
        <w:tc>
          <w:tcPr>
            <w:tcW w:w="1219"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研讨会形成成果率（5）</w:t>
            </w:r>
          </w:p>
        </w:tc>
        <w:tc>
          <w:tcPr>
            <w:tcW w:w="2314"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项目实施后，研讨会开展形成成果的情况，用以反映和考核项目质量指标。</w:t>
            </w:r>
          </w:p>
        </w:tc>
        <w:tc>
          <w:tcPr>
            <w:tcW w:w="4650" w:type="dxa"/>
            <w:vAlign w:val="center"/>
          </w:tcPr>
          <w:p>
            <w:pPr>
              <w:widowControl/>
              <w:adjustRightInd w:val="0"/>
              <w:snapToGrid w:val="0"/>
              <w:rPr>
                <w:rFonts w:ascii="Arial Narrow" w:hAnsi="Arial Narrow" w:cs="Arial Narrow"/>
                <w:color w:val="000000"/>
                <w:sz w:val="24"/>
              </w:rPr>
            </w:pPr>
            <w:r>
              <w:rPr>
                <w:rFonts w:ascii="Arial Narrow" w:hAnsi="Arial Narrow" w:cs="Arial Narrow"/>
                <w:color w:val="000000"/>
                <w:sz w:val="24"/>
              </w:rPr>
              <w:t>评价要点：</w:t>
            </w:r>
          </w:p>
          <w:p>
            <w:pPr>
              <w:widowControl/>
              <w:adjustRightInd w:val="0"/>
              <w:snapToGrid w:val="0"/>
              <w:rPr>
                <w:rFonts w:ascii="Arial Narrow" w:hAnsi="Arial Narrow" w:cs="Arial Narrow"/>
                <w:color w:val="000000"/>
                <w:sz w:val="24"/>
              </w:rPr>
            </w:pPr>
            <w:r>
              <w:rPr>
                <w:rFonts w:ascii="Arial Narrow" w:hAnsi="Arial Narrow" w:cs="Arial Narrow"/>
                <w:color w:val="000000"/>
                <w:sz w:val="24"/>
              </w:rPr>
              <w:t>①是否确立项目库、企业库、专家库的建立；</w:t>
            </w:r>
          </w:p>
          <w:p>
            <w:pPr>
              <w:widowControl/>
              <w:adjustRightInd w:val="0"/>
              <w:snapToGrid w:val="0"/>
              <w:rPr>
                <w:rFonts w:ascii="Arial Narrow" w:hAnsi="Arial Narrow" w:cs="Arial Narrow"/>
                <w:color w:val="000000"/>
                <w:sz w:val="24"/>
              </w:rPr>
            </w:pPr>
            <w:r>
              <w:rPr>
                <w:rFonts w:ascii="Arial Narrow" w:hAnsi="Arial Narrow" w:cs="Arial Narrow"/>
                <w:color w:val="000000"/>
                <w:sz w:val="24"/>
              </w:rPr>
              <w:t>②是否形成了智能家居之都规划的初步确立。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6" w:hRule="atLeast"/>
        </w:trPr>
        <w:tc>
          <w:tcPr>
            <w:tcW w:w="658" w:type="dxa"/>
            <w:vMerge w:val="continue"/>
            <w:vAlign w:val="center"/>
          </w:tcPr>
          <w:p>
            <w:pPr>
              <w:widowControl/>
              <w:adjustRightInd w:val="0"/>
              <w:snapToGrid w:val="0"/>
              <w:jc w:val="center"/>
              <w:rPr>
                <w:rFonts w:ascii="Arial Narrow" w:hAnsi="Arial Narrow" w:cs="Arial Narrow"/>
                <w:color w:val="000000"/>
                <w:sz w:val="24"/>
              </w:rPr>
            </w:pPr>
          </w:p>
        </w:tc>
        <w:tc>
          <w:tcPr>
            <w:tcW w:w="1219"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咨询报告验收率（5）</w:t>
            </w:r>
          </w:p>
        </w:tc>
        <w:tc>
          <w:tcPr>
            <w:tcW w:w="2314"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项目实施后，智能家居之都规划编制咨询报告验收情况，用以反映和考核项目数量指标。</w:t>
            </w:r>
          </w:p>
        </w:tc>
        <w:tc>
          <w:tcPr>
            <w:tcW w:w="4650" w:type="dxa"/>
            <w:vAlign w:val="center"/>
          </w:tcPr>
          <w:p>
            <w:pPr>
              <w:widowControl/>
              <w:adjustRightInd w:val="0"/>
              <w:snapToGrid w:val="0"/>
              <w:rPr>
                <w:rFonts w:ascii="Arial Narrow" w:hAnsi="Arial Narrow" w:cs="Arial Narrow"/>
                <w:color w:val="000000"/>
                <w:sz w:val="24"/>
              </w:rPr>
            </w:pPr>
            <w:r>
              <w:rPr>
                <w:rFonts w:ascii="Arial Narrow" w:hAnsi="Arial Narrow" w:cs="Arial Narrow"/>
                <w:color w:val="000000"/>
                <w:sz w:val="24"/>
              </w:rPr>
              <w:t>评价要点：</w:t>
            </w:r>
          </w:p>
          <w:p>
            <w:pPr>
              <w:widowControl/>
              <w:adjustRightInd w:val="0"/>
              <w:snapToGrid w:val="0"/>
              <w:rPr>
                <w:rFonts w:ascii="Arial Narrow" w:hAnsi="Arial Narrow" w:cs="Arial Narrow"/>
                <w:color w:val="000000"/>
                <w:sz w:val="24"/>
              </w:rPr>
            </w:pPr>
            <w:r>
              <w:rPr>
                <w:rFonts w:ascii="Arial Narrow" w:hAnsi="Arial Narrow" w:cs="Arial Narrow"/>
                <w:color w:val="000000"/>
                <w:sz w:val="24"/>
              </w:rPr>
              <w:t>是否提交书面报告15份，电子资料1份。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6" w:hRule="atLeast"/>
        </w:trPr>
        <w:tc>
          <w:tcPr>
            <w:tcW w:w="658" w:type="dxa"/>
            <w:vMerge w:val="continue"/>
            <w:vAlign w:val="center"/>
          </w:tcPr>
          <w:p>
            <w:pPr>
              <w:widowControl/>
              <w:adjustRightInd w:val="0"/>
              <w:snapToGrid w:val="0"/>
              <w:jc w:val="center"/>
              <w:rPr>
                <w:rFonts w:ascii="Arial Narrow" w:hAnsi="Arial Narrow" w:cs="Arial Narrow"/>
                <w:color w:val="000000"/>
                <w:sz w:val="24"/>
              </w:rPr>
            </w:pPr>
          </w:p>
        </w:tc>
        <w:tc>
          <w:tcPr>
            <w:tcW w:w="1219"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规划成果验收完成率（5）</w:t>
            </w:r>
          </w:p>
        </w:tc>
        <w:tc>
          <w:tcPr>
            <w:tcW w:w="2314"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项目实施后，项目规划成果验收完成情况，用以反映和考核项目数量指标。</w:t>
            </w:r>
          </w:p>
        </w:tc>
        <w:tc>
          <w:tcPr>
            <w:tcW w:w="4650" w:type="dxa"/>
            <w:vAlign w:val="center"/>
          </w:tcPr>
          <w:p>
            <w:pPr>
              <w:widowControl/>
              <w:adjustRightInd w:val="0"/>
              <w:snapToGrid w:val="0"/>
              <w:rPr>
                <w:rFonts w:ascii="Arial Narrow" w:hAnsi="Arial Narrow" w:cs="Arial Narrow"/>
                <w:color w:val="000000"/>
                <w:sz w:val="24"/>
              </w:rPr>
            </w:pPr>
            <w:r>
              <w:rPr>
                <w:rFonts w:ascii="Arial Narrow" w:hAnsi="Arial Narrow" w:cs="Arial Narrow"/>
                <w:color w:val="000000"/>
                <w:sz w:val="24"/>
              </w:rPr>
              <w:t>评价要点：</w:t>
            </w:r>
          </w:p>
          <w:p>
            <w:pPr>
              <w:widowControl/>
              <w:adjustRightInd w:val="0"/>
              <w:snapToGrid w:val="0"/>
              <w:rPr>
                <w:rFonts w:ascii="Arial Narrow" w:hAnsi="Arial Narrow" w:cs="Arial Narrow"/>
                <w:color w:val="000000"/>
                <w:sz w:val="24"/>
              </w:rPr>
            </w:pPr>
            <w:r>
              <w:rPr>
                <w:rFonts w:ascii="Arial Narrow" w:hAnsi="Arial Narrow" w:cs="Arial Narrow"/>
                <w:color w:val="000000"/>
                <w:sz w:val="24"/>
              </w:rPr>
              <w:t>项目规划成果是否验收。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6" w:hRule="atLeast"/>
        </w:trPr>
        <w:tc>
          <w:tcPr>
            <w:tcW w:w="658" w:type="dxa"/>
            <w:vMerge w:val="continue"/>
            <w:vAlign w:val="center"/>
          </w:tcPr>
          <w:p>
            <w:pPr>
              <w:widowControl/>
              <w:adjustRightInd w:val="0"/>
              <w:snapToGrid w:val="0"/>
              <w:jc w:val="center"/>
              <w:rPr>
                <w:rFonts w:ascii="Arial Narrow" w:hAnsi="Arial Narrow" w:cs="Arial Narrow"/>
                <w:color w:val="000000"/>
                <w:sz w:val="24"/>
              </w:rPr>
            </w:pPr>
          </w:p>
        </w:tc>
        <w:tc>
          <w:tcPr>
            <w:tcW w:w="1219"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资金使用率（5）</w:t>
            </w:r>
          </w:p>
        </w:tc>
        <w:tc>
          <w:tcPr>
            <w:tcW w:w="2314"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项目实际支出与项目到位资金的比率，用以反映和考核项目资金使用情况。</w:t>
            </w:r>
          </w:p>
        </w:tc>
        <w:tc>
          <w:tcPr>
            <w:tcW w:w="4650" w:type="dxa"/>
            <w:vAlign w:val="center"/>
          </w:tcPr>
          <w:p>
            <w:pPr>
              <w:widowControl/>
              <w:adjustRightInd w:val="0"/>
              <w:snapToGrid w:val="0"/>
              <w:rPr>
                <w:rFonts w:ascii="Arial Narrow" w:hAnsi="Arial Narrow" w:cs="Arial Narrow"/>
                <w:color w:val="000000"/>
                <w:sz w:val="24"/>
              </w:rPr>
            </w:pPr>
            <w:r>
              <w:rPr>
                <w:rFonts w:ascii="Arial Narrow" w:hAnsi="Arial Narrow" w:cs="Arial Narrow"/>
                <w:color w:val="000000"/>
                <w:sz w:val="24"/>
              </w:rPr>
              <w:t>评价要点：</w:t>
            </w:r>
          </w:p>
          <w:p>
            <w:pPr>
              <w:widowControl/>
              <w:adjustRightInd w:val="0"/>
              <w:snapToGrid w:val="0"/>
              <w:rPr>
                <w:rFonts w:ascii="Arial Narrow" w:hAnsi="Arial Narrow" w:cs="Arial Narrow"/>
                <w:color w:val="000000"/>
                <w:sz w:val="24"/>
              </w:rPr>
            </w:pPr>
            <w:r>
              <w:rPr>
                <w:rFonts w:ascii="Arial Narrow" w:hAnsi="Arial Narrow" w:cs="Arial Narrow"/>
                <w:color w:val="000000"/>
                <w:sz w:val="24"/>
              </w:rPr>
              <w:t>资金使用率=项目实际支出/项目到位资金×100%。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6" w:hRule="atLeast"/>
        </w:trPr>
        <w:tc>
          <w:tcPr>
            <w:tcW w:w="658" w:type="dxa"/>
            <w:vMerge w:val="restart"/>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项目效益</w:t>
            </w:r>
          </w:p>
        </w:tc>
        <w:tc>
          <w:tcPr>
            <w:tcW w:w="1219"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编制成果提交及时率（4）</w:t>
            </w:r>
          </w:p>
        </w:tc>
        <w:tc>
          <w:tcPr>
            <w:tcW w:w="2314"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项目实施后，智能家居之都规划编制是否在规定时限完成，用以反应和考核项目实施后的社会效益。</w:t>
            </w:r>
          </w:p>
        </w:tc>
        <w:tc>
          <w:tcPr>
            <w:tcW w:w="4650" w:type="dxa"/>
            <w:vAlign w:val="center"/>
          </w:tcPr>
          <w:p>
            <w:pPr>
              <w:widowControl/>
              <w:adjustRightInd w:val="0"/>
              <w:snapToGrid w:val="0"/>
              <w:rPr>
                <w:rFonts w:ascii="Arial Narrow" w:hAnsi="Arial Narrow" w:cs="Arial Narrow"/>
                <w:color w:val="000000"/>
                <w:sz w:val="24"/>
              </w:rPr>
            </w:pPr>
            <w:r>
              <w:rPr>
                <w:rFonts w:ascii="Arial Narrow" w:hAnsi="Arial Narrow" w:cs="Arial Narrow"/>
                <w:color w:val="000000"/>
                <w:sz w:val="24"/>
              </w:rPr>
              <w:t>评价要点：</w:t>
            </w:r>
          </w:p>
          <w:p>
            <w:pPr>
              <w:widowControl/>
              <w:adjustRightInd w:val="0"/>
              <w:snapToGrid w:val="0"/>
              <w:rPr>
                <w:rFonts w:ascii="Arial Narrow" w:hAnsi="Arial Narrow" w:cs="Arial Narrow"/>
                <w:color w:val="000000"/>
                <w:sz w:val="24"/>
              </w:rPr>
            </w:pPr>
            <w:r>
              <w:rPr>
                <w:rFonts w:ascii="Arial Narrow" w:hAnsi="Arial Narrow" w:cs="Arial Narrow"/>
                <w:color w:val="000000"/>
                <w:sz w:val="24"/>
              </w:rPr>
              <w:t xml:space="preserve">是否规定的150个工作日内提交规划编制。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6" w:hRule="atLeast"/>
        </w:trPr>
        <w:tc>
          <w:tcPr>
            <w:tcW w:w="658" w:type="dxa"/>
            <w:vMerge w:val="continue"/>
            <w:vAlign w:val="center"/>
          </w:tcPr>
          <w:p>
            <w:pPr>
              <w:widowControl/>
              <w:adjustRightInd w:val="0"/>
              <w:snapToGrid w:val="0"/>
              <w:jc w:val="left"/>
              <w:rPr>
                <w:rFonts w:ascii="Arial Narrow" w:hAnsi="Arial Narrow" w:cs="Arial Narrow"/>
                <w:color w:val="000000"/>
                <w:sz w:val="24"/>
              </w:rPr>
            </w:pPr>
          </w:p>
        </w:tc>
        <w:tc>
          <w:tcPr>
            <w:tcW w:w="1219"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调研成果完成率（4）</w:t>
            </w:r>
          </w:p>
        </w:tc>
        <w:tc>
          <w:tcPr>
            <w:tcW w:w="2314"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项目实施后，项目单位调研成果的完成情况，用以反应和考核项目实施后的社会效益。</w:t>
            </w:r>
          </w:p>
        </w:tc>
        <w:tc>
          <w:tcPr>
            <w:tcW w:w="4650" w:type="dxa"/>
            <w:vAlign w:val="center"/>
          </w:tcPr>
          <w:p>
            <w:pPr>
              <w:widowControl/>
              <w:adjustRightInd w:val="0"/>
              <w:snapToGrid w:val="0"/>
              <w:rPr>
                <w:rFonts w:ascii="Arial Narrow" w:hAnsi="Arial Narrow" w:cs="Arial Narrow"/>
                <w:color w:val="000000"/>
                <w:sz w:val="24"/>
              </w:rPr>
            </w:pPr>
            <w:r>
              <w:rPr>
                <w:rFonts w:ascii="Arial Narrow" w:hAnsi="Arial Narrow" w:cs="Arial Narrow"/>
                <w:color w:val="000000"/>
                <w:sz w:val="24"/>
              </w:rPr>
              <w:t>评价要点：</w:t>
            </w:r>
          </w:p>
          <w:p>
            <w:pPr>
              <w:widowControl/>
              <w:adjustRightInd w:val="0"/>
              <w:snapToGrid w:val="0"/>
              <w:rPr>
                <w:rFonts w:ascii="Arial Narrow" w:hAnsi="Arial Narrow" w:cs="Arial Narrow"/>
                <w:color w:val="000000"/>
                <w:sz w:val="24"/>
              </w:rPr>
            </w:pPr>
            <w:r>
              <w:rPr>
                <w:rFonts w:ascii="Arial Narrow" w:hAnsi="Arial Narrow" w:cs="Arial Narrow"/>
                <w:color w:val="000000"/>
                <w:sz w:val="24"/>
              </w:rPr>
              <w:t>是否有相应调研的成果报告。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6" w:hRule="atLeast"/>
        </w:trPr>
        <w:tc>
          <w:tcPr>
            <w:tcW w:w="658" w:type="dxa"/>
            <w:vMerge w:val="continue"/>
            <w:vAlign w:val="center"/>
          </w:tcPr>
          <w:p>
            <w:pPr>
              <w:widowControl/>
              <w:adjustRightInd w:val="0"/>
              <w:snapToGrid w:val="0"/>
              <w:jc w:val="left"/>
              <w:rPr>
                <w:rFonts w:ascii="Arial Narrow" w:hAnsi="Arial Narrow" w:cs="Arial Narrow"/>
                <w:color w:val="000000"/>
                <w:sz w:val="24"/>
              </w:rPr>
            </w:pPr>
          </w:p>
        </w:tc>
        <w:tc>
          <w:tcPr>
            <w:tcW w:w="1219"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规划文本宣传度（4）</w:t>
            </w:r>
          </w:p>
        </w:tc>
        <w:tc>
          <w:tcPr>
            <w:tcW w:w="2314"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项目实施后，项目单位对编制完成的规划文本进行宣传的完成情况，用以反应和考核项目实施后的社会效益。</w:t>
            </w:r>
          </w:p>
        </w:tc>
        <w:tc>
          <w:tcPr>
            <w:tcW w:w="4650" w:type="dxa"/>
            <w:vAlign w:val="center"/>
          </w:tcPr>
          <w:p>
            <w:pPr>
              <w:widowControl/>
              <w:adjustRightInd w:val="0"/>
              <w:snapToGrid w:val="0"/>
              <w:rPr>
                <w:rFonts w:ascii="Arial Narrow" w:hAnsi="Arial Narrow" w:cs="Arial Narrow"/>
                <w:color w:val="000000"/>
                <w:sz w:val="24"/>
              </w:rPr>
            </w:pPr>
            <w:r>
              <w:rPr>
                <w:rFonts w:ascii="Arial Narrow" w:hAnsi="Arial Narrow" w:cs="Arial Narrow"/>
                <w:color w:val="000000"/>
                <w:sz w:val="24"/>
              </w:rPr>
              <w:t>评价要点：</w:t>
            </w:r>
          </w:p>
          <w:p>
            <w:pPr>
              <w:widowControl/>
              <w:adjustRightInd w:val="0"/>
              <w:snapToGrid w:val="0"/>
              <w:rPr>
                <w:rFonts w:ascii="Arial Narrow" w:hAnsi="Arial Narrow" w:cs="Arial Narrow"/>
                <w:color w:val="000000"/>
                <w:sz w:val="24"/>
              </w:rPr>
            </w:pPr>
            <w:r>
              <w:rPr>
                <w:rFonts w:ascii="Arial Narrow" w:hAnsi="Arial Narrow" w:cs="Arial Narrow"/>
                <w:color w:val="000000"/>
                <w:sz w:val="24"/>
              </w:rPr>
              <w:t>是否向其他单位进行规划文本的宣传。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261" w:hRule="atLeast"/>
        </w:trPr>
        <w:tc>
          <w:tcPr>
            <w:tcW w:w="658" w:type="dxa"/>
            <w:vMerge w:val="continue"/>
            <w:vAlign w:val="center"/>
          </w:tcPr>
          <w:p>
            <w:pPr>
              <w:widowControl/>
              <w:adjustRightInd w:val="0"/>
              <w:snapToGrid w:val="0"/>
              <w:jc w:val="left"/>
              <w:rPr>
                <w:rFonts w:ascii="Arial Narrow" w:hAnsi="Arial Narrow" w:cs="Arial Narrow"/>
                <w:color w:val="000000"/>
                <w:sz w:val="24"/>
              </w:rPr>
            </w:pPr>
          </w:p>
        </w:tc>
        <w:tc>
          <w:tcPr>
            <w:tcW w:w="1219"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提升地区经济（4）</w:t>
            </w:r>
          </w:p>
        </w:tc>
        <w:tc>
          <w:tcPr>
            <w:tcW w:w="2314"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项目实施后，项目规划成果提升地区经济发展的情况，用以反应和考核项目实施后的社会效益。</w:t>
            </w:r>
          </w:p>
        </w:tc>
        <w:tc>
          <w:tcPr>
            <w:tcW w:w="4650" w:type="dxa"/>
            <w:vAlign w:val="center"/>
          </w:tcPr>
          <w:p>
            <w:pPr>
              <w:widowControl/>
              <w:adjustRightInd w:val="0"/>
              <w:snapToGrid w:val="0"/>
              <w:rPr>
                <w:rFonts w:ascii="Arial Narrow" w:hAnsi="Arial Narrow" w:cs="Arial Narrow"/>
                <w:color w:val="000000"/>
                <w:sz w:val="24"/>
              </w:rPr>
            </w:pPr>
            <w:r>
              <w:rPr>
                <w:rFonts w:ascii="Arial Narrow" w:hAnsi="Arial Narrow" w:cs="Arial Narrow"/>
                <w:color w:val="000000"/>
                <w:sz w:val="24"/>
              </w:rPr>
              <w:t>评价要点：</w:t>
            </w:r>
          </w:p>
          <w:p>
            <w:pPr>
              <w:widowControl/>
              <w:adjustRightInd w:val="0"/>
              <w:snapToGrid w:val="0"/>
              <w:rPr>
                <w:rFonts w:ascii="Arial Narrow" w:hAnsi="Arial Narrow" w:cs="Arial Narrow"/>
                <w:color w:val="000000"/>
                <w:sz w:val="24"/>
              </w:rPr>
            </w:pPr>
            <w:r>
              <w:rPr>
                <w:rFonts w:ascii="Arial Narrow" w:hAnsi="Arial Narrow" w:cs="Arial Narrow"/>
                <w:color w:val="000000"/>
                <w:sz w:val="24"/>
              </w:rPr>
              <w:t>项目规划是否引进高端产业。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846" w:hRule="atLeast"/>
        </w:trPr>
        <w:tc>
          <w:tcPr>
            <w:tcW w:w="658" w:type="dxa"/>
            <w:vMerge w:val="continue"/>
            <w:vAlign w:val="center"/>
          </w:tcPr>
          <w:p>
            <w:pPr>
              <w:widowControl/>
              <w:adjustRightInd w:val="0"/>
              <w:snapToGrid w:val="0"/>
              <w:jc w:val="left"/>
              <w:rPr>
                <w:rFonts w:ascii="Arial Narrow" w:hAnsi="Arial Narrow" w:cs="Arial Narrow"/>
                <w:color w:val="000000"/>
                <w:sz w:val="24"/>
              </w:rPr>
            </w:pPr>
          </w:p>
        </w:tc>
        <w:tc>
          <w:tcPr>
            <w:tcW w:w="1219"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可持续性（6）</w:t>
            </w:r>
          </w:p>
        </w:tc>
        <w:tc>
          <w:tcPr>
            <w:tcW w:w="2314"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项目实施后，单位是否支持项目长期运行及合理运维，是否有相关的管理机构及人力资源满足项目实施的要求，用以反映和考核项目的可持续性。</w:t>
            </w:r>
          </w:p>
        </w:tc>
        <w:tc>
          <w:tcPr>
            <w:tcW w:w="4650" w:type="dxa"/>
            <w:vAlign w:val="center"/>
          </w:tcPr>
          <w:p>
            <w:pPr>
              <w:widowControl/>
              <w:adjustRightInd w:val="0"/>
              <w:snapToGrid w:val="0"/>
              <w:rPr>
                <w:rFonts w:ascii="Arial Narrow" w:hAnsi="Arial Narrow" w:cs="Arial Narrow"/>
                <w:color w:val="000000"/>
                <w:sz w:val="24"/>
              </w:rPr>
            </w:pPr>
            <w:r>
              <w:rPr>
                <w:rFonts w:ascii="Arial Narrow" w:hAnsi="Arial Narrow" w:cs="Arial Narrow"/>
                <w:color w:val="000000"/>
                <w:sz w:val="24"/>
              </w:rPr>
              <w:t>评价要点：</w:t>
            </w:r>
          </w:p>
          <w:p>
            <w:pPr>
              <w:widowControl/>
              <w:adjustRightInd w:val="0"/>
              <w:snapToGrid w:val="0"/>
              <w:rPr>
                <w:rFonts w:ascii="Arial Narrow" w:hAnsi="Arial Narrow" w:cs="Arial Narrow"/>
                <w:color w:val="000000"/>
                <w:sz w:val="24"/>
              </w:rPr>
            </w:pPr>
            <w:r>
              <w:rPr>
                <w:rFonts w:ascii="Arial Narrow" w:hAnsi="Arial Narrow" w:cs="Arial Narrow"/>
                <w:color w:val="000000"/>
                <w:sz w:val="24"/>
              </w:rPr>
              <w:t>项目实施单位有机构设置和充足的人员配备支持项目实施的后续运行。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6" w:hRule="atLeast"/>
        </w:trPr>
        <w:tc>
          <w:tcPr>
            <w:tcW w:w="658" w:type="dxa"/>
            <w:vMerge w:val="continue"/>
            <w:vAlign w:val="center"/>
          </w:tcPr>
          <w:p>
            <w:pPr>
              <w:widowControl/>
              <w:adjustRightInd w:val="0"/>
              <w:snapToGrid w:val="0"/>
              <w:jc w:val="left"/>
              <w:rPr>
                <w:rFonts w:ascii="Arial Narrow" w:hAnsi="Arial Narrow" w:cs="Arial Narrow"/>
                <w:color w:val="000000"/>
                <w:sz w:val="24"/>
              </w:rPr>
            </w:pPr>
          </w:p>
        </w:tc>
        <w:tc>
          <w:tcPr>
            <w:tcW w:w="1219"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社会公众满意度（6）</w:t>
            </w:r>
          </w:p>
        </w:tc>
        <w:tc>
          <w:tcPr>
            <w:tcW w:w="2314"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社会公众或服务对象对项目实施效果的满意程度。</w:t>
            </w:r>
          </w:p>
        </w:tc>
        <w:tc>
          <w:tcPr>
            <w:tcW w:w="4650" w:type="dxa"/>
            <w:vAlign w:val="center"/>
          </w:tcPr>
          <w:p>
            <w:pPr>
              <w:widowControl/>
              <w:adjustRightInd w:val="0"/>
              <w:snapToGrid w:val="0"/>
              <w:rPr>
                <w:rFonts w:ascii="Arial Narrow" w:hAnsi="Arial Narrow" w:cs="Arial Narrow"/>
                <w:color w:val="000000"/>
                <w:sz w:val="24"/>
              </w:rPr>
            </w:pPr>
            <w:r>
              <w:rPr>
                <w:rFonts w:ascii="Arial Narrow" w:hAnsi="Arial Narrow" w:cs="Arial Narrow"/>
                <w:color w:val="000000"/>
                <w:sz w:val="24"/>
              </w:rPr>
              <w:t>评价要点：</w:t>
            </w:r>
          </w:p>
          <w:p>
            <w:pPr>
              <w:widowControl/>
              <w:adjustRightInd w:val="0"/>
              <w:snapToGrid w:val="0"/>
              <w:rPr>
                <w:rFonts w:ascii="Arial Narrow" w:hAnsi="Arial Narrow" w:cs="Arial Narrow"/>
                <w:color w:val="000000"/>
                <w:sz w:val="24"/>
              </w:rPr>
            </w:pPr>
            <w:r>
              <w:rPr>
                <w:rFonts w:ascii="Arial Narrow" w:hAnsi="Arial Narrow" w:cs="Arial Narrow"/>
                <w:color w:val="000000"/>
                <w:sz w:val="24"/>
              </w:rPr>
              <w:t>通过调查问卷的方式获取，社会公众对项目实施的整体满意程度。</w:t>
            </w:r>
          </w:p>
        </w:tc>
      </w:tr>
    </w:tbl>
    <w:p>
      <w:pPr>
        <w:spacing w:line="360" w:lineRule="auto"/>
        <w:ind w:firstLine="480" w:firstLineChars="200"/>
        <w:rPr>
          <w:rFonts w:ascii="Arial Narrow" w:hAnsi="Arial Narrow" w:cs="Arial Narrow"/>
          <w:sz w:val="24"/>
        </w:rPr>
      </w:pPr>
      <w:r>
        <w:rPr>
          <w:rFonts w:ascii="Arial Narrow" w:hAnsi="Arial Narrow" w:cs="Arial Narrow"/>
          <w:sz w:val="24"/>
        </w:rPr>
        <w:t>具体指标目标值、绩效标准、评分细则如下表所示：</w:t>
      </w:r>
    </w:p>
    <w:tbl>
      <w:tblPr>
        <w:tblStyle w:val="11"/>
        <w:tblW w:w="887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608"/>
        <w:gridCol w:w="1309"/>
        <w:gridCol w:w="980"/>
        <w:gridCol w:w="940"/>
        <w:gridCol w:w="503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6" w:hRule="atLeast"/>
          <w:tblHeader/>
        </w:trPr>
        <w:tc>
          <w:tcPr>
            <w:tcW w:w="1917" w:type="dxa"/>
            <w:gridSpan w:val="2"/>
            <w:vAlign w:val="center"/>
          </w:tcPr>
          <w:p>
            <w:pPr>
              <w:widowControl/>
              <w:adjustRightInd w:val="0"/>
              <w:snapToGrid w:val="0"/>
              <w:jc w:val="center"/>
              <w:rPr>
                <w:rFonts w:ascii="Arial Narrow" w:hAnsi="Arial Narrow" w:cs="Arial Narrow"/>
                <w:b/>
                <w:bCs/>
                <w:color w:val="000000"/>
                <w:sz w:val="24"/>
              </w:rPr>
            </w:pPr>
            <w:r>
              <w:rPr>
                <w:rFonts w:ascii="Arial Narrow" w:hAnsi="Arial Narrow" w:cs="Arial Narrow"/>
                <w:b/>
                <w:bCs/>
                <w:color w:val="000000"/>
                <w:sz w:val="24"/>
              </w:rPr>
              <w:t>指标名称（权重）</w:t>
            </w:r>
          </w:p>
        </w:tc>
        <w:tc>
          <w:tcPr>
            <w:tcW w:w="980" w:type="dxa"/>
            <w:vAlign w:val="center"/>
          </w:tcPr>
          <w:p>
            <w:pPr>
              <w:widowControl/>
              <w:adjustRightInd w:val="0"/>
              <w:snapToGrid w:val="0"/>
              <w:jc w:val="center"/>
              <w:rPr>
                <w:rFonts w:hint="eastAsia" w:ascii="Arial Narrow" w:hAnsi="Arial Narrow" w:eastAsia="仿宋_GB2312" w:cs="Arial Narrow"/>
                <w:b/>
                <w:bCs/>
                <w:color w:val="000000"/>
                <w:sz w:val="24"/>
                <w:lang w:eastAsia="zh-CN"/>
              </w:rPr>
            </w:pPr>
            <w:r>
              <w:rPr>
                <w:rFonts w:ascii="Arial Narrow" w:hAnsi="Arial Narrow" w:cs="Arial Narrow"/>
                <w:b/>
                <w:bCs/>
                <w:color w:val="000000"/>
                <w:sz w:val="24"/>
              </w:rPr>
              <w:t>参考值</w:t>
            </w:r>
          </w:p>
          <w:p>
            <w:pPr>
              <w:widowControl/>
              <w:adjustRightInd w:val="0"/>
              <w:snapToGrid w:val="0"/>
              <w:jc w:val="center"/>
              <w:rPr>
                <w:rFonts w:ascii="Arial Narrow" w:hAnsi="Arial Narrow" w:cs="Arial Narrow"/>
                <w:b/>
                <w:bCs/>
                <w:color w:val="000000"/>
                <w:sz w:val="24"/>
              </w:rPr>
            </w:pPr>
            <w:r>
              <w:rPr>
                <w:rFonts w:ascii="Arial Narrow" w:hAnsi="Arial Narrow" w:cs="Arial Narrow"/>
                <w:b/>
                <w:bCs/>
                <w:color w:val="000000"/>
                <w:sz w:val="24"/>
              </w:rPr>
              <w:t>（目标值）</w:t>
            </w:r>
          </w:p>
        </w:tc>
        <w:tc>
          <w:tcPr>
            <w:tcW w:w="940" w:type="dxa"/>
            <w:vAlign w:val="center"/>
          </w:tcPr>
          <w:p>
            <w:pPr>
              <w:widowControl/>
              <w:adjustRightInd w:val="0"/>
              <w:snapToGrid w:val="0"/>
              <w:jc w:val="center"/>
              <w:rPr>
                <w:rFonts w:ascii="Arial Narrow" w:hAnsi="Arial Narrow" w:cs="Arial Narrow"/>
                <w:b/>
                <w:bCs/>
                <w:color w:val="000000"/>
                <w:sz w:val="24"/>
              </w:rPr>
            </w:pPr>
            <w:r>
              <w:rPr>
                <w:rFonts w:ascii="Arial Narrow" w:hAnsi="Arial Narrow" w:cs="Arial Narrow"/>
                <w:b/>
                <w:bCs/>
                <w:color w:val="000000"/>
                <w:sz w:val="24"/>
              </w:rPr>
              <w:t>绩效标准</w:t>
            </w:r>
          </w:p>
        </w:tc>
        <w:tc>
          <w:tcPr>
            <w:tcW w:w="5038" w:type="dxa"/>
            <w:vAlign w:val="center"/>
          </w:tcPr>
          <w:p>
            <w:pPr>
              <w:widowControl/>
              <w:adjustRightInd w:val="0"/>
              <w:snapToGrid w:val="0"/>
              <w:jc w:val="center"/>
              <w:rPr>
                <w:rFonts w:ascii="Arial Narrow" w:hAnsi="Arial Narrow" w:cs="Arial Narrow"/>
                <w:b/>
                <w:bCs/>
                <w:color w:val="000000"/>
                <w:sz w:val="24"/>
              </w:rPr>
            </w:pPr>
            <w:r>
              <w:rPr>
                <w:rFonts w:ascii="Arial Narrow" w:hAnsi="Arial Narrow" w:cs="Arial Narrow"/>
                <w:b/>
                <w:bCs/>
                <w:color w:val="000000"/>
                <w:sz w:val="24"/>
              </w:rPr>
              <w:t>评分细则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6" w:hRule="atLeast"/>
        </w:trPr>
        <w:tc>
          <w:tcPr>
            <w:tcW w:w="608" w:type="dxa"/>
            <w:vMerge w:val="restart"/>
            <w:vAlign w:val="center"/>
          </w:tcPr>
          <w:p>
            <w:pPr>
              <w:widowControl/>
              <w:adjustRightInd w:val="0"/>
              <w:snapToGrid w:val="0"/>
              <w:jc w:val="left"/>
              <w:rPr>
                <w:rFonts w:hint="eastAsia" w:ascii="Arial Narrow" w:hAnsi="Arial Narrow" w:eastAsia="仿宋_GB2312" w:cs="Arial Narrow"/>
                <w:color w:val="000000"/>
                <w:sz w:val="24"/>
                <w:lang w:eastAsia="zh-CN"/>
              </w:rPr>
            </w:pPr>
            <w:r>
              <w:rPr>
                <w:rFonts w:ascii="Arial Narrow" w:hAnsi="Arial Narrow" w:cs="Arial Narrow"/>
                <w:color w:val="000000"/>
                <w:sz w:val="24"/>
              </w:rPr>
              <w:t>项目</w:t>
            </w:r>
          </w:p>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立项</w:t>
            </w:r>
          </w:p>
        </w:tc>
        <w:tc>
          <w:tcPr>
            <w:tcW w:w="1309"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项目立项规范性（4）</w:t>
            </w:r>
          </w:p>
        </w:tc>
        <w:tc>
          <w:tcPr>
            <w:tcW w:w="980" w:type="dxa"/>
            <w:vAlign w:val="center"/>
          </w:tcPr>
          <w:p>
            <w:pPr>
              <w:widowControl/>
              <w:adjustRightInd w:val="0"/>
              <w:snapToGrid w:val="0"/>
              <w:jc w:val="center"/>
              <w:rPr>
                <w:rFonts w:ascii="Arial Narrow" w:hAnsi="Arial Narrow" w:cs="Arial Narrow"/>
                <w:color w:val="000000"/>
                <w:sz w:val="24"/>
              </w:rPr>
            </w:pPr>
          </w:p>
        </w:tc>
        <w:tc>
          <w:tcPr>
            <w:tcW w:w="940" w:type="dxa"/>
            <w:vAlign w:val="center"/>
          </w:tcPr>
          <w:p>
            <w:pPr>
              <w:widowControl/>
              <w:adjustRightInd w:val="0"/>
              <w:snapToGrid w:val="0"/>
              <w:jc w:val="center"/>
              <w:rPr>
                <w:rFonts w:ascii="Arial Narrow" w:hAnsi="Arial Narrow" w:cs="Arial Narrow"/>
                <w:color w:val="000000"/>
                <w:sz w:val="24"/>
              </w:rPr>
            </w:pPr>
          </w:p>
        </w:tc>
        <w:tc>
          <w:tcPr>
            <w:tcW w:w="5038"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项目按照规定的程序申请设立，提交的文件、材料符合相关要求计1分；</w:t>
            </w:r>
          </w:p>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事前已经过必要的可行性研究、专家论证、风险评估、集体决策的，计1分；</w:t>
            </w:r>
          </w:p>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项目执行时发生重大调整，有相应调整手续的，计2分。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6" w:hRule="atLeast"/>
        </w:trPr>
        <w:tc>
          <w:tcPr>
            <w:tcW w:w="608" w:type="dxa"/>
            <w:vMerge w:val="continue"/>
            <w:vAlign w:val="center"/>
          </w:tcPr>
          <w:p>
            <w:pPr>
              <w:widowControl/>
              <w:adjustRightInd w:val="0"/>
              <w:snapToGrid w:val="0"/>
              <w:jc w:val="left"/>
              <w:rPr>
                <w:rFonts w:ascii="Arial Narrow" w:hAnsi="Arial Narrow" w:cs="Arial Narrow"/>
                <w:color w:val="000000"/>
                <w:sz w:val="24"/>
              </w:rPr>
            </w:pPr>
          </w:p>
        </w:tc>
        <w:tc>
          <w:tcPr>
            <w:tcW w:w="1309"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绩效目标合理性（4）</w:t>
            </w:r>
          </w:p>
        </w:tc>
        <w:tc>
          <w:tcPr>
            <w:tcW w:w="980" w:type="dxa"/>
            <w:vAlign w:val="center"/>
          </w:tcPr>
          <w:p>
            <w:pPr>
              <w:widowControl/>
              <w:adjustRightInd w:val="0"/>
              <w:snapToGrid w:val="0"/>
              <w:jc w:val="center"/>
              <w:rPr>
                <w:rFonts w:ascii="Arial Narrow" w:hAnsi="Arial Narrow" w:cs="Arial Narrow"/>
                <w:color w:val="000000"/>
                <w:sz w:val="24"/>
              </w:rPr>
            </w:pPr>
          </w:p>
        </w:tc>
        <w:tc>
          <w:tcPr>
            <w:tcW w:w="940" w:type="dxa"/>
            <w:vAlign w:val="center"/>
          </w:tcPr>
          <w:p>
            <w:pPr>
              <w:widowControl/>
              <w:adjustRightInd w:val="0"/>
              <w:snapToGrid w:val="0"/>
              <w:jc w:val="center"/>
              <w:rPr>
                <w:rFonts w:ascii="Arial Narrow" w:hAnsi="Arial Narrow" w:cs="Arial Narrow"/>
                <w:color w:val="000000"/>
                <w:sz w:val="24"/>
              </w:rPr>
            </w:pPr>
          </w:p>
        </w:tc>
        <w:tc>
          <w:tcPr>
            <w:tcW w:w="5038"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项目设定长期目标、年度目标和绩效指标，目标和指标的设计符合目标管理规范，计2分；</w:t>
            </w:r>
          </w:p>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根据绩效目标和完成情况的对比考核目标设立的合理性，绩效指标具有可测性，计2分。否则按实际情况扣分。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6" w:hRule="atLeast"/>
        </w:trPr>
        <w:tc>
          <w:tcPr>
            <w:tcW w:w="608" w:type="dxa"/>
            <w:vMerge w:val="restart"/>
            <w:vAlign w:val="center"/>
          </w:tcPr>
          <w:p>
            <w:pPr>
              <w:widowControl/>
              <w:adjustRightInd w:val="0"/>
              <w:snapToGrid w:val="0"/>
              <w:jc w:val="left"/>
              <w:rPr>
                <w:rFonts w:hint="eastAsia" w:ascii="Arial Narrow" w:hAnsi="Arial Narrow" w:eastAsia="仿宋_GB2312" w:cs="Arial Narrow"/>
                <w:color w:val="000000"/>
                <w:sz w:val="24"/>
                <w:lang w:eastAsia="zh-CN"/>
              </w:rPr>
            </w:pPr>
            <w:r>
              <w:rPr>
                <w:rFonts w:ascii="Arial Narrow" w:hAnsi="Arial Narrow" w:cs="Arial Narrow"/>
                <w:color w:val="000000"/>
                <w:sz w:val="24"/>
              </w:rPr>
              <w:t>资金</w:t>
            </w:r>
          </w:p>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落实</w:t>
            </w:r>
          </w:p>
        </w:tc>
        <w:tc>
          <w:tcPr>
            <w:tcW w:w="1309"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资金到位率（4）</w:t>
            </w:r>
          </w:p>
        </w:tc>
        <w:tc>
          <w:tcPr>
            <w:tcW w:w="980"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100%</w:t>
            </w:r>
          </w:p>
        </w:tc>
        <w:tc>
          <w:tcPr>
            <w:tcW w:w="940"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计划标准</w:t>
            </w:r>
          </w:p>
        </w:tc>
        <w:tc>
          <w:tcPr>
            <w:tcW w:w="5038"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资金全部到位计4分，资金到位率每降低5%，扣1分。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083" w:hRule="atLeast"/>
        </w:trPr>
        <w:tc>
          <w:tcPr>
            <w:tcW w:w="608" w:type="dxa"/>
            <w:vMerge w:val="continue"/>
            <w:vAlign w:val="center"/>
          </w:tcPr>
          <w:p>
            <w:pPr>
              <w:widowControl/>
              <w:adjustRightInd w:val="0"/>
              <w:snapToGrid w:val="0"/>
              <w:jc w:val="left"/>
              <w:rPr>
                <w:rFonts w:ascii="Arial Narrow" w:hAnsi="Arial Narrow" w:cs="Arial Narrow"/>
                <w:color w:val="000000"/>
                <w:sz w:val="24"/>
              </w:rPr>
            </w:pPr>
          </w:p>
        </w:tc>
        <w:tc>
          <w:tcPr>
            <w:tcW w:w="1309"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到位及时率（4）</w:t>
            </w:r>
          </w:p>
        </w:tc>
        <w:tc>
          <w:tcPr>
            <w:tcW w:w="980"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100%</w:t>
            </w:r>
          </w:p>
        </w:tc>
        <w:tc>
          <w:tcPr>
            <w:tcW w:w="940"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计划标准</w:t>
            </w:r>
          </w:p>
        </w:tc>
        <w:tc>
          <w:tcPr>
            <w:tcW w:w="5038"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资金的到位及时率达到100%计4分，每降低10%，扣1分。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6" w:hRule="atLeast"/>
        </w:trPr>
        <w:tc>
          <w:tcPr>
            <w:tcW w:w="608" w:type="dxa"/>
            <w:vMerge w:val="restart"/>
            <w:vAlign w:val="center"/>
          </w:tcPr>
          <w:p>
            <w:pPr>
              <w:widowControl/>
              <w:adjustRightInd w:val="0"/>
              <w:snapToGrid w:val="0"/>
              <w:jc w:val="left"/>
              <w:rPr>
                <w:rFonts w:hint="eastAsia" w:ascii="Arial Narrow" w:hAnsi="Arial Narrow" w:eastAsia="仿宋_GB2312" w:cs="Arial Narrow"/>
                <w:color w:val="000000"/>
                <w:sz w:val="24"/>
                <w:lang w:eastAsia="zh-CN"/>
              </w:rPr>
            </w:pPr>
            <w:r>
              <w:rPr>
                <w:rFonts w:ascii="Arial Narrow" w:hAnsi="Arial Narrow" w:cs="Arial Narrow"/>
                <w:color w:val="000000"/>
                <w:sz w:val="24"/>
              </w:rPr>
              <w:t>项目</w:t>
            </w:r>
          </w:p>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管理</w:t>
            </w:r>
          </w:p>
        </w:tc>
        <w:tc>
          <w:tcPr>
            <w:tcW w:w="1309"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管理制度健全性（4）</w:t>
            </w:r>
          </w:p>
        </w:tc>
        <w:tc>
          <w:tcPr>
            <w:tcW w:w="980" w:type="dxa"/>
            <w:vAlign w:val="center"/>
          </w:tcPr>
          <w:p>
            <w:pPr>
              <w:widowControl/>
              <w:adjustRightInd w:val="0"/>
              <w:snapToGrid w:val="0"/>
              <w:jc w:val="center"/>
              <w:rPr>
                <w:rFonts w:ascii="Arial Narrow" w:hAnsi="Arial Narrow" w:cs="Arial Narrow"/>
                <w:color w:val="000000"/>
                <w:sz w:val="24"/>
              </w:rPr>
            </w:pPr>
          </w:p>
        </w:tc>
        <w:tc>
          <w:tcPr>
            <w:tcW w:w="940" w:type="dxa"/>
            <w:vAlign w:val="center"/>
          </w:tcPr>
          <w:p>
            <w:pPr>
              <w:widowControl/>
              <w:adjustRightInd w:val="0"/>
              <w:snapToGrid w:val="0"/>
              <w:jc w:val="center"/>
              <w:rPr>
                <w:rFonts w:ascii="Arial Narrow" w:hAnsi="Arial Narrow" w:cs="Arial Narrow"/>
                <w:color w:val="000000"/>
                <w:sz w:val="24"/>
              </w:rPr>
            </w:pPr>
          </w:p>
        </w:tc>
        <w:tc>
          <w:tcPr>
            <w:tcW w:w="5038"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制定相应的业务管理制度，包括项目管理办法、工作考核奖惩办法、作业标准等计4分，缺少一项扣1分。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6" w:hRule="atLeast"/>
        </w:trPr>
        <w:tc>
          <w:tcPr>
            <w:tcW w:w="608" w:type="dxa"/>
            <w:vMerge w:val="continue"/>
            <w:vAlign w:val="center"/>
          </w:tcPr>
          <w:p>
            <w:pPr>
              <w:widowControl/>
              <w:adjustRightInd w:val="0"/>
              <w:snapToGrid w:val="0"/>
              <w:jc w:val="left"/>
              <w:rPr>
                <w:rFonts w:ascii="Arial Narrow" w:hAnsi="Arial Narrow" w:cs="Arial Narrow"/>
                <w:color w:val="000000"/>
                <w:sz w:val="24"/>
              </w:rPr>
            </w:pPr>
          </w:p>
        </w:tc>
        <w:tc>
          <w:tcPr>
            <w:tcW w:w="1309"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制度执行有效性（4）</w:t>
            </w:r>
          </w:p>
        </w:tc>
        <w:tc>
          <w:tcPr>
            <w:tcW w:w="980" w:type="dxa"/>
            <w:vAlign w:val="center"/>
          </w:tcPr>
          <w:p>
            <w:pPr>
              <w:widowControl/>
              <w:adjustRightInd w:val="0"/>
              <w:snapToGrid w:val="0"/>
              <w:jc w:val="center"/>
              <w:rPr>
                <w:rFonts w:ascii="Arial Narrow" w:hAnsi="Arial Narrow" w:cs="Arial Narrow"/>
                <w:color w:val="000000"/>
                <w:sz w:val="24"/>
              </w:rPr>
            </w:pPr>
          </w:p>
        </w:tc>
        <w:tc>
          <w:tcPr>
            <w:tcW w:w="940" w:type="dxa"/>
            <w:vAlign w:val="center"/>
          </w:tcPr>
          <w:p>
            <w:pPr>
              <w:widowControl/>
              <w:adjustRightInd w:val="0"/>
              <w:snapToGrid w:val="0"/>
              <w:jc w:val="center"/>
              <w:rPr>
                <w:rFonts w:ascii="Arial Narrow" w:hAnsi="Arial Narrow" w:cs="Arial Narrow"/>
                <w:color w:val="000000"/>
                <w:sz w:val="24"/>
              </w:rPr>
            </w:pPr>
          </w:p>
        </w:tc>
        <w:tc>
          <w:tcPr>
            <w:tcW w:w="5038"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项目执行遵守相应的业务管理制度，如项目管理办法、合同制、工作考核奖惩办法等。计4分，未遵守一项扣1分。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6" w:hRule="atLeast"/>
        </w:trPr>
        <w:tc>
          <w:tcPr>
            <w:tcW w:w="608" w:type="dxa"/>
            <w:vMerge w:val="continue"/>
            <w:vAlign w:val="center"/>
          </w:tcPr>
          <w:p>
            <w:pPr>
              <w:widowControl/>
              <w:adjustRightInd w:val="0"/>
              <w:snapToGrid w:val="0"/>
              <w:jc w:val="left"/>
              <w:rPr>
                <w:rFonts w:ascii="Arial Narrow" w:hAnsi="Arial Narrow" w:cs="Arial Narrow"/>
                <w:color w:val="000000"/>
                <w:sz w:val="24"/>
              </w:rPr>
            </w:pPr>
          </w:p>
        </w:tc>
        <w:tc>
          <w:tcPr>
            <w:tcW w:w="1309"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项目质量可控性（4）</w:t>
            </w:r>
          </w:p>
        </w:tc>
        <w:tc>
          <w:tcPr>
            <w:tcW w:w="980" w:type="dxa"/>
            <w:vAlign w:val="center"/>
          </w:tcPr>
          <w:p>
            <w:pPr>
              <w:widowControl/>
              <w:adjustRightInd w:val="0"/>
              <w:snapToGrid w:val="0"/>
              <w:jc w:val="center"/>
              <w:rPr>
                <w:rFonts w:ascii="Arial Narrow" w:hAnsi="Arial Narrow" w:cs="Arial Narrow"/>
                <w:color w:val="000000"/>
                <w:sz w:val="24"/>
              </w:rPr>
            </w:pPr>
          </w:p>
        </w:tc>
        <w:tc>
          <w:tcPr>
            <w:tcW w:w="940" w:type="dxa"/>
            <w:vAlign w:val="center"/>
          </w:tcPr>
          <w:p>
            <w:pPr>
              <w:widowControl/>
              <w:adjustRightInd w:val="0"/>
              <w:snapToGrid w:val="0"/>
              <w:jc w:val="center"/>
              <w:rPr>
                <w:rFonts w:ascii="Arial Narrow" w:hAnsi="Arial Narrow" w:cs="Arial Narrow"/>
                <w:color w:val="000000"/>
                <w:sz w:val="24"/>
              </w:rPr>
            </w:pPr>
          </w:p>
        </w:tc>
        <w:tc>
          <w:tcPr>
            <w:tcW w:w="5038"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具有相应的项目质量标准规定，计2分；采取了质量检查措施，计2分。未达到要求，按情况扣分。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6" w:hRule="atLeast"/>
        </w:trPr>
        <w:tc>
          <w:tcPr>
            <w:tcW w:w="608" w:type="dxa"/>
            <w:vMerge w:val="restart"/>
            <w:vAlign w:val="center"/>
          </w:tcPr>
          <w:p>
            <w:pPr>
              <w:widowControl/>
              <w:adjustRightInd w:val="0"/>
              <w:snapToGrid w:val="0"/>
              <w:jc w:val="left"/>
              <w:rPr>
                <w:rFonts w:hint="eastAsia" w:ascii="Arial Narrow" w:hAnsi="Arial Narrow" w:eastAsia="仿宋_GB2312" w:cs="Arial Narrow"/>
                <w:color w:val="000000"/>
                <w:sz w:val="24"/>
                <w:lang w:eastAsia="zh-CN"/>
              </w:rPr>
            </w:pPr>
            <w:r>
              <w:rPr>
                <w:rFonts w:ascii="Arial Narrow" w:hAnsi="Arial Narrow" w:cs="Arial Narrow"/>
                <w:color w:val="000000"/>
                <w:sz w:val="24"/>
              </w:rPr>
              <w:t>财务</w:t>
            </w:r>
          </w:p>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管理</w:t>
            </w:r>
          </w:p>
        </w:tc>
        <w:tc>
          <w:tcPr>
            <w:tcW w:w="1309"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管理制度健全性（4）</w:t>
            </w:r>
          </w:p>
        </w:tc>
        <w:tc>
          <w:tcPr>
            <w:tcW w:w="980" w:type="dxa"/>
            <w:vAlign w:val="center"/>
          </w:tcPr>
          <w:p>
            <w:pPr>
              <w:widowControl/>
              <w:adjustRightInd w:val="0"/>
              <w:snapToGrid w:val="0"/>
              <w:jc w:val="center"/>
              <w:rPr>
                <w:rFonts w:ascii="Arial Narrow" w:hAnsi="Arial Narrow" w:cs="Arial Narrow"/>
                <w:color w:val="000000"/>
                <w:sz w:val="24"/>
              </w:rPr>
            </w:pPr>
          </w:p>
        </w:tc>
        <w:tc>
          <w:tcPr>
            <w:tcW w:w="940" w:type="dxa"/>
            <w:vAlign w:val="center"/>
          </w:tcPr>
          <w:p>
            <w:pPr>
              <w:widowControl/>
              <w:adjustRightInd w:val="0"/>
              <w:snapToGrid w:val="0"/>
              <w:jc w:val="center"/>
              <w:rPr>
                <w:rFonts w:ascii="Arial Narrow" w:hAnsi="Arial Narrow" w:cs="Arial Narrow"/>
                <w:color w:val="000000"/>
                <w:sz w:val="24"/>
              </w:rPr>
            </w:pPr>
          </w:p>
        </w:tc>
        <w:tc>
          <w:tcPr>
            <w:tcW w:w="5038"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项目制定了或具有相应的资金管理办法计2分，资金管理办法符合相关财务会计制度的规定计2分。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6" w:hRule="atLeast"/>
        </w:trPr>
        <w:tc>
          <w:tcPr>
            <w:tcW w:w="608" w:type="dxa"/>
            <w:vMerge w:val="continue"/>
            <w:vAlign w:val="center"/>
          </w:tcPr>
          <w:p>
            <w:pPr>
              <w:widowControl/>
              <w:adjustRightInd w:val="0"/>
              <w:snapToGrid w:val="0"/>
              <w:jc w:val="left"/>
              <w:rPr>
                <w:rFonts w:ascii="Arial Narrow" w:hAnsi="Arial Narrow" w:cs="Arial Narrow"/>
                <w:color w:val="000000"/>
                <w:sz w:val="24"/>
              </w:rPr>
            </w:pPr>
          </w:p>
        </w:tc>
        <w:tc>
          <w:tcPr>
            <w:tcW w:w="1309"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资金使用合规性（5）</w:t>
            </w:r>
          </w:p>
        </w:tc>
        <w:tc>
          <w:tcPr>
            <w:tcW w:w="980" w:type="dxa"/>
            <w:vAlign w:val="center"/>
          </w:tcPr>
          <w:p>
            <w:pPr>
              <w:widowControl/>
              <w:adjustRightInd w:val="0"/>
              <w:snapToGrid w:val="0"/>
              <w:jc w:val="center"/>
              <w:rPr>
                <w:rFonts w:ascii="Arial Narrow" w:hAnsi="Arial Narrow" w:cs="Arial Narrow"/>
                <w:color w:val="000000"/>
                <w:sz w:val="24"/>
              </w:rPr>
            </w:pPr>
          </w:p>
        </w:tc>
        <w:tc>
          <w:tcPr>
            <w:tcW w:w="940" w:type="dxa"/>
            <w:vAlign w:val="center"/>
          </w:tcPr>
          <w:p>
            <w:pPr>
              <w:widowControl/>
              <w:adjustRightInd w:val="0"/>
              <w:snapToGrid w:val="0"/>
              <w:jc w:val="center"/>
              <w:rPr>
                <w:rFonts w:ascii="Arial Narrow" w:hAnsi="Arial Narrow" w:cs="Arial Narrow"/>
                <w:color w:val="000000"/>
                <w:sz w:val="24"/>
              </w:rPr>
            </w:pPr>
          </w:p>
        </w:tc>
        <w:tc>
          <w:tcPr>
            <w:tcW w:w="5038" w:type="dxa"/>
            <w:vAlign w:val="center"/>
          </w:tcPr>
          <w:p>
            <w:pPr>
              <w:widowControl/>
              <w:adjustRightInd w:val="0"/>
              <w:snapToGrid w:val="0"/>
              <w:jc w:val="left"/>
              <w:rPr>
                <w:rFonts w:hint="eastAsia" w:ascii="Arial Narrow" w:hAnsi="Arial Narrow" w:eastAsia="仿宋_GB2312" w:cs="Arial Narrow"/>
                <w:color w:val="000000"/>
                <w:sz w:val="24"/>
                <w:lang w:eastAsia="zh-CN"/>
              </w:rPr>
            </w:pPr>
            <w:r>
              <w:rPr>
                <w:rFonts w:ascii="Arial Narrow" w:hAnsi="Arial Narrow" w:cs="Arial Narrow"/>
                <w:color w:val="000000"/>
                <w:sz w:val="24"/>
              </w:rPr>
              <w:t>符合国家财经法规和财务管理制度以及有关专项资金管理办法的规定，计2分；</w:t>
            </w:r>
          </w:p>
          <w:p>
            <w:pPr>
              <w:widowControl/>
              <w:adjustRightInd w:val="0"/>
              <w:snapToGrid w:val="0"/>
              <w:jc w:val="left"/>
              <w:rPr>
                <w:rFonts w:hint="eastAsia" w:ascii="Arial Narrow" w:hAnsi="Arial Narrow" w:eastAsia="仿宋_GB2312" w:cs="Arial Narrow"/>
                <w:color w:val="000000"/>
                <w:sz w:val="24"/>
                <w:lang w:eastAsia="zh-CN"/>
              </w:rPr>
            </w:pPr>
            <w:r>
              <w:rPr>
                <w:rFonts w:ascii="Arial Narrow" w:hAnsi="Arial Narrow" w:cs="Arial Narrow"/>
                <w:color w:val="000000"/>
                <w:sz w:val="24"/>
              </w:rPr>
              <w:t>资金的拨付有完整的审批程序和手续，且项目的重大开支是否经过评估认证，计2分；</w:t>
            </w:r>
          </w:p>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符合项目预算批复或合同规定的用途，且不存在截留、挤占、挪用、虚列支出等情况，计1分。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100" w:hRule="atLeast"/>
        </w:trPr>
        <w:tc>
          <w:tcPr>
            <w:tcW w:w="608" w:type="dxa"/>
            <w:vMerge w:val="continue"/>
            <w:vAlign w:val="center"/>
          </w:tcPr>
          <w:p>
            <w:pPr>
              <w:widowControl/>
              <w:adjustRightInd w:val="0"/>
              <w:snapToGrid w:val="0"/>
              <w:jc w:val="left"/>
              <w:rPr>
                <w:rFonts w:ascii="Arial Narrow" w:hAnsi="Arial Narrow" w:cs="Arial Narrow"/>
                <w:color w:val="000000"/>
                <w:sz w:val="24"/>
              </w:rPr>
            </w:pPr>
          </w:p>
        </w:tc>
        <w:tc>
          <w:tcPr>
            <w:tcW w:w="1309"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财务监控有效性（3）</w:t>
            </w:r>
          </w:p>
        </w:tc>
        <w:tc>
          <w:tcPr>
            <w:tcW w:w="980" w:type="dxa"/>
            <w:vAlign w:val="center"/>
          </w:tcPr>
          <w:p>
            <w:pPr>
              <w:widowControl/>
              <w:adjustRightInd w:val="0"/>
              <w:snapToGrid w:val="0"/>
              <w:jc w:val="center"/>
              <w:rPr>
                <w:rFonts w:ascii="Arial Narrow" w:hAnsi="Arial Narrow" w:cs="Arial Narrow"/>
                <w:color w:val="000000"/>
                <w:sz w:val="24"/>
              </w:rPr>
            </w:pPr>
          </w:p>
        </w:tc>
        <w:tc>
          <w:tcPr>
            <w:tcW w:w="940" w:type="dxa"/>
            <w:vAlign w:val="center"/>
          </w:tcPr>
          <w:p>
            <w:pPr>
              <w:widowControl/>
              <w:adjustRightInd w:val="0"/>
              <w:snapToGrid w:val="0"/>
              <w:jc w:val="center"/>
              <w:rPr>
                <w:rFonts w:ascii="Arial Narrow" w:hAnsi="Arial Narrow" w:cs="Arial Narrow"/>
                <w:color w:val="000000"/>
                <w:sz w:val="24"/>
              </w:rPr>
            </w:pPr>
          </w:p>
        </w:tc>
        <w:tc>
          <w:tcPr>
            <w:tcW w:w="5038"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已制定或具有相应对监控机制，计2分，采取率相应对财务检查等必要的监控措施或手段，加计1分。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6" w:hRule="atLeast"/>
        </w:trPr>
        <w:tc>
          <w:tcPr>
            <w:tcW w:w="608" w:type="dxa"/>
            <w:vMerge w:val="restart"/>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项目产出</w:t>
            </w:r>
          </w:p>
        </w:tc>
        <w:tc>
          <w:tcPr>
            <w:tcW w:w="1309"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研讨会召开完成率（3）</w:t>
            </w:r>
          </w:p>
        </w:tc>
        <w:tc>
          <w:tcPr>
            <w:tcW w:w="980"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100%</w:t>
            </w:r>
          </w:p>
        </w:tc>
        <w:tc>
          <w:tcPr>
            <w:tcW w:w="940"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计划标准</w:t>
            </w:r>
          </w:p>
        </w:tc>
        <w:tc>
          <w:tcPr>
            <w:tcW w:w="5038"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研讨会召开完成率达到100%，计3分。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6" w:hRule="atLeast"/>
        </w:trPr>
        <w:tc>
          <w:tcPr>
            <w:tcW w:w="608" w:type="dxa"/>
            <w:vMerge w:val="continue"/>
            <w:vAlign w:val="center"/>
          </w:tcPr>
          <w:p>
            <w:pPr>
              <w:widowControl/>
              <w:adjustRightInd w:val="0"/>
              <w:snapToGrid w:val="0"/>
              <w:jc w:val="left"/>
              <w:rPr>
                <w:rFonts w:ascii="Arial Narrow" w:hAnsi="Arial Narrow" w:cs="Arial Narrow"/>
                <w:color w:val="000000"/>
                <w:sz w:val="24"/>
              </w:rPr>
            </w:pPr>
          </w:p>
        </w:tc>
        <w:tc>
          <w:tcPr>
            <w:tcW w:w="1309"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考察调研次数（5）</w:t>
            </w:r>
          </w:p>
        </w:tc>
        <w:tc>
          <w:tcPr>
            <w:tcW w:w="980"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≥5</w:t>
            </w:r>
          </w:p>
        </w:tc>
        <w:tc>
          <w:tcPr>
            <w:tcW w:w="940"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计划标准</w:t>
            </w:r>
          </w:p>
        </w:tc>
        <w:tc>
          <w:tcPr>
            <w:tcW w:w="5038"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全年进行各方面考察调研超过5次，计5分，每少1次，扣1分。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6" w:hRule="atLeast"/>
        </w:trPr>
        <w:tc>
          <w:tcPr>
            <w:tcW w:w="608" w:type="dxa"/>
            <w:vMerge w:val="continue"/>
            <w:vAlign w:val="center"/>
          </w:tcPr>
          <w:p>
            <w:pPr>
              <w:widowControl/>
              <w:adjustRightInd w:val="0"/>
              <w:snapToGrid w:val="0"/>
              <w:jc w:val="left"/>
              <w:rPr>
                <w:rFonts w:ascii="Arial Narrow" w:hAnsi="Arial Narrow" w:cs="Arial Narrow"/>
                <w:color w:val="000000"/>
                <w:sz w:val="24"/>
              </w:rPr>
            </w:pPr>
          </w:p>
        </w:tc>
        <w:tc>
          <w:tcPr>
            <w:tcW w:w="1309"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规划编制完善率（5）</w:t>
            </w:r>
          </w:p>
        </w:tc>
        <w:tc>
          <w:tcPr>
            <w:tcW w:w="980"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100%</w:t>
            </w:r>
          </w:p>
        </w:tc>
        <w:tc>
          <w:tcPr>
            <w:tcW w:w="940"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计划标准</w:t>
            </w:r>
          </w:p>
        </w:tc>
        <w:tc>
          <w:tcPr>
            <w:tcW w:w="5038"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专家对规划编制进行修改完善，计5分。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6" w:hRule="atLeast"/>
        </w:trPr>
        <w:tc>
          <w:tcPr>
            <w:tcW w:w="608" w:type="dxa"/>
            <w:vMerge w:val="continue"/>
            <w:vAlign w:val="center"/>
          </w:tcPr>
          <w:p>
            <w:pPr>
              <w:widowControl/>
              <w:adjustRightInd w:val="0"/>
              <w:snapToGrid w:val="0"/>
              <w:jc w:val="left"/>
              <w:rPr>
                <w:rFonts w:ascii="Arial Narrow" w:hAnsi="Arial Narrow" w:cs="Arial Narrow"/>
                <w:color w:val="000000"/>
                <w:sz w:val="24"/>
              </w:rPr>
            </w:pPr>
          </w:p>
        </w:tc>
        <w:tc>
          <w:tcPr>
            <w:tcW w:w="1309"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研讨会形成成果率（5）</w:t>
            </w:r>
          </w:p>
        </w:tc>
        <w:tc>
          <w:tcPr>
            <w:tcW w:w="980"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100%</w:t>
            </w:r>
          </w:p>
        </w:tc>
        <w:tc>
          <w:tcPr>
            <w:tcW w:w="940"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计划标准</w:t>
            </w:r>
          </w:p>
        </w:tc>
        <w:tc>
          <w:tcPr>
            <w:tcW w:w="5038"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研讨会确立三库的建立，计3分；形成了智能家居之都规划的初步确立，计2分。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6" w:hRule="atLeast"/>
        </w:trPr>
        <w:tc>
          <w:tcPr>
            <w:tcW w:w="608" w:type="dxa"/>
            <w:vMerge w:val="continue"/>
            <w:vAlign w:val="center"/>
          </w:tcPr>
          <w:p>
            <w:pPr>
              <w:widowControl/>
              <w:adjustRightInd w:val="0"/>
              <w:snapToGrid w:val="0"/>
              <w:jc w:val="left"/>
              <w:rPr>
                <w:rFonts w:ascii="Arial Narrow" w:hAnsi="Arial Narrow" w:cs="Arial Narrow"/>
                <w:color w:val="000000"/>
                <w:sz w:val="24"/>
              </w:rPr>
            </w:pPr>
          </w:p>
        </w:tc>
        <w:tc>
          <w:tcPr>
            <w:tcW w:w="1309"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咨询报告验收率（5）</w:t>
            </w:r>
          </w:p>
        </w:tc>
        <w:tc>
          <w:tcPr>
            <w:tcW w:w="980"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100%</w:t>
            </w:r>
          </w:p>
        </w:tc>
        <w:tc>
          <w:tcPr>
            <w:tcW w:w="940"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计划标准</w:t>
            </w:r>
          </w:p>
        </w:tc>
        <w:tc>
          <w:tcPr>
            <w:tcW w:w="5038"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全年提交了咨询书面报告15份和电子资料1份，计5分。每少1份报告，扣1分。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6" w:hRule="atLeast"/>
        </w:trPr>
        <w:tc>
          <w:tcPr>
            <w:tcW w:w="608" w:type="dxa"/>
            <w:vMerge w:val="continue"/>
            <w:vAlign w:val="center"/>
          </w:tcPr>
          <w:p>
            <w:pPr>
              <w:widowControl/>
              <w:adjustRightInd w:val="0"/>
              <w:snapToGrid w:val="0"/>
              <w:jc w:val="left"/>
              <w:rPr>
                <w:rFonts w:ascii="Arial Narrow" w:hAnsi="Arial Narrow" w:cs="Arial Narrow"/>
                <w:color w:val="000000"/>
                <w:sz w:val="24"/>
              </w:rPr>
            </w:pPr>
          </w:p>
        </w:tc>
        <w:tc>
          <w:tcPr>
            <w:tcW w:w="1309"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规划成果验收完成率（5）</w:t>
            </w:r>
          </w:p>
        </w:tc>
        <w:tc>
          <w:tcPr>
            <w:tcW w:w="980"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100%</w:t>
            </w:r>
          </w:p>
        </w:tc>
        <w:tc>
          <w:tcPr>
            <w:tcW w:w="940"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计划标准</w:t>
            </w:r>
          </w:p>
        </w:tc>
        <w:tc>
          <w:tcPr>
            <w:tcW w:w="5038"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项目规划成果是否进行验收，计5分.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6" w:hRule="atLeast"/>
        </w:trPr>
        <w:tc>
          <w:tcPr>
            <w:tcW w:w="608" w:type="dxa"/>
            <w:vMerge w:val="continue"/>
            <w:vAlign w:val="center"/>
          </w:tcPr>
          <w:p>
            <w:pPr>
              <w:widowControl/>
              <w:adjustRightInd w:val="0"/>
              <w:snapToGrid w:val="0"/>
              <w:jc w:val="left"/>
              <w:rPr>
                <w:rFonts w:ascii="Arial Narrow" w:hAnsi="Arial Narrow" w:cs="Arial Narrow"/>
                <w:color w:val="000000"/>
                <w:sz w:val="24"/>
              </w:rPr>
            </w:pPr>
          </w:p>
        </w:tc>
        <w:tc>
          <w:tcPr>
            <w:tcW w:w="1309"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资金使用率（5）</w:t>
            </w:r>
          </w:p>
        </w:tc>
        <w:tc>
          <w:tcPr>
            <w:tcW w:w="980"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≥95%</w:t>
            </w:r>
          </w:p>
        </w:tc>
        <w:tc>
          <w:tcPr>
            <w:tcW w:w="940"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计划标准</w:t>
            </w:r>
          </w:p>
        </w:tc>
        <w:tc>
          <w:tcPr>
            <w:tcW w:w="5038"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资金使用率95%以上计5分，每降低10%扣1分。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43" w:hRule="atLeast"/>
        </w:trPr>
        <w:tc>
          <w:tcPr>
            <w:tcW w:w="608" w:type="dxa"/>
            <w:vMerge w:val="restart"/>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项目效益</w:t>
            </w:r>
          </w:p>
        </w:tc>
        <w:tc>
          <w:tcPr>
            <w:tcW w:w="1309"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编制成果提交及时率（5）</w:t>
            </w:r>
          </w:p>
        </w:tc>
        <w:tc>
          <w:tcPr>
            <w:tcW w:w="980"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100%</w:t>
            </w:r>
          </w:p>
        </w:tc>
        <w:tc>
          <w:tcPr>
            <w:tcW w:w="940"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计划标准</w:t>
            </w:r>
          </w:p>
        </w:tc>
        <w:tc>
          <w:tcPr>
            <w:tcW w:w="5038"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150个工作日内提交规划编制，计4分。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51" w:hRule="atLeast"/>
        </w:trPr>
        <w:tc>
          <w:tcPr>
            <w:tcW w:w="608" w:type="dxa"/>
            <w:vMerge w:val="continue"/>
            <w:vAlign w:val="center"/>
          </w:tcPr>
          <w:p>
            <w:pPr>
              <w:widowControl/>
              <w:adjustRightInd w:val="0"/>
              <w:snapToGrid w:val="0"/>
              <w:jc w:val="left"/>
              <w:rPr>
                <w:rFonts w:ascii="Arial Narrow" w:hAnsi="Arial Narrow" w:cs="Arial Narrow"/>
                <w:color w:val="000000"/>
                <w:sz w:val="24"/>
              </w:rPr>
            </w:pPr>
          </w:p>
        </w:tc>
        <w:tc>
          <w:tcPr>
            <w:tcW w:w="1309"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调研成果完成率（4）</w:t>
            </w:r>
          </w:p>
        </w:tc>
        <w:tc>
          <w:tcPr>
            <w:tcW w:w="980"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100%</w:t>
            </w:r>
          </w:p>
        </w:tc>
        <w:tc>
          <w:tcPr>
            <w:tcW w:w="940"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计划标准</w:t>
            </w:r>
          </w:p>
        </w:tc>
        <w:tc>
          <w:tcPr>
            <w:tcW w:w="5038"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有相应的调研成果报告，计4分。每缺少一份，扣1分。。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71" w:hRule="atLeast"/>
        </w:trPr>
        <w:tc>
          <w:tcPr>
            <w:tcW w:w="608" w:type="dxa"/>
            <w:vMerge w:val="continue"/>
            <w:vAlign w:val="center"/>
          </w:tcPr>
          <w:p>
            <w:pPr>
              <w:widowControl/>
              <w:adjustRightInd w:val="0"/>
              <w:snapToGrid w:val="0"/>
              <w:jc w:val="left"/>
              <w:rPr>
                <w:rFonts w:ascii="Arial Narrow" w:hAnsi="Arial Narrow" w:cs="Arial Narrow"/>
                <w:color w:val="000000"/>
                <w:sz w:val="24"/>
              </w:rPr>
            </w:pPr>
          </w:p>
        </w:tc>
        <w:tc>
          <w:tcPr>
            <w:tcW w:w="1309"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规划文本宣传度（4）</w:t>
            </w:r>
          </w:p>
        </w:tc>
        <w:tc>
          <w:tcPr>
            <w:tcW w:w="980"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100%</w:t>
            </w:r>
          </w:p>
        </w:tc>
        <w:tc>
          <w:tcPr>
            <w:tcW w:w="940"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计划标准</w:t>
            </w:r>
          </w:p>
        </w:tc>
        <w:tc>
          <w:tcPr>
            <w:tcW w:w="5038"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向其他单位进行规划文本宣传推广，计4分。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18" w:hRule="atLeast"/>
        </w:trPr>
        <w:tc>
          <w:tcPr>
            <w:tcW w:w="608" w:type="dxa"/>
            <w:vMerge w:val="continue"/>
            <w:vAlign w:val="center"/>
          </w:tcPr>
          <w:p>
            <w:pPr>
              <w:widowControl/>
              <w:adjustRightInd w:val="0"/>
              <w:snapToGrid w:val="0"/>
              <w:jc w:val="left"/>
              <w:rPr>
                <w:rFonts w:ascii="Arial Narrow" w:hAnsi="Arial Narrow" w:cs="Arial Narrow"/>
                <w:color w:val="000000"/>
                <w:sz w:val="24"/>
              </w:rPr>
            </w:pPr>
          </w:p>
        </w:tc>
        <w:tc>
          <w:tcPr>
            <w:tcW w:w="1309"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提升地区经济（4）</w:t>
            </w:r>
          </w:p>
        </w:tc>
        <w:tc>
          <w:tcPr>
            <w:tcW w:w="980"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较大</w:t>
            </w:r>
          </w:p>
        </w:tc>
        <w:tc>
          <w:tcPr>
            <w:tcW w:w="940"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计划标准</w:t>
            </w:r>
          </w:p>
        </w:tc>
        <w:tc>
          <w:tcPr>
            <w:tcW w:w="5038"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较大的提升了地区经济发展，计4分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18" w:hRule="atLeast"/>
        </w:trPr>
        <w:tc>
          <w:tcPr>
            <w:tcW w:w="608" w:type="dxa"/>
            <w:vMerge w:val="continue"/>
            <w:vAlign w:val="center"/>
          </w:tcPr>
          <w:p>
            <w:pPr>
              <w:widowControl/>
              <w:adjustRightInd w:val="0"/>
              <w:snapToGrid w:val="0"/>
              <w:jc w:val="left"/>
              <w:rPr>
                <w:rFonts w:ascii="Arial Narrow" w:hAnsi="Arial Narrow" w:cs="Arial Narrow"/>
                <w:color w:val="000000"/>
                <w:sz w:val="24"/>
              </w:rPr>
            </w:pPr>
          </w:p>
        </w:tc>
        <w:tc>
          <w:tcPr>
            <w:tcW w:w="1309"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可持续性（5）</w:t>
            </w:r>
          </w:p>
        </w:tc>
        <w:tc>
          <w:tcPr>
            <w:tcW w:w="980" w:type="dxa"/>
            <w:vAlign w:val="center"/>
          </w:tcPr>
          <w:p>
            <w:pPr>
              <w:widowControl/>
              <w:adjustRightInd w:val="0"/>
              <w:snapToGrid w:val="0"/>
              <w:jc w:val="center"/>
              <w:rPr>
                <w:rFonts w:ascii="Arial Narrow" w:hAnsi="Arial Narrow" w:cs="Arial Narrow"/>
                <w:color w:val="000000"/>
                <w:sz w:val="24"/>
              </w:rPr>
            </w:pPr>
          </w:p>
        </w:tc>
        <w:tc>
          <w:tcPr>
            <w:tcW w:w="940" w:type="dxa"/>
            <w:vAlign w:val="center"/>
          </w:tcPr>
          <w:p>
            <w:pPr>
              <w:widowControl/>
              <w:adjustRightInd w:val="0"/>
              <w:snapToGrid w:val="0"/>
              <w:jc w:val="center"/>
              <w:rPr>
                <w:rFonts w:ascii="Arial Narrow" w:hAnsi="Arial Narrow" w:cs="Arial Narrow"/>
                <w:color w:val="000000"/>
                <w:sz w:val="24"/>
              </w:rPr>
            </w:pPr>
          </w:p>
        </w:tc>
        <w:tc>
          <w:tcPr>
            <w:tcW w:w="5038"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项目实施单位支持项目长期运行计2分；项目实施单位有机构设置和充足的人员配备支持项目实施的后续运行计3分。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75" w:hRule="atLeast"/>
        </w:trPr>
        <w:tc>
          <w:tcPr>
            <w:tcW w:w="608" w:type="dxa"/>
            <w:vMerge w:val="continue"/>
            <w:vAlign w:val="center"/>
          </w:tcPr>
          <w:p>
            <w:pPr>
              <w:widowControl/>
              <w:adjustRightInd w:val="0"/>
              <w:snapToGrid w:val="0"/>
              <w:jc w:val="left"/>
              <w:rPr>
                <w:rFonts w:ascii="Arial Narrow" w:hAnsi="Arial Narrow" w:cs="Arial Narrow"/>
                <w:color w:val="000000"/>
                <w:sz w:val="24"/>
              </w:rPr>
            </w:pPr>
          </w:p>
        </w:tc>
        <w:tc>
          <w:tcPr>
            <w:tcW w:w="1309"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社会公众满意度（6）</w:t>
            </w:r>
          </w:p>
        </w:tc>
        <w:tc>
          <w:tcPr>
            <w:tcW w:w="980"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≥85%</w:t>
            </w:r>
          </w:p>
        </w:tc>
        <w:tc>
          <w:tcPr>
            <w:tcW w:w="940" w:type="dxa"/>
            <w:vAlign w:val="center"/>
          </w:tcPr>
          <w:p>
            <w:pPr>
              <w:widowControl/>
              <w:adjustRightInd w:val="0"/>
              <w:snapToGrid w:val="0"/>
              <w:jc w:val="center"/>
              <w:rPr>
                <w:rFonts w:ascii="Arial Narrow" w:hAnsi="Arial Narrow" w:cs="Arial Narrow"/>
                <w:color w:val="000000"/>
                <w:sz w:val="24"/>
              </w:rPr>
            </w:pPr>
            <w:r>
              <w:rPr>
                <w:rFonts w:ascii="Arial Narrow" w:hAnsi="Arial Narrow" w:cs="Arial Narrow"/>
                <w:color w:val="000000"/>
                <w:sz w:val="24"/>
              </w:rPr>
              <w:t>历史标准</w:t>
            </w:r>
          </w:p>
        </w:tc>
        <w:tc>
          <w:tcPr>
            <w:tcW w:w="5038" w:type="dxa"/>
            <w:vAlign w:val="center"/>
          </w:tcPr>
          <w:p>
            <w:pPr>
              <w:widowControl/>
              <w:adjustRightInd w:val="0"/>
              <w:snapToGrid w:val="0"/>
              <w:jc w:val="left"/>
              <w:rPr>
                <w:rFonts w:ascii="Arial Narrow" w:hAnsi="Arial Narrow" w:cs="Arial Narrow"/>
                <w:color w:val="000000"/>
                <w:sz w:val="24"/>
              </w:rPr>
            </w:pPr>
            <w:r>
              <w:rPr>
                <w:rFonts w:ascii="Arial Narrow" w:hAnsi="Arial Narrow" w:cs="Arial Narrow"/>
                <w:color w:val="000000"/>
                <w:sz w:val="24"/>
              </w:rPr>
              <w:t>对项目覆盖区域市民进行问卷调查，社会公众满意度达到85%，计6分，每降低5%，扣1分。</w:t>
            </w:r>
          </w:p>
        </w:tc>
      </w:tr>
    </w:tbl>
    <w:p>
      <w:pPr>
        <w:spacing w:line="360" w:lineRule="auto"/>
        <w:ind w:firstLine="480" w:firstLineChars="200"/>
        <w:rPr>
          <w:rFonts w:ascii="Arial Narrow" w:hAnsi="Arial Narrow" w:cs="Arial Narrow"/>
          <w:sz w:val="24"/>
        </w:rPr>
      </w:pPr>
      <w:r>
        <w:rPr>
          <w:rFonts w:ascii="Arial Narrow" w:hAnsi="Arial Narrow" w:cs="Arial Narrow"/>
          <w:sz w:val="24"/>
        </w:rPr>
        <w:t>2.3绩效评价指标体系补充说明：</w:t>
      </w:r>
    </w:p>
    <w:p>
      <w:pPr>
        <w:spacing w:line="360" w:lineRule="auto"/>
        <w:ind w:firstLine="482"/>
        <w:rPr>
          <w:rFonts w:ascii="Arial Narrow" w:hAnsi="Arial Narrow" w:cs="Arial Narrow"/>
          <w:sz w:val="24"/>
        </w:rPr>
      </w:pPr>
      <w:r>
        <w:rPr>
          <w:rFonts w:ascii="Arial Narrow" w:hAnsi="Arial Narrow" w:cs="Arial Narrow"/>
          <w:sz w:val="24"/>
        </w:rPr>
        <w:t>（1）对照项目年初绩效目标，指标调整情况如下：</w:t>
      </w:r>
    </w:p>
    <w:p>
      <w:pPr>
        <w:spacing w:line="360" w:lineRule="auto"/>
        <w:ind w:firstLine="482"/>
        <w:rPr>
          <w:rFonts w:ascii="Arial Narrow" w:hAnsi="Arial Narrow" w:cs="Arial Narrow"/>
          <w:sz w:val="24"/>
        </w:rPr>
      </w:pPr>
      <w:r>
        <w:rPr>
          <w:rFonts w:ascii="Arial Narrow" w:hAnsi="Arial Narrow" w:cs="Arial Narrow"/>
          <w:sz w:val="24"/>
        </w:rPr>
        <w:t>新增指</w:t>
      </w:r>
      <w:r>
        <w:rPr>
          <w:rFonts w:hint="eastAsia" w:ascii="仿宋_GB2312" w:hAnsi="仿宋_GB2312" w:cs="仿宋_GB2312"/>
          <w:sz w:val="24"/>
        </w:rPr>
        <w:t>标“研讨会召开完成率”、“考察调研次数”、“规划编制完善率”、“研讨会形成成果率”、“咨询报告验收率”、“编制成果提交及时率”、“调研成果完成率”、“规划文本宣传度”、“提升地区经济”。新增原因：年初未设定具体绩效指</w:t>
      </w:r>
      <w:r>
        <w:rPr>
          <w:rFonts w:ascii="Arial Narrow" w:hAnsi="Arial Narrow" w:cs="Arial Narrow"/>
          <w:sz w:val="24"/>
        </w:rPr>
        <w:t>标，不利于绩效评价的考核。</w:t>
      </w:r>
    </w:p>
    <w:p>
      <w:pPr>
        <w:spacing w:line="360" w:lineRule="auto"/>
        <w:ind w:firstLine="482"/>
        <w:rPr>
          <w:rFonts w:ascii="Arial Narrow" w:hAnsi="Arial Narrow" w:cs="Arial Narrow"/>
          <w:sz w:val="24"/>
        </w:rPr>
      </w:pPr>
      <w:r>
        <w:rPr>
          <w:rFonts w:ascii="Arial Narrow" w:hAnsi="Arial Narrow" w:cs="Arial Narrow"/>
          <w:sz w:val="24"/>
        </w:rPr>
        <w:t>（2）评价方法</w:t>
      </w:r>
    </w:p>
    <w:p>
      <w:pPr>
        <w:spacing w:line="360" w:lineRule="auto"/>
        <w:ind w:firstLine="482"/>
        <w:rPr>
          <w:rFonts w:ascii="Arial Narrow" w:hAnsi="Arial Narrow" w:cs="Arial Narrow"/>
          <w:sz w:val="24"/>
        </w:rPr>
      </w:pPr>
      <w:r>
        <w:rPr>
          <w:rFonts w:ascii="Arial Narrow" w:hAnsi="Arial Narrow" w:cs="Arial Narrow"/>
          <w:sz w:val="24"/>
        </w:rPr>
        <w:t>评价方法主要包括成本效益分析法、比较法、最低成本法、公众评判法、统计计算法等</w:t>
      </w:r>
      <w:r>
        <w:rPr>
          <w:rFonts w:hint="eastAsia" w:ascii="仿宋_GB2312" w:hAnsi="仿宋_GB2312" w:cs="仿宋_GB2312"/>
          <w:sz w:val="24"/>
        </w:rPr>
        <w:t>。“智能家居之都发展规划编制经费”项目绩效评</w:t>
      </w:r>
      <w:r>
        <w:rPr>
          <w:rFonts w:ascii="Arial Narrow" w:hAnsi="Arial Narrow" w:cs="Arial Narrow"/>
          <w:sz w:val="24"/>
        </w:rPr>
        <w:t>价根据其特点和评价工作的要求，选择比较法、公众评判法、统计计算法、实地考察等方法进行绩效评价分析，与此同时，我们将收集大量直接的统计资料进行分析研究。</w:t>
      </w:r>
    </w:p>
    <w:p>
      <w:pPr>
        <w:spacing w:line="360" w:lineRule="auto"/>
        <w:ind w:firstLine="482"/>
        <w:rPr>
          <w:rFonts w:ascii="Arial Narrow" w:hAnsi="Arial Narrow" w:cs="Arial Narrow"/>
          <w:sz w:val="24"/>
        </w:rPr>
      </w:pPr>
      <w:r>
        <w:rPr>
          <w:rFonts w:ascii="Arial Narrow" w:hAnsi="Arial Narrow" w:cs="Arial Narrow"/>
          <w:sz w:val="24"/>
        </w:rPr>
        <w:t>①比较法。是指通过对绩效目标与实际实施效果的对比，综合分析绩效目标实现程度。项目小组根据收集的资料和实地观察，了</w:t>
      </w:r>
      <w:r>
        <w:rPr>
          <w:rFonts w:hint="eastAsia" w:ascii="仿宋_GB2312" w:hAnsi="仿宋_GB2312" w:cs="仿宋_GB2312"/>
          <w:sz w:val="24"/>
        </w:rPr>
        <w:t>解“智能家居之都发展规划编制经费”</w:t>
      </w:r>
      <w:r>
        <w:rPr>
          <w:rFonts w:ascii="Arial Narrow" w:hAnsi="Arial Narrow" w:cs="Arial Narrow"/>
          <w:sz w:val="24"/>
        </w:rPr>
        <w:t>项目实际情况，与该项目申报时确定的绩效目标进行对比，评价绩效目标的实现程度。</w:t>
      </w:r>
    </w:p>
    <w:p>
      <w:pPr>
        <w:spacing w:line="360" w:lineRule="auto"/>
        <w:ind w:firstLine="482"/>
        <w:rPr>
          <w:rFonts w:ascii="仿宋_GB2312" w:hAnsi="仿宋_GB2312" w:cs="仿宋_GB2312"/>
          <w:sz w:val="24"/>
        </w:rPr>
      </w:pPr>
      <w:r>
        <w:rPr>
          <w:rFonts w:ascii="Arial Narrow" w:hAnsi="Arial Narrow" w:cs="Arial Narrow"/>
          <w:sz w:val="24"/>
        </w:rPr>
        <w:t>②公众评判法。是指通过专家评估等对财政支出效果进行评判，评价绩效目标实现程度。项目小组将对具体实施单位进行访谈，同时</w:t>
      </w:r>
      <w:r>
        <w:rPr>
          <w:rFonts w:hint="eastAsia" w:ascii="仿宋_GB2312" w:hAnsi="仿宋_GB2312" w:cs="仿宋_GB2312"/>
          <w:sz w:val="24"/>
        </w:rPr>
        <w:t>收集“智能家居之都发展规划编制经费”项目具体实施情况和效果的相关证据，为绩效分析结论提供有力支撑。</w:t>
      </w:r>
    </w:p>
    <w:p>
      <w:pPr>
        <w:spacing w:line="360" w:lineRule="auto"/>
        <w:ind w:firstLine="482"/>
        <w:rPr>
          <w:rFonts w:ascii="仿宋_GB2312" w:hAnsi="仿宋_GB2312" w:cs="仿宋_GB2312"/>
          <w:sz w:val="24"/>
        </w:rPr>
      </w:pPr>
      <w:r>
        <w:rPr>
          <w:rFonts w:ascii="Arial Narrow" w:hAnsi="Arial Narrow" w:cs="Arial Narrow"/>
          <w:sz w:val="24"/>
        </w:rPr>
        <w:t>③统计计算法。是指采用各种专业（或专门）指标的计算方法，通过收</w:t>
      </w:r>
      <w:r>
        <w:rPr>
          <w:rFonts w:hint="eastAsia" w:ascii="仿宋_GB2312" w:hAnsi="仿宋_GB2312" w:cs="仿宋_GB2312"/>
          <w:sz w:val="24"/>
        </w:rPr>
        <w:t>集“智能家居之都发展规划编制经费”项目的相关数据，采用统计或核算等方式进行计算实</w:t>
      </w:r>
      <w:r>
        <w:rPr>
          <w:rFonts w:ascii="Arial Narrow" w:hAnsi="Arial Narrow" w:cs="Arial Narrow"/>
          <w:sz w:val="24"/>
        </w:rPr>
        <w:t>际完成或达到的结果，评价绩效目标实现程度。项目小组根据相关文件依据，设计符合项目特点的评价指标体系，然后采集数据按照计算公式进行计算分析，并根据计算结果分析项目绩效目标实现程度。</w:t>
      </w:r>
    </w:p>
    <w:p>
      <w:pPr>
        <w:spacing w:line="360" w:lineRule="auto"/>
        <w:ind w:firstLine="482"/>
        <w:rPr>
          <w:rFonts w:ascii="Arial Narrow" w:hAnsi="Arial Narrow" w:cs="Arial Narrow"/>
          <w:sz w:val="24"/>
        </w:rPr>
      </w:pPr>
      <w:r>
        <w:rPr>
          <w:rFonts w:hint="eastAsia" w:ascii="仿宋_GB2312" w:hAnsi="仿宋_GB2312" w:cs="仿宋_GB2312"/>
          <w:color w:val="000000"/>
          <w:sz w:val="24"/>
        </w:rPr>
        <w:t>④</w:t>
      </w:r>
      <w:r>
        <w:rPr>
          <w:rFonts w:hint="eastAsia" w:ascii="仿宋_GB2312" w:hAnsi="仿宋_GB2312" w:cs="仿宋_GB2312"/>
          <w:sz w:val="24"/>
        </w:rPr>
        <w:t>实地考察。是指前往具体实施地进行考察，了解“智能家居之都发展规划编制经费”项目的实际进展情况，评价项目的绩效目标实现程度</w:t>
      </w:r>
      <w:r>
        <w:rPr>
          <w:rFonts w:ascii="Arial Narrow" w:hAnsi="Arial Narrow" w:cs="Arial Narrow"/>
          <w:sz w:val="24"/>
        </w:rPr>
        <w:t>。项目小组将前往具体实施地，核实项目实际实施情况，与收集的资料进行验证核对，并拍照留痕。</w:t>
      </w:r>
    </w:p>
    <w:p>
      <w:pPr>
        <w:spacing w:line="360" w:lineRule="auto"/>
        <w:ind w:firstLine="482" w:firstLineChars="200"/>
        <w:outlineLvl w:val="1"/>
        <w:rPr>
          <w:rFonts w:ascii="Arial Narrow" w:hAnsi="Arial Narrow" w:cs="Arial Narrow"/>
          <w:b/>
          <w:bCs/>
          <w:color w:val="000000" w:themeColor="text1"/>
          <w:sz w:val="24"/>
          <w14:textFill>
            <w14:solidFill>
              <w14:schemeClr w14:val="tx1"/>
            </w14:solidFill>
          </w14:textFill>
        </w:rPr>
      </w:pPr>
      <w:bookmarkStart w:id="57" w:name="_Toc8851"/>
      <w:bookmarkStart w:id="58" w:name="_Toc6717"/>
      <w:r>
        <w:rPr>
          <w:rFonts w:ascii="Arial Narrow" w:hAnsi="Arial Narrow" w:cs="Arial Narrow"/>
          <w:b/>
          <w:bCs/>
          <w:color w:val="000000" w:themeColor="text1"/>
          <w:sz w:val="24"/>
          <w14:textFill>
            <w14:solidFill>
              <w14:schemeClr w14:val="tx1"/>
            </w14:solidFill>
          </w14:textFill>
        </w:rPr>
        <w:t>（三）绩效分析及评价结论</w:t>
      </w:r>
      <w:bookmarkEnd w:id="57"/>
      <w:bookmarkEnd w:id="58"/>
    </w:p>
    <w:p>
      <w:pPr>
        <w:snapToGrid w:val="0"/>
        <w:spacing w:line="360" w:lineRule="auto"/>
        <w:ind w:firstLine="480" w:firstLineChars="200"/>
        <w:outlineLvl w:val="2"/>
        <w:rPr>
          <w:rFonts w:ascii="Arial Narrow" w:hAnsi="Arial Narrow" w:cs="Arial Narrow"/>
          <w:color w:val="000000" w:themeColor="text1"/>
          <w:sz w:val="24"/>
          <w14:textFill>
            <w14:solidFill>
              <w14:schemeClr w14:val="tx1"/>
            </w14:solidFill>
          </w14:textFill>
        </w:rPr>
      </w:pPr>
      <w:bookmarkStart w:id="59" w:name="_Toc28656"/>
      <w:bookmarkStart w:id="60" w:name="_Toc5036"/>
      <w:r>
        <w:rPr>
          <w:rFonts w:ascii="Arial Narrow" w:hAnsi="Arial Narrow" w:cs="Arial Narrow"/>
          <w:color w:val="000000" w:themeColor="text1"/>
          <w:sz w:val="24"/>
          <w14:textFill>
            <w14:solidFill>
              <w14:schemeClr w14:val="tx1"/>
            </w14:solidFill>
          </w14:textFill>
        </w:rPr>
        <w:t>1、绩效分析</w:t>
      </w:r>
      <w:bookmarkEnd w:id="59"/>
      <w:bookmarkEnd w:id="60"/>
    </w:p>
    <w:p>
      <w:pPr>
        <w:spacing w:line="360" w:lineRule="auto"/>
        <w:ind w:firstLine="482"/>
        <w:rPr>
          <w:rFonts w:ascii="Arial Narrow" w:hAnsi="Arial Narrow" w:cs="Arial Narrow"/>
          <w:sz w:val="24"/>
        </w:rPr>
      </w:pPr>
      <w:bookmarkStart w:id="61" w:name="_Toc478501047"/>
      <w:bookmarkStart w:id="62" w:name="_Toc2992"/>
      <w:bookmarkStart w:id="63" w:name="_Toc394181010"/>
      <w:bookmarkStart w:id="64" w:name="_Toc513828346"/>
      <w:bookmarkStart w:id="65" w:name="_Toc406668047"/>
      <w:bookmarkStart w:id="66" w:name="_Toc406666373"/>
      <w:bookmarkStart w:id="67" w:name="_Toc361304697"/>
      <w:bookmarkStart w:id="68" w:name="_Toc361302034"/>
      <w:bookmarkStart w:id="69" w:name="_Toc387957822"/>
      <w:r>
        <w:rPr>
          <w:rFonts w:ascii="Arial Narrow" w:hAnsi="Arial Narrow" w:cs="Arial Narrow"/>
          <w:sz w:val="24"/>
        </w:rPr>
        <w:t>1.1投入（16分）</w:t>
      </w:r>
      <w:bookmarkEnd w:id="61"/>
      <w:bookmarkEnd w:id="62"/>
      <w:bookmarkEnd w:id="63"/>
      <w:bookmarkEnd w:id="64"/>
    </w:p>
    <w:p>
      <w:pPr>
        <w:spacing w:line="360" w:lineRule="auto"/>
        <w:ind w:firstLine="482"/>
        <w:rPr>
          <w:rFonts w:ascii="Arial Narrow" w:hAnsi="Arial Narrow" w:cs="Arial Narrow"/>
          <w:sz w:val="24"/>
        </w:rPr>
      </w:pPr>
      <w:bookmarkStart w:id="70" w:name="_Toc513828347"/>
      <w:bookmarkStart w:id="71" w:name="_Toc394181009"/>
      <w:bookmarkStart w:id="72" w:name="_Toc394490596"/>
      <w:r>
        <w:rPr>
          <w:rFonts w:ascii="Arial Narrow" w:hAnsi="Arial Narrow" w:cs="Arial Narrow"/>
          <w:sz w:val="24"/>
        </w:rPr>
        <w:t>根据评价原则，项目决策评价得分为15分，评价结果为优。</w:t>
      </w:r>
      <w:bookmarkEnd w:id="70"/>
      <w:bookmarkEnd w:id="71"/>
      <w:bookmarkEnd w:id="72"/>
      <w:bookmarkStart w:id="73" w:name="_Toc394490597"/>
    </w:p>
    <w:p>
      <w:pPr>
        <w:spacing w:line="360" w:lineRule="auto"/>
        <w:ind w:firstLine="482"/>
        <w:jc w:val="center"/>
        <w:rPr>
          <w:rFonts w:ascii="Arial Narrow" w:hAnsi="Arial Narrow" w:cs="Arial Narrow"/>
          <w:sz w:val="24"/>
        </w:rPr>
      </w:pPr>
      <w:r>
        <w:rPr>
          <w:rFonts w:ascii="Arial Narrow" w:hAnsi="Arial Narrow" w:cs="Arial Narrow"/>
          <w:sz w:val="24"/>
        </w:rPr>
        <w:drawing>
          <wp:inline distT="0" distB="0" distL="114300" distR="114300">
            <wp:extent cx="3860800" cy="2081530"/>
            <wp:effectExtent l="0" t="0" r="0" b="0"/>
            <wp:docPr id="114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360" w:lineRule="auto"/>
        <w:ind w:firstLine="482"/>
        <w:rPr>
          <w:rFonts w:ascii="Arial Narrow" w:hAnsi="Arial Narrow" w:cs="Arial Narrow"/>
          <w:sz w:val="24"/>
        </w:rPr>
      </w:pPr>
      <w:r>
        <w:rPr>
          <w:rFonts w:ascii="Arial Narrow" w:hAnsi="Arial Narrow" w:cs="Arial Narrow"/>
          <w:sz w:val="24"/>
        </w:rPr>
        <w:t>投入指标主要评价项目立项和资金落实的实际情况。对于该项的评价，评价小组主要通过卷宗研究方式对资料进行收集、整理和分析，查看了项目立项的相关资料、财政预算的批复文件，对项目决策涉及的指标进行打分，并逐级加权计算结果。</w:t>
      </w:r>
    </w:p>
    <w:bookmarkEnd w:id="73"/>
    <w:p>
      <w:pPr>
        <w:spacing w:line="360" w:lineRule="auto"/>
        <w:ind w:firstLine="482"/>
        <w:rPr>
          <w:rFonts w:ascii="Arial Narrow" w:hAnsi="Arial Narrow" w:cs="Arial Narrow"/>
          <w:sz w:val="24"/>
        </w:rPr>
      </w:pPr>
      <w:r>
        <w:rPr>
          <w:rFonts w:ascii="Arial Narrow" w:hAnsi="Arial Narrow" w:cs="Arial Narrow"/>
          <w:sz w:val="24"/>
        </w:rPr>
        <w:t>（1）项目立项（8分）</w:t>
      </w:r>
    </w:p>
    <w:p>
      <w:pPr>
        <w:spacing w:line="360" w:lineRule="auto"/>
        <w:ind w:firstLine="482"/>
        <w:rPr>
          <w:rFonts w:ascii="Arial Narrow" w:hAnsi="Arial Narrow" w:cs="Arial Narrow"/>
          <w:sz w:val="24"/>
        </w:rPr>
      </w:pPr>
      <w:r>
        <w:rPr>
          <w:rFonts w:ascii="Arial Narrow" w:hAnsi="Arial Narrow" w:cs="Arial Narrow"/>
          <w:sz w:val="24"/>
        </w:rPr>
        <w:t>该指标反映和考核项目绩效目标与项目实施的相符情况和项目绩效目标的明细化情况。该指标评价得分为7分。</w:t>
      </w:r>
    </w:p>
    <w:p>
      <w:pPr>
        <w:spacing w:line="360" w:lineRule="auto"/>
        <w:ind w:firstLine="482"/>
        <w:rPr>
          <w:rFonts w:ascii="Arial Narrow" w:hAnsi="Arial Narrow" w:cs="Arial Narrow"/>
          <w:sz w:val="24"/>
        </w:rPr>
      </w:pPr>
      <w:r>
        <w:rPr>
          <w:rFonts w:ascii="Arial Narrow" w:hAnsi="Arial Narrow" w:cs="Arial Narrow"/>
          <w:sz w:val="24"/>
        </w:rPr>
        <w:t>①项目立项规范性，是指项目的申请、设立过程是否符合相关要求，用以反映和考核项目立项的规范情况。智能家居之都规划编制经费于2018年4月8日提交了项目编制费用说明，同时对项目实施内容进行规定，项目申请设立程序合规，且提交的文件、材料符合相关要求；项目执行时未发生重大调整。</w:t>
      </w:r>
    </w:p>
    <w:p>
      <w:pPr>
        <w:spacing w:line="360" w:lineRule="auto"/>
        <w:ind w:firstLine="482"/>
        <w:rPr>
          <w:rFonts w:ascii="Arial Narrow" w:hAnsi="Arial Narrow" w:cs="Arial Narrow"/>
          <w:bCs/>
          <w:color w:val="000000" w:themeColor="text1"/>
          <w:sz w:val="24"/>
          <w14:textFill>
            <w14:solidFill>
              <w14:schemeClr w14:val="tx1"/>
            </w14:solidFill>
          </w14:textFill>
        </w:rPr>
      </w:pPr>
      <w:r>
        <w:rPr>
          <w:rFonts w:ascii="Arial Narrow" w:hAnsi="Arial Narrow" w:cs="Arial Narrow"/>
          <w:sz w:val="24"/>
        </w:rPr>
        <w:t>②绩效目标合理性，是指项目所设定的绩效目标是否</w:t>
      </w:r>
      <w:r>
        <w:rPr>
          <w:rFonts w:hint="eastAsia" w:ascii="仿宋_GB2312" w:hAnsi="仿宋_GB2312" w:cs="仿宋_GB2312"/>
          <w:sz w:val="24"/>
        </w:rPr>
        <w:t>依据充分，是否符合客观实际，用以反映和考核项目绩效目标与项目实施的相符情况。“智能</w:t>
      </w:r>
      <w:r>
        <w:rPr>
          <w:rFonts w:hint="eastAsia" w:ascii="仿宋_GB2312" w:hAnsi="仿宋_GB2312" w:cs="仿宋_GB2312"/>
          <w:bCs/>
          <w:color w:val="000000" w:themeColor="text1"/>
          <w:sz w:val="24"/>
          <w14:textFill>
            <w14:solidFill>
              <w14:schemeClr w14:val="tx1"/>
            </w14:solidFill>
          </w14:textFill>
        </w:rPr>
        <w:t>家居之都发展规划编制”经费项目设立了年度目标及长期目标；设计符合目标管理规范；目标的完成</w:t>
      </w:r>
      <w:r>
        <w:rPr>
          <w:rFonts w:ascii="Arial Narrow" w:hAnsi="Arial Narrow" w:cs="Arial Narrow"/>
          <w:bCs/>
          <w:color w:val="000000" w:themeColor="text1"/>
          <w:sz w:val="24"/>
          <w14:textFill>
            <w14:solidFill>
              <w14:schemeClr w14:val="tx1"/>
            </w14:solidFill>
          </w14:textFill>
        </w:rPr>
        <w:t>情况的对比考核目标的设立具有合理性，具有可测性。</w:t>
      </w:r>
    </w:p>
    <w:p>
      <w:pPr>
        <w:spacing w:line="360" w:lineRule="auto"/>
        <w:ind w:firstLine="482"/>
        <w:rPr>
          <w:rFonts w:ascii="Arial Narrow" w:hAnsi="Arial Narrow" w:cs="Arial Narrow"/>
          <w:sz w:val="24"/>
        </w:rPr>
      </w:pPr>
      <w:r>
        <w:rPr>
          <w:rFonts w:ascii="Arial Narrow" w:hAnsi="Arial Narrow" w:cs="Arial Narrow"/>
          <w:sz w:val="24"/>
        </w:rPr>
        <w:t>（2）资金落实（8分）</w:t>
      </w:r>
    </w:p>
    <w:p>
      <w:pPr>
        <w:spacing w:line="360" w:lineRule="auto"/>
        <w:ind w:firstLine="482"/>
        <w:rPr>
          <w:rFonts w:ascii="Arial Narrow" w:hAnsi="Arial Narrow" w:cs="Arial Narrow"/>
          <w:sz w:val="24"/>
        </w:rPr>
      </w:pPr>
      <w:r>
        <w:rPr>
          <w:rFonts w:ascii="Arial Narrow" w:hAnsi="Arial Narrow" w:cs="Arial Narrow"/>
          <w:sz w:val="24"/>
        </w:rPr>
        <w:t>该指标主要从资金到位率和到位及时率两方面具体评价。该指标评价得分为8分，评价等级为优。</w:t>
      </w:r>
    </w:p>
    <w:p>
      <w:pPr>
        <w:spacing w:line="360" w:lineRule="auto"/>
        <w:ind w:firstLine="482"/>
        <w:rPr>
          <w:rFonts w:ascii="Arial Narrow" w:hAnsi="Arial Narrow" w:cs="Arial Narrow"/>
          <w:sz w:val="24"/>
        </w:rPr>
      </w:pPr>
      <w:r>
        <w:rPr>
          <w:rFonts w:ascii="Arial Narrow" w:hAnsi="Arial Narrow" w:cs="Arial Narrow"/>
          <w:sz w:val="24"/>
        </w:rPr>
        <w:t>①资金到位率是指实际到位资金与计划投入资金的比率，用以反映和考核资金落实情况对项目实施的总体保障程度</w:t>
      </w:r>
      <w:r>
        <w:rPr>
          <w:rFonts w:hint="eastAsia" w:ascii="仿宋_GB2312" w:hAnsi="仿宋_GB2312" w:cs="仿宋_GB2312"/>
          <w:sz w:val="24"/>
        </w:rPr>
        <w:t>。“智能家居之都发展规划编制经费”项</w:t>
      </w:r>
      <w:r>
        <w:rPr>
          <w:rFonts w:ascii="Arial Narrow" w:hAnsi="Arial Narrow" w:cs="Arial Narrow"/>
          <w:sz w:val="24"/>
        </w:rPr>
        <w:t>目预算90.00万元，实际到位90.00万元，资金到位率100%。</w:t>
      </w:r>
    </w:p>
    <w:p>
      <w:pPr>
        <w:spacing w:line="360" w:lineRule="auto"/>
        <w:ind w:firstLine="482"/>
        <w:rPr>
          <w:rFonts w:ascii="Arial Narrow" w:hAnsi="Arial Narrow" w:cs="Arial Narrow"/>
          <w:sz w:val="24"/>
        </w:rPr>
      </w:pPr>
      <w:r>
        <w:rPr>
          <w:rFonts w:ascii="Arial Narrow" w:hAnsi="Arial Narrow" w:cs="Arial Narrow"/>
          <w:sz w:val="24"/>
        </w:rPr>
        <w:t>②到位及时率是指及时到位资金与应到位资金的比率，用以反映和考核项目资金落实的及时性程度。资金于2018年4月8日到位，资金到位及时。</w:t>
      </w:r>
    </w:p>
    <w:bookmarkEnd w:id="65"/>
    <w:bookmarkEnd w:id="66"/>
    <w:bookmarkEnd w:id="67"/>
    <w:bookmarkEnd w:id="68"/>
    <w:bookmarkEnd w:id="69"/>
    <w:p>
      <w:pPr>
        <w:spacing w:line="360" w:lineRule="auto"/>
        <w:ind w:firstLine="482"/>
        <w:rPr>
          <w:rFonts w:ascii="Arial Narrow" w:hAnsi="Arial Narrow" w:cs="Arial Narrow"/>
          <w:sz w:val="24"/>
        </w:rPr>
      </w:pPr>
      <w:bookmarkStart w:id="74" w:name="_Toc478501048"/>
      <w:bookmarkStart w:id="75" w:name="_Toc513828348"/>
      <w:bookmarkStart w:id="76" w:name="_Toc11787"/>
      <w:bookmarkStart w:id="77" w:name="_Toc387957823"/>
      <w:bookmarkStart w:id="78" w:name="_Toc361302036"/>
      <w:bookmarkStart w:id="79" w:name="_Toc406668048"/>
      <w:bookmarkStart w:id="80" w:name="_Toc361304699"/>
      <w:bookmarkStart w:id="81" w:name="_Toc406666374"/>
      <w:r>
        <w:rPr>
          <w:rFonts w:ascii="Arial Narrow" w:hAnsi="Arial Narrow" w:cs="Arial Narrow"/>
          <w:sz w:val="24"/>
        </w:rPr>
        <w:t>1.2过程（24分）</w:t>
      </w:r>
      <w:bookmarkEnd w:id="74"/>
      <w:bookmarkEnd w:id="75"/>
      <w:bookmarkEnd w:id="76"/>
    </w:p>
    <w:p>
      <w:pPr>
        <w:spacing w:line="360" w:lineRule="auto"/>
        <w:ind w:firstLine="482"/>
        <w:rPr>
          <w:rFonts w:ascii="Arial Narrow" w:hAnsi="Arial Narrow" w:cs="Arial Narrow"/>
          <w:sz w:val="24"/>
          <w:highlight w:val="yellow"/>
        </w:rPr>
      </w:pPr>
      <w:bookmarkStart w:id="82" w:name="_Toc394490599"/>
      <w:bookmarkStart w:id="83" w:name="_Toc394181012"/>
      <w:r>
        <w:rPr>
          <w:rFonts w:ascii="Arial Narrow" w:hAnsi="Arial Narrow" w:cs="Arial Narrow"/>
          <w:sz w:val="24"/>
        </w:rPr>
        <w:t>根据评价原则，过程评价得分为23分，评价结果为优。</w:t>
      </w:r>
      <w:bookmarkEnd w:id="82"/>
      <w:bookmarkEnd w:id="83"/>
    </w:p>
    <w:p>
      <w:pPr>
        <w:spacing w:line="360" w:lineRule="auto"/>
        <w:ind w:firstLine="482"/>
        <w:jc w:val="center"/>
        <w:rPr>
          <w:rFonts w:ascii="Arial Narrow" w:hAnsi="Arial Narrow" w:cs="Arial Narrow"/>
          <w:sz w:val="24"/>
        </w:rPr>
      </w:pPr>
      <w:r>
        <w:rPr>
          <w:rFonts w:ascii="Arial Narrow" w:hAnsi="Arial Narrow" w:cs="Arial Narrow"/>
          <w:sz w:val="24"/>
        </w:rPr>
        <w:drawing>
          <wp:inline distT="0" distB="0" distL="114300" distR="114300">
            <wp:extent cx="4000500" cy="2291080"/>
            <wp:effectExtent l="0" t="0" r="0" b="7620"/>
            <wp:docPr id="114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360" w:lineRule="auto"/>
        <w:ind w:firstLine="482"/>
        <w:rPr>
          <w:rFonts w:ascii="Arial Narrow" w:hAnsi="Arial Narrow" w:cs="Arial Narrow"/>
          <w:sz w:val="24"/>
        </w:rPr>
      </w:pPr>
      <w:r>
        <w:rPr>
          <w:rFonts w:ascii="Arial Narrow" w:hAnsi="Arial Narrow" w:cs="Arial Narrow"/>
          <w:sz w:val="24"/>
        </w:rPr>
        <w:t>项目过程指标主要从项目管理、财务管理来具体评价，主要考核管理制度健全性、制度执行有效性、项目质量可控性、财务制度健全性、资金使用合规性、财务监控有效性。对于该项的评价，评价小组主要采取了卷宗研究进行资料收集、整理、核实和分析，收集了项目具体实施单位相关文件和项目档案资料管理相关文件；了解项目实施单位工作内容、形式和要求；对项目管理涉及的指标进行打分，并逐级加权计算结果。</w:t>
      </w:r>
    </w:p>
    <w:p>
      <w:pPr>
        <w:spacing w:line="360" w:lineRule="auto"/>
        <w:ind w:firstLine="482"/>
        <w:rPr>
          <w:rFonts w:ascii="Arial Narrow" w:hAnsi="Arial Narrow" w:cs="Arial Narrow"/>
          <w:sz w:val="24"/>
        </w:rPr>
      </w:pPr>
      <w:r>
        <w:rPr>
          <w:rFonts w:ascii="Arial Narrow" w:hAnsi="Arial Narrow" w:cs="Arial Narrow"/>
          <w:sz w:val="24"/>
        </w:rPr>
        <w:t>（1）项目管理（12分）</w:t>
      </w:r>
    </w:p>
    <w:p>
      <w:pPr>
        <w:spacing w:line="360" w:lineRule="auto"/>
        <w:ind w:firstLine="482"/>
        <w:rPr>
          <w:rFonts w:ascii="Arial Narrow" w:hAnsi="Arial Narrow" w:cs="Arial Narrow"/>
          <w:sz w:val="24"/>
        </w:rPr>
      </w:pPr>
      <w:r>
        <w:rPr>
          <w:rFonts w:ascii="Arial Narrow" w:hAnsi="Arial Narrow" w:cs="Arial Narrow"/>
          <w:sz w:val="24"/>
        </w:rPr>
        <w:t>该问题主要从管理制度健全性、制度执行有效性、项目质量可控性三个方面具体评价。该指标评价得分为12分，评价等级为优。</w:t>
      </w:r>
    </w:p>
    <w:p>
      <w:pPr>
        <w:spacing w:line="360" w:lineRule="auto"/>
        <w:ind w:firstLine="482"/>
        <w:rPr>
          <w:rFonts w:ascii="Arial Narrow" w:hAnsi="Arial Narrow" w:cs="Arial Narrow"/>
          <w:sz w:val="24"/>
        </w:rPr>
      </w:pPr>
      <w:r>
        <w:rPr>
          <w:rFonts w:ascii="Arial Narrow" w:hAnsi="Arial Narrow" w:cs="Arial Narrow"/>
          <w:sz w:val="24"/>
        </w:rPr>
        <w:t>①管理制度健全性，是指项目实施单位的业务管理制度是否健全，用以反映和考核业务管理制度对项目顺利实施的保障情况。该项目主要执行上级部门文书审批管理制度、督查工作制、档案管理制、物资采购制、岗位责任制等进行管理，管理制度较为健全、合法合规。</w:t>
      </w:r>
    </w:p>
    <w:p>
      <w:pPr>
        <w:spacing w:line="360" w:lineRule="auto"/>
        <w:ind w:firstLine="482"/>
        <w:rPr>
          <w:rFonts w:ascii="Arial Narrow" w:hAnsi="Arial Narrow" w:cs="Arial Narrow"/>
          <w:sz w:val="24"/>
        </w:rPr>
      </w:pPr>
      <w:r>
        <w:rPr>
          <w:rFonts w:ascii="Arial Narrow" w:hAnsi="Arial Narrow" w:cs="Arial Narrow"/>
          <w:sz w:val="24"/>
        </w:rPr>
        <w:t>②制度执行有效性，是指项目实施是否符合相关业务管理规定，用以反映和考核业务管理制度的有效执行情况。该项目执行了合同制，通过竞争性谈判方式采购，确定工程咨询公司签订了工程咨询服务合同，项目程序完备资料齐全。</w:t>
      </w:r>
    </w:p>
    <w:p>
      <w:pPr>
        <w:spacing w:line="360" w:lineRule="auto"/>
        <w:ind w:firstLine="482"/>
        <w:rPr>
          <w:rFonts w:ascii="Arial Narrow" w:hAnsi="Arial Narrow" w:cs="Arial Narrow"/>
          <w:sz w:val="24"/>
        </w:rPr>
      </w:pPr>
      <w:r>
        <w:rPr>
          <w:rFonts w:ascii="Arial Narrow" w:hAnsi="Arial Narrow" w:cs="Arial Narrow"/>
          <w:sz w:val="24"/>
        </w:rPr>
        <w:t>③项目质量可控性，是指项目实施单位是否为达到项目质量要求而采取了必需的措施,用以反映和考核项目实施单位对项目质量的控制情况。该项目和工程咨询公司签订了工程咨询服务合同，受托方在合同约定的时间内完成咨询报告，且使报告达到合同规定的要求；受托方提供的咨询成果达不到合同规定要求的，受托方应无条件完善、修改，已制定相应的项目质量要求或标准。</w:t>
      </w:r>
    </w:p>
    <w:p>
      <w:pPr>
        <w:spacing w:line="360" w:lineRule="auto"/>
        <w:ind w:firstLine="482"/>
        <w:rPr>
          <w:rFonts w:ascii="Arial Narrow" w:hAnsi="Arial Narrow" w:cs="Arial Narrow"/>
          <w:sz w:val="24"/>
        </w:rPr>
      </w:pPr>
      <w:r>
        <w:rPr>
          <w:rFonts w:ascii="Arial Narrow" w:hAnsi="Arial Narrow" w:cs="Arial Narrow"/>
          <w:sz w:val="24"/>
        </w:rPr>
        <w:t>（2）财务管理（12分）</w:t>
      </w:r>
    </w:p>
    <w:p>
      <w:pPr>
        <w:spacing w:line="360" w:lineRule="auto"/>
        <w:ind w:firstLine="482"/>
        <w:rPr>
          <w:rFonts w:ascii="Arial Narrow" w:hAnsi="Arial Narrow" w:cs="Arial Narrow"/>
          <w:sz w:val="24"/>
        </w:rPr>
      </w:pPr>
      <w:r>
        <w:rPr>
          <w:rFonts w:ascii="Arial Narrow" w:hAnsi="Arial Narrow" w:cs="Arial Narrow"/>
          <w:sz w:val="24"/>
        </w:rPr>
        <w:t>该问题主要从财务管理制度健全性、资金使用合规性和财务监控有效性三方面具体评价。用以反映和考核财务管理制度对资金规范、安全运行的保障情况，项目资金的规范运行情况及项目实施单位对资金的监控情况。该指标评价得分为11分。</w:t>
      </w:r>
    </w:p>
    <w:p>
      <w:pPr>
        <w:spacing w:line="360" w:lineRule="auto"/>
        <w:ind w:firstLine="482"/>
        <w:rPr>
          <w:rFonts w:ascii="Arial Narrow" w:hAnsi="Arial Narrow" w:cs="Arial Narrow"/>
          <w:sz w:val="24"/>
        </w:rPr>
      </w:pPr>
      <w:r>
        <w:rPr>
          <w:rFonts w:ascii="Arial Narrow" w:hAnsi="Arial Narrow" w:cs="Arial Narrow"/>
          <w:sz w:val="24"/>
        </w:rPr>
        <w:t>①管理制度健全性，是指项目实施单位的财务制度是否健全，用以反映和考核财务管理制度对资金规范、安全运行的保障情况。该项目单位依据城乡建设局财务制度进行资金管理，但是未按要求设置专项资金管理办法，扣1分。</w:t>
      </w:r>
    </w:p>
    <w:p>
      <w:pPr>
        <w:spacing w:line="360" w:lineRule="auto"/>
        <w:ind w:firstLine="482"/>
        <w:rPr>
          <w:rFonts w:ascii="Arial Narrow" w:hAnsi="Arial Narrow" w:cs="Arial Narrow"/>
          <w:sz w:val="24"/>
        </w:rPr>
      </w:pPr>
      <w:r>
        <w:rPr>
          <w:rFonts w:ascii="Arial Narrow" w:hAnsi="Arial Narrow" w:cs="Arial Narrow"/>
          <w:sz w:val="24"/>
        </w:rPr>
        <w:t>②资金使用合规性，是指项目资金使用是否符合相关的财务管理制度规定，用以反映和考核项目资金的规范运行情况。该项目单位财务管理制度符合国家财经法规与财务管理制度；资金拨付需要施工现场负责人申请，经工程科、分管领导、单位领导审核后拨付；符合项目预算批复和合同规定的用途，不存在截留、挤占、挪用、虚列支出等情况。</w:t>
      </w:r>
    </w:p>
    <w:p>
      <w:pPr>
        <w:spacing w:line="360" w:lineRule="auto"/>
        <w:ind w:firstLine="482"/>
        <w:rPr>
          <w:rFonts w:ascii="Arial Narrow" w:hAnsi="Arial Narrow" w:cs="Arial Narrow"/>
          <w:sz w:val="24"/>
        </w:rPr>
      </w:pPr>
      <w:r>
        <w:rPr>
          <w:rFonts w:ascii="Arial Narrow" w:hAnsi="Arial Narrow" w:cs="Arial Narrow"/>
          <w:sz w:val="24"/>
        </w:rPr>
        <w:t>③财务监控有效性，是指项目实施单位是否为保障资金的安全、规范运行而采取了必要的监控措施，用以反映和考核项目实施单位对资金运行的控制情况。</w:t>
      </w:r>
      <w:bookmarkEnd w:id="77"/>
      <w:bookmarkEnd w:id="78"/>
      <w:bookmarkEnd w:id="79"/>
      <w:bookmarkEnd w:id="80"/>
      <w:bookmarkEnd w:id="81"/>
      <w:bookmarkStart w:id="84" w:name="_Toc513828349"/>
      <w:bookmarkStart w:id="85" w:name="_Toc5732"/>
      <w:bookmarkStart w:id="86" w:name="_Toc478501049"/>
      <w:bookmarkStart w:id="87" w:name="_Toc387957824"/>
      <w:bookmarkStart w:id="88" w:name="_Toc406668049"/>
      <w:bookmarkStart w:id="89" w:name="_Toc406666375"/>
      <w:r>
        <w:rPr>
          <w:rFonts w:ascii="Arial Narrow" w:hAnsi="Arial Narrow" w:cs="Arial Narrow"/>
          <w:sz w:val="24"/>
        </w:rPr>
        <w:t xml:space="preserve">项目实施单位在支出管理制度中明确了相应的监控机制，如项目支出的报销，必须按规定的程序和权限审核、审批，并有具体经办人、证明人、审批人签字，在执行过程按照资金申请由科室申报，上交领导签字通过后，交由财务审核批款。 </w:t>
      </w:r>
      <w:bookmarkEnd w:id="84"/>
      <w:bookmarkEnd w:id="85"/>
      <w:bookmarkEnd w:id="86"/>
    </w:p>
    <w:p>
      <w:pPr>
        <w:spacing w:line="360" w:lineRule="auto"/>
        <w:ind w:firstLine="482"/>
        <w:rPr>
          <w:rFonts w:ascii="Arial Narrow" w:hAnsi="Arial Narrow" w:cs="Arial Narrow"/>
          <w:sz w:val="24"/>
        </w:rPr>
      </w:pPr>
      <w:r>
        <w:rPr>
          <w:rFonts w:ascii="Arial Narrow" w:hAnsi="Arial Narrow" w:cs="Arial Narrow"/>
          <w:sz w:val="24"/>
        </w:rPr>
        <w:t>1.3产出（33分）</w:t>
      </w:r>
    </w:p>
    <w:p>
      <w:pPr>
        <w:spacing w:line="360" w:lineRule="auto"/>
        <w:ind w:firstLine="482"/>
        <w:rPr>
          <w:rFonts w:ascii="Arial Narrow" w:hAnsi="Arial Narrow" w:cs="Arial Narrow"/>
          <w:sz w:val="24"/>
          <w:highlight w:val="yellow"/>
        </w:rPr>
      </w:pPr>
      <w:bookmarkStart w:id="90" w:name="_Toc394181015"/>
      <w:bookmarkStart w:id="91" w:name="_Toc394490602"/>
      <w:bookmarkStart w:id="92" w:name="_Toc4489"/>
      <w:r>
        <w:rPr>
          <w:rFonts w:ascii="Arial Narrow" w:hAnsi="Arial Narrow" w:cs="Arial Narrow"/>
          <w:sz w:val="24"/>
        </w:rPr>
        <w:t>根据评价原则，绩效评价得分30分，评价结果为</w:t>
      </w:r>
      <w:bookmarkEnd w:id="90"/>
      <w:bookmarkEnd w:id="91"/>
      <w:r>
        <w:rPr>
          <w:rFonts w:ascii="Arial Narrow" w:hAnsi="Arial Narrow" w:cs="Arial Narrow"/>
          <w:sz w:val="24"/>
        </w:rPr>
        <w:t>优。</w:t>
      </w:r>
      <w:bookmarkEnd w:id="92"/>
    </w:p>
    <w:p>
      <w:pPr>
        <w:spacing w:line="360" w:lineRule="auto"/>
        <w:ind w:firstLine="482"/>
        <w:jc w:val="center"/>
        <w:rPr>
          <w:rFonts w:ascii="Arial Narrow" w:hAnsi="Arial Narrow" w:cs="Arial Narrow"/>
          <w:sz w:val="24"/>
        </w:rPr>
      </w:pPr>
      <w:r>
        <w:rPr>
          <w:rFonts w:ascii="Arial Narrow" w:hAnsi="Arial Narrow" w:cs="Arial Narrow"/>
        </w:rPr>
        <w:drawing>
          <wp:inline distT="0" distB="0" distL="114300" distR="114300">
            <wp:extent cx="3871595" cy="2514600"/>
            <wp:effectExtent l="0" t="0" r="1905" b="0"/>
            <wp:docPr id="6"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360" w:lineRule="auto"/>
        <w:ind w:firstLine="482"/>
        <w:rPr>
          <w:rFonts w:ascii="Arial Narrow" w:hAnsi="Arial Narrow" w:cs="Arial Narrow"/>
          <w:sz w:val="24"/>
        </w:rPr>
      </w:pPr>
      <w:r>
        <w:rPr>
          <w:rFonts w:ascii="Arial Narrow" w:hAnsi="Arial Narrow" w:cs="Arial Narrow"/>
          <w:sz w:val="24"/>
        </w:rPr>
        <w:t>项目产出方面主要评价研讨会召开完成率、考察调研次数、规划编制完善率、研讨会形成成果率、咨询报告验收率、规划成果验收完成率、资金使用率。对于该项的评价，评价小组主要采取了卷宗研究，凭证抽查等方式进行资料收集、整理和分析，查看了项目实施方案及活动记录、财政资金拨付凭证、业务管理制度等，对项目投入涉及的指标进行打分，并逐级加权计算结果。</w:t>
      </w:r>
    </w:p>
    <w:bookmarkEnd w:id="87"/>
    <w:bookmarkEnd w:id="88"/>
    <w:bookmarkEnd w:id="89"/>
    <w:p>
      <w:pPr>
        <w:numPr>
          <w:ilvl w:val="0"/>
          <w:numId w:val="3"/>
        </w:numPr>
        <w:spacing w:line="360" w:lineRule="auto"/>
        <w:ind w:firstLine="482"/>
        <w:rPr>
          <w:rFonts w:ascii="Arial Narrow" w:hAnsi="Arial Narrow" w:cs="Arial Narrow"/>
          <w:sz w:val="24"/>
        </w:rPr>
      </w:pPr>
      <w:bookmarkStart w:id="93" w:name="_Toc394181022"/>
      <w:r>
        <w:rPr>
          <w:rFonts w:ascii="Arial Narrow" w:hAnsi="Arial Narrow" w:cs="Arial Narrow"/>
          <w:sz w:val="24"/>
        </w:rPr>
        <w:t>研讨会召开完成率，是指项目实施后，全年实际召开的专家研讨会完成情况，用以反映和考核项目数量指标。评价小组通过查看《武汉经济技术开发区</w:t>
      </w:r>
      <w:r>
        <w:rPr>
          <w:rFonts w:hint="eastAsia" w:ascii="仿宋_GB2312" w:hAnsi="仿宋_GB2312" w:cs="仿宋_GB2312"/>
          <w:sz w:val="24"/>
        </w:rPr>
        <w:t>“智能家居之都”</w:t>
      </w:r>
      <w:r>
        <w:rPr>
          <w:rFonts w:ascii="Arial Narrow" w:hAnsi="Arial Narrow" w:cs="Arial Narrow"/>
          <w:sz w:val="24"/>
        </w:rPr>
        <w:t>发展规划（2018-2025年）》专家评审会会议方案、《武汉经济技术开发区“智能家居之都”发展规划（2018-2025年）》专家评审会圆满举行、文件评审专家签到表了解到，该项目实施后，全年召开了3次专家研讨会，研讨会召开完成率100%。</w:t>
      </w:r>
    </w:p>
    <w:p>
      <w:pPr>
        <w:numPr>
          <w:ilvl w:val="0"/>
          <w:numId w:val="3"/>
        </w:numPr>
        <w:spacing w:line="360" w:lineRule="auto"/>
        <w:ind w:firstLine="482"/>
        <w:rPr>
          <w:rFonts w:ascii="Arial Narrow" w:hAnsi="Arial Narrow" w:cs="Arial Narrow"/>
          <w:sz w:val="24"/>
        </w:rPr>
      </w:pPr>
      <w:r>
        <w:rPr>
          <w:rFonts w:ascii="Arial Narrow" w:hAnsi="Arial Narrow" w:cs="Arial Narrow"/>
          <w:sz w:val="24"/>
        </w:rPr>
        <w:t>考察调研次数，是指项目实施后，全年实际外出考察调研次数，用以反映和考核项目数量指标。武汉经济技术开发区(汉南区)建设局组织车都集团、湖北省发展规划研究院有限公司，赴河北雄安新区、山东青岛开展了为期5天的考察学习。调研组先后实地调研了雄安新区、青岛海尔工业园、青岛胶州开发区有智能家居产业园等地，并与中建三局、海尔集团、少海汇相关负责同志进行了座谈交流，总共进行2次调研活动，低于年初预期值，扣3分。</w:t>
      </w:r>
    </w:p>
    <w:p>
      <w:pPr>
        <w:spacing w:line="360" w:lineRule="auto"/>
        <w:ind w:firstLine="482"/>
        <w:rPr>
          <w:rFonts w:ascii="Arial Narrow" w:hAnsi="Arial Narrow" w:cs="Arial Narrow"/>
          <w:sz w:val="24"/>
        </w:rPr>
      </w:pPr>
      <w:r>
        <w:rPr>
          <w:rFonts w:ascii="Arial Narrow" w:hAnsi="Arial Narrow" w:cs="Arial Narrow"/>
          <w:sz w:val="24"/>
        </w:rPr>
        <w:t>（3）规划编制完善率，项目实施后，评审专家对规划编制完善修改情况，用以反映和考核项目质量指标。评价小组通过</w:t>
      </w:r>
      <w:r>
        <w:rPr>
          <w:rFonts w:hint="eastAsia" w:ascii="仿宋_GB2312" w:hAnsi="仿宋_GB2312" w:cs="仿宋_GB2312"/>
          <w:sz w:val="24"/>
        </w:rPr>
        <w:t>查看“智能家居”之都规划编</w:t>
      </w:r>
      <w:r>
        <w:rPr>
          <w:rFonts w:ascii="Arial Narrow" w:hAnsi="Arial Narrow" w:cs="Arial Narrow"/>
          <w:sz w:val="24"/>
        </w:rPr>
        <w:t>制工作报告、《武汉经济技术开发</w:t>
      </w:r>
      <w:r>
        <w:rPr>
          <w:rFonts w:hint="eastAsia" w:ascii="仿宋_GB2312" w:hAnsi="仿宋_GB2312" w:cs="仿宋_GB2312"/>
          <w:sz w:val="24"/>
        </w:rPr>
        <w:t>区“智能家居之都”发展规</w:t>
      </w:r>
      <w:r>
        <w:rPr>
          <w:rFonts w:ascii="Arial Narrow" w:hAnsi="Arial Narrow" w:cs="Arial Narrow"/>
          <w:sz w:val="24"/>
        </w:rPr>
        <w:t>划（2018-2025年）》专家评审会会议方案、《武汉经济技术开发区“智能家居之都”发展规划（2018-2025年）》专家评审会圆满举行、文件评审专家签到表了解到，该部门于2018年7月6日召开《武汉</w:t>
      </w:r>
      <w:r>
        <w:rPr>
          <w:rFonts w:hint="eastAsia" w:ascii="Arial Narrow" w:hAnsi="Arial Narrow" w:cs="Arial Narrow"/>
          <w:sz w:val="24"/>
        </w:rPr>
        <w:t>经济技术开发区</w:t>
      </w:r>
      <w:r>
        <w:rPr>
          <w:rFonts w:ascii="Arial Narrow" w:hAnsi="Arial Narrow" w:cs="Arial Narrow"/>
          <w:sz w:val="24"/>
        </w:rPr>
        <w:t>（汉南区）</w:t>
      </w:r>
      <w:r>
        <w:rPr>
          <w:rFonts w:hint="eastAsia" w:ascii="仿宋_GB2312" w:hAnsi="仿宋_GB2312" w:cs="仿宋_GB2312"/>
          <w:sz w:val="24"/>
        </w:rPr>
        <w:t>“智能家居之都”发</w:t>
      </w:r>
      <w:r>
        <w:rPr>
          <w:rFonts w:ascii="Arial Narrow" w:hAnsi="Arial Narrow" w:cs="Arial Narrow"/>
          <w:sz w:val="24"/>
        </w:rPr>
        <w:t>展规划（2018-2025）》专家评审会，将“智能家居之都”发展规划编制初稿完善后形成定稿（包括《规划》文本、发展规划图集、项目库、企业库、专家库、建设重点任务清单等）。</w:t>
      </w:r>
    </w:p>
    <w:p>
      <w:pPr>
        <w:spacing w:line="360" w:lineRule="auto"/>
        <w:ind w:firstLine="482"/>
        <w:rPr>
          <w:rFonts w:ascii="Arial Narrow" w:hAnsi="Arial Narrow" w:cs="Arial Narrow"/>
          <w:sz w:val="24"/>
        </w:rPr>
      </w:pPr>
      <w:r>
        <w:rPr>
          <w:rFonts w:ascii="Arial Narrow" w:hAnsi="Arial Narrow" w:cs="Arial Narrow"/>
          <w:sz w:val="24"/>
        </w:rPr>
        <w:t>（4）研讨会形成成果率，是指项目实施后，研讨会开展形成成果的情况，用以反映和考核项目质量指标。评价小组通过查看武汉经济技术开发</w:t>
      </w:r>
      <w:r>
        <w:rPr>
          <w:rFonts w:hint="eastAsia" w:ascii="仿宋_GB2312" w:hAnsi="仿宋_GB2312" w:cs="仿宋_GB2312"/>
          <w:sz w:val="24"/>
        </w:rPr>
        <w:t>区“智能家居之都”发</w:t>
      </w:r>
      <w:r>
        <w:rPr>
          <w:rFonts w:ascii="Arial Narrow" w:hAnsi="Arial Narrow" w:cs="Arial Narrow"/>
          <w:sz w:val="24"/>
        </w:rPr>
        <w:t>展规划（2018-2025年）汇报本征求意见稿</w:t>
      </w:r>
      <w:r>
        <w:rPr>
          <w:rFonts w:hint="eastAsia" w:ascii="仿宋_GB2312" w:hAnsi="仿宋_GB2312" w:cs="仿宋_GB2312"/>
          <w:sz w:val="24"/>
        </w:rPr>
        <w:t>、“智能家居”之都规</w:t>
      </w:r>
      <w:r>
        <w:rPr>
          <w:rFonts w:ascii="Arial Narrow" w:hAnsi="Arial Narrow" w:cs="Arial Narrow"/>
          <w:sz w:val="24"/>
        </w:rPr>
        <w:t>划编制工作报告、武汉经济技术开发区（汉南区</w:t>
      </w:r>
      <w:r>
        <w:rPr>
          <w:rFonts w:hint="eastAsia" w:ascii="仿宋_GB2312" w:hAnsi="仿宋_GB2312" w:cs="仿宋_GB2312"/>
          <w:sz w:val="24"/>
        </w:rPr>
        <w:t>）“智能家居之都”发展</w:t>
      </w:r>
      <w:r>
        <w:rPr>
          <w:rFonts w:ascii="Arial Narrow" w:hAnsi="Arial Narrow" w:cs="Arial Narrow"/>
          <w:sz w:val="24"/>
        </w:rPr>
        <w:t>规划（征求意见稿）编制说明、武汉经济技术开发区（汉南区）建设工程服务中心2018年度工作总结了解到，该部门确立了项目库、企业库、专家库的建立，并列出了2018-2020年的工作清单；该部门于2018年4月底完成</w:t>
      </w:r>
      <w:r>
        <w:rPr>
          <w:rFonts w:hint="eastAsia" w:ascii="仿宋_GB2312" w:hAnsi="仿宋_GB2312" w:cs="仿宋_GB2312"/>
          <w:sz w:val="24"/>
        </w:rPr>
        <w:t>了“智能家居之都”发</w:t>
      </w:r>
      <w:r>
        <w:rPr>
          <w:rFonts w:ascii="Arial Narrow" w:hAnsi="Arial Narrow" w:cs="Arial Narrow"/>
          <w:sz w:val="24"/>
        </w:rPr>
        <w:t>展规划编制初稿，后于7月26日召开《规划》专家评审会，修改后形成定稿（包括《规划》文本、发展规划图集、项目库、企业库、专家库、建设重点任务清单等）。</w:t>
      </w:r>
    </w:p>
    <w:p>
      <w:pPr>
        <w:spacing w:line="360" w:lineRule="auto"/>
        <w:ind w:firstLine="482"/>
        <w:rPr>
          <w:rFonts w:ascii="Arial Narrow" w:hAnsi="Arial Narrow" w:cs="Arial Narrow"/>
          <w:sz w:val="24"/>
        </w:rPr>
      </w:pPr>
      <w:r>
        <w:rPr>
          <w:rFonts w:ascii="Arial Narrow" w:hAnsi="Arial Narrow" w:cs="Arial Narrow"/>
          <w:sz w:val="24"/>
        </w:rPr>
        <w:t>（5）咨询报告验收率，是指项目实施后，智能家居之都规划编制咨询报告验收情况，用以反映和考核项目数量指标。评价小组通过查看武汉经济技术开发区（汉南区）智能家居之都发展规划工程咨询服务合同、项目成果验收单、武汉经济技术开发</w:t>
      </w:r>
      <w:r>
        <w:rPr>
          <w:rFonts w:hint="eastAsia" w:ascii="仿宋_GB2312" w:hAnsi="仿宋_GB2312" w:cs="仿宋_GB2312"/>
          <w:sz w:val="24"/>
        </w:rPr>
        <w:t>区“智能家居之都”发展</w:t>
      </w:r>
      <w:r>
        <w:rPr>
          <w:rFonts w:ascii="Arial Narrow" w:hAnsi="Arial Narrow" w:cs="Arial Narrow"/>
          <w:sz w:val="24"/>
        </w:rPr>
        <w:t>规划重大附件（征求意见稿）、武汉经济技术开发区（汉南区）“智能家居之都”发展规划（征求意见稿）、武汉经济技术开发区</w:t>
      </w:r>
      <w:r>
        <w:rPr>
          <w:rFonts w:hint="eastAsia" w:ascii="仿宋_GB2312" w:hAnsi="仿宋_GB2312" w:cs="仿宋_GB2312"/>
          <w:sz w:val="24"/>
        </w:rPr>
        <w:t>“智能家居之都”</w:t>
      </w:r>
      <w:r>
        <w:rPr>
          <w:rFonts w:ascii="Arial Narrow" w:hAnsi="Arial Narrow" w:cs="Arial Narrow"/>
          <w:sz w:val="24"/>
        </w:rPr>
        <w:t>发展规划（2018-2025年）汇报本了解到，该部门验收并提交了《武汉经济技术开发区</w:t>
      </w:r>
      <w:r>
        <w:rPr>
          <w:rFonts w:hint="eastAsia" w:ascii="仿宋_GB2312" w:hAnsi="仿宋_GB2312" w:cs="仿宋_GB2312"/>
          <w:sz w:val="24"/>
        </w:rPr>
        <w:t>“智能家居之都”发展</w:t>
      </w:r>
      <w:r>
        <w:rPr>
          <w:rFonts w:ascii="Arial Narrow" w:hAnsi="Arial Narrow" w:cs="Arial Narrow"/>
          <w:sz w:val="24"/>
        </w:rPr>
        <w:t>规划》文本、《武汉经济技术开</w:t>
      </w:r>
      <w:r>
        <w:rPr>
          <w:rFonts w:hint="eastAsia" w:ascii="仿宋_GB2312" w:hAnsi="仿宋_GB2312" w:cs="仿宋_GB2312"/>
          <w:sz w:val="24"/>
        </w:rPr>
        <w:t>发区“智能家居之都”发</w:t>
      </w:r>
      <w:r>
        <w:rPr>
          <w:rFonts w:ascii="Arial Narrow" w:hAnsi="Arial Narrow" w:cs="Arial Narrow"/>
          <w:sz w:val="24"/>
        </w:rPr>
        <w:t>展规划》编制说明、《武汉经济技术开发</w:t>
      </w:r>
      <w:r>
        <w:rPr>
          <w:rFonts w:hint="eastAsia" w:ascii="仿宋_GB2312" w:hAnsi="仿宋_GB2312" w:cs="仿宋_GB2312"/>
          <w:sz w:val="24"/>
        </w:rPr>
        <w:t>区“智能家居之都”发展</w:t>
      </w:r>
      <w:r>
        <w:rPr>
          <w:rFonts w:ascii="Arial Narrow" w:hAnsi="Arial Narrow" w:cs="Arial Narrow"/>
          <w:sz w:val="24"/>
        </w:rPr>
        <w:t>规划》调研报告等，共计书面报告15份，但是没有提供电子版资料，扣1分。</w:t>
      </w:r>
    </w:p>
    <w:p>
      <w:pPr>
        <w:spacing w:line="360" w:lineRule="auto"/>
        <w:ind w:firstLine="482"/>
        <w:rPr>
          <w:rFonts w:ascii="Arial Narrow" w:hAnsi="Arial Narrow" w:cs="Arial Narrow"/>
          <w:sz w:val="24"/>
        </w:rPr>
      </w:pPr>
      <w:r>
        <w:rPr>
          <w:rFonts w:ascii="Arial Narrow" w:hAnsi="Arial Narrow" w:cs="Arial Narrow"/>
          <w:sz w:val="24"/>
        </w:rPr>
        <w:t>（6）规划成果验收完成率，项目实施后，项目规划成果验收完成情况，用以反映和考核项目数量指标。评价小组通过查看项目成果验收单了解到，该项目单位已对项目规划成果进行验收，验收完成率100%。</w:t>
      </w:r>
    </w:p>
    <w:p>
      <w:pPr>
        <w:spacing w:line="360" w:lineRule="auto"/>
        <w:ind w:firstLine="480" w:firstLineChars="200"/>
        <w:rPr>
          <w:rFonts w:ascii="Arial Narrow" w:hAnsi="Arial Narrow" w:cs="Arial Narrow"/>
          <w:color w:val="FF0000"/>
          <w:sz w:val="24"/>
        </w:rPr>
      </w:pPr>
      <w:r>
        <w:rPr>
          <w:rFonts w:ascii="Arial Narrow" w:hAnsi="Arial Narrow" w:cs="Arial Narrow"/>
          <w:sz w:val="24"/>
        </w:rPr>
        <w:t>（7）资金使用率，是指项目实际支出与项目到位资金的比率，用以反映和考核项目资金使用情况。评价小组通过查看武汉经济技术</w:t>
      </w:r>
      <w:r>
        <w:rPr>
          <w:rFonts w:hint="eastAsia" w:ascii="仿宋_GB2312" w:hAnsi="仿宋_GB2312" w:cs="仿宋_GB2312"/>
          <w:sz w:val="24"/>
        </w:rPr>
        <w:t>开发区“智能家居之都”发</w:t>
      </w:r>
      <w:r>
        <w:rPr>
          <w:rFonts w:ascii="Arial Narrow" w:hAnsi="Arial Narrow" w:cs="Arial Narrow"/>
          <w:sz w:val="24"/>
        </w:rPr>
        <w:t>展规划编制费用说明、武汉经济技术开发区（汉南区）政府采购计划生成备案单、智能家居之都发展规划编制经费资金使用明细和抽查相关记账凭证了解到，资金到位90.00万元，实际支出85.00万元，资金使用率为94.44%。</w:t>
      </w:r>
    </w:p>
    <w:p>
      <w:pPr>
        <w:spacing w:line="360" w:lineRule="auto"/>
        <w:ind w:firstLine="482"/>
        <w:rPr>
          <w:rFonts w:ascii="Arial Narrow" w:hAnsi="Arial Narrow" w:cs="Arial Narrow"/>
          <w:sz w:val="24"/>
        </w:rPr>
      </w:pPr>
      <w:bookmarkStart w:id="94" w:name="_Toc513828350"/>
      <w:r>
        <w:rPr>
          <w:rFonts w:ascii="Arial Narrow" w:hAnsi="Arial Narrow" w:cs="Arial Narrow"/>
          <w:sz w:val="24"/>
        </w:rPr>
        <w:t>1.4效益（27分）</w:t>
      </w:r>
      <w:bookmarkEnd w:id="94"/>
    </w:p>
    <w:p>
      <w:pPr>
        <w:spacing w:line="360" w:lineRule="auto"/>
        <w:ind w:firstLine="482"/>
        <w:rPr>
          <w:rFonts w:ascii="Arial Narrow" w:hAnsi="Arial Narrow" w:cs="Arial Narrow"/>
          <w:sz w:val="24"/>
        </w:rPr>
      </w:pPr>
      <w:r>
        <w:rPr>
          <w:rFonts w:ascii="Arial Narrow" w:hAnsi="Arial Narrow" w:cs="Arial Narrow"/>
          <w:sz w:val="24"/>
        </w:rPr>
        <w:t>该指标评价得分为24分，评价结果为良。</w:t>
      </w:r>
    </w:p>
    <w:p>
      <w:pPr>
        <w:widowControl/>
        <w:jc w:val="center"/>
        <w:rPr>
          <w:rFonts w:ascii="Arial Narrow" w:hAnsi="Arial Narrow" w:cs="Arial Narrow"/>
          <w:sz w:val="24"/>
        </w:rPr>
      </w:pPr>
      <w:r>
        <w:rPr>
          <w:rFonts w:ascii="Arial Narrow" w:hAnsi="Arial Narrow" w:cs="Arial Narrow"/>
        </w:rPr>
        <w:drawing>
          <wp:inline distT="0" distB="0" distL="114300" distR="114300">
            <wp:extent cx="3841750" cy="2403475"/>
            <wp:effectExtent l="0" t="0" r="6350" b="9525"/>
            <wp:docPr id="7"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360" w:lineRule="auto"/>
        <w:ind w:firstLine="482"/>
        <w:rPr>
          <w:rFonts w:ascii="Arial Narrow" w:hAnsi="Arial Narrow" w:cs="Arial Narrow"/>
          <w:sz w:val="24"/>
        </w:rPr>
      </w:pPr>
      <w:r>
        <w:rPr>
          <w:rFonts w:ascii="Arial Narrow" w:hAnsi="Arial Narrow" w:cs="Arial Narrow"/>
          <w:sz w:val="24"/>
        </w:rPr>
        <w:t>该指标主要通过编制成果提交及时率、调研成果完成率、规划文本宣传度、提升地区经济、可持续影响和社会公众满意度六个方面来评价，用以反映项目实施后所产生的社会效益及服务对象的受益程度。</w:t>
      </w:r>
    </w:p>
    <w:p>
      <w:pPr>
        <w:spacing w:line="360" w:lineRule="auto"/>
        <w:ind w:firstLine="482"/>
        <w:rPr>
          <w:rFonts w:ascii="Arial Narrow" w:hAnsi="Arial Narrow" w:cs="Arial Narrow"/>
          <w:sz w:val="24"/>
        </w:rPr>
      </w:pPr>
      <w:r>
        <w:rPr>
          <w:rFonts w:ascii="Arial Narrow" w:hAnsi="Arial Narrow" w:cs="Arial Narrow"/>
          <w:sz w:val="24"/>
        </w:rPr>
        <w:t>（1）编制成果提交及时率，是指项目实施后，智能家居之都规划编制是否在规定时限完成，用以反应和考核项目实施后的社会效益。评价小组通过查看武汉经济技术开发区（汉南区）</w:t>
      </w:r>
      <w:r>
        <w:rPr>
          <w:rFonts w:hint="eastAsia" w:ascii="仿宋_GB2312" w:hAnsi="仿宋_GB2312" w:cs="仿宋_GB2312"/>
          <w:sz w:val="24"/>
        </w:rPr>
        <w:t>“智能家居之都”发</w:t>
      </w:r>
      <w:r>
        <w:rPr>
          <w:rFonts w:ascii="Arial Narrow" w:hAnsi="Arial Narrow" w:cs="Arial Narrow"/>
          <w:sz w:val="24"/>
        </w:rPr>
        <w:t>展规划（征求意见稿）编制说明、</w:t>
      </w:r>
      <w:r>
        <w:rPr>
          <w:rFonts w:hint="eastAsia" w:ascii="仿宋_GB2312" w:hAnsi="仿宋_GB2312" w:cs="仿宋_GB2312"/>
          <w:sz w:val="24"/>
        </w:rPr>
        <w:t>“智能家居”</w:t>
      </w:r>
      <w:r>
        <w:rPr>
          <w:rFonts w:ascii="Arial Narrow" w:hAnsi="Arial Narrow" w:cs="Arial Narrow"/>
          <w:sz w:val="24"/>
        </w:rPr>
        <w:t>之都规划编制工作报告、武汉经济技术开发区（汉南区）建设工程服务中心2018年度工作总结了解到，该部门于2018年4月底完成了“智能家居之都”发展规划编制初稿；7月26日召开《规划》专家评审会，修改后形成定稿（包括《规划》文本、发展规划图集、项目库、企业库、专家库、建设重点任务清单等）；10月22日彭浩主任召开的重点工程专题会听取《规划》汇报；12月3日李林主任召开管委会主任办公会听取《规划》汇报，已正式审议通过。</w:t>
      </w:r>
    </w:p>
    <w:p>
      <w:pPr>
        <w:spacing w:line="360" w:lineRule="auto"/>
        <w:ind w:firstLine="482"/>
        <w:rPr>
          <w:rFonts w:ascii="Arial Narrow" w:hAnsi="Arial Narrow" w:cs="Arial Narrow"/>
          <w:sz w:val="24"/>
        </w:rPr>
      </w:pPr>
      <w:r>
        <w:rPr>
          <w:rFonts w:ascii="Arial Narrow" w:hAnsi="Arial Narrow" w:cs="Arial Narrow"/>
          <w:sz w:val="24"/>
        </w:rPr>
        <w:t>（2）调研成果完成率，是指项目实施后，项目单位调研成果的完成情况，用以反应和考核项目实施后的社会效益。评价小组通过查看武汉市经济技术开发区(汉南区)赴湖北雄安新区、青岛的调查报告、关于外出考察调研装配式建筑发展的报告了解到，项目单位派相关项目参与人员赴河北雄安、青岛进行智能家居考察调研，同时专家撰写考察调研报告，但是武汉经济技术开发</w:t>
      </w:r>
      <w:r>
        <w:rPr>
          <w:rFonts w:hint="eastAsia" w:ascii="仿宋_GB2312" w:hAnsi="仿宋_GB2312" w:cs="仿宋_GB2312"/>
          <w:sz w:val="24"/>
        </w:rPr>
        <w:t>区“智能家居之都”重点园区</w:t>
      </w:r>
      <w:r>
        <w:rPr>
          <w:rFonts w:ascii="Arial Narrow" w:hAnsi="Arial Narrow" w:cs="Arial Narrow"/>
          <w:sz w:val="24"/>
        </w:rPr>
        <w:t>调研报告未能提供，扣1分。</w:t>
      </w:r>
    </w:p>
    <w:p>
      <w:pPr>
        <w:spacing w:line="360" w:lineRule="auto"/>
        <w:ind w:firstLine="482"/>
        <w:rPr>
          <w:rFonts w:ascii="Arial Narrow" w:hAnsi="Arial Narrow" w:cs="Arial Narrow"/>
          <w:sz w:val="24"/>
        </w:rPr>
      </w:pPr>
      <w:r>
        <w:rPr>
          <w:rFonts w:ascii="Arial Narrow" w:hAnsi="Arial Narrow" w:cs="Arial Narrow"/>
          <w:sz w:val="24"/>
        </w:rPr>
        <w:t>（3）规划文本宣传度，是指项目实施后，项目单位对编制完成的规划文本进行宣传的完成情况，用以反应和考核项目实施后的社会效益。评价小组通过查看文件签收确认函了解到，城乡建设局向招商局、经信局等单位进行“智能家居之都”规划编制进行推广宣传。</w:t>
      </w:r>
    </w:p>
    <w:p>
      <w:pPr>
        <w:spacing w:line="360" w:lineRule="auto"/>
        <w:ind w:firstLine="482"/>
        <w:rPr>
          <w:rFonts w:ascii="Arial Narrow" w:hAnsi="Arial Narrow" w:cs="Arial Narrow"/>
          <w:sz w:val="24"/>
        </w:rPr>
      </w:pPr>
      <w:r>
        <w:rPr>
          <w:rFonts w:ascii="Arial Narrow" w:hAnsi="Arial Narrow" w:cs="Arial Narrow"/>
          <w:sz w:val="24"/>
        </w:rPr>
        <w:t>（4）提升地区经济，是指项目实施后，项目规划成果提升地区经济发展的情况，用以反应和考核项目实施后的社会效益。评价小组通过查看“智能家居”之都规划编制工作报告、武汉经济技术开发区（汉南区）</w:t>
      </w:r>
      <w:r>
        <w:rPr>
          <w:rFonts w:hint="eastAsia" w:ascii="仿宋_GB2312" w:hAnsi="仿宋_GB2312" w:cs="仿宋_GB2312"/>
          <w:sz w:val="24"/>
        </w:rPr>
        <w:t>“智能家居之都”发</w:t>
      </w:r>
      <w:r>
        <w:rPr>
          <w:rFonts w:ascii="Arial Narrow" w:hAnsi="Arial Narrow" w:cs="Arial Narrow"/>
          <w:sz w:val="24"/>
        </w:rPr>
        <w:t>展规划（征求意见稿）编制说明、“智能家居之都”发展规划（2018-2025年）汇报本征求意见稿并了解到，该部门规划进一步加强与招商部门和园区的对接，配合招商部门及园区做好智能家居高端产业的引进工作，吸引外资企业投资。</w:t>
      </w:r>
    </w:p>
    <w:p>
      <w:pPr>
        <w:spacing w:line="360" w:lineRule="auto"/>
        <w:ind w:firstLine="482"/>
        <w:rPr>
          <w:rFonts w:ascii="Arial Narrow" w:hAnsi="Arial Narrow" w:cs="Arial Narrow"/>
          <w:sz w:val="24"/>
        </w:rPr>
      </w:pPr>
      <w:r>
        <w:rPr>
          <w:rFonts w:ascii="Arial Narrow" w:hAnsi="Arial Narrow" w:cs="Arial Narrow"/>
          <w:sz w:val="24"/>
        </w:rPr>
        <w:t>（5）可持续影响，是指项目实施后，项目后续运行及成效发挥的可持续影响情况。评价小组通过和项目相关负责人访谈了解到，智能家居之都发展规划编制经费由建设工程服务中心单位完成，有合理的机构设置，项目实施单位支持项目长期运行;但科室工作人员30人，在编22人，人员不足，工作量较大，扣3分。</w:t>
      </w:r>
    </w:p>
    <w:p>
      <w:pPr>
        <w:spacing w:line="360" w:lineRule="auto"/>
        <w:ind w:firstLine="482"/>
        <w:rPr>
          <w:rFonts w:ascii="Arial Narrow" w:hAnsi="Arial Narrow" w:cs="Arial Narrow"/>
          <w:sz w:val="24"/>
        </w:rPr>
      </w:pPr>
      <w:r>
        <w:rPr>
          <w:rFonts w:ascii="Arial Narrow" w:hAnsi="Arial Narrow" w:cs="Arial Narrow"/>
          <w:sz w:val="24"/>
        </w:rPr>
        <w:t>（6）</w:t>
      </w:r>
      <w:r>
        <w:rPr>
          <w:rFonts w:ascii="Arial Narrow" w:hAnsi="Arial Narrow" w:cs="Arial Narrow"/>
          <w:color w:val="000000" w:themeColor="text1"/>
          <w:sz w:val="24"/>
          <w14:textFill>
            <w14:solidFill>
              <w14:schemeClr w14:val="tx1"/>
            </w14:solidFill>
          </w14:textFill>
        </w:rPr>
        <w:t>社会公众满意度，是指</w:t>
      </w:r>
      <w:bookmarkEnd w:id="93"/>
      <w:r>
        <w:rPr>
          <w:rFonts w:ascii="Arial Narrow" w:hAnsi="Arial Narrow" w:cs="Arial Narrow"/>
          <w:color w:val="000000" w:themeColor="text1"/>
          <w:sz w:val="24"/>
          <w14:textFill>
            <w14:solidFill>
              <w14:schemeClr w14:val="tx1"/>
            </w14:solidFill>
          </w14:textFill>
        </w:rPr>
        <w:t>社会公众或服务对象对项目实施效果的满意程度。25</w:t>
      </w:r>
      <w:r>
        <w:rPr>
          <w:rFonts w:ascii="Arial Narrow" w:hAnsi="Arial Narrow" w:cs="Arial Narrow"/>
          <w:sz w:val="24"/>
        </w:rPr>
        <w:t>份有效问卷中，19人表示对项目实施效果满意，5人表示对项目实施比较满意，1人不太满意，社会公众满意度为90.67%。</w:t>
      </w:r>
    </w:p>
    <w:p>
      <w:pPr>
        <w:snapToGrid w:val="0"/>
        <w:spacing w:line="360" w:lineRule="auto"/>
        <w:ind w:firstLine="480" w:firstLineChars="200"/>
        <w:outlineLvl w:val="2"/>
        <w:rPr>
          <w:rFonts w:ascii="Arial Narrow" w:hAnsi="Arial Narrow" w:cs="Arial Narrow"/>
          <w:bCs/>
          <w:sz w:val="24"/>
        </w:rPr>
      </w:pPr>
      <w:bookmarkStart w:id="95" w:name="_Toc17670"/>
      <w:bookmarkStart w:id="96" w:name="_Toc31828"/>
      <w:r>
        <w:rPr>
          <w:rFonts w:ascii="Arial Narrow" w:hAnsi="Arial Narrow" w:cs="Arial Narrow"/>
          <w:bCs/>
          <w:sz w:val="24"/>
        </w:rPr>
        <w:t>2、评价结论</w:t>
      </w:r>
      <w:bookmarkEnd w:id="95"/>
      <w:bookmarkEnd w:id="96"/>
    </w:p>
    <w:p>
      <w:pPr>
        <w:snapToGrid w:val="0"/>
        <w:spacing w:line="360" w:lineRule="auto"/>
        <w:ind w:firstLine="480" w:firstLineChars="200"/>
        <w:rPr>
          <w:rFonts w:ascii="Arial Narrow" w:hAnsi="Arial Narrow" w:cs="Arial Narrow"/>
          <w:bCs/>
          <w:color w:val="000000" w:themeColor="text1"/>
          <w:sz w:val="24"/>
          <w14:textFill>
            <w14:solidFill>
              <w14:schemeClr w14:val="tx1"/>
            </w14:solidFill>
          </w14:textFill>
        </w:rPr>
      </w:pPr>
      <w:r>
        <w:rPr>
          <w:rFonts w:ascii="Arial Narrow" w:hAnsi="Arial Narrow" w:cs="Arial Narrow"/>
          <w:bCs/>
          <w:color w:val="000000" w:themeColor="text1"/>
          <w:sz w:val="24"/>
          <w14:textFill>
            <w14:solidFill>
              <w14:schemeClr w14:val="tx1"/>
            </w14:solidFill>
          </w14:textFill>
        </w:rPr>
        <w:t>2.1评分结果</w:t>
      </w:r>
    </w:p>
    <w:p>
      <w:pPr>
        <w:spacing w:line="360" w:lineRule="auto"/>
        <w:ind w:firstLine="482"/>
        <w:rPr>
          <w:rFonts w:ascii="Arial Narrow" w:hAnsi="Arial Narrow" w:cs="Arial Narrow"/>
          <w:sz w:val="24"/>
        </w:rPr>
      </w:pPr>
      <w:r>
        <w:rPr>
          <w:rFonts w:ascii="Arial Narrow" w:hAnsi="Arial Narrow" w:cs="Arial Narrow"/>
          <w:sz w:val="24"/>
        </w:rPr>
        <w:t>项目绩效评价综合得分为92分。其中投入得分15分，过程得分23分，产出得分30分，效果得分24分。</w:t>
      </w:r>
    </w:p>
    <w:p>
      <w:pPr>
        <w:spacing w:line="360" w:lineRule="auto"/>
        <w:ind w:firstLine="482"/>
        <w:jc w:val="center"/>
        <w:rPr>
          <w:rFonts w:ascii="Arial Narrow" w:hAnsi="Arial Narrow" w:cs="Arial Narrow"/>
          <w:sz w:val="24"/>
        </w:rPr>
      </w:pPr>
      <w:r>
        <w:rPr>
          <w:rFonts w:ascii="Arial Narrow" w:hAnsi="Arial Narrow" w:cs="Arial Narrow"/>
        </w:rPr>
        <w:drawing>
          <wp:inline distT="0" distB="0" distL="114300" distR="114300">
            <wp:extent cx="3639185" cy="2150110"/>
            <wp:effectExtent l="0" t="0" r="5715" b="8890"/>
            <wp:docPr id="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360" w:lineRule="auto"/>
        <w:ind w:left="482"/>
        <w:rPr>
          <w:rFonts w:ascii="Arial Narrow" w:hAnsi="Arial Narrow" w:cs="Arial Narrow"/>
          <w:sz w:val="24"/>
        </w:rPr>
      </w:pPr>
      <w:r>
        <w:rPr>
          <w:rFonts w:ascii="Arial Narrow" w:hAnsi="Arial Narrow" w:cs="Arial Narrow"/>
          <w:sz w:val="24"/>
        </w:rPr>
        <w:t>2.2主要结论</w:t>
      </w:r>
    </w:p>
    <w:p>
      <w:pPr>
        <w:spacing w:line="360" w:lineRule="auto"/>
        <w:ind w:firstLine="480" w:firstLineChars="200"/>
        <w:rPr>
          <w:rFonts w:ascii="Arial Narrow" w:hAnsi="Arial Narrow" w:cs="Arial Narrow"/>
          <w:color w:val="000000" w:themeColor="text1"/>
          <w:sz w:val="24"/>
          <w14:textFill>
            <w14:solidFill>
              <w14:schemeClr w14:val="tx1"/>
            </w14:solidFill>
          </w14:textFill>
        </w:rPr>
      </w:pPr>
      <w:bookmarkStart w:id="97" w:name="_Toc20150"/>
      <w:bookmarkStart w:id="98" w:name="_Toc26213"/>
      <w:r>
        <w:rPr>
          <w:rFonts w:ascii="Arial Narrow" w:hAnsi="Arial Narrow" w:cs="Arial Narrow"/>
          <w:color w:val="000000" w:themeColor="text1"/>
          <w:sz w:val="24"/>
          <w14:textFill>
            <w14:solidFill>
              <w14:schemeClr w14:val="tx1"/>
            </w14:solidFill>
          </w14:textFill>
        </w:rPr>
        <w:t>（1）投入。项目投入评价得分为15分，评价等级为优。项目按照规定的程序申请设立，所提交的申报资料符合相关要求，项目执行过程中未发生重大变化；项目设立了年度目标及长期目标；资金及时落实到位。</w:t>
      </w:r>
    </w:p>
    <w:p>
      <w:pPr>
        <w:spacing w:line="360" w:lineRule="auto"/>
        <w:ind w:firstLine="482"/>
        <w:rPr>
          <w:rFonts w:ascii="Arial Narrow" w:hAnsi="Arial Narrow" w:cs="Arial Narrow"/>
          <w:sz w:val="24"/>
        </w:rPr>
      </w:pPr>
      <w:r>
        <w:rPr>
          <w:rFonts w:ascii="Arial Narrow" w:hAnsi="Arial Narrow" w:cs="Arial Narrow"/>
          <w:color w:val="000000" w:themeColor="text1"/>
          <w:sz w:val="24"/>
          <w14:textFill>
            <w14:solidFill>
              <w14:schemeClr w14:val="tx1"/>
            </w14:solidFill>
          </w14:textFill>
        </w:rPr>
        <w:t>（2）过程。项目过程评价得分为23分，评价等级为优。该</w:t>
      </w:r>
      <w:r>
        <w:rPr>
          <w:rFonts w:ascii="Arial Narrow" w:hAnsi="Arial Narrow" w:cs="Arial Narrow"/>
          <w:sz w:val="24"/>
        </w:rPr>
        <w:t>项目主要执行上级部门文书审批管理制度、督查工作制、档案管理制、物资采购制、岗位责任制等进行管理，管理制度较为健全、合法合规。项目执行遵守合同制，该项目和工程咨询公司签订了工程咨询服务合同，受托方在合同约定的时间内完成咨询报告，且使报告达到合同规定的要求；受托方提供的咨询成果达不到合同规定要求的，受托方无条件完善、修改。财务管理制度方面，该项目单位未对项目制定专项资金管理办法，主要依据城乡建设局财务制度对专项资金进行管理；单位资金管理办法符合财务会计制度的规定，资金的拨付有完整的审批程序和手续，符合项目预算批复或合同规定的用途，且不存在截留、挤占、挪用、虚列支出等情况。</w:t>
      </w:r>
    </w:p>
    <w:p>
      <w:pPr>
        <w:spacing w:line="360" w:lineRule="auto"/>
        <w:ind w:firstLine="480" w:firstLineChars="200"/>
        <w:rPr>
          <w:rFonts w:ascii="Arial Narrow" w:hAnsi="Arial Narrow" w:cs="Arial Narrow"/>
          <w:sz w:val="24"/>
        </w:rPr>
      </w:pPr>
      <w:r>
        <w:rPr>
          <w:rFonts w:ascii="Arial Narrow" w:hAnsi="Arial Narrow" w:cs="Arial Narrow"/>
          <w:color w:val="000000" w:themeColor="text1"/>
          <w:sz w:val="24"/>
          <w14:textFill>
            <w14:solidFill>
              <w14:schemeClr w14:val="tx1"/>
            </w14:solidFill>
          </w14:textFill>
        </w:rPr>
        <w:t>（3）产出。项目产出评价得分为30分，评价等级为优。该项目实施后，全年召开了3次专家研讨会，建立了项目库、企业库、专家库，并列出了2018-2020年的工作清单；验收并提交了《武汉经济技术开发</w:t>
      </w:r>
      <w:r>
        <w:rPr>
          <w:rFonts w:hint="eastAsia" w:ascii="仿宋_GB2312" w:hAnsi="仿宋_GB2312" w:cs="仿宋_GB2312"/>
          <w:color w:val="000000" w:themeColor="text1"/>
          <w:sz w:val="24"/>
          <w14:textFill>
            <w14:solidFill>
              <w14:schemeClr w14:val="tx1"/>
            </w14:solidFill>
          </w14:textFill>
        </w:rPr>
        <w:t>区“智能家居之都”发</w:t>
      </w:r>
      <w:r>
        <w:rPr>
          <w:rFonts w:ascii="Arial Narrow" w:hAnsi="Arial Narrow" w:cs="Arial Narrow"/>
          <w:color w:val="000000" w:themeColor="text1"/>
          <w:sz w:val="24"/>
          <w14:textFill>
            <w14:solidFill>
              <w14:schemeClr w14:val="tx1"/>
            </w14:solidFill>
          </w14:textFill>
        </w:rPr>
        <w:t>展规划》文本、《武汉经济技术开发</w:t>
      </w:r>
      <w:r>
        <w:rPr>
          <w:rFonts w:hint="eastAsia" w:ascii="仿宋_GB2312" w:hAnsi="仿宋_GB2312" w:cs="仿宋_GB2312"/>
          <w:color w:val="000000" w:themeColor="text1"/>
          <w:sz w:val="24"/>
          <w14:textFill>
            <w14:solidFill>
              <w14:schemeClr w14:val="tx1"/>
            </w14:solidFill>
          </w14:textFill>
        </w:rPr>
        <w:t>区“智能家居之都”发</w:t>
      </w:r>
      <w:r>
        <w:rPr>
          <w:rFonts w:ascii="Arial Narrow" w:hAnsi="Arial Narrow" w:cs="Arial Narrow"/>
          <w:color w:val="000000" w:themeColor="text1"/>
          <w:sz w:val="24"/>
          <w14:textFill>
            <w14:solidFill>
              <w14:schemeClr w14:val="tx1"/>
            </w14:solidFill>
          </w14:textFill>
        </w:rPr>
        <w:t>展规划》编制说明等书面报告15份；完成了</w:t>
      </w:r>
      <w:r>
        <w:rPr>
          <w:rFonts w:hint="eastAsia" w:ascii="仿宋_GB2312" w:hAnsi="仿宋_GB2312" w:cs="仿宋_GB2312"/>
          <w:color w:val="000000" w:themeColor="text1"/>
          <w:sz w:val="24"/>
          <w14:textFill>
            <w14:solidFill>
              <w14:schemeClr w14:val="tx1"/>
            </w14:solidFill>
          </w14:textFill>
        </w:rPr>
        <w:t>“智能家居之都”发展规划的编制。项目实施单位组织相关集团、企业赴河北雄安新区、</w:t>
      </w:r>
      <w:r>
        <w:rPr>
          <w:rFonts w:ascii="Arial Narrow" w:hAnsi="Arial Narrow" w:cs="Arial Narrow"/>
          <w:color w:val="000000" w:themeColor="text1"/>
          <w:sz w:val="24"/>
          <w14:textFill>
            <w14:solidFill>
              <w14:schemeClr w14:val="tx1"/>
            </w14:solidFill>
          </w14:textFill>
        </w:rPr>
        <w:t>山东青岛的智能家居产业园考察学习。</w:t>
      </w:r>
    </w:p>
    <w:p>
      <w:pPr>
        <w:spacing w:line="360" w:lineRule="auto"/>
        <w:ind w:firstLine="480" w:firstLineChars="200"/>
        <w:rPr>
          <w:rFonts w:ascii="Arial Narrow" w:hAnsi="Arial Narrow" w:cs="Arial Narrow"/>
          <w:sz w:val="24"/>
        </w:rPr>
      </w:pPr>
      <w:r>
        <w:rPr>
          <w:rFonts w:ascii="Arial Narrow" w:hAnsi="Arial Narrow" w:cs="Arial Narrow"/>
          <w:color w:val="000000" w:themeColor="text1"/>
          <w:sz w:val="24"/>
          <w14:textFill>
            <w14:solidFill>
              <w14:schemeClr w14:val="tx1"/>
            </w14:solidFill>
          </w14:textFill>
        </w:rPr>
        <w:t>（4）效果。项目效益评价得分为24分，评价等级为良。</w:t>
      </w:r>
      <w:r>
        <w:rPr>
          <w:rFonts w:ascii="Arial Narrow" w:hAnsi="Arial Narrow" w:cs="Arial Narrow"/>
          <w:sz w:val="24"/>
        </w:rPr>
        <w:t>项目实施后，项目实施单位通过实地考研调查、撰写调研报告，形成了智能家居制度规划；通过向招商局、经信局等单位进</w:t>
      </w:r>
      <w:r>
        <w:rPr>
          <w:rFonts w:hint="eastAsia" w:ascii="仿宋_GB2312" w:hAnsi="仿宋_GB2312" w:cs="仿宋_GB2312"/>
          <w:sz w:val="24"/>
        </w:rPr>
        <w:t>行了“智能家居之都”推广宣传</w:t>
      </w:r>
      <w:r>
        <w:rPr>
          <w:rFonts w:ascii="Arial Narrow" w:hAnsi="Arial Narrow" w:cs="Arial Narrow"/>
          <w:sz w:val="24"/>
        </w:rPr>
        <w:t>，规划进一步加强与招商部门和园区的对接，配合招商部门及园区做好智能家居高端产业的引进工作，提高地区经济。</w:t>
      </w:r>
    </w:p>
    <w:p>
      <w:pPr>
        <w:snapToGrid w:val="0"/>
        <w:spacing w:line="360" w:lineRule="auto"/>
        <w:ind w:firstLine="482" w:firstLineChars="200"/>
        <w:jc w:val="left"/>
        <w:outlineLvl w:val="1"/>
        <w:rPr>
          <w:rFonts w:ascii="Arial Narrow" w:hAnsi="Arial Narrow" w:cs="Arial Narrow"/>
          <w:b/>
          <w:color w:val="000000" w:themeColor="text1"/>
          <w:sz w:val="24"/>
          <w14:textFill>
            <w14:solidFill>
              <w14:schemeClr w14:val="tx1"/>
            </w14:solidFill>
          </w14:textFill>
        </w:rPr>
      </w:pPr>
      <w:r>
        <w:rPr>
          <w:rFonts w:ascii="Arial Narrow" w:hAnsi="Arial Narrow" w:cs="Arial Narrow"/>
          <w:b/>
          <w:color w:val="000000" w:themeColor="text1"/>
          <w:sz w:val="24"/>
          <w14:textFill>
            <w14:solidFill>
              <w14:schemeClr w14:val="tx1"/>
            </w14:solidFill>
          </w14:textFill>
        </w:rPr>
        <w:t>（四）主要经验及做法、存在的问题和建议</w:t>
      </w:r>
      <w:bookmarkEnd w:id="97"/>
      <w:bookmarkEnd w:id="98"/>
    </w:p>
    <w:p>
      <w:pPr>
        <w:snapToGrid w:val="0"/>
        <w:spacing w:line="360" w:lineRule="auto"/>
        <w:ind w:firstLine="480" w:firstLineChars="200"/>
        <w:outlineLvl w:val="2"/>
        <w:rPr>
          <w:rFonts w:ascii="Arial Narrow" w:hAnsi="Arial Narrow" w:cs="Arial Narrow"/>
          <w:bCs/>
          <w:color w:val="000000" w:themeColor="text1"/>
          <w:sz w:val="24"/>
          <w14:textFill>
            <w14:solidFill>
              <w14:schemeClr w14:val="tx1"/>
            </w14:solidFill>
          </w14:textFill>
        </w:rPr>
      </w:pPr>
      <w:bookmarkStart w:id="99" w:name="_Toc12788"/>
      <w:bookmarkStart w:id="100" w:name="_Toc30416"/>
      <w:r>
        <w:rPr>
          <w:rFonts w:ascii="Arial Narrow" w:hAnsi="Arial Narrow" w:cs="Arial Narrow"/>
          <w:bCs/>
          <w:color w:val="000000" w:themeColor="text1"/>
          <w:sz w:val="24"/>
          <w14:textFill>
            <w14:solidFill>
              <w14:schemeClr w14:val="tx1"/>
            </w14:solidFill>
          </w14:textFill>
        </w:rPr>
        <w:t>1、主要经验及做法</w:t>
      </w:r>
      <w:bookmarkEnd w:id="99"/>
      <w:bookmarkEnd w:id="100"/>
      <w:bookmarkStart w:id="101" w:name="_Toc1986"/>
      <w:bookmarkStart w:id="102" w:name="_Toc15035"/>
    </w:p>
    <w:p>
      <w:pPr>
        <w:spacing w:line="360" w:lineRule="auto"/>
        <w:ind w:firstLine="480" w:firstLineChars="200"/>
        <w:rPr>
          <w:rFonts w:ascii="Arial Narrow" w:hAnsi="Arial Narrow" w:cs="Arial Narrow"/>
          <w:color w:val="000000" w:themeColor="text1"/>
          <w:sz w:val="24"/>
          <w14:textFill>
            <w14:solidFill>
              <w14:schemeClr w14:val="tx1"/>
            </w14:solidFill>
          </w14:textFill>
        </w:rPr>
      </w:pPr>
      <w:r>
        <w:rPr>
          <w:rFonts w:ascii="Arial Narrow" w:hAnsi="Arial Narrow" w:cs="Arial Narrow"/>
          <w:bCs/>
          <w:color w:val="000000" w:themeColor="text1"/>
          <w:sz w:val="24"/>
          <w14:textFill>
            <w14:solidFill>
              <w14:schemeClr w14:val="tx1"/>
            </w14:solidFill>
          </w14:textFill>
        </w:rPr>
        <w:t>（1）考察、研讨工作有效进行。</w:t>
      </w:r>
      <w:r>
        <w:rPr>
          <w:rFonts w:ascii="Arial Narrow" w:hAnsi="Arial Narrow" w:cs="Arial Narrow"/>
          <w:color w:val="000000" w:themeColor="text1"/>
          <w:sz w:val="24"/>
          <w14:textFill>
            <w14:solidFill>
              <w14:schemeClr w14:val="tx1"/>
            </w14:solidFill>
          </w14:textFill>
        </w:rPr>
        <w:t>该项目实施后，全年共召开了3次专家研讨会，建立了项目库、企业库、专家库，并列出了2018-2020年的工作清单，并在专家调研后完成</w:t>
      </w:r>
      <w:r>
        <w:rPr>
          <w:rFonts w:hint="eastAsia" w:ascii="仿宋_GB2312" w:hAnsi="仿宋_GB2312" w:cs="仿宋_GB2312"/>
          <w:color w:val="000000" w:themeColor="text1"/>
          <w:sz w:val="24"/>
          <w14:textFill>
            <w14:solidFill>
              <w14:schemeClr w14:val="tx1"/>
            </w14:solidFill>
          </w14:textFill>
        </w:rPr>
        <w:t>了“智能家居之都”发展规</w:t>
      </w:r>
      <w:r>
        <w:rPr>
          <w:rFonts w:ascii="Arial Narrow" w:hAnsi="Arial Narrow" w:cs="Arial Narrow"/>
          <w:color w:val="000000" w:themeColor="text1"/>
          <w:sz w:val="24"/>
          <w14:textFill>
            <w14:solidFill>
              <w14:schemeClr w14:val="tx1"/>
            </w14:solidFill>
          </w14:textFill>
        </w:rPr>
        <w:t>划编制初稿，随后修改并形成定稿；全年组织两次考察调研</w:t>
      </w:r>
    </w:p>
    <w:p>
      <w:pPr>
        <w:tabs>
          <w:tab w:val="center" w:pos="4422"/>
        </w:tabs>
        <w:spacing w:line="360" w:lineRule="auto"/>
        <w:ind w:firstLine="480" w:firstLineChars="200"/>
        <w:rPr>
          <w:rFonts w:ascii="Arial Narrow" w:hAnsi="Arial Narrow" w:cs="Arial Narrow"/>
          <w:bCs/>
          <w:color w:val="000000" w:themeColor="text1"/>
          <w:sz w:val="24"/>
          <w14:textFill>
            <w14:solidFill>
              <w14:schemeClr w14:val="tx1"/>
            </w14:solidFill>
          </w14:textFill>
        </w:rPr>
      </w:pPr>
      <w:r>
        <w:rPr>
          <w:rFonts w:ascii="Arial Narrow" w:hAnsi="Arial Narrow" w:cs="Arial Narrow"/>
          <w:bCs/>
          <w:color w:val="000000" w:themeColor="text1"/>
          <w:sz w:val="24"/>
          <w14:textFill>
            <w14:solidFill>
              <w14:schemeClr w14:val="tx1"/>
            </w14:solidFill>
          </w14:textFill>
        </w:rPr>
        <w:t>（2）有效提升地区经济。通过实地调研考察学习，针对项目开展专家研讨会形成智能家居的制度规划，有效的推进智能家居的产业发展，同时通过向招商局、经信局等单位宣传推广其调研成果，并宣传“</w:t>
      </w:r>
      <w:r>
        <w:rPr>
          <w:rFonts w:hint="eastAsia" w:ascii="Arial Narrow" w:hAnsi="Arial Narrow" w:cs="Arial Narrow"/>
          <w:bCs/>
          <w:color w:val="000000" w:themeColor="text1"/>
          <w:sz w:val="24"/>
          <w14:textFill>
            <w14:solidFill>
              <w14:schemeClr w14:val="tx1"/>
            </w14:solidFill>
          </w14:textFill>
        </w:rPr>
        <w:t>智能</w:t>
      </w:r>
      <w:r>
        <w:rPr>
          <w:rFonts w:ascii="Arial Narrow" w:hAnsi="Arial Narrow" w:cs="Arial Narrow"/>
          <w:bCs/>
          <w:color w:val="000000" w:themeColor="text1"/>
          <w:sz w:val="24"/>
          <w14:textFill>
            <w14:solidFill>
              <w14:schemeClr w14:val="tx1"/>
            </w14:solidFill>
          </w14:textFill>
        </w:rPr>
        <w:t>家具之都”的理念，吸引外资企业的投资，多方位多层面的促进地区经济发展。</w:t>
      </w:r>
    </w:p>
    <w:p>
      <w:pPr>
        <w:snapToGrid w:val="0"/>
        <w:spacing w:line="360" w:lineRule="auto"/>
        <w:ind w:firstLine="480" w:firstLineChars="200"/>
        <w:outlineLvl w:val="2"/>
        <w:rPr>
          <w:rFonts w:ascii="Arial Narrow" w:hAnsi="Arial Narrow" w:cs="Arial Narrow"/>
          <w:bCs/>
          <w:color w:val="000000" w:themeColor="text1"/>
          <w:sz w:val="24"/>
          <w14:textFill>
            <w14:solidFill>
              <w14:schemeClr w14:val="tx1"/>
            </w14:solidFill>
          </w14:textFill>
        </w:rPr>
      </w:pPr>
      <w:r>
        <w:rPr>
          <w:rFonts w:ascii="Arial Narrow" w:hAnsi="Arial Narrow" w:cs="Arial Narrow"/>
          <w:bCs/>
          <w:color w:val="000000" w:themeColor="text1"/>
          <w:sz w:val="24"/>
          <w14:textFill>
            <w14:solidFill>
              <w14:schemeClr w14:val="tx1"/>
            </w14:solidFill>
          </w14:textFill>
        </w:rPr>
        <w:t>2、存在的问题及原因分析</w:t>
      </w:r>
      <w:bookmarkEnd w:id="101"/>
      <w:bookmarkEnd w:id="102"/>
    </w:p>
    <w:p>
      <w:pPr>
        <w:spacing w:line="360" w:lineRule="auto"/>
        <w:ind w:firstLine="480" w:firstLineChars="200"/>
        <w:rPr>
          <w:rFonts w:ascii="Arial Narrow" w:hAnsi="Arial Narrow" w:cs="Arial Narrow"/>
          <w:bCs/>
          <w:color w:val="000000" w:themeColor="text1"/>
          <w:sz w:val="24"/>
          <w14:textFill>
            <w14:solidFill>
              <w14:schemeClr w14:val="tx1"/>
            </w14:solidFill>
          </w14:textFill>
        </w:rPr>
      </w:pPr>
      <w:bookmarkStart w:id="103" w:name="_Toc976"/>
      <w:bookmarkStart w:id="104" w:name="_Toc26215"/>
      <w:r>
        <w:rPr>
          <w:rFonts w:ascii="Arial Narrow" w:hAnsi="Arial Narrow" w:cs="Arial Narrow"/>
          <w:bCs/>
          <w:color w:val="000000" w:themeColor="text1"/>
          <w:sz w:val="24"/>
          <w14:textFill>
            <w14:solidFill>
              <w14:schemeClr w14:val="tx1"/>
            </w14:solidFill>
          </w14:textFill>
        </w:rPr>
        <w:t>（1）年初</w:t>
      </w:r>
      <w:r>
        <w:rPr>
          <w:rFonts w:ascii="Arial Narrow" w:hAnsi="Arial Narrow" w:cs="Arial Narrow"/>
          <w:bCs/>
          <w:sz w:val="24"/>
        </w:rPr>
        <w:t>指标值设置可能存在问题</w:t>
      </w:r>
      <w:r>
        <w:rPr>
          <w:rFonts w:ascii="Arial Narrow" w:hAnsi="Arial Narrow" w:cs="Arial Narrow"/>
          <w:bCs/>
          <w:color w:val="000000" w:themeColor="text1"/>
          <w:sz w:val="24"/>
          <w14:textFill>
            <w14:solidFill>
              <w14:schemeClr w14:val="tx1"/>
            </w14:solidFill>
          </w14:textFill>
        </w:rPr>
        <w:t>。评价小组通过查看相关考察报告及工作报告了解到，武汉经济技术开发区(汉南区)建设局组织企业、集团赴各地智能家居产业园考察、调研。但全年实现调研考察次数为2次，低于年初设置指标值，导致原因可能是在年初设置时，未考虑突发情况，设置指标值偏高。</w:t>
      </w:r>
    </w:p>
    <w:p>
      <w:pPr>
        <w:spacing w:line="360" w:lineRule="auto"/>
        <w:ind w:firstLine="480" w:firstLineChars="200"/>
        <w:rPr>
          <w:rFonts w:ascii="Arial Narrow" w:hAnsi="Arial Narrow" w:cs="Arial Narrow"/>
          <w:bCs/>
          <w:color w:val="000000" w:themeColor="text1"/>
          <w:sz w:val="24"/>
          <w14:textFill>
            <w14:solidFill>
              <w14:schemeClr w14:val="tx1"/>
            </w14:solidFill>
          </w14:textFill>
        </w:rPr>
      </w:pPr>
      <w:r>
        <w:rPr>
          <w:rFonts w:ascii="Arial Narrow" w:hAnsi="Arial Narrow" w:cs="Arial Narrow"/>
          <w:bCs/>
          <w:color w:val="000000" w:themeColor="text1"/>
          <w:sz w:val="24"/>
          <w14:textFill>
            <w14:solidFill>
              <w14:schemeClr w14:val="tx1"/>
            </w14:solidFill>
          </w14:textFill>
        </w:rPr>
        <w:t>（2）资料留底工作不足。项目实施单位全年组织开展多次赴智能家居产业园考察调研工作，组织召开专家调研会，编制、并确定相关工作制度、规划，项目完成情况良好，但是评价小组在开展绩效评价工作中，获取到的相关记录、留痕资料较少，项目实施单位并未进行留底工作，不能有效地反映工作的真实性，也不利于后期工作的开展。</w:t>
      </w:r>
    </w:p>
    <w:p>
      <w:pPr>
        <w:snapToGrid w:val="0"/>
        <w:spacing w:line="360" w:lineRule="auto"/>
        <w:ind w:left="600" w:leftChars="200"/>
        <w:outlineLvl w:val="2"/>
        <w:rPr>
          <w:rFonts w:ascii="Arial Narrow" w:hAnsi="Arial Narrow" w:cs="Arial Narrow"/>
          <w:bCs/>
          <w:color w:val="000000" w:themeColor="text1"/>
          <w:sz w:val="24"/>
          <w14:textFill>
            <w14:solidFill>
              <w14:schemeClr w14:val="tx1"/>
            </w14:solidFill>
          </w14:textFill>
        </w:rPr>
      </w:pPr>
      <w:r>
        <w:rPr>
          <w:rFonts w:ascii="Arial Narrow" w:hAnsi="Arial Narrow" w:cs="Arial Narrow"/>
          <w:bCs/>
          <w:color w:val="000000" w:themeColor="text1"/>
          <w:sz w:val="24"/>
          <w14:textFill>
            <w14:solidFill>
              <w14:schemeClr w14:val="tx1"/>
            </w14:solidFill>
          </w14:textFill>
        </w:rPr>
        <w:t>3、建议</w:t>
      </w:r>
      <w:bookmarkEnd w:id="103"/>
      <w:bookmarkEnd w:id="104"/>
    </w:p>
    <w:p>
      <w:pPr>
        <w:spacing w:line="360" w:lineRule="auto"/>
        <w:ind w:firstLine="480" w:firstLineChars="200"/>
        <w:outlineLvl w:val="1"/>
        <w:rPr>
          <w:rFonts w:ascii="Arial Narrow" w:hAnsi="Arial Narrow" w:cs="Arial Narrow"/>
          <w:bCs/>
          <w:color w:val="000000" w:themeColor="text1"/>
          <w:sz w:val="24"/>
          <w14:textFill>
            <w14:solidFill>
              <w14:schemeClr w14:val="tx1"/>
            </w14:solidFill>
          </w14:textFill>
        </w:rPr>
      </w:pPr>
      <w:bookmarkStart w:id="105" w:name="_Toc19842"/>
      <w:bookmarkStart w:id="106" w:name="_Toc5090"/>
      <w:r>
        <w:rPr>
          <w:rFonts w:ascii="Arial Narrow" w:hAnsi="Arial Narrow" w:cs="Arial Narrow"/>
          <w:kern w:val="0"/>
          <w:sz w:val="24"/>
          <w:lang w:bidi="ar"/>
        </w:rPr>
        <w:t>（1）合理编制整体目标，设置合适绩效指标值，健全绩效指标体系。项目单位在年初应考虑多方因素，编制整体绩效目标，充分把握全局的工作计划</w:t>
      </w:r>
      <w:bookmarkStart w:id="107" w:name="_GoBack"/>
      <w:bookmarkEnd w:id="107"/>
      <w:r>
        <w:rPr>
          <w:rFonts w:ascii="Arial Narrow" w:hAnsi="Arial Narrow" w:cs="Arial Narrow"/>
          <w:kern w:val="0"/>
          <w:sz w:val="24"/>
          <w:lang w:bidi="ar"/>
        </w:rPr>
        <w:t>以及各项工作内容，对全局工作进行整合，设计出合适完整的整体项目目标，为设计的指标选择合适的指标值，健全完善绩效指标体系。</w:t>
      </w:r>
    </w:p>
    <w:p>
      <w:pPr>
        <w:adjustRightInd w:val="0"/>
        <w:spacing w:before="50" w:after="50" w:line="360" w:lineRule="auto"/>
        <w:ind w:firstLine="480" w:firstLineChars="200"/>
        <w:rPr>
          <w:rFonts w:ascii="Arial Narrow" w:hAnsi="Arial Narrow" w:cs="Arial Narrow"/>
          <w:sz w:val="24"/>
          <w:szCs w:val="28"/>
        </w:rPr>
      </w:pPr>
      <w:r>
        <w:rPr>
          <w:rFonts w:ascii="Arial Narrow" w:hAnsi="Arial Narrow" w:cs="Arial Narrow"/>
          <w:sz w:val="24"/>
          <w:szCs w:val="28"/>
        </w:rPr>
        <w:t>（2）加强工作记录管理。项目实施单位可针对该项目工作内容，安排人员负责项目实施过程中工作留痕记录；针对具体的业务制定管理规定，并确保有相应的执行管理规定的记录，做到项目实施后能有效地进行监督管理、开展评价工作。</w:t>
      </w:r>
    </w:p>
    <w:p>
      <w:pPr>
        <w:snapToGrid w:val="0"/>
        <w:spacing w:line="360" w:lineRule="auto"/>
        <w:ind w:firstLine="482" w:firstLineChars="200"/>
        <w:jc w:val="left"/>
        <w:outlineLvl w:val="1"/>
        <w:rPr>
          <w:rFonts w:ascii="Arial Narrow" w:hAnsi="Arial Narrow" w:cs="Arial Narrow"/>
          <w:bCs/>
          <w:color w:val="FF0000"/>
          <w:sz w:val="24"/>
        </w:rPr>
      </w:pPr>
      <w:r>
        <w:rPr>
          <w:rFonts w:ascii="Arial Narrow" w:hAnsi="Arial Narrow" w:cs="Arial Narrow"/>
          <w:b/>
          <w:color w:val="000000" w:themeColor="text1"/>
          <w:sz w:val="24"/>
          <w14:textFill>
            <w14:solidFill>
              <w14:schemeClr w14:val="tx1"/>
            </w14:solidFill>
          </w14:textFill>
        </w:rPr>
        <w:t>（五）其他需说明的问题</w:t>
      </w:r>
    </w:p>
    <w:p>
      <w:pPr>
        <w:spacing w:line="360" w:lineRule="auto"/>
        <w:ind w:firstLine="482"/>
        <w:outlineLvl w:val="2"/>
        <w:rPr>
          <w:rFonts w:ascii="Arial Narrow" w:hAnsi="Arial Narrow" w:cs="Arial Narrow"/>
          <w:sz w:val="24"/>
        </w:rPr>
      </w:pPr>
      <w:r>
        <w:rPr>
          <w:rFonts w:ascii="Arial Narrow" w:hAnsi="Arial Narrow" w:cs="Arial Narrow"/>
          <w:sz w:val="24"/>
        </w:rPr>
        <w:t>1、关于评价责任的说明</w:t>
      </w:r>
    </w:p>
    <w:p>
      <w:pPr>
        <w:spacing w:line="360" w:lineRule="auto"/>
        <w:ind w:firstLine="482"/>
        <w:rPr>
          <w:rFonts w:ascii="Arial Narrow" w:hAnsi="Arial Narrow" w:cs="Arial Narrow"/>
          <w:sz w:val="24"/>
        </w:rPr>
      </w:pPr>
      <w:r>
        <w:rPr>
          <w:rFonts w:ascii="Arial Narrow" w:hAnsi="Arial Narrow" w:cs="Arial Narrow"/>
          <w:sz w:val="24"/>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pPr>
        <w:spacing w:line="360" w:lineRule="auto"/>
        <w:ind w:firstLine="482"/>
        <w:outlineLvl w:val="2"/>
        <w:rPr>
          <w:rFonts w:ascii="Arial Narrow" w:hAnsi="Arial Narrow" w:cs="Arial Narrow"/>
          <w:sz w:val="24"/>
        </w:rPr>
      </w:pPr>
      <w:r>
        <w:rPr>
          <w:rFonts w:ascii="Arial Narrow" w:hAnsi="Arial Narrow" w:cs="Arial Narrow"/>
          <w:sz w:val="24"/>
        </w:rPr>
        <w:t>2、关于本项目评价中局限性的说明</w:t>
      </w:r>
    </w:p>
    <w:p>
      <w:pPr>
        <w:snapToGrid w:val="0"/>
        <w:spacing w:line="360" w:lineRule="auto"/>
        <w:ind w:firstLine="480" w:firstLineChars="200"/>
        <w:rPr>
          <w:rFonts w:ascii="Arial Narrow" w:hAnsi="Arial Narrow" w:cs="Arial Narrow"/>
          <w:bCs/>
          <w:color w:val="000000" w:themeColor="text1"/>
          <w:sz w:val="24"/>
          <w14:textFill>
            <w14:solidFill>
              <w14:schemeClr w14:val="tx1"/>
            </w14:solidFill>
          </w14:textFill>
        </w:rPr>
      </w:pPr>
      <w:r>
        <w:rPr>
          <w:rFonts w:ascii="Arial Narrow" w:hAnsi="Arial Narrow" w:cs="Arial Narrow"/>
          <w:bCs/>
          <w:color w:val="000000" w:themeColor="text1"/>
          <w:sz w:val="24"/>
          <w14:textFill>
            <w14:solidFill>
              <w14:schemeClr w14:val="tx1"/>
            </w14:solidFill>
          </w14:textFill>
        </w:rPr>
        <w:t>（1）评价结论是致同会计师事务所（特殊普通合伙）武汉分所出具的，受具体参加本次项目的评价人员的水平和能力的限制。鉴于这种评价工作存在资料的有限性和调查、分析、判断的局限性，因此，评价结论无法考虑影响资金使用的所有因素，评价结论存在一定的局限性。</w:t>
      </w:r>
    </w:p>
    <w:p>
      <w:pPr>
        <w:snapToGrid w:val="0"/>
        <w:spacing w:line="360" w:lineRule="auto"/>
        <w:ind w:firstLine="480" w:firstLineChars="200"/>
        <w:rPr>
          <w:rFonts w:ascii="Arial Narrow" w:hAnsi="Arial Narrow" w:cs="Arial Narrow"/>
          <w:bCs/>
          <w:color w:val="000000" w:themeColor="text1"/>
          <w:sz w:val="24"/>
          <w14:textFill>
            <w14:solidFill>
              <w14:schemeClr w14:val="tx1"/>
            </w14:solidFill>
          </w14:textFill>
        </w:rPr>
      </w:pPr>
      <w:r>
        <w:rPr>
          <w:rFonts w:ascii="Arial Narrow" w:hAnsi="Arial Narrow" w:cs="Arial Narrow"/>
          <w:bCs/>
          <w:color w:val="000000" w:themeColor="text1"/>
          <w:sz w:val="24"/>
          <w14:textFill>
            <w14:solidFill>
              <w14:schemeClr w14:val="tx1"/>
            </w14:solidFill>
          </w14:textFill>
        </w:rPr>
        <w:t>（2）本项目是专项资金使用项目，受具体参加本次项目的评价人员的专业能力的影响，对专业指标设定和问题、建议提出的全面性可能存在一定的局限性。</w:t>
      </w:r>
    </w:p>
    <w:p>
      <w:pPr>
        <w:snapToGrid w:val="0"/>
        <w:spacing w:line="360" w:lineRule="auto"/>
        <w:ind w:firstLine="480" w:firstLineChars="200"/>
        <w:rPr>
          <w:rFonts w:ascii="Arial Narrow" w:hAnsi="Arial Narrow" w:cs="Arial Narrow"/>
          <w:bCs/>
          <w:sz w:val="24"/>
        </w:rPr>
      </w:pPr>
      <w:r>
        <w:rPr>
          <w:rFonts w:ascii="Arial Narrow" w:hAnsi="Arial Narrow" w:cs="Arial Narrow"/>
          <w:bCs/>
          <w:sz w:val="24"/>
        </w:rPr>
        <w:t>（3）对于绩效评价框架中的部分定性指标，如管线数据信息应用度、信息互通共享能力提升、降低经济损失、无法根据量化的数据评价并得出分数，评议结果主要依据评价人员的职业判断。</w:t>
      </w:r>
    </w:p>
    <w:p>
      <w:pPr>
        <w:snapToGrid w:val="0"/>
        <w:spacing w:line="360" w:lineRule="auto"/>
        <w:ind w:firstLine="480" w:firstLineChars="200"/>
        <w:rPr>
          <w:rFonts w:ascii="Arial Narrow" w:hAnsi="Arial Narrow" w:cs="Arial Narrow"/>
          <w:sz w:val="24"/>
        </w:rPr>
      </w:pPr>
      <w:r>
        <w:rPr>
          <w:rFonts w:ascii="Arial Narrow" w:hAnsi="Arial Narrow" w:cs="Arial Narrow"/>
          <w:bCs/>
          <w:sz w:val="24"/>
        </w:rPr>
        <w:t>（4）服务对象满意度由于我们无法获取享受这个项目成果的服务对象具体信息，导致问卷调查工作无法开展，因此我们按照其他绩效指标的评分结果与相应指标的满分的比值来估计该项指标评分，</w:t>
      </w:r>
      <w:r>
        <w:rPr>
          <w:rFonts w:ascii="Arial Narrow" w:hAnsi="Arial Narrow" w:cs="Arial Narrow"/>
          <w:sz w:val="24"/>
        </w:rPr>
        <w:t>不会导致评价分数及评价等级与实际情况偏离太大，但是依然会对评价结果产生一定的影响。</w:t>
      </w:r>
    </w:p>
    <w:p>
      <w:pPr>
        <w:snapToGrid w:val="0"/>
        <w:spacing w:line="360" w:lineRule="auto"/>
        <w:ind w:firstLine="480" w:firstLineChars="200"/>
        <w:rPr>
          <w:rFonts w:ascii="Arial Narrow" w:hAnsi="Arial Narrow" w:cs="Arial Narrow"/>
          <w:sz w:val="24"/>
        </w:rPr>
      </w:pPr>
    </w:p>
    <w:p>
      <w:pPr>
        <w:snapToGrid w:val="0"/>
        <w:spacing w:line="360" w:lineRule="auto"/>
        <w:ind w:firstLine="480" w:firstLineChars="200"/>
        <w:rPr>
          <w:rFonts w:ascii="Arial Narrow" w:hAnsi="Arial Narrow" w:cs="Arial Narrow"/>
          <w:sz w:val="24"/>
        </w:rPr>
      </w:pPr>
    </w:p>
    <w:p>
      <w:pPr>
        <w:snapToGrid w:val="0"/>
        <w:spacing w:line="360" w:lineRule="auto"/>
        <w:ind w:firstLine="480" w:firstLineChars="200"/>
        <w:rPr>
          <w:rFonts w:ascii="Arial Narrow" w:hAnsi="Arial Narrow" w:cs="Arial Narrow"/>
          <w:sz w:val="24"/>
        </w:rPr>
      </w:pPr>
    </w:p>
    <w:p>
      <w:pPr>
        <w:snapToGrid w:val="0"/>
        <w:spacing w:line="360" w:lineRule="auto"/>
        <w:ind w:firstLine="480" w:firstLineChars="200"/>
        <w:rPr>
          <w:rFonts w:ascii="Arial Narrow" w:hAnsi="Arial Narrow" w:cs="Arial Narrow"/>
          <w:sz w:val="24"/>
        </w:rPr>
      </w:pPr>
    </w:p>
    <w:p>
      <w:pPr>
        <w:snapToGrid w:val="0"/>
        <w:spacing w:line="360" w:lineRule="auto"/>
        <w:ind w:firstLine="480" w:firstLineChars="200"/>
        <w:rPr>
          <w:rFonts w:ascii="Arial Narrow" w:hAnsi="Arial Narrow" w:cs="Arial Narrow"/>
          <w:sz w:val="24"/>
        </w:rPr>
      </w:pPr>
    </w:p>
    <w:p>
      <w:pPr>
        <w:snapToGrid w:val="0"/>
        <w:spacing w:line="360" w:lineRule="auto"/>
        <w:ind w:firstLine="482" w:firstLineChars="200"/>
        <w:outlineLvl w:val="1"/>
        <w:rPr>
          <w:rFonts w:ascii="Arial Narrow" w:hAnsi="Arial Narrow" w:cs="Arial Narrow"/>
          <w:b/>
          <w:color w:val="000000" w:themeColor="text1"/>
          <w:sz w:val="24"/>
          <w14:textFill>
            <w14:solidFill>
              <w14:schemeClr w14:val="tx1"/>
            </w14:solidFill>
          </w14:textFill>
        </w:rPr>
      </w:pPr>
      <w:r>
        <w:rPr>
          <w:rFonts w:ascii="Arial Narrow" w:hAnsi="Arial Narrow" w:cs="Arial Narrow"/>
          <w:b/>
          <w:color w:val="000000" w:themeColor="text1"/>
          <w:sz w:val="24"/>
          <w14:textFill>
            <w14:solidFill>
              <w14:schemeClr w14:val="tx1"/>
            </w14:solidFill>
          </w14:textFill>
        </w:rPr>
        <w:t>附件：</w:t>
      </w:r>
    </w:p>
    <w:p>
      <w:pPr>
        <w:adjustRightInd w:val="0"/>
        <w:snapToGrid w:val="0"/>
        <w:spacing w:line="360" w:lineRule="auto"/>
        <w:ind w:firstLine="480" w:firstLineChars="200"/>
        <w:rPr>
          <w:rFonts w:ascii="Arial Narrow" w:hAnsi="Arial Narrow" w:cs="Arial Narrow"/>
          <w:bCs/>
          <w:color w:val="000000" w:themeColor="text1"/>
          <w:sz w:val="24"/>
          <w14:textFill>
            <w14:solidFill>
              <w14:schemeClr w14:val="tx1"/>
            </w14:solidFill>
          </w14:textFill>
        </w:rPr>
      </w:pPr>
      <w:r>
        <w:rPr>
          <w:rFonts w:ascii="Arial Narrow" w:hAnsi="Arial Narrow" w:cs="Arial Narrow"/>
          <w:bCs/>
          <w:color w:val="000000" w:themeColor="text1"/>
          <w:sz w:val="24"/>
          <w14:textFill>
            <w14:solidFill>
              <w14:schemeClr w14:val="tx1"/>
            </w14:solidFill>
          </w14:textFill>
        </w:rPr>
        <w:t>附件1：项目绩效评价评分表及说明</w:t>
      </w:r>
    </w:p>
    <w:p>
      <w:pPr>
        <w:adjustRightInd w:val="0"/>
        <w:snapToGrid w:val="0"/>
        <w:spacing w:line="360" w:lineRule="auto"/>
        <w:ind w:firstLine="480" w:firstLineChars="200"/>
        <w:rPr>
          <w:rFonts w:ascii="Arial Narrow" w:hAnsi="Arial Narrow" w:cs="Arial Narrow"/>
          <w:bCs/>
          <w:color w:val="000000" w:themeColor="text1"/>
          <w:sz w:val="24"/>
          <w14:textFill>
            <w14:solidFill>
              <w14:schemeClr w14:val="tx1"/>
            </w14:solidFill>
          </w14:textFill>
        </w:rPr>
      </w:pPr>
      <w:r>
        <w:rPr>
          <w:rFonts w:ascii="Arial Narrow" w:hAnsi="Arial Narrow" w:cs="Arial Narrow"/>
          <w:bCs/>
          <w:color w:val="000000" w:themeColor="text1"/>
          <w:sz w:val="24"/>
          <w14:textFill>
            <w14:solidFill>
              <w14:schemeClr w14:val="tx1"/>
            </w14:solidFill>
          </w14:textFill>
        </w:rPr>
        <w:t>附件2：绩效目标完成情况对比表</w:t>
      </w:r>
    </w:p>
    <w:p>
      <w:pPr>
        <w:adjustRightInd w:val="0"/>
        <w:snapToGrid w:val="0"/>
        <w:spacing w:line="360" w:lineRule="auto"/>
        <w:ind w:firstLine="480" w:firstLineChars="200"/>
        <w:rPr>
          <w:rFonts w:ascii="Arial Narrow" w:hAnsi="Arial Narrow" w:cs="Arial Narrow"/>
          <w:bCs/>
          <w:color w:val="000000" w:themeColor="text1"/>
          <w:sz w:val="24"/>
          <w14:textFill>
            <w14:solidFill>
              <w14:schemeClr w14:val="tx1"/>
            </w14:solidFill>
          </w14:textFill>
        </w:rPr>
      </w:pPr>
      <w:r>
        <w:rPr>
          <w:rFonts w:ascii="Arial Narrow" w:hAnsi="Arial Narrow" w:cs="Arial Narrow"/>
          <w:bCs/>
          <w:color w:val="000000" w:themeColor="text1"/>
          <w:sz w:val="24"/>
          <w14:textFill>
            <w14:solidFill>
              <w14:schemeClr w14:val="tx1"/>
            </w14:solidFill>
          </w14:textFill>
        </w:rPr>
        <w:t>附件3：基础数据表</w:t>
      </w:r>
    </w:p>
    <w:p>
      <w:pPr>
        <w:adjustRightInd w:val="0"/>
        <w:snapToGrid w:val="0"/>
        <w:spacing w:line="360" w:lineRule="auto"/>
        <w:ind w:firstLine="480" w:firstLineChars="200"/>
        <w:rPr>
          <w:rFonts w:ascii="Arial Narrow" w:hAnsi="Arial Narrow" w:cs="Arial Narrow"/>
          <w:bCs/>
          <w:color w:val="000000" w:themeColor="text1"/>
          <w:sz w:val="24"/>
          <w14:textFill>
            <w14:solidFill>
              <w14:schemeClr w14:val="tx1"/>
            </w14:solidFill>
          </w14:textFill>
        </w:rPr>
      </w:pPr>
      <w:r>
        <w:rPr>
          <w:rFonts w:ascii="Arial Narrow" w:hAnsi="Arial Narrow" w:cs="Arial Narrow"/>
          <w:bCs/>
          <w:color w:val="000000" w:themeColor="text1"/>
          <w:sz w:val="24"/>
          <w14:textFill>
            <w14:solidFill>
              <w14:schemeClr w14:val="tx1"/>
            </w14:solidFill>
          </w14:textFill>
        </w:rPr>
        <w:t>附件4：访谈记录</w:t>
      </w:r>
    </w:p>
    <w:p>
      <w:pPr>
        <w:adjustRightInd w:val="0"/>
        <w:snapToGrid w:val="0"/>
        <w:spacing w:line="360" w:lineRule="auto"/>
        <w:ind w:firstLine="480" w:firstLineChars="200"/>
        <w:rPr>
          <w:rFonts w:ascii="Arial Narrow" w:hAnsi="Arial Narrow" w:cs="Arial Narrow"/>
          <w:bCs/>
          <w:color w:val="000000" w:themeColor="text1"/>
          <w:sz w:val="24"/>
          <w14:textFill>
            <w14:solidFill>
              <w14:schemeClr w14:val="tx1"/>
            </w14:solidFill>
          </w14:textFill>
        </w:rPr>
      </w:pPr>
      <w:r>
        <w:rPr>
          <w:rFonts w:ascii="Arial Narrow" w:hAnsi="Arial Narrow" w:cs="Arial Narrow"/>
          <w:bCs/>
          <w:color w:val="000000" w:themeColor="text1"/>
          <w:sz w:val="24"/>
          <w14:textFill>
            <w14:solidFill>
              <w14:schemeClr w14:val="tx1"/>
            </w14:solidFill>
          </w14:textFill>
        </w:rPr>
        <w:t>附件5：调查问卷</w:t>
      </w:r>
    </w:p>
    <w:p>
      <w:pPr>
        <w:adjustRightInd w:val="0"/>
        <w:snapToGrid w:val="0"/>
        <w:spacing w:line="360" w:lineRule="auto"/>
        <w:ind w:firstLine="480" w:firstLineChars="200"/>
        <w:rPr>
          <w:rFonts w:ascii="Arial Narrow" w:hAnsi="Arial Narrow" w:cs="Arial Narrow"/>
          <w:bCs/>
          <w:color w:val="000000" w:themeColor="text1"/>
          <w:sz w:val="24"/>
          <w14:textFill>
            <w14:solidFill>
              <w14:schemeClr w14:val="tx1"/>
            </w14:solidFill>
          </w14:textFill>
        </w:rPr>
      </w:pPr>
      <w:r>
        <w:rPr>
          <w:rFonts w:ascii="Arial Narrow" w:hAnsi="Arial Narrow" w:cs="Arial Narrow"/>
          <w:bCs/>
          <w:color w:val="000000" w:themeColor="text1"/>
          <w:sz w:val="24"/>
          <w14:textFill>
            <w14:solidFill>
              <w14:schemeClr w14:val="tx1"/>
            </w14:solidFill>
          </w14:textFill>
        </w:rPr>
        <w:t>附件6：调查问卷分析</w:t>
      </w:r>
    </w:p>
    <w:p>
      <w:pPr>
        <w:adjustRightInd w:val="0"/>
        <w:snapToGrid w:val="0"/>
        <w:spacing w:line="360" w:lineRule="auto"/>
        <w:ind w:firstLine="480" w:firstLineChars="200"/>
        <w:rPr>
          <w:rFonts w:ascii="Arial Narrow" w:hAnsi="Arial Narrow" w:cs="Arial Narrow"/>
          <w:bCs/>
          <w:color w:val="000000" w:themeColor="text1"/>
          <w:sz w:val="24"/>
          <w14:textFill>
            <w14:solidFill>
              <w14:schemeClr w14:val="tx1"/>
            </w14:solidFill>
          </w14:textFill>
        </w:rPr>
      </w:pPr>
      <w:r>
        <w:rPr>
          <w:rFonts w:ascii="Arial Narrow" w:hAnsi="Arial Narrow" w:cs="Arial Narrow"/>
          <w:bCs/>
          <w:color w:val="000000" w:themeColor="text1"/>
          <w:sz w:val="24"/>
          <w14:textFill>
            <w14:solidFill>
              <w14:schemeClr w14:val="tx1"/>
            </w14:solidFill>
          </w14:textFill>
        </w:rPr>
        <w:t>附件7：评价依据目录</w:t>
      </w:r>
    </w:p>
    <w:p>
      <w:pPr>
        <w:adjustRightInd w:val="0"/>
        <w:snapToGrid w:val="0"/>
        <w:spacing w:line="360" w:lineRule="auto"/>
        <w:ind w:firstLine="480" w:firstLineChars="200"/>
        <w:rPr>
          <w:rFonts w:ascii="Arial Narrow" w:hAnsi="Arial Narrow" w:cs="Arial Narrow"/>
          <w:bCs/>
          <w:color w:val="000000" w:themeColor="text1"/>
          <w:sz w:val="24"/>
          <w14:textFill>
            <w14:solidFill>
              <w14:schemeClr w14:val="tx1"/>
            </w14:solidFill>
          </w14:textFill>
        </w:rPr>
      </w:pPr>
      <w:r>
        <w:rPr>
          <w:rFonts w:ascii="Arial Narrow" w:hAnsi="Arial Narrow" w:cs="Arial Narrow"/>
          <w:bCs/>
          <w:color w:val="000000" w:themeColor="text1"/>
          <w:sz w:val="24"/>
          <w14:textFill>
            <w14:solidFill>
              <w14:schemeClr w14:val="tx1"/>
            </w14:solidFill>
          </w14:textFill>
        </w:rPr>
        <w:t>附件8：评价现场照片</w:t>
      </w:r>
    </w:p>
    <w:p>
      <w:pPr>
        <w:adjustRightInd w:val="0"/>
        <w:snapToGrid w:val="0"/>
        <w:spacing w:line="360" w:lineRule="auto"/>
        <w:ind w:firstLine="480" w:firstLineChars="200"/>
        <w:rPr>
          <w:rFonts w:ascii="Arial Narrow" w:hAnsi="Arial Narrow" w:cs="Arial Narrow"/>
          <w:bCs/>
          <w:color w:val="000000" w:themeColor="text1"/>
          <w:sz w:val="24"/>
          <w14:textFill>
            <w14:solidFill>
              <w14:schemeClr w14:val="tx1"/>
            </w14:solidFill>
          </w14:textFill>
        </w:rPr>
      </w:pPr>
      <w:r>
        <w:rPr>
          <w:rFonts w:ascii="Arial Narrow" w:hAnsi="Arial Narrow" w:cs="Arial Narrow"/>
          <w:bCs/>
          <w:color w:val="000000" w:themeColor="text1"/>
          <w:sz w:val="24"/>
          <w14:textFill>
            <w14:solidFill>
              <w14:schemeClr w14:val="tx1"/>
            </w14:solidFill>
          </w14:textFill>
        </w:rPr>
        <w:t>附件9：绩效评价实施方案</w:t>
      </w:r>
    </w:p>
    <w:p>
      <w:pPr>
        <w:spacing w:line="360" w:lineRule="auto"/>
        <w:ind w:firstLine="480" w:firstLineChars="200"/>
        <w:rPr>
          <w:rFonts w:ascii="Arial Narrow" w:hAnsi="Arial Narrow" w:cs="Arial Narrow"/>
          <w:sz w:val="24"/>
        </w:rPr>
      </w:pPr>
      <w:r>
        <w:rPr>
          <w:rFonts w:ascii="Arial Narrow" w:hAnsi="Arial Narrow" w:cs="Arial Narrow"/>
          <w:sz w:val="24"/>
        </w:rPr>
        <w:t>附件10：评价机构营业执照（复印件）</w:t>
      </w:r>
    </w:p>
    <w:p>
      <w:pPr>
        <w:spacing w:line="360" w:lineRule="auto"/>
        <w:ind w:firstLine="480" w:firstLineChars="200"/>
        <w:rPr>
          <w:rFonts w:ascii="Arial Narrow" w:hAnsi="Arial Narrow" w:cs="Arial Narrow"/>
          <w:sz w:val="24"/>
        </w:rPr>
      </w:pPr>
      <w:r>
        <w:rPr>
          <w:rFonts w:ascii="Arial Narrow" w:hAnsi="Arial Narrow" w:cs="Arial Narrow"/>
          <w:sz w:val="24"/>
        </w:rPr>
        <w:t>附件11：相关评价人员职业证明文件（复印件）</w:t>
      </w:r>
    </w:p>
    <w:p>
      <w:pPr>
        <w:adjustRightInd w:val="0"/>
        <w:snapToGrid w:val="0"/>
        <w:spacing w:line="360" w:lineRule="auto"/>
        <w:rPr>
          <w:rFonts w:ascii="Arial Narrow" w:hAnsi="Arial Narrow" w:cs="Arial Narrow"/>
          <w:bCs/>
          <w:color w:val="000000" w:themeColor="text1"/>
          <w:sz w:val="24"/>
          <w14:textFill>
            <w14:solidFill>
              <w14:schemeClr w14:val="tx1"/>
            </w14:solidFill>
          </w14:textFill>
        </w:rPr>
      </w:pPr>
    </w:p>
    <w:p>
      <w:pPr>
        <w:adjustRightInd w:val="0"/>
        <w:snapToGrid w:val="0"/>
        <w:rPr>
          <w:rFonts w:ascii="Arial Narrow" w:hAnsi="Arial Narrow" w:cs="Arial Narrow"/>
          <w:b/>
          <w:color w:val="000000" w:themeColor="text1"/>
          <w:sz w:val="24"/>
          <w14:textFill>
            <w14:solidFill>
              <w14:schemeClr w14:val="tx1"/>
            </w14:solidFill>
          </w14:textFill>
        </w:rPr>
      </w:pPr>
    </w:p>
    <w:p>
      <w:pPr>
        <w:ind w:firstLine="480" w:firstLineChars="200"/>
        <w:outlineLvl w:val="0"/>
        <w:rPr>
          <w:rFonts w:ascii="Arial Narrow" w:hAnsi="Arial Narrow" w:cs="Arial Narrow"/>
          <w:color w:val="000000" w:themeColor="text1"/>
          <w:sz w:val="24"/>
          <w14:textFill>
            <w14:solidFill>
              <w14:schemeClr w14:val="tx1"/>
            </w14:solidFill>
          </w14:textFill>
        </w:rPr>
      </w:pPr>
    </w:p>
    <w:p>
      <w:pPr>
        <w:ind w:firstLine="480" w:firstLineChars="200"/>
        <w:outlineLvl w:val="0"/>
        <w:rPr>
          <w:rFonts w:ascii="Arial Narrow" w:hAnsi="Arial Narrow" w:cs="Arial Narrow"/>
          <w:color w:val="000000" w:themeColor="text1"/>
          <w:sz w:val="24"/>
          <w14:textFill>
            <w14:solidFill>
              <w14:schemeClr w14:val="tx1"/>
            </w14:solidFill>
          </w14:textFill>
        </w:rPr>
      </w:pPr>
    </w:p>
    <w:p>
      <w:pPr>
        <w:wordWrap w:val="0"/>
        <w:spacing w:line="360" w:lineRule="auto"/>
        <w:jc w:val="right"/>
        <w:rPr>
          <w:rFonts w:ascii="Arial Narrow" w:hAnsi="Arial Narrow" w:cs="Arial Narrow"/>
          <w:color w:val="000000" w:themeColor="text1"/>
          <w:sz w:val="24"/>
          <w14:textFill>
            <w14:solidFill>
              <w14:schemeClr w14:val="tx1"/>
            </w14:solidFill>
          </w14:textFill>
        </w:rPr>
      </w:pPr>
      <w:r>
        <w:rPr>
          <w:rFonts w:ascii="Arial Narrow" w:hAnsi="Arial Narrow" w:cs="Arial Narrow"/>
          <w:color w:val="000000" w:themeColor="text1"/>
          <w:sz w:val="24"/>
          <w14:textFill>
            <w14:solidFill>
              <w14:schemeClr w14:val="tx1"/>
            </w14:solidFill>
          </w14:textFill>
        </w:rPr>
        <w:t>致同会计师事务所（特殊普通合伙）</w:t>
      </w:r>
    </w:p>
    <w:p>
      <w:pPr>
        <w:wordWrap w:val="0"/>
        <w:spacing w:line="360" w:lineRule="auto"/>
        <w:jc w:val="right"/>
        <w:rPr>
          <w:rFonts w:ascii="Arial Narrow" w:hAnsi="Arial Narrow" w:cs="Arial Narrow"/>
          <w:color w:val="000000" w:themeColor="text1"/>
          <w:sz w:val="24"/>
          <w14:textFill>
            <w14:solidFill>
              <w14:schemeClr w14:val="tx1"/>
            </w14:solidFill>
          </w14:textFill>
        </w:rPr>
      </w:pPr>
      <w:r>
        <w:rPr>
          <w:rFonts w:ascii="Arial Narrow" w:hAnsi="Arial Narrow" w:cs="Arial Narrow"/>
          <w:color w:val="000000" w:themeColor="text1"/>
          <w:sz w:val="24"/>
          <w14:textFill>
            <w14:solidFill>
              <w14:schemeClr w14:val="tx1"/>
            </w14:solidFill>
          </w14:textFill>
        </w:rPr>
        <w:t>武汉分所</w:t>
      </w:r>
    </w:p>
    <w:p>
      <w:pPr>
        <w:wordWrap w:val="0"/>
        <w:spacing w:line="360" w:lineRule="auto"/>
        <w:jc w:val="right"/>
        <w:rPr>
          <w:rFonts w:ascii="Arial Narrow" w:hAnsi="Arial Narrow" w:cs="Arial Narrow"/>
        </w:rPr>
      </w:pPr>
      <w:r>
        <w:rPr>
          <w:rFonts w:ascii="Arial Narrow" w:hAnsi="Arial Narrow" w:cs="Arial Narrow"/>
          <w:color w:val="000000" w:themeColor="text1"/>
          <w:sz w:val="24"/>
          <w14:textFill>
            <w14:solidFill>
              <w14:schemeClr w14:val="tx1"/>
            </w14:solidFill>
          </w14:textFill>
        </w:rPr>
        <w:t>2019年7月26</w:t>
      </w:r>
      <w:bookmarkEnd w:id="105"/>
      <w:bookmarkEnd w:id="106"/>
      <w:r>
        <w:rPr>
          <w:rFonts w:ascii="Arial Narrow" w:hAnsi="Arial Narrow" w:cs="Arial Narrow"/>
          <w:color w:val="000000" w:themeColor="text1"/>
          <w:sz w:val="24"/>
          <w14:textFill>
            <w14:solidFill>
              <w14:schemeClr w14:val="tx1"/>
            </w14:solidFill>
          </w14:textFill>
        </w:rPr>
        <w:t>日</w:t>
      </w:r>
    </w:p>
    <w:p>
      <w:pPr>
        <w:jc w:val="left"/>
        <w:rPr>
          <w:rFonts w:ascii="Arial Narrow" w:hAnsi="Arial Narrow" w:cs="Arial Narrow"/>
        </w:rPr>
      </w:pPr>
    </w:p>
    <w:p>
      <w:pPr>
        <w:jc w:val="left"/>
        <w:rPr>
          <w:rFonts w:ascii="Arial Narrow" w:hAnsi="Arial Narrow" w:cs="Arial Narrow"/>
        </w:rPr>
      </w:pPr>
    </w:p>
    <w:p>
      <w:pPr>
        <w:jc w:val="left"/>
        <w:rPr>
          <w:rFonts w:ascii="Arial Narrow" w:hAnsi="Arial Narrow" w:cs="Arial Narrow"/>
        </w:rPr>
      </w:pPr>
    </w:p>
    <w:p>
      <w:pPr>
        <w:jc w:val="left"/>
        <w:rPr>
          <w:rFonts w:ascii="Arial Narrow" w:hAnsi="Arial Narrow" w:cs="Arial Narrow"/>
        </w:rPr>
      </w:pPr>
    </w:p>
    <w:p>
      <w:pPr>
        <w:jc w:val="left"/>
        <w:rPr>
          <w:rFonts w:ascii="Arial Narrow" w:hAnsi="Arial Narrow" w:cs="Arial Narrow"/>
        </w:rPr>
      </w:pPr>
    </w:p>
    <w:p>
      <w:pPr>
        <w:jc w:val="left"/>
        <w:rPr>
          <w:rFonts w:ascii="Arial Narrow" w:hAnsi="Arial Narrow" w:cs="Arial Narrow"/>
        </w:rPr>
      </w:pPr>
    </w:p>
    <w:p>
      <w:pPr>
        <w:jc w:val="left"/>
        <w:rPr>
          <w:rFonts w:ascii="Arial Narrow" w:hAnsi="Arial Narrow" w:cs="Arial Narrow"/>
        </w:rPr>
      </w:pPr>
    </w:p>
    <w:p>
      <w:pPr>
        <w:jc w:val="left"/>
        <w:rPr>
          <w:rFonts w:ascii="Arial Narrow" w:hAnsi="Arial Narrow" w:cs="Arial Narrow"/>
        </w:rPr>
      </w:pPr>
    </w:p>
    <w:p>
      <w:pPr>
        <w:jc w:val="left"/>
        <w:rPr>
          <w:rFonts w:ascii="Arial Narrow" w:hAnsi="Arial Narrow" w:cs="Arial Narrow"/>
        </w:rPr>
      </w:pPr>
    </w:p>
    <w:p>
      <w:pPr>
        <w:jc w:val="left"/>
        <w:rPr>
          <w:rFonts w:ascii="Arial Narrow" w:hAnsi="Arial Narrow" w:cs="Arial Narrow"/>
        </w:rPr>
      </w:pPr>
    </w:p>
    <w:p>
      <w:pPr>
        <w:jc w:val="left"/>
        <w:rPr>
          <w:rFonts w:ascii="Arial Narrow" w:hAnsi="Arial Narrow" w:cs="Arial Narrow"/>
        </w:rPr>
      </w:pPr>
    </w:p>
    <w:p>
      <w:pPr>
        <w:jc w:val="left"/>
        <w:rPr>
          <w:rFonts w:ascii="Arial Narrow" w:hAnsi="Arial Narrow" w:cs="Arial Narrow"/>
        </w:rPr>
      </w:pPr>
    </w:p>
    <w:p>
      <w:pPr>
        <w:jc w:val="left"/>
        <w:rPr>
          <w:rFonts w:ascii="Arial Narrow" w:hAnsi="Arial Narrow" w:cs="Arial Narrow"/>
        </w:rPr>
      </w:pPr>
    </w:p>
    <w:sectPr>
      <w:headerReference r:id="rId5" w:type="default"/>
      <w:footerReference r:id="rId6" w:type="default"/>
      <w:pgSz w:w="11906" w:h="16838"/>
      <w:pgMar w:top="2098" w:right="1531" w:bottom="1985"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1" w:csb1="00000000"/>
  </w:font>
  <w:font w:name="楷体_GB2312">
    <w:altName w:val="楷体"/>
    <w:panose1 w:val="02010609030101010101"/>
    <w:charset w:val="86"/>
    <w:family w:val="modern"/>
    <w:pitch w:val="default"/>
    <w:sig w:usb0="00000000" w:usb1="00000000" w:usb2="00000010" w:usb3="00000000" w:csb0="00040001" w:csb1="00000000"/>
  </w:font>
  <w:font w:name="Arial Narrow">
    <w:altName w:val="Arial"/>
    <w:panose1 w:val="020B0606020202030204"/>
    <w:charset w:val="00"/>
    <w:family w:val="swiss"/>
    <w:pitch w:val="default"/>
    <w:sig w:usb0="00000000" w:usb1="00000000" w:usb2="00000000" w:usb3="00000000" w:csb0="000000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HcD8IBAACNAwAADgAAAGRycy9lMm9Eb2MueG1srVPNjtMwEL4j8Q6W&#10;79TZHlA3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TUauAeH2kLBw6SejjlBTMZxSYTRtVF6Dx/eS9fAXbf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CJR3A/CAQAAjQMAAA4AAAAAAAAAAQAgAAAAHgEAAGRycy9lMm9Eb2MueG1sUEsF&#10;BgAAAAAGAAYAWQEAAFIFAAAAAA==&#10;">
              <v:fill on="f" focussize="0,0"/>
              <v:stroke on="f"/>
              <v:imagedata o:title=""/>
              <o:lock v:ext="edit" aspectratio="f"/>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eastAsia="仿宋_GB2312"/>
                            </w:rPr>
                          </w:pPr>
                          <w:r>
                            <w:rPr>
                              <w:rFonts w:hint="eastAsia"/>
                            </w:rPr>
                            <w:fldChar w:fldCharType="begin"/>
                          </w:r>
                          <w:r>
                            <w:rPr>
                              <w:rFonts w:hint="eastAsia"/>
                            </w:rPr>
                            <w:instrText xml:space="preserve"> PAGE  \* MERGEFORMAT </w:instrText>
                          </w:r>
                          <w:r>
                            <w:rPr>
                              <w:rFonts w:hint="eastAsia"/>
                            </w:rPr>
                            <w:fldChar w:fldCharType="separate"/>
                          </w:r>
                          <w:r>
                            <w:t>29</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pPr>
                      <w:pStyle w:val="6"/>
                      <w:rPr>
                        <w:rFonts w:eastAsia="仿宋_GB2312"/>
                      </w:rPr>
                    </w:pPr>
                    <w:r>
                      <w:rPr>
                        <w:rFonts w:hint="eastAsia"/>
                      </w:rPr>
                      <w:fldChar w:fldCharType="begin"/>
                    </w:r>
                    <w:r>
                      <w:rPr>
                        <w:rFonts w:hint="eastAsia"/>
                      </w:rPr>
                      <w:instrText xml:space="preserve"> PAGE  \* MERGEFORMAT </w:instrText>
                    </w:r>
                    <w:r>
                      <w:rPr>
                        <w:rFonts w:hint="eastAsia"/>
                      </w:rPr>
                      <w:fldChar w:fldCharType="separate"/>
                    </w:r>
                    <w:r>
                      <w:t>29</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pPr>
    <w:r>
      <mc:AlternateContent>
        <mc:Choice Requires="wps">
          <w:drawing>
            <wp:anchor distT="0" distB="0" distL="114300" distR="114300" simplePos="0" relativeHeight="251660288" behindDoc="0" locked="0" layoutInCell="1" allowOverlap="1">
              <wp:simplePos x="0" y="0"/>
              <wp:positionH relativeFrom="page">
                <wp:posOffset>4640580</wp:posOffset>
              </wp:positionH>
              <wp:positionV relativeFrom="page">
                <wp:posOffset>848995</wp:posOffset>
              </wp:positionV>
              <wp:extent cx="1906905" cy="945515"/>
              <wp:effectExtent l="0" t="0" r="0" b="0"/>
              <wp:wrapNone/>
              <wp:docPr id="14" name="矩形 14"/>
              <wp:cNvGraphicFramePr/>
              <a:graphic xmlns:a="http://schemas.openxmlformats.org/drawingml/2006/main">
                <a:graphicData uri="http://schemas.microsoft.com/office/word/2010/wordprocessingShape">
                  <wps:wsp>
                    <wps:cNvSpPr>
                      <a:spLocks noChangeArrowheads="1"/>
                    </wps:cNvSpPr>
                    <wps:spPr bwMode="auto">
                      <a:xfrm>
                        <a:off x="4605020" y="447040"/>
                        <a:ext cx="1906905" cy="945515"/>
                      </a:xfrm>
                      <a:prstGeom prst="rect">
                        <a:avLst/>
                      </a:prstGeom>
                      <a:noFill/>
                      <a:ln>
                        <a:noFill/>
                      </a:ln>
                      <a:effectLst/>
                    </wps:spPr>
                    <wps:txbx>
                      <w:txbxContent>
                        <w:p>
                          <w:pPr>
                            <w:ind w:firstLine="281"/>
                            <w:rPr>
                              <w:rFonts w:ascii="黑体" w:hAnsi="黑体" w:eastAsia="黑体"/>
                              <w:b/>
                              <w:sz w:val="14"/>
                              <w:szCs w:val="14"/>
                            </w:rPr>
                          </w:pPr>
                          <w:r>
                            <w:rPr>
                              <w:rFonts w:hint="eastAsia" w:ascii="黑体" w:hAnsi="黑体" w:eastAsia="黑体"/>
                              <w:b/>
                              <w:sz w:val="14"/>
                              <w:szCs w:val="14"/>
                            </w:rPr>
                            <w:t>致同会计师事务所（特殊普通合伙）</w:t>
                          </w:r>
                        </w:p>
                        <w:p>
                          <w:pPr>
                            <w:ind w:firstLine="281"/>
                            <w:rPr>
                              <w:rFonts w:ascii="黑体" w:hAnsi="黑体" w:eastAsia="黑体"/>
                              <w:b/>
                              <w:sz w:val="14"/>
                              <w:szCs w:val="14"/>
                            </w:rPr>
                          </w:pPr>
                          <w:r>
                            <w:rPr>
                              <w:rFonts w:hint="eastAsia" w:ascii="黑体" w:hAnsi="黑体" w:eastAsia="黑体"/>
                              <w:b/>
                              <w:sz w:val="14"/>
                              <w:szCs w:val="14"/>
                            </w:rPr>
                            <w:t>武汉分所</w:t>
                          </w:r>
                        </w:p>
                        <w:p>
                          <w:pPr>
                            <w:ind w:left="350" w:leftChars="115" w:hanging="5" w:hangingChars="4"/>
                            <w:rPr>
                              <w:rFonts w:ascii="黑体" w:hAnsi="黑体" w:eastAsia="黑体"/>
                              <w:sz w:val="14"/>
                              <w:szCs w:val="14"/>
                            </w:rPr>
                          </w:pPr>
                          <w:r>
                            <w:rPr>
                              <w:rFonts w:hint="eastAsia" w:ascii="黑体" w:hAnsi="黑体" w:eastAsia="黑体"/>
                              <w:sz w:val="14"/>
                              <w:szCs w:val="14"/>
                            </w:rPr>
                            <w:t>中国武汉武昌区中北路58号汉街总部国际E座29层邮编</w:t>
                          </w:r>
                          <w:r>
                            <w:rPr>
                              <w:rFonts w:ascii="黑体" w:hAnsi="黑体" w:eastAsia="黑体"/>
                              <w:sz w:val="14"/>
                              <w:szCs w:val="14"/>
                            </w:rPr>
                            <w:t>430071</w:t>
                          </w:r>
                        </w:p>
                        <w:p>
                          <w:pPr>
                            <w:ind w:firstLine="280"/>
                            <w:rPr>
                              <w:rFonts w:ascii="黑体" w:hAnsi="黑体" w:eastAsia="黑体"/>
                              <w:sz w:val="14"/>
                              <w:szCs w:val="14"/>
                            </w:rPr>
                          </w:pPr>
                          <w:r>
                            <w:rPr>
                              <w:rFonts w:hint="eastAsia" w:ascii="黑体" w:hAnsi="黑体" w:eastAsia="黑体"/>
                              <w:sz w:val="14"/>
                              <w:szCs w:val="14"/>
                            </w:rPr>
                            <w:t>电话</w:t>
                          </w:r>
                          <w:r>
                            <w:rPr>
                              <w:rFonts w:ascii="黑体" w:hAnsi="黑体" w:eastAsia="黑体"/>
                              <w:sz w:val="14"/>
                              <w:szCs w:val="14"/>
                            </w:rPr>
                            <w:t xml:space="preserve"> +86 27 87819677</w:t>
                          </w:r>
                        </w:p>
                        <w:p>
                          <w:pPr>
                            <w:ind w:firstLine="280"/>
                            <w:rPr>
                              <w:rFonts w:eastAsia="黑体"/>
                              <w:sz w:val="14"/>
                              <w:szCs w:val="14"/>
                            </w:rPr>
                          </w:pPr>
                          <w:r>
                            <w:rPr>
                              <w:rFonts w:hint="eastAsia" w:eastAsia="黑体"/>
                              <w:sz w:val="14"/>
                              <w:szCs w:val="14"/>
                            </w:rPr>
                            <w:t>传真</w:t>
                          </w:r>
                          <w:r>
                            <w:rPr>
                              <w:rFonts w:eastAsia="黑体"/>
                              <w:sz w:val="14"/>
                              <w:szCs w:val="14"/>
                            </w:rPr>
                            <w:t xml:space="preserve"> +86 27 87812377</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65.4pt;margin-top:66.85pt;height:74.45pt;width:150.15pt;mso-position-horizontal-relative:page;mso-position-vertical-relative:page;z-index:251660288;mso-width-relative:page;mso-height-relative:page;" filled="f" stroked="f" coordsize="21600,21600" o:gfxdata="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l51w2tsA&#10;AAAMAQAADwAAAAAAAAABACAAAAAiAAAAZHJzL2Rvd25yZXYueG1sUEsBAhQAFAAAAAgAh07iQJAj&#10;vNUcAgAAIwQAAA4AAAAAAAAAAQAgAAAAKgEAAGRycy9lMm9Eb2MueG1sUEsFBgAAAAAGAAYAWQEA&#10;ALgFAAAAAA==&#10;">
              <v:fill on="f" focussize="0,0"/>
              <v:stroke on="f"/>
              <v:imagedata o:title=""/>
              <o:lock v:ext="edit" aspectratio="f"/>
              <v:textbox>
                <w:txbxContent>
                  <w:p>
                    <w:pPr>
                      <w:ind w:firstLine="281"/>
                      <w:rPr>
                        <w:rFonts w:ascii="黑体" w:hAnsi="黑体" w:eastAsia="黑体"/>
                        <w:b/>
                        <w:sz w:val="14"/>
                        <w:szCs w:val="14"/>
                      </w:rPr>
                    </w:pPr>
                    <w:r>
                      <w:rPr>
                        <w:rFonts w:hint="eastAsia" w:ascii="黑体" w:hAnsi="黑体" w:eastAsia="黑体"/>
                        <w:b/>
                        <w:sz w:val="14"/>
                        <w:szCs w:val="14"/>
                      </w:rPr>
                      <w:t>致同会计师事务所（特殊普通合伙）</w:t>
                    </w:r>
                  </w:p>
                  <w:p>
                    <w:pPr>
                      <w:ind w:firstLine="281"/>
                      <w:rPr>
                        <w:rFonts w:ascii="黑体" w:hAnsi="黑体" w:eastAsia="黑体"/>
                        <w:b/>
                        <w:sz w:val="14"/>
                        <w:szCs w:val="14"/>
                      </w:rPr>
                    </w:pPr>
                    <w:r>
                      <w:rPr>
                        <w:rFonts w:hint="eastAsia" w:ascii="黑体" w:hAnsi="黑体" w:eastAsia="黑体"/>
                        <w:b/>
                        <w:sz w:val="14"/>
                        <w:szCs w:val="14"/>
                      </w:rPr>
                      <w:t>武汉分所</w:t>
                    </w:r>
                  </w:p>
                  <w:p>
                    <w:pPr>
                      <w:ind w:left="350" w:leftChars="115" w:hanging="5" w:hangingChars="4"/>
                      <w:rPr>
                        <w:rFonts w:ascii="黑体" w:hAnsi="黑体" w:eastAsia="黑体"/>
                        <w:sz w:val="14"/>
                        <w:szCs w:val="14"/>
                      </w:rPr>
                    </w:pPr>
                    <w:r>
                      <w:rPr>
                        <w:rFonts w:hint="eastAsia" w:ascii="黑体" w:hAnsi="黑体" w:eastAsia="黑体"/>
                        <w:sz w:val="14"/>
                        <w:szCs w:val="14"/>
                      </w:rPr>
                      <w:t>中国武汉武昌区中北路58号汉街总部国际E座29层邮编</w:t>
                    </w:r>
                    <w:r>
                      <w:rPr>
                        <w:rFonts w:ascii="黑体" w:hAnsi="黑体" w:eastAsia="黑体"/>
                        <w:sz w:val="14"/>
                        <w:szCs w:val="14"/>
                      </w:rPr>
                      <w:t>430071</w:t>
                    </w:r>
                  </w:p>
                  <w:p>
                    <w:pPr>
                      <w:ind w:firstLine="280"/>
                      <w:rPr>
                        <w:rFonts w:ascii="黑体" w:hAnsi="黑体" w:eastAsia="黑体"/>
                        <w:sz w:val="14"/>
                        <w:szCs w:val="14"/>
                      </w:rPr>
                    </w:pPr>
                    <w:r>
                      <w:rPr>
                        <w:rFonts w:hint="eastAsia" w:ascii="黑体" w:hAnsi="黑体" w:eastAsia="黑体"/>
                        <w:sz w:val="14"/>
                        <w:szCs w:val="14"/>
                      </w:rPr>
                      <w:t>电话</w:t>
                    </w:r>
                    <w:r>
                      <w:rPr>
                        <w:rFonts w:ascii="黑体" w:hAnsi="黑体" w:eastAsia="黑体"/>
                        <w:sz w:val="14"/>
                        <w:szCs w:val="14"/>
                      </w:rPr>
                      <w:t xml:space="preserve"> +86 27 87819677</w:t>
                    </w:r>
                  </w:p>
                  <w:p>
                    <w:pPr>
                      <w:ind w:firstLine="280"/>
                      <w:rPr>
                        <w:rFonts w:eastAsia="黑体"/>
                        <w:sz w:val="14"/>
                        <w:szCs w:val="14"/>
                      </w:rPr>
                    </w:pPr>
                    <w:r>
                      <w:rPr>
                        <w:rFonts w:hint="eastAsia" w:eastAsia="黑体"/>
                        <w:sz w:val="14"/>
                        <w:szCs w:val="14"/>
                      </w:rPr>
                      <w:t>传真</w:t>
                    </w:r>
                    <w:r>
                      <w:rPr>
                        <w:rFonts w:eastAsia="黑体"/>
                        <w:sz w:val="14"/>
                        <w:szCs w:val="14"/>
                      </w:rPr>
                      <w:t xml:space="preserve"> +86 27 87812377</w:t>
                    </w:r>
                  </w:p>
                </w:txbxContent>
              </v:textbox>
            </v:rect>
          </w:pict>
        </mc:Fallback>
      </mc:AlternateContent>
    </w:r>
    <w:r>
      <w:drawing>
        <wp:anchor distT="0" distB="0" distL="114300" distR="114300" simplePos="0" relativeHeight="251659264" behindDoc="0" locked="0" layoutInCell="1" allowOverlap="1">
          <wp:simplePos x="0" y="0"/>
          <wp:positionH relativeFrom="page">
            <wp:posOffset>1005840</wp:posOffset>
          </wp:positionH>
          <wp:positionV relativeFrom="page">
            <wp:posOffset>527685</wp:posOffset>
          </wp:positionV>
          <wp:extent cx="2203450" cy="636905"/>
          <wp:effectExtent l="0" t="0" r="6350" b="10795"/>
          <wp:wrapNone/>
          <wp:docPr id="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4"/>
                  <pic:cNvPicPr>
                    <a:picLocks noChangeAspect="1"/>
                  </pic:cNvPicPr>
                </pic:nvPicPr>
                <pic:blipFill>
                  <a:blip r:embed="rId1"/>
                  <a:stretch>
                    <a:fillRect/>
                  </a:stretch>
                </pic:blipFill>
                <pic:spPr>
                  <a:xfrm>
                    <a:off x="0" y="0"/>
                    <a:ext cx="2203450" cy="636905"/>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jc w:val="both"/>
    </w:pPr>
    <w:r>
      <mc:AlternateContent>
        <mc:Choice Requires="wps">
          <w:drawing>
            <wp:anchor distT="0" distB="0" distL="114300" distR="114300" simplePos="0" relativeHeight="251663360" behindDoc="0" locked="0" layoutInCell="1" allowOverlap="1">
              <wp:simplePos x="0" y="0"/>
              <wp:positionH relativeFrom="column">
                <wp:posOffset>3202940</wp:posOffset>
              </wp:positionH>
              <wp:positionV relativeFrom="paragraph">
                <wp:posOffset>-142875</wp:posOffset>
              </wp:positionV>
              <wp:extent cx="2279015" cy="1036320"/>
              <wp:effectExtent l="0" t="0" r="6985" b="0"/>
              <wp:wrapNone/>
              <wp:docPr id="10" name="文本框 10"/>
              <wp:cNvGraphicFramePr/>
              <a:graphic xmlns:a="http://schemas.openxmlformats.org/drawingml/2006/main">
                <a:graphicData uri="http://schemas.microsoft.com/office/word/2010/wordprocessingShape">
                  <wps:wsp>
                    <wps:cNvSpPr txBox="1"/>
                    <wps:spPr>
                      <a:xfrm>
                        <a:off x="4175125" y="397510"/>
                        <a:ext cx="2279015" cy="103632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ind w:firstLine="281"/>
                            <w:rPr>
                              <w:rFonts w:ascii="黑体" w:hAnsi="黑体" w:eastAsia="黑体"/>
                              <w:b/>
                              <w:sz w:val="14"/>
                              <w:szCs w:val="14"/>
                            </w:rPr>
                          </w:pPr>
                          <w:r>
                            <w:rPr>
                              <w:rFonts w:hint="eastAsia" w:ascii="黑体" w:hAnsi="黑体" w:eastAsia="黑体"/>
                              <w:b/>
                              <w:sz w:val="14"/>
                              <w:szCs w:val="14"/>
                            </w:rPr>
                            <w:t>致同会计师事务所（特殊普通合伙）</w:t>
                          </w:r>
                        </w:p>
                        <w:p>
                          <w:pPr>
                            <w:ind w:firstLine="281"/>
                            <w:rPr>
                              <w:rFonts w:ascii="黑体" w:hAnsi="黑体" w:eastAsia="黑体"/>
                              <w:b/>
                              <w:sz w:val="14"/>
                              <w:szCs w:val="14"/>
                            </w:rPr>
                          </w:pPr>
                          <w:r>
                            <w:rPr>
                              <w:rFonts w:hint="eastAsia" w:ascii="黑体" w:hAnsi="黑体" w:eastAsia="黑体"/>
                              <w:b/>
                              <w:sz w:val="14"/>
                              <w:szCs w:val="14"/>
                            </w:rPr>
                            <w:t>武汉分所</w:t>
                          </w:r>
                        </w:p>
                        <w:p>
                          <w:pPr>
                            <w:ind w:firstLine="280" w:firstLineChars="200"/>
                            <w:rPr>
                              <w:rFonts w:ascii="黑体" w:hAnsi="黑体" w:eastAsia="黑体"/>
                              <w:sz w:val="14"/>
                              <w:szCs w:val="14"/>
                            </w:rPr>
                          </w:pPr>
                          <w:r>
                            <w:rPr>
                              <w:rFonts w:hint="eastAsia" w:ascii="黑体" w:hAnsi="黑体" w:eastAsia="黑体"/>
                              <w:sz w:val="14"/>
                              <w:szCs w:val="14"/>
                            </w:rPr>
                            <w:t>中国武汉武昌区中北路58号汉街总部</w:t>
                          </w:r>
                        </w:p>
                        <w:p>
                          <w:pPr>
                            <w:ind w:firstLine="280" w:firstLineChars="200"/>
                            <w:rPr>
                              <w:rFonts w:ascii="黑体" w:hAnsi="黑体" w:eastAsia="黑体"/>
                              <w:sz w:val="14"/>
                              <w:szCs w:val="14"/>
                            </w:rPr>
                          </w:pPr>
                          <w:r>
                            <w:rPr>
                              <w:rFonts w:hint="eastAsia" w:ascii="黑体" w:hAnsi="黑体" w:eastAsia="黑体"/>
                              <w:sz w:val="14"/>
                              <w:szCs w:val="14"/>
                            </w:rPr>
                            <w:t>国际E座29层邮编</w:t>
                          </w:r>
                          <w:r>
                            <w:rPr>
                              <w:rFonts w:ascii="黑体" w:hAnsi="黑体" w:eastAsia="黑体"/>
                              <w:sz w:val="14"/>
                              <w:szCs w:val="14"/>
                            </w:rPr>
                            <w:t>430071</w:t>
                          </w:r>
                        </w:p>
                        <w:p>
                          <w:pPr>
                            <w:ind w:firstLine="280"/>
                            <w:rPr>
                              <w:rFonts w:ascii="黑体" w:hAnsi="黑体" w:eastAsia="黑体"/>
                              <w:sz w:val="14"/>
                              <w:szCs w:val="14"/>
                            </w:rPr>
                          </w:pPr>
                          <w:r>
                            <w:rPr>
                              <w:rFonts w:hint="eastAsia" w:ascii="黑体" w:hAnsi="黑体" w:eastAsia="黑体"/>
                              <w:sz w:val="14"/>
                              <w:szCs w:val="14"/>
                            </w:rPr>
                            <w:t>电话</w:t>
                          </w:r>
                          <w:r>
                            <w:rPr>
                              <w:rFonts w:ascii="黑体" w:hAnsi="黑体" w:eastAsia="黑体"/>
                              <w:sz w:val="14"/>
                              <w:szCs w:val="14"/>
                            </w:rPr>
                            <w:t xml:space="preserve"> +86 27 87819677</w:t>
                          </w:r>
                        </w:p>
                        <w:p>
                          <w:pPr>
                            <w:ind w:firstLine="280"/>
                            <w:rPr>
                              <w:rFonts w:eastAsia="黑体"/>
                              <w:sz w:val="14"/>
                              <w:szCs w:val="14"/>
                            </w:rPr>
                          </w:pPr>
                          <w:r>
                            <w:rPr>
                              <w:rFonts w:hint="eastAsia" w:eastAsia="黑体"/>
                              <w:sz w:val="14"/>
                              <w:szCs w:val="14"/>
                            </w:rPr>
                            <w:t>传真</w:t>
                          </w:r>
                          <w:r>
                            <w:rPr>
                              <w:rFonts w:eastAsia="黑体"/>
                              <w:sz w:val="14"/>
                              <w:szCs w:val="14"/>
                            </w:rPr>
                            <w:t xml:space="preserve"> +86 27 87812377</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2.2pt;margin-top:-11.25pt;height:81.6pt;width:179.45pt;z-index:251663360;mso-width-relative:page;mso-height-relative:page;" fillcolor="#FFFFFF [3201]" filled="t" stroked="f" coordsize="21600,21600" o:gfxdata="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NE4&#10;e6/XAAAACwEAAA8AAAAAAAAAAQAgAAAAIgAAAGRycy9kb3ducmV2LnhtbFBLAQIUABQAAAAIAIdO&#10;4kAsa13EXQIAAJ0EAAAOAAAAAAAAAAEAIAAAACYBAABkcnMvZTJvRG9jLnhtbFBLBQYAAAAABgAG&#10;AFkBAAD1BQAAAAA=&#10;">
              <v:fill on="t" focussize="0,0"/>
              <v:stroke on="f" weight="0.5pt"/>
              <v:imagedata o:title=""/>
              <o:lock v:ext="edit" aspectratio="f"/>
              <v:textbox>
                <w:txbxContent>
                  <w:p>
                    <w:pPr>
                      <w:ind w:firstLine="281"/>
                      <w:rPr>
                        <w:rFonts w:ascii="黑体" w:hAnsi="黑体" w:eastAsia="黑体"/>
                        <w:b/>
                        <w:sz w:val="14"/>
                        <w:szCs w:val="14"/>
                      </w:rPr>
                    </w:pPr>
                    <w:r>
                      <w:rPr>
                        <w:rFonts w:hint="eastAsia" w:ascii="黑体" w:hAnsi="黑体" w:eastAsia="黑体"/>
                        <w:b/>
                        <w:sz w:val="14"/>
                        <w:szCs w:val="14"/>
                      </w:rPr>
                      <w:t>致同会计师事务所（特殊普通合伙）</w:t>
                    </w:r>
                  </w:p>
                  <w:p>
                    <w:pPr>
                      <w:ind w:firstLine="281"/>
                      <w:rPr>
                        <w:rFonts w:ascii="黑体" w:hAnsi="黑体" w:eastAsia="黑体"/>
                        <w:b/>
                        <w:sz w:val="14"/>
                        <w:szCs w:val="14"/>
                      </w:rPr>
                    </w:pPr>
                    <w:r>
                      <w:rPr>
                        <w:rFonts w:hint="eastAsia" w:ascii="黑体" w:hAnsi="黑体" w:eastAsia="黑体"/>
                        <w:b/>
                        <w:sz w:val="14"/>
                        <w:szCs w:val="14"/>
                      </w:rPr>
                      <w:t>武汉分所</w:t>
                    </w:r>
                  </w:p>
                  <w:p>
                    <w:pPr>
                      <w:ind w:firstLine="280" w:firstLineChars="200"/>
                      <w:rPr>
                        <w:rFonts w:ascii="黑体" w:hAnsi="黑体" w:eastAsia="黑体"/>
                        <w:sz w:val="14"/>
                        <w:szCs w:val="14"/>
                      </w:rPr>
                    </w:pPr>
                    <w:r>
                      <w:rPr>
                        <w:rFonts w:hint="eastAsia" w:ascii="黑体" w:hAnsi="黑体" w:eastAsia="黑体"/>
                        <w:sz w:val="14"/>
                        <w:szCs w:val="14"/>
                      </w:rPr>
                      <w:t>中国武汉武昌区中北路58号汉街总部</w:t>
                    </w:r>
                  </w:p>
                  <w:p>
                    <w:pPr>
                      <w:ind w:firstLine="280" w:firstLineChars="200"/>
                      <w:rPr>
                        <w:rFonts w:ascii="黑体" w:hAnsi="黑体" w:eastAsia="黑体"/>
                        <w:sz w:val="14"/>
                        <w:szCs w:val="14"/>
                      </w:rPr>
                    </w:pPr>
                    <w:r>
                      <w:rPr>
                        <w:rFonts w:hint="eastAsia" w:ascii="黑体" w:hAnsi="黑体" w:eastAsia="黑体"/>
                        <w:sz w:val="14"/>
                        <w:szCs w:val="14"/>
                      </w:rPr>
                      <w:t>国际E座29层邮编</w:t>
                    </w:r>
                    <w:r>
                      <w:rPr>
                        <w:rFonts w:ascii="黑体" w:hAnsi="黑体" w:eastAsia="黑体"/>
                        <w:sz w:val="14"/>
                        <w:szCs w:val="14"/>
                      </w:rPr>
                      <w:t>430071</w:t>
                    </w:r>
                  </w:p>
                  <w:p>
                    <w:pPr>
                      <w:ind w:firstLine="280"/>
                      <w:rPr>
                        <w:rFonts w:ascii="黑体" w:hAnsi="黑体" w:eastAsia="黑体"/>
                        <w:sz w:val="14"/>
                        <w:szCs w:val="14"/>
                      </w:rPr>
                    </w:pPr>
                    <w:r>
                      <w:rPr>
                        <w:rFonts w:hint="eastAsia" w:ascii="黑体" w:hAnsi="黑体" w:eastAsia="黑体"/>
                        <w:sz w:val="14"/>
                        <w:szCs w:val="14"/>
                      </w:rPr>
                      <w:t>电话</w:t>
                    </w:r>
                    <w:r>
                      <w:rPr>
                        <w:rFonts w:ascii="黑体" w:hAnsi="黑体" w:eastAsia="黑体"/>
                        <w:sz w:val="14"/>
                        <w:szCs w:val="14"/>
                      </w:rPr>
                      <w:t xml:space="preserve"> +86 27 87819677</w:t>
                    </w:r>
                  </w:p>
                  <w:p>
                    <w:pPr>
                      <w:ind w:firstLine="280"/>
                      <w:rPr>
                        <w:rFonts w:eastAsia="黑体"/>
                        <w:sz w:val="14"/>
                        <w:szCs w:val="14"/>
                      </w:rPr>
                    </w:pPr>
                    <w:r>
                      <w:rPr>
                        <w:rFonts w:hint="eastAsia" w:eastAsia="黑体"/>
                        <w:sz w:val="14"/>
                        <w:szCs w:val="14"/>
                      </w:rPr>
                      <w:t>传真</w:t>
                    </w:r>
                    <w:r>
                      <w:rPr>
                        <w:rFonts w:eastAsia="黑体"/>
                        <w:sz w:val="14"/>
                        <w:szCs w:val="14"/>
                      </w:rPr>
                      <w:t xml:space="preserve"> +86 27 87812377</w:t>
                    </w:r>
                  </w:p>
                  <w:p/>
                </w:txbxContent>
              </v:textbox>
            </v:shape>
          </w:pict>
        </mc:Fallback>
      </mc:AlternateContent>
    </w:r>
    <w:r>
      <w:drawing>
        <wp:anchor distT="0" distB="0" distL="114300" distR="114300" simplePos="0" relativeHeight="251662336" behindDoc="0" locked="0" layoutInCell="1" allowOverlap="1">
          <wp:simplePos x="0" y="0"/>
          <wp:positionH relativeFrom="page">
            <wp:posOffset>1037590</wp:posOffset>
          </wp:positionH>
          <wp:positionV relativeFrom="page">
            <wp:posOffset>398145</wp:posOffset>
          </wp:positionV>
          <wp:extent cx="2203450" cy="636905"/>
          <wp:effectExtent l="0" t="0" r="6350" b="3175"/>
          <wp:wrapNone/>
          <wp:docPr id="1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4"/>
                  <pic:cNvPicPr>
                    <a:picLocks noChangeAspect="1" noChangeArrowheads="1"/>
                  </pic:cNvPicPr>
                </pic:nvPicPr>
                <pic:blipFill>
                  <a:blip r:embed="rId1"/>
                  <a:srcRect/>
                  <a:stretch>
                    <a:fillRect/>
                  </a:stretch>
                </pic:blipFill>
                <pic:spPr>
                  <a:xfrm>
                    <a:off x="0" y="0"/>
                    <a:ext cx="2203450" cy="63690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6581AD"/>
    <w:multiLevelType w:val="singleLevel"/>
    <w:tmpl w:val="8A6581AD"/>
    <w:lvl w:ilvl="0" w:tentative="0">
      <w:start w:val="2"/>
      <w:numFmt w:val="chineseCounting"/>
      <w:suff w:val="nothing"/>
      <w:lvlText w:val="（%1）"/>
      <w:lvlJc w:val="left"/>
      <w:rPr>
        <w:rFonts w:hint="eastAsia"/>
      </w:rPr>
    </w:lvl>
  </w:abstractNum>
  <w:abstractNum w:abstractNumId="1">
    <w:nsid w:val="58CF905B"/>
    <w:multiLevelType w:val="singleLevel"/>
    <w:tmpl w:val="58CF905B"/>
    <w:lvl w:ilvl="0" w:tentative="0">
      <w:start w:val="2"/>
      <w:numFmt w:val="decimal"/>
      <w:suff w:val="nothing"/>
      <w:lvlText w:val="（%1）"/>
      <w:lvlJc w:val="left"/>
    </w:lvl>
  </w:abstractNum>
  <w:abstractNum w:abstractNumId="2">
    <w:nsid w:val="63B359D2"/>
    <w:multiLevelType w:val="singleLevel"/>
    <w:tmpl w:val="63B359D2"/>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4YmI0OTE1YTE2MGJlNjY4YmQ1MTgwYzIxYTM1N2YifQ=="/>
    <w:docVar w:name="KSO_WPS_MARK_KEY" w:val="f42a1cba-2cc5-4f42-ab03-1f37fee3a0d8"/>
  </w:docVars>
  <w:rsids>
    <w:rsidRoot w:val="003227C6"/>
    <w:rsid w:val="000C4ACB"/>
    <w:rsid w:val="000C6294"/>
    <w:rsid w:val="00131E66"/>
    <w:rsid w:val="00153394"/>
    <w:rsid w:val="0027674A"/>
    <w:rsid w:val="00282B0B"/>
    <w:rsid w:val="003227C6"/>
    <w:rsid w:val="00394D9F"/>
    <w:rsid w:val="003C7F3D"/>
    <w:rsid w:val="003E2D58"/>
    <w:rsid w:val="00507420"/>
    <w:rsid w:val="005C2A5C"/>
    <w:rsid w:val="005D6DE3"/>
    <w:rsid w:val="00674B79"/>
    <w:rsid w:val="006E26A2"/>
    <w:rsid w:val="006E2DAD"/>
    <w:rsid w:val="006E6808"/>
    <w:rsid w:val="00805206"/>
    <w:rsid w:val="008B4299"/>
    <w:rsid w:val="009369AD"/>
    <w:rsid w:val="009701A0"/>
    <w:rsid w:val="00970DCD"/>
    <w:rsid w:val="009D0B93"/>
    <w:rsid w:val="00A17E5B"/>
    <w:rsid w:val="00A42629"/>
    <w:rsid w:val="00A83DA2"/>
    <w:rsid w:val="00AB4ED7"/>
    <w:rsid w:val="00AB6339"/>
    <w:rsid w:val="00AD645B"/>
    <w:rsid w:val="00AE7FAD"/>
    <w:rsid w:val="00AF2CD4"/>
    <w:rsid w:val="00B27F68"/>
    <w:rsid w:val="00B4579B"/>
    <w:rsid w:val="00B90C59"/>
    <w:rsid w:val="00BC1CF8"/>
    <w:rsid w:val="00BC321A"/>
    <w:rsid w:val="00C676C8"/>
    <w:rsid w:val="00CD5A93"/>
    <w:rsid w:val="00D57A51"/>
    <w:rsid w:val="00DA14EE"/>
    <w:rsid w:val="00F02967"/>
    <w:rsid w:val="00F17A1B"/>
    <w:rsid w:val="00F41E2D"/>
    <w:rsid w:val="00FB1D92"/>
    <w:rsid w:val="00FB7622"/>
    <w:rsid w:val="01182890"/>
    <w:rsid w:val="011A780C"/>
    <w:rsid w:val="01B46A7C"/>
    <w:rsid w:val="01FF3E0C"/>
    <w:rsid w:val="020F166F"/>
    <w:rsid w:val="025678AE"/>
    <w:rsid w:val="02A332DD"/>
    <w:rsid w:val="02B17194"/>
    <w:rsid w:val="02CE06E7"/>
    <w:rsid w:val="02DD5809"/>
    <w:rsid w:val="02E75AB2"/>
    <w:rsid w:val="03411F06"/>
    <w:rsid w:val="03695107"/>
    <w:rsid w:val="037639F8"/>
    <w:rsid w:val="03983A45"/>
    <w:rsid w:val="03C25987"/>
    <w:rsid w:val="03D27538"/>
    <w:rsid w:val="03D918C4"/>
    <w:rsid w:val="04144F9C"/>
    <w:rsid w:val="04491173"/>
    <w:rsid w:val="04A02440"/>
    <w:rsid w:val="04A455E0"/>
    <w:rsid w:val="04E47C3F"/>
    <w:rsid w:val="04F11FD0"/>
    <w:rsid w:val="0527696F"/>
    <w:rsid w:val="05736DF3"/>
    <w:rsid w:val="05752E60"/>
    <w:rsid w:val="05877109"/>
    <w:rsid w:val="05B737B5"/>
    <w:rsid w:val="05E27F2A"/>
    <w:rsid w:val="06037254"/>
    <w:rsid w:val="062D63FA"/>
    <w:rsid w:val="0640524D"/>
    <w:rsid w:val="06C24D91"/>
    <w:rsid w:val="06FE7856"/>
    <w:rsid w:val="07462CBC"/>
    <w:rsid w:val="07C63874"/>
    <w:rsid w:val="084D190F"/>
    <w:rsid w:val="08B02B08"/>
    <w:rsid w:val="08B64BBE"/>
    <w:rsid w:val="08BC5272"/>
    <w:rsid w:val="08D93DA5"/>
    <w:rsid w:val="091A6A45"/>
    <w:rsid w:val="091B1123"/>
    <w:rsid w:val="09461FC4"/>
    <w:rsid w:val="0971611E"/>
    <w:rsid w:val="09CC1E25"/>
    <w:rsid w:val="09D85D0D"/>
    <w:rsid w:val="0A143178"/>
    <w:rsid w:val="0A24358B"/>
    <w:rsid w:val="0A2A6D66"/>
    <w:rsid w:val="0A497EB7"/>
    <w:rsid w:val="0AC153D3"/>
    <w:rsid w:val="0AC55F93"/>
    <w:rsid w:val="0ACD26A9"/>
    <w:rsid w:val="0AF001DE"/>
    <w:rsid w:val="0AF1289C"/>
    <w:rsid w:val="0B5A5486"/>
    <w:rsid w:val="0BA27794"/>
    <w:rsid w:val="0BD6032E"/>
    <w:rsid w:val="0BF00BC6"/>
    <w:rsid w:val="0C111C27"/>
    <w:rsid w:val="0C3D53BF"/>
    <w:rsid w:val="0C440C50"/>
    <w:rsid w:val="0CAA57DB"/>
    <w:rsid w:val="0CAB53A9"/>
    <w:rsid w:val="0CC307E8"/>
    <w:rsid w:val="0D2D0258"/>
    <w:rsid w:val="0D321025"/>
    <w:rsid w:val="0D652BFE"/>
    <w:rsid w:val="0D9160CF"/>
    <w:rsid w:val="0DA62BA4"/>
    <w:rsid w:val="0DEF14DA"/>
    <w:rsid w:val="0E2E01D2"/>
    <w:rsid w:val="0E3D157B"/>
    <w:rsid w:val="0E4532B7"/>
    <w:rsid w:val="0E97267C"/>
    <w:rsid w:val="0EA62F9F"/>
    <w:rsid w:val="0ED5281B"/>
    <w:rsid w:val="0EFE74B9"/>
    <w:rsid w:val="0FC115B9"/>
    <w:rsid w:val="101908EC"/>
    <w:rsid w:val="1028414E"/>
    <w:rsid w:val="10386D23"/>
    <w:rsid w:val="1078596D"/>
    <w:rsid w:val="108F6490"/>
    <w:rsid w:val="109D2B16"/>
    <w:rsid w:val="11062172"/>
    <w:rsid w:val="11294459"/>
    <w:rsid w:val="118B64C6"/>
    <w:rsid w:val="11B21C1C"/>
    <w:rsid w:val="12004222"/>
    <w:rsid w:val="12403F17"/>
    <w:rsid w:val="12921F0D"/>
    <w:rsid w:val="12982E27"/>
    <w:rsid w:val="13441D1E"/>
    <w:rsid w:val="136B5A3B"/>
    <w:rsid w:val="13876153"/>
    <w:rsid w:val="138B55E4"/>
    <w:rsid w:val="13980A61"/>
    <w:rsid w:val="13A62CE3"/>
    <w:rsid w:val="13F959FC"/>
    <w:rsid w:val="146223F3"/>
    <w:rsid w:val="148E6234"/>
    <w:rsid w:val="15236201"/>
    <w:rsid w:val="15325EE3"/>
    <w:rsid w:val="15BE28C0"/>
    <w:rsid w:val="15BE6A08"/>
    <w:rsid w:val="15EF529E"/>
    <w:rsid w:val="15F5706F"/>
    <w:rsid w:val="162224D1"/>
    <w:rsid w:val="16327503"/>
    <w:rsid w:val="1658423F"/>
    <w:rsid w:val="16CD083C"/>
    <w:rsid w:val="17A63B68"/>
    <w:rsid w:val="17C65DC4"/>
    <w:rsid w:val="182B3879"/>
    <w:rsid w:val="185D3A82"/>
    <w:rsid w:val="187B4D21"/>
    <w:rsid w:val="18E0488B"/>
    <w:rsid w:val="19374A0E"/>
    <w:rsid w:val="1A3A4E5D"/>
    <w:rsid w:val="1AA87103"/>
    <w:rsid w:val="1AD05D1F"/>
    <w:rsid w:val="1AD960D5"/>
    <w:rsid w:val="1AE25521"/>
    <w:rsid w:val="1AF46BEB"/>
    <w:rsid w:val="1B1D5050"/>
    <w:rsid w:val="1B4A673E"/>
    <w:rsid w:val="1B7A7898"/>
    <w:rsid w:val="1BD069DB"/>
    <w:rsid w:val="1BE832B2"/>
    <w:rsid w:val="1C0254E6"/>
    <w:rsid w:val="1C1556D7"/>
    <w:rsid w:val="1C3237DB"/>
    <w:rsid w:val="1C377255"/>
    <w:rsid w:val="1C4A4D3A"/>
    <w:rsid w:val="1C533556"/>
    <w:rsid w:val="1CC02B29"/>
    <w:rsid w:val="1CC26948"/>
    <w:rsid w:val="1CFF198E"/>
    <w:rsid w:val="1D4F14CE"/>
    <w:rsid w:val="1DC166FF"/>
    <w:rsid w:val="1E173206"/>
    <w:rsid w:val="1E20117E"/>
    <w:rsid w:val="1E3E2836"/>
    <w:rsid w:val="1E5D2187"/>
    <w:rsid w:val="1E667090"/>
    <w:rsid w:val="1E9C71F0"/>
    <w:rsid w:val="1F0D1F88"/>
    <w:rsid w:val="1F212183"/>
    <w:rsid w:val="1F352A87"/>
    <w:rsid w:val="1F5A2345"/>
    <w:rsid w:val="1FD040D4"/>
    <w:rsid w:val="1FE90225"/>
    <w:rsid w:val="20502418"/>
    <w:rsid w:val="20BF7E69"/>
    <w:rsid w:val="21020C6E"/>
    <w:rsid w:val="210E7361"/>
    <w:rsid w:val="21227DB3"/>
    <w:rsid w:val="212D709F"/>
    <w:rsid w:val="213E4978"/>
    <w:rsid w:val="21A30A3E"/>
    <w:rsid w:val="21AF1F28"/>
    <w:rsid w:val="21C66AB0"/>
    <w:rsid w:val="21CE3FC6"/>
    <w:rsid w:val="22276008"/>
    <w:rsid w:val="22345058"/>
    <w:rsid w:val="224F395C"/>
    <w:rsid w:val="228A5621"/>
    <w:rsid w:val="22B0383D"/>
    <w:rsid w:val="22B82EAE"/>
    <w:rsid w:val="22E26438"/>
    <w:rsid w:val="22FE7B1A"/>
    <w:rsid w:val="234D0BE0"/>
    <w:rsid w:val="23705DA5"/>
    <w:rsid w:val="23D860F2"/>
    <w:rsid w:val="23DB6ECA"/>
    <w:rsid w:val="24074B97"/>
    <w:rsid w:val="24367096"/>
    <w:rsid w:val="24746D1F"/>
    <w:rsid w:val="2493671E"/>
    <w:rsid w:val="250E37BB"/>
    <w:rsid w:val="254659A9"/>
    <w:rsid w:val="25580E6F"/>
    <w:rsid w:val="2568799E"/>
    <w:rsid w:val="256D332B"/>
    <w:rsid w:val="25CB52B8"/>
    <w:rsid w:val="25E520A8"/>
    <w:rsid w:val="25ED3BB7"/>
    <w:rsid w:val="26290ABB"/>
    <w:rsid w:val="26627412"/>
    <w:rsid w:val="266B208A"/>
    <w:rsid w:val="26874BFA"/>
    <w:rsid w:val="2692033C"/>
    <w:rsid w:val="26EA1005"/>
    <w:rsid w:val="2714722E"/>
    <w:rsid w:val="273A0095"/>
    <w:rsid w:val="27D910C9"/>
    <w:rsid w:val="281512E6"/>
    <w:rsid w:val="282A4AF0"/>
    <w:rsid w:val="2843753D"/>
    <w:rsid w:val="285C2984"/>
    <w:rsid w:val="285D406C"/>
    <w:rsid w:val="28666EFB"/>
    <w:rsid w:val="287240A0"/>
    <w:rsid w:val="287E43B7"/>
    <w:rsid w:val="291B3712"/>
    <w:rsid w:val="292A35EC"/>
    <w:rsid w:val="29443DAB"/>
    <w:rsid w:val="29527A3F"/>
    <w:rsid w:val="295D09B5"/>
    <w:rsid w:val="29AA2C38"/>
    <w:rsid w:val="29B273D5"/>
    <w:rsid w:val="29E12A50"/>
    <w:rsid w:val="29F90BA9"/>
    <w:rsid w:val="2A1D4F8E"/>
    <w:rsid w:val="2A4D3E69"/>
    <w:rsid w:val="2A7730B3"/>
    <w:rsid w:val="2A9E7DD5"/>
    <w:rsid w:val="2AEB0F36"/>
    <w:rsid w:val="2AEB4444"/>
    <w:rsid w:val="2AEF1A3F"/>
    <w:rsid w:val="2AFD5FD6"/>
    <w:rsid w:val="2B04123C"/>
    <w:rsid w:val="2B061D62"/>
    <w:rsid w:val="2B24041E"/>
    <w:rsid w:val="2B240531"/>
    <w:rsid w:val="2B297634"/>
    <w:rsid w:val="2B6436AB"/>
    <w:rsid w:val="2B955105"/>
    <w:rsid w:val="2BB95CB9"/>
    <w:rsid w:val="2BF33FBD"/>
    <w:rsid w:val="2BF567ED"/>
    <w:rsid w:val="2C3B53FB"/>
    <w:rsid w:val="2CB02DCE"/>
    <w:rsid w:val="2CB2083F"/>
    <w:rsid w:val="2CB92442"/>
    <w:rsid w:val="2CC9345E"/>
    <w:rsid w:val="2D14744F"/>
    <w:rsid w:val="2D520044"/>
    <w:rsid w:val="2D5E5180"/>
    <w:rsid w:val="2E156C27"/>
    <w:rsid w:val="2E2B7F8F"/>
    <w:rsid w:val="2E840194"/>
    <w:rsid w:val="2E886959"/>
    <w:rsid w:val="2EC94C52"/>
    <w:rsid w:val="2F062BFC"/>
    <w:rsid w:val="2F385952"/>
    <w:rsid w:val="2F524F6D"/>
    <w:rsid w:val="2F99117F"/>
    <w:rsid w:val="2FC46BF0"/>
    <w:rsid w:val="2FD71206"/>
    <w:rsid w:val="2FD93431"/>
    <w:rsid w:val="2FE61EC6"/>
    <w:rsid w:val="30616AF4"/>
    <w:rsid w:val="306E0CD2"/>
    <w:rsid w:val="30B54196"/>
    <w:rsid w:val="318648C2"/>
    <w:rsid w:val="32554BB5"/>
    <w:rsid w:val="32574759"/>
    <w:rsid w:val="325D06E8"/>
    <w:rsid w:val="3276713F"/>
    <w:rsid w:val="32C77E92"/>
    <w:rsid w:val="32CF06EE"/>
    <w:rsid w:val="333A21B1"/>
    <w:rsid w:val="335508AF"/>
    <w:rsid w:val="337E22E6"/>
    <w:rsid w:val="34076BDA"/>
    <w:rsid w:val="342C55DC"/>
    <w:rsid w:val="34E54A8F"/>
    <w:rsid w:val="3545498B"/>
    <w:rsid w:val="357A57AC"/>
    <w:rsid w:val="35876963"/>
    <w:rsid w:val="35AA5F01"/>
    <w:rsid w:val="35D51771"/>
    <w:rsid w:val="35E06475"/>
    <w:rsid w:val="35F240B1"/>
    <w:rsid w:val="36526778"/>
    <w:rsid w:val="365B2652"/>
    <w:rsid w:val="36BC0CA1"/>
    <w:rsid w:val="372712B8"/>
    <w:rsid w:val="372C2874"/>
    <w:rsid w:val="3758052D"/>
    <w:rsid w:val="376A41D7"/>
    <w:rsid w:val="37AB43A9"/>
    <w:rsid w:val="38C109E9"/>
    <w:rsid w:val="38CD0919"/>
    <w:rsid w:val="38DA7F55"/>
    <w:rsid w:val="3904176A"/>
    <w:rsid w:val="3935666D"/>
    <w:rsid w:val="39470DF5"/>
    <w:rsid w:val="39AC1A40"/>
    <w:rsid w:val="3A9F5912"/>
    <w:rsid w:val="3AD870B4"/>
    <w:rsid w:val="3B145BA8"/>
    <w:rsid w:val="3BA43723"/>
    <w:rsid w:val="3BC52F4C"/>
    <w:rsid w:val="3BD95A7C"/>
    <w:rsid w:val="3C4E7520"/>
    <w:rsid w:val="3C646788"/>
    <w:rsid w:val="3CB462C4"/>
    <w:rsid w:val="3CB830A3"/>
    <w:rsid w:val="3CFF1549"/>
    <w:rsid w:val="3D046430"/>
    <w:rsid w:val="3D366C45"/>
    <w:rsid w:val="3D553C45"/>
    <w:rsid w:val="3D72317C"/>
    <w:rsid w:val="3D7F6974"/>
    <w:rsid w:val="3D8F4613"/>
    <w:rsid w:val="3DDC166A"/>
    <w:rsid w:val="3DDE0211"/>
    <w:rsid w:val="3E432DCD"/>
    <w:rsid w:val="3E4D4068"/>
    <w:rsid w:val="3E4E3EDA"/>
    <w:rsid w:val="3EB00BF7"/>
    <w:rsid w:val="3EDF000C"/>
    <w:rsid w:val="3EE60662"/>
    <w:rsid w:val="3F3102AD"/>
    <w:rsid w:val="3F315E80"/>
    <w:rsid w:val="3F447A02"/>
    <w:rsid w:val="3F694C3A"/>
    <w:rsid w:val="3F7D5E88"/>
    <w:rsid w:val="3FCD5F9A"/>
    <w:rsid w:val="3FE37245"/>
    <w:rsid w:val="40174113"/>
    <w:rsid w:val="40200657"/>
    <w:rsid w:val="4040560B"/>
    <w:rsid w:val="4044145F"/>
    <w:rsid w:val="408F7200"/>
    <w:rsid w:val="40D44BF6"/>
    <w:rsid w:val="40DB3E30"/>
    <w:rsid w:val="40E604D6"/>
    <w:rsid w:val="41064F3A"/>
    <w:rsid w:val="415C59AC"/>
    <w:rsid w:val="417C73DC"/>
    <w:rsid w:val="419419C3"/>
    <w:rsid w:val="41C17AE6"/>
    <w:rsid w:val="41CB6A25"/>
    <w:rsid w:val="41DD376A"/>
    <w:rsid w:val="420649D2"/>
    <w:rsid w:val="4216597E"/>
    <w:rsid w:val="423F3346"/>
    <w:rsid w:val="426821D6"/>
    <w:rsid w:val="429E0921"/>
    <w:rsid w:val="42C66E0E"/>
    <w:rsid w:val="4317732A"/>
    <w:rsid w:val="4347173E"/>
    <w:rsid w:val="436E1FC0"/>
    <w:rsid w:val="43794C47"/>
    <w:rsid w:val="43921BD0"/>
    <w:rsid w:val="43BB2026"/>
    <w:rsid w:val="440912E1"/>
    <w:rsid w:val="44215AB2"/>
    <w:rsid w:val="443832BE"/>
    <w:rsid w:val="448A3E71"/>
    <w:rsid w:val="44BB02B6"/>
    <w:rsid w:val="44CD5EAF"/>
    <w:rsid w:val="451273CD"/>
    <w:rsid w:val="45EC30FF"/>
    <w:rsid w:val="46137974"/>
    <w:rsid w:val="46292248"/>
    <w:rsid w:val="463752DD"/>
    <w:rsid w:val="463D00F3"/>
    <w:rsid w:val="46415A85"/>
    <w:rsid w:val="468B3537"/>
    <w:rsid w:val="46FD4BA6"/>
    <w:rsid w:val="47056F5C"/>
    <w:rsid w:val="47403253"/>
    <w:rsid w:val="474B5813"/>
    <w:rsid w:val="47657ABB"/>
    <w:rsid w:val="47693327"/>
    <w:rsid w:val="479A29CB"/>
    <w:rsid w:val="47A7657F"/>
    <w:rsid w:val="480E739C"/>
    <w:rsid w:val="481E5645"/>
    <w:rsid w:val="483942EF"/>
    <w:rsid w:val="48653DA5"/>
    <w:rsid w:val="48BA3997"/>
    <w:rsid w:val="48F70E20"/>
    <w:rsid w:val="490A1D52"/>
    <w:rsid w:val="4938622C"/>
    <w:rsid w:val="4970793E"/>
    <w:rsid w:val="49CB5D97"/>
    <w:rsid w:val="49D81E3B"/>
    <w:rsid w:val="49FC3EDD"/>
    <w:rsid w:val="4A11366C"/>
    <w:rsid w:val="4A1B3377"/>
    <w:rsid w:val="4A255141"/>
    <w:rsid w:val="4A377654"/>
    <w:rsid w:val="4A3908CD"/>
    <w:rsid w:val="4A773CE9"/>
    <w:rsid w:val="4ABF315C"/>
    <w:rsid w:val="4AD92132"/>
    <w:rsid w:val="4AF61ED3"/>
    <w:rsid w:val="4B0B04F6"/>
    <w:rsid w:val="4B882A47"/>
    <w:rsid w:val="4C454B72"/>
    <w:rsid w:val="4CEA0208"/>
    <w:rsid w:val="4DA862E2"/>
    <w:rsid w:val="4DAF238E"/>
    <w:rsid w:val="4DCF6DAF"/>
    <w:rsid w:val="4E222C1C"/>
    <w:rsid w:val="4E6039FB"/>
    <w:rsid w:val="4E6E6221"/>
    <w:rsid w:val="4EA40FEF"/>
    <w:rsid w:val="4FA26CAB"/>
    <w:rsid w:val="4FCA06AE"/>
    <w:rsid w:val="4FD1288E"/>
    <w:rsid w:val="4FE00942"/>
    <w:rsid w:val="4FF16DD3"/>
    <w:rsid w:val="50051C57"/>
    <w:rsid w:val="505032CA"/>
    <w:rsid w:val="50745303"/>
    <w:rsid w:val="50867024"/>
    <w:rsid w:val="50B94592"/>
    <w:rsid w:val="51051F47"/>
    <w:rsid w:val="51062523"/>
    <w:rsid w:val="513248C2"/>
    <w:rsid w:val="515F2782"/>
    <w:rsid w:val="51925152"/>
    <w:rsid w:val="51B20E17"/>
    <w:rsid w:val="51D118F7"/>
    <w:rsid w:val="5214082C"/>
    <w:rsid w:val="522851B1"/>
    <w:rsid w:val="52461753"/>
    <w:rsid w:val="52535792"/>
    <w:rsid w:val="527362FE"/>
    <w:rsid w:val="528C00BB"/>
    <w:rsid w:val="52BE72FE"/>
    <w:rsid w:val="52DD5B0A"/>
    <w:rsid w:val="5372636C"/>
    <w:rsid w:val="5379400B"/>
    <w:rsid w:val="539F49F7"/>
    <w:rsid w:val="53CD0BFC"/>
    <w:rsid w:val="53E4047C"/>
    <w:rsid w:val="54266769"/>
    <w:rsid w:val="5427454B"/>
    <w:rsid w:val="545A2092"/>
    <w:rsid w:val="545B239A"/>
    <w:rsid w:val="54906DAD"/>
    <w:rsid w:val="54CA0F72"/>
    <w:rsid w:val="54D64232"/>
    <w:rsid w:val="54ED7BD7"/>
    <w:rsid w:val="550A6EBC"/>
    <w:rsid w:val="553F5243"/>
    <w:rsid w:val="556C3188"/>
    <w:rsid w:val="55B752EB"/>
    <w:rsid w:val="56125CA2"/>
    <w:rsid w:val="56254BE0"/>
    <w:rsid w:val="5634069A"/>
    <w:rsid w:val="56495441"/>
    <w:rsid w:val="566A5718"/>
    <w:rsid w:val="567D7B54"/>
    <w:rsid w:val="56836092"/>
    <w:rsid w:val="56A57B83"/>
    <w:rsid w:val="56C045A2"/>
    <w:rsid w:val="56E5310F"/>
    <w:rsid w:val="57402BC4"/>
    <w:rsid w:val="575263E4"/>
    <w:rsid w:val="57600101"/>
    <w:rsid w:val="57CC53A1"/>
    <w:rsid w:val="581A3ACB"/>
    <w:rsid w:val="58251234"/>
    <w:rsid w:val="58922928"/>
    <w:rsid w:val="58C26755"/>
    <w:rsid w:val="58C929FE"/>
    <w:rsid w:val="58DE1B4A"/>
    <w:rsid w:val="58ED6201"/>
    <w:rsid w:val="5912262E"/>
    <w:rsid w:val="5956051B"/>
    <w:rsid w:val="59623CF8"/>
    <w:rsid w:val="59986E15"/>
    <w:rsid w:val="5A2116BD"/>
    <w:rsid w:val="5A2A2B1F"/>
    <w:rsid w:val="5A4777F6"/>
    <w:rsid w:val="5A651F95"/>
    <w:rsid w:val="5AF36994"/>
    <w:rsid w:val="5B03010C"/>
    <w:rsid w:val="5B847DB1"/>
    <w:rsid w:val="5C217FE8"/>
    <w:rsid w:val="5C426374"/>
    <w:rsid w:val="5C5A43DE"/>
    <w:rsid w:val="5C6D0EBE"/>
    <w:rsid w:val="5C84143E"/>
    <w:rsid w:val="5C9836DE"/>
    <w:rsid w:val="5CEB49D4"/>
    <w:rsid w:val="5CF914E0"/>
    <w:rsid w:val="5D0A2E72"/>
    <w:rsid w:val="5D384895"/>
    <w:rsid w:val="5D557F0E"/>
    <w:rsid w:val="5D7A3773"/>
    <w:rsid w:val="5DB01225"/>
    <w:rsid w:val="5DF205A4"/>
    <w:rsid w:val="5E4B549E"/>
    <w:rsid w:val="5E943012"/>
    <w:rsid w:val="5EE073AB"/>
    <w:rsid w:val="5F2C2C1D"/>
    <w:rsid w:val="5F3026A3"/>
    <w:rsid w:val="5F3E3E99"/>
    <w:rsid w:val="5F994E2E"/>
    <w:rsid w:val="5FB4061E"/>
    <w:rsid w:val="5FD946A8"/>
    <w:rsid w:val="5FDC4E4B"/>
    <w:rsid w:val="60175313"/>
    <w:rsid w:val="603D73FF"/>
    <w:rsid w:val="603F2972"/>
    <w:rsid w:val="60980F8C"/>
    <w:rsid w:val="609B7F2E"/>
    <w:rsid w:val="60A3305C"/>
    <w:rsid w:val="60A76E70"/>
    <w:rsid w:val="60C27FBE"/>
    <w:rsid w:val="60EE720D"/>
    <w:rsid w:val="61B84FD0"/>
    <w:rsid w:val="61E01EEE"/>
    <w:rsid w:val="61FA04C0"/>
    <w:rsid w:val="61FA6320"/>
    <w:rsid w:val="62D07AAC"/>
    <w:rsid w:val="63AE195B"/>
    <w:rsid w:val="64613B3C"/>
    <w:rsid w:val="64EF1DDE"/>
    <w:rsid w:val="64F37937"/>
    <w:rsid w:val="651025CF"/>
    <w:rsid w:val="652F7E0D"/>
    <w:rsid w:val="654044E1"/>
    <w:rsid w:val="658A4855"/>
    <w:rsid w:val="65CC21EB"/>
    <w:rsid w:val="65E87C97"/>
    <w:rsid w:val="664D77A4"/>
    <w:rsid w:val="669B2BEF"/>
    <w:rsid w:val="66B47B76"/>
    <w:rsid w:val="6713577F"/>
    <w:rsid w:val="67245368"/>
    <w:rsid w:val="674F6375"/>
    <w:rsid w:val="6769230F"/>
    <w:rsid w:val="676D6CD8"/>
    <w:rsid w:val="677D73E7"/>
    <w:rsid w:val="678576D9"/>
    <w:rsid w:val="67AB7F66"/>
    <w:rsid w:val="67D67861"/>
    <w:rsid w:val="67FB5188"/>
    <w:rsid w:val="68400B9C"/>
    <w:rsid w:val="684A57CB"/>
    <w:rsid w:val="686D7BB7"/>
    <w:rsid w:val="6892678B"/>
    <w:rsid w:val="68D4701C"/>
    <w:rsid w:val="68F14B06"/>
    <w:rsid w:val="68FA58AC"/>
    <w:rsid w:val="69285040"/>
    <w:rsid w:val="692C5785"/>
    <w:rsid w:val="693043FE"/>
    <w:rsid w:val="697E51C5"/>
    <w:rsid w:val="6996633F"/>
    <w:rsid w:val="69D65031"/>
    <w:rsid w:val="69E0339C"/>
    <w:rsid w:val="6A2208F5"/>
    <w:rsid w:val="6A540041"/>
    <w:rsid w:val="6A6148B4"/>
    <w:rsid w:val="6A6C1F07"/>
    <w:rsid w:val="6A6E49A1"/>
    <w:rsid w:val="6AB55809"/>
    <w:rsid w:val="6AB75547"/>
    <w:rsid w:val="6AB86AA7"/>
    <w:rsid w:val="6AFF5C09"/>
    <w:rsid w:val="6B257A1F"/>
    <w:rsid w:val="6B2A24C1"/>
    <w:rsid w:val="6B2D3ED9"/>
    <w:rsid w:val="6B3562B1"/>
    <w:rsid w:val="6BCF1C69"/>
    <w:rsid w:val="6C2B6235"/>
    <w:rsid w:val="6C6747C9"/>
    <w:rsid w:val="6C6E7E41"/>
    <w:rsid w:val="6C861084"/>
    <w:rsid w:val="6C8B24FF"/>
    <w:rsid w:val="6CD027C6"/>
    <w:rsid w:val="6CDA608D"/>
    <w:rsid w:val="6D562BC5"/>
    <w:rsid w:val="6D7E6DB6"/>
    <w:rsid w:val="6DAD4DFF"/>
    <w:rsid w:val="6DF74C7F"/>
    <w:rsid w:val="6E3518BF"/>
    <w:rsid w:val="6E6A4FEB"/>
    <w:rsid w:val="6E8C2BB0"/>
    <w:rsid w:val="6ED94EC2"/>
    <w:rsid w:val="6EDA6609"/>
    <w:rsid w:val="6EE44548"/>
    <w:rsid w:val="6EEF21EE"/>
    <w:rsid w:val="6F117C71"/>
    <w:rsid w:val="6F135BB9"/>
    <w:rsid w:val="6F162103"/>
    <w:rsid w:val="6F1960D0"/>
    <w:rsid w:val="6F3071DE"/>
    <w:rsid w:val="6F3B0A4F"/>
    <w:rsid w:val="6F61602F"/>
    <w:rsid w:val="6F874831"/>
    <w:rsid w:val="6FBD41EF"/>
    <w:rsid w:val="6FDA06BD"/>
    <w:rsid w:val="7022373E"/>
    <w:rsid w:val="702F7572"/>
    <w:rsid w:val="70392385"/>
    <w:rsid w:val="705E0DCF"/>
    <w:rsid w:val="70A90802"/>
    <w:rsid w:val="70D51530"/>
    <w:rsid w:val="70D827CD"/>
    <w:rsid w:val="70EE3BB8"/>
    <w:rsid w:val="71065A31"/>
    <w:rsid w:val="712C651D"/>
    <w:rsid w:val="717C1345"/>
    <w:rsid w:val="722854CD"/>
    <w:rsid w:val="722D7DE1"/>
    <w:rsid w:val="7318087B"/>
    <w:rsid w:val="73296AC7"/>
    <w:rsid w:val="73301084"/>
    <w:rsid w:val="733615B8"/>
    <w:rsid w:val="737C5FDE"/>
    <w:rsid w:val="73873D90"/>
    <w:rsid w:val="73AE5B9D"/>
    <w:rsid w:val="73C246FB"/>
    <w:rsid w:val="740A39D1"/>
    <w:rsid w:val="74913ABD"/>
    <w:rsid w:val="74917075"/>
    <w:rsid w:val="749F0675"/>
    <w:rsid w:val="74D14F23"/>
    <w:rsid w:val="74D611EC"/>
    <w:rsid w:val="75055826"/>
    <w:rsid w:val="752701CF"/>
    <w:rsid w:val="75F47AB5"/>
    <w:rsid w:val="75FE47F8"/>
    <w:rsid w:val="76104A95"/>
    <w:rsid w:val="7623732A"/>
    <w:rsid w:val="766D700F"/>
    <w:rsid w:val="76C570FD"/>
    <w:rsid w:val="76CE6A67"/>
    <w:rsid w:val="771D2D52"/>
    <w:rsid w:val="774628D7"/>
    <w:rsid w:val="77691F0F"/>
    <w:rsid w:val="778C42A4"/>
    <w:rsid w:val="77A8071B"/>
    <w:rsid w:val="783A5E3D"/>
    <w:rsid w:val="788C5DD5"/>
    <w:rsid w:val="78E27CB1"/>
    <w:rsid w:val="790B2203"/>
    <w:rsid w:val="793C14FF"/>
    <w:rsid w:val="79726CAC"/>
    <w:rsid w:val="798B5B0C"/>
    <w:rsid w:val="7A6B35F4"/>
    <w:rsid w:val="7A7519FC"/>
    <w:rsid w:val="7B612F79"/>
    <w:rsid w:val="7B6B76DC"/>
    <w:rsid w:val="7BAA2A03"/>
    <w:rsid w:val="7BAF2559"/>
    <w:rsid w:val="7BB5356D"/>
    <w:rsid w:val="7C032EA4"/>
    <w:rsid w:val="7C1026A7"/>
    <w:rsid w:val="7C5355BC"/>
    <w:rsid w:val="7C5E3CC7"/>
    <w:rsid w:val="7C7F5AC4"/>
    <w:rsid w:val="7CAF7A7F"/>
    <w:rsid w:val="7CD029FA"/>
    <w:rsid w:val="7D033165"/>
    <w:rsid w:val="7D05138F"/>
    <w:rsid w:val="7D093286"/>
    <w:rsid w:val="7D3C20A2"/>
    <w:rsid w:val="7D486255"/>
    <w:rsid w:val="7D4C70EA"/>
    <w:rsid w:val="7D79065C"/>
    <w:rsid w:val="7D812101"/>
    <w:rsid w:val="7D825DB0"/>
    <w:rsid w:val="7DB17A5A"/>
    <w:rsid w:val="7E301D12"/>
    <w:rsid w:val="7E5B7F4B"/>
    <w:rsid w:val="7E74780C"/>
    <w:rsid w:val="7F53269A"/>
    <w:rsid w:val="7F6A060E"/>
    <w:rsid w:val="7F8E446C"/>
    <w:rsid w:val="7FE1142B"/>
    <w:rsid w:val="7FE877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3"/>
    <w:basedOn w:val="1"/>
    <w:next w:val="1"/>
    <w:semiHidden/>
    <w:unhideWhenUsed/>
    <w:qFormat/>
    <w:uiPriority w:val="9"/>
    <w:pPr>
      <w:keepNext/>
      <w:keepLines/>
      <w:jc w:val="left"/>
      <w:outlineLvl w:val="2"/>
    </w:pPr>
    <w:rPr>
      <w:b/>
      <w:bCs/>
      <w:szCs w:val="32"/>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7"/>
    <w:semiHidden/>
    <w:unhideWhenUsed/>
    <w:qFormat/>
    <w:uiPriority w:val="99"/>
    <w:pPr>
      <w:jc w:val="left"/>
    </w:pPr>
  </w:style>
  <w:style w:type="paragraph" w:styleId="4">
    <w:name w:val="toc 3"/>
    <w:basedOn w:val="1"/>
    <w:next w:val="1"/>
    <w:semiHidden/>
    <w:unhideWhenUsed/>
    <w:qFormat/>
    <w:uiPriority w:val="39"/>
    <w:pPr>
      <w:ind w:left="840" w:leftChars="400"/>
    </w:pPr>
  </w:style>
  <w:style w:type="paragraph" w:styleId="5">
    <w:name w:val="Balloon Text"/>
    <w:basedOn w:val="1"/>
    <w:link w:val="26"/>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toc 1"/>
    <w:basedOn w:val="1"/>
    <w:next w:val="1"/>
    <w:semiHidden/>
    <w:unhideWhenUsed/>
    <w:qFormat/>
    <w:uiPriority w:val="39"/>
  </w:style>
  <w:style w:type="paragraph" w:styleId="9">
    <w:name w:val="toc 2"/>
    <w:basedOn w:val="1"/>
    <w:next w:val="1"/>
    <w:semiHidden/>
    <w:unhideWhenUsed/>
    <w:qFormat/>
    <w:uiPriority w:val="39"/>
    <w:pPr>
      <w:ind w:left="420" w:leftChars="200"/>
    </w:pPr>
  </w:style>
  <w:style w:type="paragraph" w:styleId="10">
    <w:name w:val="annotation subject"/>
    <w:basedOn w:val="3"/>
    <w:next w:val="3"/>
    <w:link w:val="28"/>
    <w:semiHidden/>
    <w:unhideWhenUsed/>
    <w:qFormat/>
    <w:uiPriority w:val="99"/>
    <w:rPr>
      <w:b/>
      <w:bCs/>
    </w:rPr>
  </w:style>
  <w:style w:type="character" w:styleId="13">
    <w:name w:val="annotation reference"/>
    <w:basedOn w:val="12"/>
    <w:semiHidden/>
    <w:unhideWhenUsed/>
    <w:qFormat/>
    <w:uiPriority w:val="99"/>
    <w:rPr>
      <w:sz w:val="21"/>
      <w:szCs w:val="21"/>
    </w:rPr>
  </w:style>
  <w:style w:type="character" w:customStyle="1" w:styleId="14">
    <w:name w:val="页眉 字符"/>
    <w:basedOn w:val="12"/>
    <w:link w:val="7"/>
    <w:qFormat/>
    <w:uiPriority w:val="99"/>
    <w:rPr>
      <w:sz w:val="18"/>
      <w:szCs w:val="18"/>
    </w:rPr>
  </w:style>
  <w:style w:type="character" w:customStyle="1" w:styleId="15">
    <w:name w:val="页脚 字符"/>
    <w:basedOn w:val="12"/>
    <w:link w:val="6"/>
    <w:qFormat/>
    <w:uiPriority w:val="99"/>
    <w:rPr>
      <w:sz w:val="18"/>
      <w:szCs w:val="18"/>
    </w:rPr>
  </w:style>
  <w:style w:type="paragraph" w:customStyle="1" w:styleId="16">
    <w:name w:val="正文1"/>
    <w:basedOn w:val="17"/>
    <w:qFormat/>
    <w:uiPriority w:val="0"/>
    <w:pPr>
      <w:jc w:val="both"/>
    </w:pPr>
    <w:rPr>
      <w:rFonts w:ascii="Calibri" w:hAnsi="Calibri" w:eastAsia="Calibri"/>
      <w:sz w:val="21"/>
    </w:rPr>
  </w:style>
  <w:style w:type="paragraph" w:customStyle="1" w:styleId="17">
    <w:name w:val="[Normal]"/>
    <w:qFormat/>
    <w:uiPriority w:val="6"/>
    <w:rPr>
      <w:rFonts w:ascii="宋体" w:hAnsi="宋体" w:eastAsia="宋体" w:cstheme="minorBidi"/>
      <w:sz w:val="24"/>
      <w:szCs w:val="22"/>
      <w:lang w:val="zh-CN" w:eastAsia="zh-CN" w:bidi="ar-SA"/>
    </w:rPr>
  </w:style>
  <w:style w:type="character" w:customStyle="1" w:styleId="18">
    <w:name w:val="font21"/>
    <w:basedOn w:val="12"/>
    <w:qFormat/>
    <w:uiPriority w:val="0"/>
    <w:rPr>
      <w:rFonts w:ascii="楷体_GB2312" w:eastAsia="楷体_GB2312" w:cs="楷体_GB2312"/>
      <w:color w:val="000000"/>
      <w:sz w:val="20"/>
      <w:szCs w:val="20"/>
      <w:u w:val="none"/>
    </w:rPr>
  </w:style>
  <w:style w:type="character" w:customStyle="1" w:styleId="19">
    <w:name w:val="font11"/>
    <w:basedOn w:val="12"/>
    <w:qFormat/>
    <w:uiPriority w:val="0"/>
    <w:rPr>
      <w:rFonts w:hint="default" w:ascii="楷体_GB2312" w:eastAsia="楷体_GB2312" w:cs="楷体_GB2312"/>
      <w:color w:val="000000"/>
      <w:sz w:val="20"/>
      <w:szCs w:val="20"/>
      <w:u w:val="none"/>
    </w:rPr>
  </w:style>
  <w:style w:type="character" w:customStyle="1" w:styleId="20">
    <w:name w:val="font31"/>
    <w:basedOn w:val="12"/>
    <w:qFormat/>
    <w:uiPriority w:val="0"/>
    <w:rPr>
      <w:rFonts w:hint="eastAsia" w:ascii="宋体" w:hAnsi="宋体" w:eastAsia="宋体" w:cs="宋体"/>
      <w:color w:val="000000"/>
      <w:sz w:val="20"/>
      <w:szCs w:val="20"/>
      <w:u w:val="none"/>
    </w:rPr>
  </w:style>
  <w:style w:type="character" w:customStyle="1" w:styleId="21">
    <w:name w:val="font61"/>
    <w:basedOn w:val="12"/>
    <w:qFormat/>
    <w:uiPriority w:val="0"/>
    <w:rPr>
      <w:rFonts w:hint="default" w:ascii="楷体_GB2312" w:eastAsia="楷体_GB2312" w:cs="楷体_GB2312"/>
      <w:color w:val="000000"/>
      <w:sz w:val="20"/>
      <w:szCs w:val="20"/>
      <w:u w:val="none"/>
    </w:rPr>
  </w:style>
  <w:style w:type="paragraph" w:customStyle="1" w:styleId="22">
    <w:name w:val="WPSOffice手动目录 1"/>
    <w:qFormat/>
    <w:uiPriority w:val="0"/>
    <w:rPr>
      <w:rFonts w:ascii="Times New Roman" w:hAnsi="Times New Roman" w:eastAsia="宋体" w:cs="Times New Roman"/>
      <w:lang w:val="en-US" w:eastAsia="zh-CN" w:bidi="ar-SA"/>
    </w:rPr>
  </w:style>
  <w:style w:type="paragraph" w:customStyle="1" w:styleId="2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4">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25">
    <w:name w:val="font71"/>
    <w:basedOn w:val="12"/>
    <w:qFormat/>
    <w:uiPriority w:val="0"/>
    <w:rPr>
      <w:rFonts w:hint="eastAsia" w:ascii="仿宋_GB2312" w:eastAsia="仿宋_GB2312" w:cs="仿宋_GB2312"/>
      <w:color w:val="000000"/>
      <w:sz w:val="24"/>
      <w:szCs w:val="24"/>
      <w:u w:val="none"/>
    </w:rPr>
  </w:style>
  <w:style w:type="character" w:customStyle="1" w:styleId="26">
    <w:name w:val="批注框文本 字符"/>
    <w:basedOn w:val="12"/>
    <w:link w:val="5"/>
    <w:semiHidden/>
    <w:qFormat/>
    <w:uiPriority w:val="99"/>
    <w:rPr>
      <w:rFonts w:eastAsia="仿宋_GB2312"/>
      <w:kern w:val="2"/>
      <w:sz w:val="18"/>
      <w:szCs w:val="18"/>
    </w:rPr>
  </w:style>
  <w:style w:type="character" w:customStyle="1" w:styleId="27">
    <w:name w:val="批注文字 字符"/>
    <w:basedOn w:val="12"/>
    <w:link w:val="3"/>
    <w:semiHidden/>
    <w:qFormat/>
    <w:uiPriority w:val="99"/>
    <w:rPr>
      <w:rFonts w:eastAsia="仿宋_GB2312"/>
      <w:kern w:val="2"/>
      <w:sz w:val="30"/>
      <w:szCs w:val="24"/>
    </w:rPr>
  </w:style>
  <w:style w:type="character" w:customStyle="1" w:styleId="28">
    <w:name w:val="批注主题 字符"/>
    <w:basedOn w:val="27"/>
    <w:link w:val="10"/>
    <w:semiHidden/>
    <w:qFormat/>
    <w:uiPriority w:val="99"/>
    <w:rPr>
      <w:rFonts w:eastAsia="仿宋_GB2312"/>
      <w:b/>
      <w:bCs/>
      <w:kern w:val="2"/>
      <w:sz w:val="30"/>
      <w:szCs w:val="24"/>
    </w:rPr>
  </w:style>
  <w:style w:type="character" w:customStyle="1" w:styleId="29">
    <w:name w:val="font41"/>
    <w:basedOn w:val="12"/>
    <w:qFormat/>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1" Type="http://schemas.openxmlformats.org/officeDocument/2006/relationships/oleObject" Target="file:///D:\&#32489;&#25928;&#35780;&#20215;&#25351;&#26631;&#24213;&#31295;.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sus\Desktop\&#31649;&#32593;&#25253;&#21578;&#24471;&#20998;&#34920;&#26684;.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sus\Desktop\&#31649;&#32593;&#25253;&#21578;&#24471;&#20998;&#34920;&#26684;.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32489;&#25928;&#35780;&#20215;&#25351;&#26631;&#24213;&#31295;.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32489;&#25928;&#35780;&#20215;&#25351;&#26631;&#24213;&#31295;.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32489;&#25928;&#35780;&#20215;&#25351;&#26631;&#24213;&#3129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solidFill>
                  <a:sysClr val="windowText" lastClr="000000"/>
                </a:solidFill>
                <a:latin typeface="仿宋_GB2312" panose="02010609030101010101" pitchFamily="3" charset="-122"/>
                <a:ea typeface="仿宋_GB2312" panose="02010609030101010101" pitchFamily="3" charset="-122"/>
              </a:rPr>
              <a:t>智能家居指标评分情况</a:t>
            </a:r>
            <a:endParaRPr lang="zh-CN" altLang="en-US">
              <a:solidFill>
                <a:sysClr val="windowText" lastClr="000000"/>
              </a:solidFill>
              <a:latin typeface="仿宋_GB2312" panose="02010609030101010101" pitchFamily="3" charset="-122"/>
              <a:ea typeface="仿宋_GB2312" panose="02010609030101010101" pitchFamily="3" charset="-122"/>
            </a:endParaRPr>
          </a:p>
        </c:rich>
      </c:tx>
      <c:layout/>
      <c:overlay val="0"/>
      <c:spPr>
        <a:noFill/>
        <a:ln>
          <a:noFill/>
        </a:ln>
        <a:effectLst/>
      </c:spPr>
    </c:title>
    <c:autoTitleDeleted val="0"/>
    <c:plotArea>
      <c:layout/>
      <c:barChart>
        <c:barDir val="col"/>
        <c:grouping val="clustered"/>
        <c:varyColors val="0"/>
        <c:ser>
          <c:idx val="0"/>
          <c:order val="0"/>
          <c:tx>
            <c:strRef>
              <c:f>[绩效评价指标底稿.xlsx]Sheet10!$B$1</c:f>
              <c:strCache>
                <c:ptCount val="1"/>
                <c:pt idx="0">
                  <c:v>标准分值</c:v>
                </c:pt>
              </c:strCache>
            </c:strRef>
          </c:tx>
          <c:spPr>
            <a:solidFill>
              <a:schemeClr val="accent1"/>
            </a:solidFill>
            <a:ln>
              <a:noFill/>
            </a:ln>
            <a:effectLst/>
          </c:spPr>
          <c:invertIfNegative val="0"/>
          <c:dLbls>
            <c:delete val="1"/>
          </c:dLbls>
          <c:cat>
            <c:strRef>
              <c:f>[绩效评价指标底稿.xlsx]Sheet10!$A$2:$A$6</c:f>
              <c:strCache>
                <c:ptCount val="5"/>
                <c:pt idx="0">
                  <c:v>投入</c:v>
                </c:pt>
                <c:pt idx="1">
                  <c:v>过程</c:v>
                </c:pt>
                <c:pt idx="2">
                  <c:v>产出</c:v>
                </c:pt>
                <c:pt idx="3">
                  <c:v>效益</c:v>
                </c:pt>
                <c:pt idx="4">
                  <c:v>综合绩效</c:v>
                </c:pt>
              </c:strCache>
            </c:strRef>
          </c:cat>
          <c:val>
            <c:numRef>
              <c:f>[绩效评价指标底稿.xlsx]Sheet10!$B$2:$B$6</c:f>
              <c:numCache>
                <c:formatCode>General</c:formatCode>
                <c:ptCount val="5"/>
                <c:pt idx="0">
                  <c:v>16</c:v>
                </c:pt>
                <c:pt idx="1">
                  <c:v>24</c:v>
                </c:pt>
                <c:pt idx="2">
                  <c:v>33</c:v>
                </c:pt>
                <c:pt idx="3">
                  <c:v>27</c:v>
                </c:pt>
                <c:pt idx="4">
                  <c:v>100</c:v>
                </c:pt>
              </c:numCache>
            </c:numRef>
          </c:val>
        </c:ser>
        <c:dLbls>
          <c:showLegendKey val="0"/>
          <c:showVal val="0"/>
          <c:showCatName val="0"/>
          <c:showSerName val="0"/>
          <c:showPercent val="0"/>
          <c:showBubbleSize val="0"/>
        </c:dLbls>
        <c:gapWidth val="150"/>
        <c:axId val="174167552"/>
        <c:axId val="174169088"/>
      </c:barChart>
      <c:lineChart>
        <c:grouping val="standard"/>
        <c:varyColors val="0"/>
        <c:ser>
          <c:idx val="1"/>
          <c:order val="1"/>
          <c:tx>
            <c:strRef>
              <c:f>[绩效评价指标底稿.xlsx]Sheet10!$C$1</c:f>
              <c:strCache>
                <c:ptCount val="1"/>
                <c:pt idx="0">
                  <c:v>得分</c:v>
                </c:pt>
              </c:strCache>
            </c:strRef>
          </c:tx>
          <c:spPr>
            <a:ln w="28575" cap="rnd" cmpd="sng" algn="ctr">
              <a:solidFill>
                <a:schemeClr val="accent2"/>
              </a:solidFill>
              <a:prstDash val="solid"/>
              <a:round/>
            </a:ln>
            <a:effectLst/>
          </c:spPr>
          <c:marker>
            <c:symbol val="none"/>
          </c:marker>
          <c:dLbls>
            <c:delete val="1"/>
          </c:dLbls>
          <c:cat>
            <c:strRef>
              <c:f>[绩效评价指标底稿.xlsx]Sheet10!$A$2:$A$6</c:f>
              <c:strCache>
                <c:ptCount val="5"/>
                <c:pt idx="0">
                  <c:v>投入</c:v>
                </c:pt>
                <c:pt idx="1">
                  <c:v>过程</c:v>
                </c:pt>
                <c:pt idx="2">
                  <c:v>产出</c:v>
                </c:pt>
                <c:pt idx="3">
                  <c:v>效益</c:v>
                </c:pt>
                <c:pt idx="4">
                  <c:v>综合绩效</c:v>
                </c:pt>
              </c:strCache>
            </c:strRef>
          </c:cat>
          <c:val>
            <c:numRef>
              <c:f>[绩效评价指标底稿.xlsx]Sheet10!$C$2:$C$6</c:f>
              <c:numCache>
                <c:formatCode>General</c:formatCode>
                <c:ptCount val="5"/>
                <c:pt idx="0">
                  <c:v>15</c:v>
                </c:pt>
                <c:pt idx="1">
                  <c:v>23</c:v>
                </c:pt>
                <c:pt idx="2">
                  <c:v>30</c:v>
                </c:pt>
                <c:pt idx="3">
                  <c:v>24</c:v>
                </c:pt>
                <c:pt idx="4">
                  <c:v>92</c:v>
                </c:pt>
              </c:numCache>
            </c:numRef>
          </c:val>
          <c:smooth val="0"/>
        </c:ser>
        <c:dLbls>
          <c:showLegendKey val="0"/>
          <c:showVal val="0"/>
          <c:showCatName val="0"/>
          <c:showSerName val="0"/>
          <c:showPercent val="0"/>
          <c:showBubbleSize val="0"/>
        </c:dLbls>
        <c:marker val="0"/>
        <c:smooth val="0"/>
        <c:axId val="174167552"/>
        <c:axId val="174169088"/>
      </c:lineChart>
      <c:catAx>
        <c:axId val="1741675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4169088"/>
        <c:crosses val="autoZero"/>
        <c:auto val="1"/>
        <c:lblAlgn val="ctr"/>
        <c:lblOffset val="100"/>
        <c:noMultiLvlLbl val="0"/>
      </c:catAx>
      <c:valAx>
        <c:axId val="174169088"/>
        <c:scaling>
          <c:orientation val="minMax"/>
        </c:scaling>
        <c:delete val="0"/>
        <c:axPos val="l"/>
        <c:majorGridlines>
          <c:spPr>
            <a:ln w="9525" cap="flat" cmpd="sng" algn="ctr">
              <a:solidFill>
                <a:schemeClr val="tx1">
                  <a:lumMod val="15000"/>
                  <a:lumOff val="85000"/>
                </a:schemeClr>
              </a:solidFill>
              <a:prstDash val="solid"/>
              <a:round/>
            </a:ln>
            <a:effectLst/>
          </c:spPr>
        </c:majorGridlines>
        <c:minorGridlines>
          <c:spPr>
            <a:ln w="6350" cap="flat" cmpd="sng" algn="ctr">
              <a:noFill/>
              <a:prstDash val="solid"/>
              <a:round/>
            </a:ln>
          </c:spPr>
        </c:min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416755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dTable>
      <c:spPr>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投入指标得分情况</a:t>
            </a:r>
            <a:endParaRPr sz="1400" b="0" i="0" u="none" strike="noStrike" baseline="0">
              <a:solidFill>
                <a:srgbClr val="595959">
                  <a:alpha val="100000"/>
                </a:srgbClr>
              </a:solidFill>
              <a:latin typeface="宋体" panose="02010600030101010101" charset="-122"/>
              <a:ea typeface="宋体" panose="02010600030101010101" charset="-122"/>
              <a:cs typeface="宋体" panose="02010600030101010101" charset="-122"/>
            </a:endParaRPr>
          </a:p>
        </c:rich>
      </c:tx>
      <c:layout/>
      <c:overlay val="0"/>
      <c:spPr>
        <a:noFill/>
        <a:ln>
          <a:noFill/>
        </a:ln>
        <a:effectLst/>
      </c:spPr>
    </c:title>
    <c:autoTitleDeleted val="0"/>
    <c:plotArea>
      <c:layout/>
      <c:barChart>
        <c:barDir val="col"/>
        <c:grouping val="clustered"/>
        <c:varyColors val="0"/>
        <c:ser>
          <c:idx val="0"/>
          <c:order val="0"/>
          <c:tx>
            <c:strRef>
              <c:f>[管网报告得分表格.xls]Sheet1!$J$1</c:f>
              <c:strCache>
                <c:ptCount val="1"/>
                <c:pt idx="0">
                  <c:v>指标分值</c:v>
                </c:pt>
              </c:strCache>
            </c:strRef>
          </c:tx>
          <c:spPr>
            <a:solidFill>
              <a:schemeClr val="accent1"/>
            </a:solidFill>
            <a:ln>
              <a:noFill/>
            </a:ln>
            <a:effectLst/>
          </c:spPr>
          <c:invertIfNegative val="0"/>
          <c:dLbls>
            <c:delete val="1"/>
          </c:dLbls>
          <c:cat>
            <c:strRef>
              <c:f>[管网报告得分表格.xls]Sheet1!$I$2:$I$5</c:f>
              <c:strCache>
                <c:ptCount val="4"/>
                <c:pt idx="0">
                  <c:v>项目立项规范性</c:v>
                </c:pt>
                <c:pt idx="1">
                  <c:v>绩效目标合理性</c:v>
                </c:pt>
                <c:pt idx="2">
                  <c:v>资金到位率</c:v>
                </c:pt>
                <c:pt idx="3">
                  <c:v>到位及时率</c:v>
                </c:pt>
              </c:strCache>
            </c:strRef>
          </c:cat>
          <c:val>
            <c:numRef>
              <c:f>[管网报告得分表格.xls]Sheet1!$J$2:$J$5</c:f>
              <c:numCache>
                <c:formatCode>General</c:formatCode>
                <c:ptCount val="4"/>
                <c:pt idx="0">
                  <c:v>4</c:v>
                </c:pt>
                <c:pt idx="1">
                  <c:v>4</c:v>
                </c:pt>
                <c:pt idx="2">
                  <c:v>4</c:v>
                </c:pt>
                <c:pt idx="3">
                  <c:v>4</c:v>
                </c:pt>
              </c:numCache>
            </c:numRef>
          </c:val>
        </c:ser>
        <c:dLbls>
          <c:showLegendKey val="0"/>
          <c:showVal val="0"/>
          <c:showCatName val="0"/>
          <c:showSerName val="0"/>
          <c:showPercent val="0"/>
          <c:showBubbleSize val="0"/>
        </c:dLbls>
        <c:gapWidth val="219"/>
        <c:overlap val="-27"/>
        <c:axId val="836536154"/>
        <c:axId val="855971196"/>
      </c:barChart>
      <c:lineChart>
        <c:grouping val="standard"/>
        <c:varyColors val="0"/>
        <c:ser>
          <c:idx val="1"/>
          <c:order val="1"/>
          <c:tx>
            <c:strRef>
              <c:f>[管网报告得分表格.xls]Sheet1!$K$1</c:f>
              <c:strCache>
                <c:ptCount val="1"/>
                <c:pt idx="0">
                  <c:v>指标评分</c:v>
                </c:pt>
              </c:strCache>
            </c:strRef>
          </c:tx>
          <c:spPr>
            <a:ln w="28575" cap="rnd" cmpd="sng" algn="ctr">
              <a:solidFill>
                <a:schemeClr val="accent2"/>
              </a:solidFill>
              <a:prstDash val="solid"/>
              <a:round/>
            </a:ln>
            <a:effectLst/>
          </c:spPr>
          <c:marker>
            <c:symbol val="none"/>
          </c:marker>
          <c:dLbls>
            <c:delete val="1"/>
          </c:dLbls>
          <c:cat>
            <c:strRef>
              <c:f>[管网报告得分表格.xls]Sheet1!$I$2:$I$5</c:f>
              <c:strCache>
                <c:ptCount val="4"/>
                <c:pt idx="0">
                  <c:v>项目立项规范性</c:v>
                </c:pt>
                <c:pt idx="1">
                  <c:v>绩效目标合理性</c:v>
                </c:pt>
                <c:pt idx="2">
                  <c:v>资金到位率</c:v>
                </c:pt>
                <c:pt idx="3">
                  <c:v>到位及时率</c:v>
                </c:pt>
              </c:strCache>
            </c:strRef>
          </c:cat>
          <c:val>
            <c:numRef>
              <c:f>[管网报告得分表格.xls]Sheet1!$K$2:$K$5</c:f>
              <c:numCache>
                <c:formatCode>General</c:formatCode>
                <c:ptCount val="4"/>
                <c:pt idx="0">
                  <c:v>4</c:v>
                </c:pt>
                <c:pt idx="1">
                  <c:v>3</c:v>
                </c:pt>
                <c:pt idx="2">
                  <c:v>4</c:v>
                </c:pt>
                <c:pt idx="3">
                  <c:v>4</c:v>
                </c:pt>
              </c:numCache>
            </c:numRef>
          </c:val>
          <c:smooth val="0"/>
        </c:ser>
        <c:dLbls>
          <c:showLegendKey val="0"/>
          <c:showVal val="0"/>
          <c:showCatName val="0"/>
          <c:showSerName val="0"/>
          <c:showPercent val="0"/>
          <c:showBubbleSize val="0"/>
        </c:dLbls>
        <c:marker val="0"/>
        <c:smooth val="0"/>
        <c:axId val="836536154"/>
        <c:axId val="855971196"/>
      </c:lineChart>
      <c:catAx>
        <c:axId val="83653615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55971196"/>
        <c:crosses val="autoZero"/>
        <c:auto val="1"/>
        <c:lblAlgn val="ctr"/>
        <c:lblOffset val="100"/>
        <c:noMultiLvlLbl val="0"/>
      </c:catAx>
      <c:valAx>
        <c:axId val="85597119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36536154"/>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noFill/>
    <a:ln w="9525" cap="flat" cmpd="sng" algn="ctr">
      <a:noFill/>
      <a:prstDash val="solid"/>
      <a:round/>
    </a:ln>
    <a:effectLst/>
  </c:spPr>
  <c:txPr>
    <a:bodyPr wrap="square"/>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过程指标得分情况</a:t>
            </a:r>
            <a:endParaRPr sz="1400" b="0" i="0" u="none" strike="noStrike" baseline="0">
              <a:solidFill>
                <a:srgbClr val="595959">
                  <a:alpha val="100000"/>
                </a:srgbClr>
              </a:solidFill>
              <a:latin typeface="宋体" panose="02010600030101010101" charset="-122"/>
              <a:ea typeface="宋体" panose="02010600030101010101" charset="-122"/>
              <a:cs typeface="宋体" panose="02010600030101010101" charset="-122"/>
            </a:endParaRPr>
          </a:p>
        </c:rich>
      </c:tx>
      <c:layout/>
      <c:overlay val="0"/>
      <c:spPr>
        <a:noFill/>
        <a:ln>
          <a:noFill/>
        </a:ln>
        <a:effectLst/>
      </c:spPr>
    </c:title>
    <c:autoTitleDeleted val="0"/>
    <c:plotArea>
      <c:layout/>
      <c:barChart>
        <c:barDir val="col"/>
        <c:grouping val="clustered"/>
        <c:varyColors val="0"/>
        <c:ser>
          <c:idx val="0"/>
          <c:order val="0"/>
          <c:tx>
            <c:strRef>
              <c:f>[管网报告得分表格.xls]Sheet1!$O$1</c:f>
              <c:strCache>
                <c:ptCount val="1"/>
                <c:pt idx="0">
                  <c:v>指标分值</c:v>
                </c:pt>
              </c:strCache>
            </c:strRef>
          </c:tx>
          <c:spPr>
            <a:solidFill>
              <a:schemeClr val="accent1"/>
            </a:solidFill>
            <a:ln>
              <a:noFill/>
            </a:ln>
            <a:effectLst/>
          </c:spPr>
          <c:invertIfNegative val="0"/>
          <c:dLbls>
            <c:delete val="1"/>
          </c:dLbls>
          <c:cat>
            <c:strRef>
              <c:f>[管网报告得分表格.xls]Sheet1!$N$2:$N$7</c:f>
              <c:strCache>
                <c:ptCount val="6"/>
                <c:pt idx="0">
                  <c:v>管理制度健全性</c:v>
                </c:pt>
                <c:pt idx="1">
                  <c:v>制度执行有效性</c:v>
                </c:pt>
                <c:pt idx="2">
                  <c:v>项目质量可控性</c:v>
                </c:pt>
                <c:pt idx="3">
                  <c:v>管理制度健全性</c:v>
                </c:pt>
                <c:pt idx="4">
                  <c:v>资金使用合规性</c:v>
                </c:pt>
                <c:pt idx="5">
                  <c:v>财务监控有效性</c:v>
                </c:pt>
              </c:strCache>
            </c:strRef>
          </c:cat>
          <c:val>
            <c:numRef>
              <c:f>[管网报告得分表格.xls]Sheet1!$O$2:$O$7</c:f>
              <c:numCache>
                <c:formatCode>General</c:formatCode>
                <c:ptCount val="6"/>
                <c:pt idx="0">
                  <c:v>4</c:v>
                </c:pt>
                <c:pt idx="1">
                  <c:v>4</c:v>
                </c:pt>
                <c:pt idx="2">
                  <c:v>4</c:v>
                </c:pt>
                <c:pt idx="3">
                  <c:v>4</c:v>
                </c:pt>
                <c:pt idx="4">
                  <c:v>5</c:v>
                </c:pt>
                <c:pt idx="5">
                  <c:v>3</c:v>
                </c:pt>
              </c:numCache>
            </c:numRef>
          </c:val>
        </c:ser>
        <c:dLbls>
          <c:showLegendKey val="0"/>
          <c:showVal val="0"/>
          <c:showCatName val="0"/>
          <c:showSerName val="0"/>
          <c:showPercent val="0"/>
          <c:showBubbleSize val="0"/>
        </c:dLbls>
        <c:gapWidth val="219"/>
        <c:overlap val="-27"/>
        <c:axId val="452961855"/>
        <c:axId val="776836637"/>
      </c:barChart>
      <c:lineChart>
        <c:grouping val="standard"/>
        <c:varyColors val="0"/>
        <c:ser>
          <c:idx val="1"/>
          <c:order val="1"/>
          <c:tx>
            <c:strRef>
              <c:f>[管网报告得分表格.xls]Sheet1!$P$1</c:f>
              <c:strCache>
                <c:ptCount val="1"/>
                <c:pt idx="0">
                  <c:v>指标评分</c:v>
                </c:pt>
              </c:strCache>
            </c:strRef>
          </c:tx>
          <c:spPr>
            <a:ln w="28575" cap="rnd" cmpd="sng" algn="ctr">
              <a:solidFill>
                <a:schemeClr val="accent2"/>
              </a:solidFill>
              <a:prstDash val="solid"/>
              <a:round/>
            </a:ln>
            <a:effectLst/>
          </c:spPr>
          <c:marker>
            <c:symbol val="none"/>
          </c:marker>
          <c:dLbls>
            <c:delete val="1"/>
          </c:dLbls>
          <c:cat>
            <c:strRef>
              <c:f>[管网报告得分表格.xls]Sheet1!$N$2:$N$7</c:f>
              <c:strCache>
                <c:ptCount val="6"/>
                <c:pt idx="0">
                  <c:v>管理制度健全性</c:v>
                </c:pt>
                <c:pt idx="1">
                  <c:v>制度执行有效性</c:v>
                </c:pt>
                <c:pt idx="2">
                  <c:v>项目质量可控性</c:v>
                </c:pt>
                <c:pt idx="3">
                  <c:v>管理制度健全性</c:v>
                </c:pt>
                <c:pt idx="4">
                  <c:v>资金使用合规性</c:v>
                </c:pt>
                <c:pt idx="5">
                  <c:v>财务监控有效性</c:v>
                </c:pt>
              </c:strCache>
            </c:strRef>
          </c:cat>
          <c:val>
            <c:numRef>
              <c:f>[管网报告得分表格.xls]Sheet1!$P$2:$P$7</c:f>
              <c:numCache>
                <c:formatCode>General</c:formatCode>
                <c:ptCount val="6"/>
                <c:pt idx="0">
                  <c:v>4</c:v>
                </c:pt>
                <c:pt idx="1">
                  <c:v>4</c:v>
                </c:pt>
                <c:pt idx="2">
                  <c:v>4</c:v>
                </c:pt>
                <c:pt idx="3">
                  <c:v>3</c:v>
                </c:pt>
                <c:pt idx="4">
                  <c:v>5</c:v>
                </c:pt>
                <c:pt idx="5">
                  <c:v>3</c:v>
                </c:pt>
              </c:numCache>
            </c:numRef>
          </c:val>
          <c:smooth val="0"/>
        </c:ser>
        <c:dLbls>
          <c:showLegendKey val="0"/>
          <c:showVal val="0"/>
          <c:showCatName val="0"/>
          <c:showSerName val="0"/>
          <c:showPercent val="0"/>
          <c:showBubbleSize val="0"/>
        </c:dLbls>
        <c:marker val="0"/>
        <c:smooth val="0"/>
        <c:axId val="452961855"/>
        <c:axId val="776836637"/>
      </c:lineChart>
      <c:catAx>
        <c:axId val="452961855"/>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76836637"/>
        <c:crosses val="autoZero"/>
        <c:auto val="1"/>
        <c:lblAlgn val="ctr"/>
        <c:lblOffset val="100"/>
        <c:noMultiLvlLbl val="0"/>
      </c:catAx>
      <c:valAx>
        <c:axId val="776836637"/>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52961855"/>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noFill/>
      <a:prstDash val="solid"/>
      <a:round/>
    </a:ln>
    <a:effectLst/>
  </c:spPr>
  <c:txPr>
    <a:bodyPr wrap="square"/>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ysClr val="windowText" lastClr="000000"/>
                </a:solidFill>
                <a:latin typeface="+mn-lt"/>
                <a:ea typeface="+mn-ea"/>
                <a:cs typeface="+mn-cs"/>
              </a:defRPr>
            </a:pPr>
            <a:r>
              <a:rPr lang="zh-CN" altLang="en-US">
                <a:solidFill>
                  <a:sysClr val="windowText" lastClr="000000"/>
                </a:solidFill>
              </a:rPr>
              <a:t>产出指标得分情况</a:t>
            </a:r>
            <a:endParaRPr lang="zh-CN" altLang="en-US">
              <a:solidFill>
                <a:sysClr val="windowText" lastClr="000000"/>
              </a:solidFill>
            </a:endParaRPr>
          </a:p>
        </c:rich>
      </c:tx>
      <c:layout/>
      <c:overlay val="0"/>
      <c:spPr>
        <a:noFill/>
        <a:ln>
          <a:noFill/>
        </a:ln>
        <a:effectLst/>
      </c:spPr>
    </c:title>
    <c:autoTitleDeleted val="0"/>
    <c:plotArea>
      <c:layout/>
      <c:barChart>
        <c:barDir val="col"/>
        <c:grouping val="clustered"/>
        <c:varyColors val="0"/>
        <c:ser>
          <c:idx val="0"/>
          <c:order val="0"/>
          <c:tx>
            <c:strRef>
              <c:f>[绩效评价指标底稿.xlsx]Sheet11!$B$1</c:f>
              <c:strCache>
                <c:ptCount val="1"/>
                <c:pt idx="0">
                  <c:v>指标分值</c:v>
                </c:pt>
              </c:strCache>
            </c:strRef>
          </c:tx>
          <c:spPr>
            <a:solidFill>
              <a:schemeClr val="accent1"/>
            </a:solidFill>
            <a:ln>
              <a:noFill/>
            </a:ln>
            <a:effectLst/>
          </c:spPr>
          <c:invertIfNegative val="0"/>
          <c:dLbls>
            <c:delete val="1"/>
          </c:dLbls>
          <c:cat>
            <c:strRef>
              <c:f>[绩效评价指标底稿.xlsx]Sheet11!$A$2:$A$8</c:f>
              <c:strCache>
                <c:ptCount val="7"/>
                <c:pt idx="0">
                  <c:v>研讨会召开完成率</c:v>
                </c:pt>
                <c:pt idx="1">
                  <c:v>考察调研次数</c:v>
                </c:pt>
                <c:pt idx="2">
                  <c:v>规划编制完善率</c:v>
                </c:pt>
                <c:pt idx="3">
                  <c:v>研讨会形成成果率</c:v>
                </c:pt>
                <c:pt idx="4">
                  <c:v>咨询报告验收率</c:v>
                </c:pt>
                <c:pt idx="5">
                  <c:v>规划成果验收完成率</c:v>
                </c:pt>
                <c:pt idx="6">
                  <c:v>资金使用率</c:v>
                </c:pt>
              </c:strCache>
            </c:strRef>
          </c:cat>
          <c:val>
            <c:numRef>
              <c:f>[绩效评价指标底稿.xlsx]Sheet11!$B$2:$B$8</c:f>
              <c:numCache>
                <c:formatCode>General</c:formatCode>
                <c:ptCount val="7"/>
                <c:pt idx="0">
                  <c:v>3</c:v>
                </c:pt>
                <c:pt idx="1">
                  <c:v>5</c:v>
                </c:pt>
                <c:pt idx="2">
                  <c:v>5</c:v>
                </c:pt>
                <c:pt idx="3">
                  <c:v>5</c:v>
                </c:pt>
                <c:pt idx="4">
                  <c:v>5</c:v>
                </c:pt>
                <c:pt idx="5">
                  <c:v>5</c:v>
                </c:pt>
                <c:pt idx="6">
                  <c:v>5</c:v>
                </c:pt>
              </c:numCache>
            </c:numRef>
          </c:val>
        </c:ser>
        <c:dLbls>
          <c:showLegendKey val="0"/>
          <c:showVal val="0"/>
          <c:showCatName val="0"/>
          <c:showSerName val="0"/>
          <c:showPercent val="0"/>
          <c:showBubbleSize val="0"/>
        </c:dLbls>
        <c:gapWidth val="150"/>
        <c:axId val="174102400"/>
        <c:axId val="174103936"/>
      </c:barChart>
      <c:lineChart>
        <c:grouping val="standard"/>
        <c:varyColors val="0"/>
        <c:ser>
          <c:idx val="1"/>
          <c:order val="1"/>
          <c:tx>
            <c:strRef>
              <c:f>[绩效评价指标底稿.xlsx]Sheet11!$C$1</c:f>
              <c:strCache>
                <c:ptCount val="1"/>
                <c:pt idx="0">
                  <c:v>指标评分</c:v>
                </c:pt>
              </c:strCache>
            </c:strRef>
          </c:tx>
          <c:spPr>
            <a:ln w="28575" cap="rnd" cmpd="sng" algn="ctr">
              <a:solidFill>
                <a:schemeClr val="accent2"/>
              </a:solidFill>
              <a:prstDash val="solid"/>
              <a:round/>
            </a:ln>
            <a:effectLst/>
          </c:spPr>
          <c:marker>
            <c:symbol val="none"/>
          </c:marker>
          <c:dLbls>
            <c:delete val="1"/>
          </c:dLbls>
          <c:cat>
            <c:strRef>
              <c:f>[绩效评价指标底稿.xlsx]Sheet11!$A$2:$A$8</c:f>
              <c:strCache>
                <c:ptCount val="7"/>
                <c:pt idx="0">
                  <c:v>研讨会召开完成率</c:v>
                </c:pt>
                <c:pt idx="1">
                  <c:v>考察调研次数</c:v>
                </c:pt>
                <c:pt idx="2">
                  <c:v>规划编制完善率</c:v>
                </c:pt>
                <c:pt idx="3">
                  <c:v>研讨会形成成果率</c:v>
                </c:pt>
                <c:pt idx="4">
                  <c:v>咨询报告验收率</c:v>
                </c:pt>
                <c:pt idx="5">
                  <c:v>规划成果验收完成率</c:v>
                </c:pt>
                <c:pt idx="6">
                  <c:v>资金使用率</c:v>
                </c:pt>
              </c:strCache>
            </c:strRef>
          </c:cat>
          <c:val>
            <c:numRef>
              <c:f>[绩效评价指标底稿.xlsx]Sheet11!$C$2:$C$8</c:f>
              <c:numCache>
                <c:formatCode>General</c:formatCode>
                <c:ptCount val="7"/>
                <c:pt idx="0">
                  <c:v>3</c:v>
                </c:pt>
                <c:pt idx="1">
                  <c:v>2</c:v>
                </c:pt>
                <c:pt idx="2">
                  <c:v>5</c:v>
                </c:pt>
                <c:pt idx="3">
                  <c:v>5</c:v>
                </c:pt>
                <c:pt idx="4">
                  <c:v>5</c:v>
                </c:pt>
                <c:pt idx="5">
                  <c:v>5</c:v>
                </c:pt>
                <c:pt idx="6">
                  <c:v>5</c:v>
                </c:pt>
              </c:numCache>
            </c:numRef>
          </c:val>
          <c:smooth val="0"/>
        </c:ser>
        <c:dLbls>
          <c:showLegendKey val="0"/>
          <c:showVal val="0"/>
          <c:showCatName val="0"/>
          <c:showSerName val="0"/>
          <c:showPercent val="0"/>
          <c:showBubbleSize val="0"/>
        </c:dLbls>
        <c:marker val="0"/>
        <c:smooth val="0"/>
        <c:axId val="174102400"/>
        <c:axId val="174103936"/>
      </c:lineChart>
      <c:catAx>
        <c:axId val="17410240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4103936"/>
        <c:crosses val="autoZero"/>
        <c:auto val="1"/>
        <c:lblAlgn val="ctr"/>
        <c:lblOffset val="100"/>
        <c:noMultiLvlLbl val="0"/>
      </c:catAx>
      <c:valAx>
        <c:axId val="17410393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4102400"/>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dTable>
    </c:plotArea>
    <c:plotVisOnly val="1"/>
    <c:dispBlanksAs val="gap"/>
    <c:showDLblsOverMax val="0"/>
  </c:chart>
  <c:spPr>
    <a:solidFill>
      <a:schemeClr val="bg1"/>
    </a:solidFill>
    <a:ln w="9525" cap="flat" cmpd="sng" algn="ctr">
      <a:no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效益指标得分情况</a:t>
            </a:r>
            <a:endParaRPr lang="zh-CN" altLang="en-US"/>
          </a:p>
        </c:rich>
      </c:tx>
      <c:layout/>
      <c:overlay val="0"/>
      <c:spPr>
        <a:noFill/>
        <a:ln>
          <a:noFill/>
        </a:ln>
        <a:effectLst/>
      </c:spPr>
    </c:title>
    <c:autoTitleDeleted val="0"/>
    <c:plotArea>
      <c:layout/>
      <c:barChart>
        <c:barDir val="col"/>
        <c:grouping val="clustered"/>
        <c:varyColors val="0"/>
        <c:ser>
          <c:idx val="0"/>
          <c:order val="0"/>
          <c:tx>
            <c:strRef>
              <c:f>[绩效评价指标底稿.xlsx]Sheet13!$B$1</c:f>
              <c:strCache>
                <c:ptCount val="1"/>
                <c:pt idx="0">
                  <c:v>权重</c:v>
                </c:pt>
              </c:strCache>
            </c:strRef>
          </c:tx>
          <c:spPr>
            <a:solidFill>
              <a:schemeClr val="accent1"/>
            </a:solidFill>
            <a:ln>
              <a:noFill/>
            </a:ln>
            <a:effectLst/>
          </c:spPr>
          <c:invertIfNegative val="0"/>
          <c:dLbls>
            <c:delete val="1"/>
          </c:dLbls>
          <c:cat>
            <c:strRef>
              <c:f>[绩效评价指标底稿.xlsx]Sheet13!$A$2:$A$7</c:f>
              <c:strCache>
                <c:ptCount val="6"/>
                <c:pt idx="0">
                  <c:v>编制成果提交及时率</c:v>
                </c:pt>
                <c:pt idx="1">
                  <c:v>调研成果完成率</c:v>
                </c:pt>
                <c:pt idx="2">
                  <c:v>规划文本宣传度</c:v>
                </c:pt>
                <c:pt idx="3">
                  <c:v>提升地区经济</c:v>
                </c:pt>
                <c:pt idx="4">
                  <c:v>可持续影响</c:v>
                </c:pt>
                <c:pt idx="5">
                  <c:v>社会公众满意度</c:v>
                </c:pt>
              </c:strCache>
            </c:strRef>
          </c:cat>
          <c:val>
            <c:numRef>
              <c:f>[绩效评价指标底稿.xlsx]Sheet13!$B$2:$B$7</c:f>
              <c:numCache>
                <c:formatCode>General</c:formatCode>
                <c:ptCount val="6"/>
                <c:pt idx="0">
                  <c:v>4</c:v>
                </c:pt>
                <c:pt idx="1">
                  <c:v>4</c:v>
                </c:pt>
                <c:pt idx="2">
                  <c:v>4</c:v>
                </c:pt>
                <c:pt idx="3">
                  <c:v>4</c:v>
                </c:pt>
                <c:pt idx="4">
                  <c:v>5</c:v>
                </c:pt>
                <c:pt idx="5">
                  <c:v>6</c:v>
                </c:pt>
              </c:numCache>
            </c:numRef>
          </c:val>
        </c:ser>
        <c:dLbls>
          <c:showLegendKey val="0"/>
          <c:showVal val="0"/>
          <c:showCatName val="0"/>
          <c:showSerName val="0"/>
          <c:showPercent val="0"/>
          <c:showBubbleSize val="0"/>
        </c:dLbls>
        <c:gapWidth val="150"/>
        <c:axId val="177850624"/>
        <c:axId val="177864704"/>
      </c:barChart>
      <c:lineChart>
        <c:grouping val="standard"/>
        <c:varyColors val="0"/>
        <c:ser>
          <c:idx val="1"/>
          <c:order val="1"/>
          <c:tx>
            <c:strRef>
              <c:f>[绩效评价指标底稿.xlsx]Sheet13!$C$1</c:f>
              <c:strCache>
                <c:ptCount val="1"/>
                <c:pt idx="0">
                  <c:v>得分</c:v>
                </c:pt>
              </c:strCache>
            </c:strRef>
          </c:tx>
          <c:spPr>
            <a:ln w="28575" cap="rnd" cmpd="sng" algn="ctr">
              <a:solidFill>
                <a:schemeClr val="accent2"/>
              </a:solidFill>
              <a:prstDash val="solid"/>
              <a:round/>
            </a:ln>
            <a:effectLst/>
          </c:spPr>
          <c:marker>
            <c:symbol val="none"/>
          </c:marker>
          <c:dLbls>
            <c:delete val="1"/>
          </c:dLbls>
          <c:cat>
            <c:strRef>
              <c:f>[绩效评价指标底稿.xlsx]Sheet13!$A$2:$A$7</c:f>
              <c:strCache>
                <c:ptCount val="6"/>
                <c:pt idx="0">
                  <c:v>编制成果提交及时率</c:v>
                </c:pt>
                <c:pt idx="1">
                  <c:v>调研成果完成率</c:v>
                </c:pt>
                <c:pt idx="2">
                  <c:v>规划文本宣传度</c:v>
                </c:pt>
                <c:pt idx="3">
                  <c:v>提升地区经济</c:v>
                </c:pt>
                <c:pt idx="4">
                  <c:v>可持续影响</c:v>
                </c:pt>
                <c:pt idx="5">
                  <c:v>社会公众满意度</c:v>
                </c:pt>
              </c:strCache>
            </c:strRef>
          </c:cat>
          <c:val>
            <c:numRef>
              <c:f>[绩效评价指标底稿.xlsx]Sheet13!$C$2:$C$7</c:f>
              <c:numCache>
                <c:formatCode>General</c:formatCode>
                <c:ptCount val="6"/>
                <c:pt idx="0">
                  <c:v>4</c:v>
                </c:pt>
                <c:pt idx="1">
                  <c:v>4</c:v>
                </c:pt>
                <c:pt idx="2">
                  <c:v>4</c:v>
                </c:pt>
                <c:pt idx="3">
                  <c:v>4</c:v>
                </c:pt>
                <c:pt idx="4">
                  <c:v>2</c:v>
                </c:pt>
                <c:pt idx="5">
                  <c:v>6</c:v>
                </c:pt>
              </c:numCache>
            </c:numRef>
          </c:val>
          <c:smooth val="0"/>
        </c:ser>
        <c:dLbls>
          <c:showLegendKey val="0"/>
          <c:showVal val="0"/>
          <c:showCatName val="0"/>
          <c:showSerName val="0"/>
          <c:showPercent val="0"/>
          <c:showBubbleSize val="0"/>
        </c:dLbls>
        <c:marker val="0"/>
        <c:smooth val="0"/>
        <c:axId val="177850624"/>
        <c:axId val="177864704"/>
      </c:lineChart>
      <c:catAx>
        <c:axId val="17785062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7864704"/>
        <c:crosses val="autoZero"/>
        <c:auto val="1"/>
        <c:lblAlgn val="ctr"/>
        <c:lblOffset val="100"/>
        <c:noMultiLvlLbl val="0"/>
      </c:catAx>
      <c:valAx>
        <c:axId val="17786470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7850624"/>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solidFill>
            <a:schemeClr val="tx1">
              <a:lumMod val="15000"/>
              <a:lumOff val="85000"/>
            </a:schemeClr>
          </a:solid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solidFill>
                  <a:sysClr val="windowText" lastClr="000000"/>
                </a:solidFill>
              </a:rPr>
              <a:t>智能家居指标评分情况</a:t>
            </a:r>
            <a:endParaRPr lang="zh-CN" altLang="en-US">
              <a:solidFill>
                <a:sysClr val="windowText" lastClr="000000"/>
              </a:solidFill>
            </a:endParaRPr>
          </a:p>
        </c:rich>
      </c:tx>
      <c:layout/>
      <c:overlay val="0"/>
      <c:spPr>
        <a:noFill/>
        <a:ln>
          <a:noFill/>
        </a:ln>
        <a:effectLst/>
      </c:spPr>
    </c:title>
    <c:autoTitleDeleted val="0"/>
    <c:plotArea>
      <c:layout/>
      <c:barChart>
        <c:barDir val="col"/>
        <c:grouping val="clustered"/>
        <c:varyColors val="0"/>
        <c:ser>
          <c:idx val="0"/>
          <c:order val="0"/>
          <c:tx>
            <c:strRef>
              <c:f>[绩效评价指标底稿.xlsx]Sheet10!$B$1</c:f>
              <c:strCache>
                <c:ptCount val="1"/>
                <c:pt idx="0">
                  <c:v>标准分值</c:v>
                </c:pt>
              </c:strCache>
            </c:strRef>
          </c:tx>
          <c:spPr>
            <a:solidFill>
              <a:schemeClr val="accent1"/>
            </a:solidFill>
            <a:ln>
              <a:noFill/>
            </a:ln>
            <a:effectLst/>
          </c:spPr>
          <c:invertIfNegative val="0"/>
          <c:dLbls>
            <c:delete val="1"/>
          </c:dLbls>
          <c:cat>
            <c:strRef>
              <c:f>[绩效评价指标底稿.xlsx]Sheet10!$A$2:$A$6</c:f>
              <c:strCache>
                <c:ptCount val="5"/>
                <c:pt idx="0">
                  <c:v>投入</c:v>
                </c:pt>
                <c:pt idx="1">
                  <c:v>过程</c:v>
                </c:pt>
                <c:pt idx="2">
                  <c:v>产出</c:v>
                </c:pt>
                <c:pt idx="3">
                  <c:v>效益</c:v>
                </c:pt>
                <c:pt idx="4">
                  <c:v>综合绩效</c:v>
                </c:pt>
              </c:strCache>
            </c:strRef>
          </c:cat>
          <c:val>
            <c:numRef>
              <c:f>[绩效评价指标底稿.xlsx]Sheet10!$B$2:$B$6</c:f>
              <c:numCache>
                <c:formatCode>General</c:formatCode>
                <c:ptCount val="5"/>
                <c:pt idx="0">
                  <c:v>16</c:v>
                </c:pt>
                <c:pt idx="1">
                  <c:v>24</c:v>
                </c:pt>
                <c:pt idx="2">
                  <c:v>33</c:v>
                </c:pt>
                <c:pt idx="3">
                  <c:v>27</c:v>
                </c:pt>
                <c:pt idx="4">
                  <c:v>100</c:v>
                </c:pt>
              </c:numCache>
            </c:numRef>
          </c:val>
        </c:ser>
        <c:dLbls>
          <c:showLegendKey val="0"/>
          <c:showVal val="0"/>
          <c:showCatName val="0"/>
          <c:showSerName val="0"/>
          <c:showPercent val="0"/>
          <c:showBubbleSize val="0"/>
        </c:dLbls>
        <c:gapWidth val="150"/>
        <c:axId val="174167552"/>
        <c:axId val="174169088"/>
      </c:barChart>
      <c:lineChart>
        <c:grouping val="standard"/>
        <c:varyColors val="0"/>
        <c:ser>
          <c:idx val="1"/>
          <c:order val="1"/>
          <c:tx>
            <c:strRef>
              <c:f>[绩效评价指标底稿.xlsx]Sheet10!$C$1</c:f>
              <c:strCache>
                <c:ptCount val="1"/>
                <c:pt idx="0">
                  <c:v>得分</c:v>
                </c:pt>
              </c:strCache>
            </c:strRef>
          </c:tx>
          <c:spPr>
            <a:ln w="28575" cap="rnd" cmpd="sng" algn="ctr">
              <a:solidFill>
                <a:schemeClr val="accent2"/>
              </a:solidFill>
              <a:prstDash val="solid"/>
              <a:round/>
            </a:ln>
            <a:effectLst/>
          </c:spPr>
          <c:marker>
            <c:symbol val="none"/>
          </c:marker>
          <c:dLbls>
            <c:delete val="1"/>
          </c:dLbls>
          <c:cat>
            <c:strRef>
              <c:f>[绩效评价指标底稿.xlsx]Sheet10!$A$2:$A$6</c:f>
              <c:strCache>
                <c:ptCount val="5"/>
                <c:pt idx="0">
                  <c:v>投入</c:v>
                </c:pt>
                <c:pt idx="1">
                  <c:v>过程</c:v>
                </c:pt>
                <c:pt idx="2">
                  <c:v>产出</c:v>
                </c:pt>
                <c:pt idx="3">
                  <c:v>效益</c:v>
                </c:pt>
                <c:pt idx="4">
                  <c:v>综合绩效</c:v>
                </c:pt>
              </c:strCache>
            </c:strRef>
          </c:cat>
          <c:val>
            <c:numRef>
              <c:f>[绩效评价指标底稿.xlsx]Sheet10!$C$2:$C$6</c:f>
              <c:numCache>
                <c:formatCode>General</c:formatCode>
                <c:ptCount val="5"/>
                <c:pt idx="0">
                  <c:v>15</c:v>
                </c:pt>
                <c:pt idx="1">
                  <c:v>23</c:v>
                </c:pt>
                <c:pt idx="2">
                  <c:v>30</c:v>
                </c:pt>
                <c:pt idx="3">
                  <c:v>24</c:v>
                </c:pt>
                <c:pt idx="4">
                  <c:v>92</c:v>
                </c:pt>
              </c:numCache>
            </c:numRef>
          </c:val>
          <c:smooth val="0"/>
        </c:ser>
        <c:dLbls>
          <c:showLegendKey val="0"/>
          <c:showVal val="0"/>
          <c:showCatName val="0"/>
          <c:showSerName val="0"/>
          <c:showPercent val="0"/>
          <c:showBubbleSize val="0"/>
        </c:dLbls>
        <c:marker val="0"/>
        <c:smooth val="0"/>
        <c:axId val="174167552"/>
        <c:axId val="174169088"/>
      </c:lineChart>
      <c:catAx>
        <c:axId val="1741675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4169088"/>
        <c:crosses val="autoZero"/>
        <c:auto val="1"/>
        <c:lblAlgn val="ctr"/>
        <c:lblOffset val="100"/>
        <c:noMultiLvlLbl val="0"/>
      </c:catAx>
      <c:valAx>
        <c:axId val="174169088"/>
        <c:scaling>
          <c:orientation val="minMax"/>
        </c:scaling>
        <c:delete val="0"/>
        <c:axPos val="l"/>
        <c:majorGridlines>
          <c:spPr>
            <a:ln w="9525" cap="flat" cmpd="sng" algn="ctr">
              <a:solidFill>
                <a:schemeClr val="tx1">
                  <a:lumMod val="15000"/>
                  <a:lumOff val="85000"/>
                </a:schemeClr>
              </a:solidFill>
              <a:prstDash val="solid"/>
              <a:round/>
            </a:ln>
            <a:effectLst/>
          </c:spPr>
        </c:majorGridlines>
        <c:minorGridlines>
          <c:spPr>
            <a:ln w="6350" cap="flat" cmpd="sng" algn="ctr">
              <a:noFill/>
              <a:prstDash val="solid"/>
              <a:round/>
            </a:ln>
          </c:spPr>
        </c:min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416755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dTable>
      <c:spPr>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33</Pages>
  <Words>17054</Words>
  <Characters>17455</Characters>
  <Lines>137</Lines>
  <Paragraphs>38</Paragraphs>
  <TotalTime>10</TotalTime>
  <ScaleCrop>false</ScaleCrop>
  <LinksUpToDate>false</LinksUpToDate>
  <CharactersWithSpaces>17520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2018-03-23T09:11:00Z</dcterms:created>
  <dc:creator>冯妍妍/预算绩效管理处（行资处）/湖北省财政厅</dc:creator>
  <cp:lastModifiedBy>徐茫茫</cp:lastModifiedBy>
  <cp:lastPrinted>2019-07-30T04:05:00Z</cp:lastPrinted>
  <dcterms:modified xsi:type="dcterms:W3CDTF">2025-02-14T03:22:47Z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2A2F24CE3DE742629324E1A165FECAB0_12</vt:lpwstr>
  </property>
</Properties>
</file>