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olors1.xml" ContentType="application/vnd.ms-office.chartcolorstyle+xml"/>
  <Override PartName="/word/charts/style1.xml" ContentType="application/vnd.ms-office.chartstyle+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ind w:firstLine="0" w:firstLineChars="0"/>
        <w:jc w:val="both"/>
        <w:rPr>
          <w:rFonts w:ascii="Arial Narrow" w:hAnsi="Arial Narrow" w:cs="Arial Narrow"/>
          <w:b/>
          <w:sz w:val="36"/>
          <w:szCs w:val="36"/>
          <w:highlight w:val="yellow"/>
        </w:rPr>
      </w:pPr>
    </w:p>
    <w:p>
      <w:pPr>
        <w:spacing w:line="560" w:lineRule="exact"/>
        <w:ind w:firstLine="0" w:firstLineChars="0"/>
        <w:jc w:val="center"/>
        <w:rPr>
          <w:rFonts w:ascii="Arial Narrow" w:hAnsi="Arial Narrow" w:cs="Arial Narrow"/>
          <w:b/>
          <w:sz w:val="36"/>
          <w:szCs w:val="36"/>
        </w:rPr>
      </w:pPr>
      <w:r>
        <w:rPr>
          <w:rFonts w:ascii="Arial Narrow" w:hAnsi="Arial Narrow" w:cs="Arial Narrow"/>
          <w:b/>
          <w:sz w:val="36"/>
          <w:szCs w:val="36"/>
        </w:rPr>
        <w:t>武汉经济技术开发区（汉南区）城乡建设局</w:t>
      </w:r>
    </w:p>
    <w:p>
      <w:pPr>
        <w:spacing w:line="560" w:lineRule="exact"/>
        <w:ind w:firstLine="0" w:firstLineChars="0"/>
        <w:jc w:val="center"/>
        <w:rPr>
          <w:rFonts w:ascii="Arial Narrow" w:hAnsi="Arial Narrow" w:cs="Arial Narrow"/>
          <w:b/>
          <w:sz w:val="36"/>
          <w:szCs w:val="36"/>
        </w:rPr>
      </w:pPr>
      <w:r>
        <w:rPr>
          <w:rFonts w:ascii="Arial Narrow" w:hAnsi="Arial Narrow" w:cs="Arial Narrow"/>
          <w:b/>
          <w:sz w:val="36"/>
          <w:szCs w:val="36"/>
        </w:rPr>
        <w:t>新型墙体材料专项基金返退</w:t>
      </w:r>
    </w:p>
    <w:p>
      <w:pPr>
        <w:spacing w:line="560" w:lineRule="exact"/>
        <w:ind w:firstLine="0" w:firstLineChars="0"/>
        <w:jc w:val="center"/>
        <w:rPr>
          <w:rFonts w:ascii="Arial Narrow" w:hAnsi="Arial Narrow" w:cs="Arial Narrow"/>
          <w:b/>
          <w:sz w:val="36"/>
          <w:szCs w:val="36"/>
        </w:rPr>
      </w:pPr>
      <w:r>
        <w:rPr>
          <w:rFonts w:ascii="Arial Narrow" w:hAnsi="Arial Narrow" w:cs="Arial Narrow"/>
          <w:b/>
          <w:sz w:val="36"/>
          <w:szCs w:val="36"/>
        </w:rPr>
        <w:t>2018年度绩效自评报告</w:t>
      </w:r>
    </w:p>
    <w:p>
      <w:pPr>
        <w:ind w:firstLine="480"/>
        <w:rPr>
          <w:rFonts w:ascii="Arial Narrow" w:hAnsi="Arial Narrow" w:cs="Arial Narrow"/>
          <w:highlight w:val="yellow"/>
        </w:rPr>
      </w:pPr>
    </w:p>
    <w:p>
      <w:pPr>
        <w:ind w:firstLine="480"/>
        <w:rPr>
          <w:rFonts w:ascii="Arial Narrow" w:hAnsi="Arial Narrow" w:cs="Arial Narrow"/>
          <w:highlight w:val="yellow"/>
        </w:rPr>
      </w:pPr>
    </w:p>
    <w:p>
      <w:pPr>
        <w:ind w:firstLine="480"/>
        <w:rPr>
          <w:rFonts w:ascii="Arial Narrow" w:hAnsi="Arial Narrow" w:cs="Arial Narrow"/>
          <w:highlight w:val="yellow"/>
        </w:rPr>
      </w:pPr>
    </w:p>
    <w:p>
      <w:pPr>
        <w:ind w:firstLine="0" w:firstLineChars="0"/>
        <w:rPr>
          <w:rFonts w:ascii="Arial Narrow" w:hAnsi="Arial Narrow" w:cs="Arial Narrow"/>
          <w:highlight w:val="yellow"/>
        </w:rPr>
      </w:pPr>
    </w:p>
    <w:p>
      <w:pPr>
        <w:ind w:firstLine="0" w:firstLineChars="0"/>
        <w:rPr>
          <w:rFonts w:ascii="Arial Narrow" w:hAnsi="Arial Narrow" w:cs="Arial Narrow"/>
          <w:highlight w:val="yellow"/>
        </w:rPr>
      </w:pPr>
    </w:p>
    <w:p>
      <w:pPr>
        <w:ind w:firstLine="480"/>
        <w:rPr>
          <w:rFonts w:ascii="Arial Narrow" w:hAnsi="Arial Narrow" w:cs="Arial Narrow"/>
          <w:highlight w:val="yellow"/>
        </w:rPr>
      </w:pPr>
    </w:p>
    <w:p>
      <w:pPr>
        <w:ind w:firstLine="480"/>
        <w:rPr>
          <w:rFonts w:ascii="Arial Narrow" w:hAnsi="Arial Narrow" w:cs="Arial Narrow"/>
          <w:highlight w:val="yellow"/>
        </w:rPr>
      </w:pPr>
    </w:p>
    <w:p>
      <w:pPr>
        <w:ind w:firstLine="480"/>
        <w:rPr>
          <w:rFonts w:ascii="Arial Narrow" w:hAnsi="Arial Narrow" w:cs="Arial Narrow"/>
          <w:highlight w:val="yellow"/>
        </w:rPr>
      </w:pPr>
    </w:p>
    <w:p>
      <w:pPr>
        <w:widowControl/>
        <w:ind w:firstLine="653"/>
        <w:rPr>
          <w:rFonts w:ascii="Arial Narrow" w:hAnsi="Arial Narrow" w:cs="Arial Narrow"/>
          <w:b/>
          <w:bCs/>
          <w:color w:val="000000" w:themeColor="text1"/>
          <w:kern w:val="32"/>
          <w:sz w:val="32"/>
          <w:lang w:bidi="he-IL"/>
          <w14:textFill>
            <w14:solidFill>
              <w14:schemeClr w14:val="tx1"/>
            </w14:solidFill>
          </w14:textFill>
        </w:rPr>
      </w:pPr>
      <w:r>
        <w:rPr>
          <w:rFonts w:ascii="Arial Narrow" w:hAnsi="Arial Narrow" w:cs="Arial Narrow"/>
          <w:b/>
          <w:bCs/>
          <w:color w:val="000000" w:themeColor="text1"/>
          <w:kern w:val="32"/>
          <w:sz w:val="32"/>
          <w:lang w:bidi="he-IL"/>
          <w14:textFill>
            <w14:solidFill>
              <w14:schemeClr w14:val="tx1"/>
            </w14:solidFill>
          </w14:textFill>
        </w:rPr>
        <w:t>项目名称：</w:t>
      </w:r>
      <w:r>
        <w:rPr>
          <w:rFonts w:ascii="Arial Narrow" w:hAnsi="Arial Narrow" w:cs="Arial Narrow"/>
          <w:b/>
          <w:sz w:val="32"/>
          <w:szCs w:val="32"/>
        </w:rPr>
        <w:t>新型墙体材料专项基金返退</w:t>
      </w:r>
    </w:p>
    <w:p>
      <w:pPr>
        <w:widowControl/>
        <w:ind w:left="638" w:leftChars="266" w:firstLine="0" w:firstLineChars="0"/>
        <w:rPr>
          <w:rFonts w:ascii="Arial Narrow" w:hAnsi="Arial Narrow" w:cs="Arial Narrow"/>
          <w:b/>
          <w:bCs/>
          <w:color w:val="000000" w:themeColor="text1"/>
          <w:kern w:val="32"/>
          <w:sz w:val="32"/>
          <w:lang w:bidi="he-IL"/>
          <w14:textFill>
            <w14:solidFill>
              <w14:schemeClr w14:val="tx1"/>
            </w14:solidFill>
          </w14:textFill>
        </w:rPr>
      </w:pPr>
      <w:r>
        <w:rPr>
          <w:rFonts w:ascii="Arial Narrow" w:hAnsi="Arial Narrow" w:cs="Arial Narrow"/>
          <w:b/>
          <w:bCs/>
          <w:color w:val="000000" w:themeColor="text1"/>
          <w:kern w:val="32"/>
          <w:sz w:val="32"/>
          <w:lang w:bidi="he-IL"/>
          <w14:textFill>
            <w14:solidFill>
              <w14:schemeClr w14:val="tx1"/>
            </w14:solidFill>
          </w14:textFill>
        </w:rPr>
        <w:t>项目单位：武汉经济技术开发区（汉南区）城乡建设局主管部门：武汉经济技术开发区（汉南区）城乡建设局</w:t>
      </w:r>
    </w:p>
    <w:p>
      <w:pPr>
        <w:widowControl/>
        <w:ind w:firstLine="653"/>
        <w:rPr>
          <w:rFonts w:ascii="Arial Narrow" w:hAnsi="Arial Narrow" w:cs="Arial Narrow"/>
          <w:b/>
          <w:bCs/>
          <w:color w:val="000000" w:themeColor="text1"/>
          <w:kern w:val="32"/>
          <w:sz w:val="32"/>
          <w:lang w:bidi="he-IL"/>
          <w14:textFill>
            <w14:solidFill>
              <w14:schemeClr w14:val="tx1"/>
            </w14:solidFill>
          </w14:textFill>
        </w:rPr>
      </w:pPr>
      <w:r>
        <w:rPr>
          <w:rFonts w:ascii="Arial Narrow" w:hAnsi="Arial Narrow" w:cs="Arial Narrow"/>
          <w:b/>
          <w:bCs/>
          <w:color w:val="000000" w:themeColor="text1"/>
          <w:kern w:val="32"/>
          <w:sz w:val="32"/>
          <w:lang w:bidi="he-IL"/>
          <w14:textFill>
            <w14:solidFill>
              <w14:schemeClr w14:val="tx1"/>
            </w14:solidFill>
          </w14:textFill>
        </w:rPr>
        <w:t>评价机构：致同会计师事务所（特殊普通合伙）</w:t>
      </w:r>
    </w:p>
    <w:p>
      <w:pPr>
        <w:widowControl/>
        <w:ind w:firstLine="2249" w:firstLineChars="700"/>
        <w:rPr>
          <w:rFonts w:ascii="Arial Narrow" w:hAnsi="Arial Narrow" w:cs="Arial Narrow"/>
          <w:b/>
          <w:bCs/>
          <w:color w:val="000000" w:themeColor="text1"/>
          <w:kern w:val="32"/>
          <w:sz w:val="32"/>
          <w:lang w:bidi="he-IL"/>
          <w14:textFill>
            <w14:solidFill>
              <w14:schemeClr w14:val="tx1"/>
            </w14:solidFill>
          </w14:textFill>
        </w:rPr>
      </w:pPr>
      <w:r>
        <w:rPr>
          <w:rFonts w:ascii="Arial Narrow" w:hAnsi="Arial Narrow" w:cs="Arial Narrow"/>
          <w:b/>
          <w:bCs/>
          <w:color w:val="000000" w:themeColor="text1"/>
          <w:kern w:val="32"/>
          <w:sz w:val="32"/>
          <w:lang w:bidi="he-IL"/>
          <w14:textFill>
            <w14:solidFill>
              <w14:schemeClr w14:val="tx1"/>
            </w14:solidFill>
          </w14:textFill>
        </w:rPr>
        <w:t>武汉分所</w:t>
      </w:r>
    </w:p>
    <w:p>
      <w:pPr>
        <w:ind w:firstLine="0" w:firstLineChars="0"/>
        <w:jc w:val="center"/>
        <w:rPr>
          <w:rFonts w:ascii="Arial Narrow" w:hAnsi="Arial Narrow" w:cs="Arial Narrow"/>
          <w:b/>
          <w:bCs/>
          <w:kern w:val="32"/>
          <w:sz w:val="32"/>
          <w:highlight w:val="yellow"/>
          <w:lang w:bidi="he-IL"/>
        </w:rPr>
      </w:pPr>
      <w:r>
        <w:rPr>
          <w:rFonts w:hint="eastAsia" w:ascii="Arial Narrow" w:hAnsi="Arial Narrow" w:cs="Arial Narrow"/>
          <w:b/>
          <w:bCs/>
          <w:color w:val="000000" w:themeColor="text1"/>
          <w:kern w:val="32"/>
          <w:sz w:val="32"/>
          <w:lang w:val="en-US" w:eastAsia="zh-CN" w:bidi="he-IL"/>
          <w14:textFill>
            <w14:solidFill>
              <w14:schemeClr w14:val="tx1"/>
            </w14:solidFill>
          </w14:textFill>
        </w:rPr>
        <w:t xml:space="preserve">                     </w:t>
      </w:r>
      <w:r>
        <w:rPr>
          <w:rFonts w:ascii="Arial Narrow" w:hAnsi="Arial Narrow" w:cs="Arial Narrow"/>
          <w:b/>
          <w:bCs/>
          <w:kern w:val="32"/>
          <w:sz w:val="32"/>
          <w:lang w:bidi="he-IL"/>
        </w:rPr>
        <w:t>二〇一九年七月</w:t>
      </w:r>
    </w:p>
    <w:p>
      <w:pPr>
        <w:ind w:left="0" w:leftChars="0" w:firstLine="0" w:firstLineChars="0"/>
        <w:jc w:val="both"/>
        <w:rPr>
          <w:rFonts w:ascii="Arial Narrow" w:hAnsi="Arial Narrow" w:cs="Arial Narrow"/>
          <w:b/>
          <w:highlight w:val="yellow"/>
        </w:rPr>
      </w:pPr>
    </w:p>
    <w:p>
      <w:pPr>
        <w:spacing w:line="800" w:lineRule="exact"/>
        <w:ind w:firstLine="653"/>
        <w:rPr>
          <w:rFonts w:ascii="Arial Narrow" w:hAnsi="Arial Narrow" w:cs="Arial Narrow"/>
          <w:b/>
          <w:sz w:val="32"/>
          <w:szCs w:val="32"/>
          <w:highlight w:val="yellow"/>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992" w:footer="1417" w:gutter="0"/>
          <w:pgNumType w:start="1"/>
          <w:cols w:space="0" w:num="1"/>
          <w:docGrid w:type="lines" w:linePitch="312" w:charSpace="0"/>
        </w:sectPr>
      </w:pPr>
    </w:p>
    <w:p>
      <w:pPr>
        <w:spacing w:line="800" w:lineRule="exact"/>
        <w:ind w:firstLine="653"/>
        <w:rPr>
          <w:rFonts w:ascii="Arial Narrow" w:hAnsi="Arial Narrow" w:cs="Arial Narrow"/>
          <w:b/>
          <w:sz w:val="32"/>
          <w:szCs w:val="32"/>
          <w:highlight w:val="yellow"/>
        </w:rPr>
      </w:pPr>
    </w:p>
    <w:p>
      <w:pPr>
        <w:ind w:firstLine="653"/>
        <w:jc w:val="center"/>
        <w:rPr>
          <w:rFonts w:ascii="Arial Narrow" w:hAnsi="Arial Narrow" w:cs="Arial Narrow"/>
          <w:b/>
          <w:sz w:val="32"/>
          <w:szCs w:val="32"/>
        </w:rPr>
      </w:pPr>
      <w:r>
        <w:rPr>
          <w:rFonts w:ascii="Arial Narrow" w:hAnsi="Arial Narrow" w:cs="Arial Narrow"/>
          <w:b/>
          <w:sz w:val="32"/>
          <w:szCs w:val="32"/>
        </w:rPr>
        <w:t>本次绩效评价结果</w:t>
      </w:r>
    </w:p>
    <w:p>
      <w:pPr>
        <w:ind w:firstLine="653"/>
        <w:jc w:val="center"/>
        <w:rPr>
          <w:rFonts w:ascii="Arial Narrow" w:hAnsi="Arial Narrow" w:cs="Arial Narrow"/>
          <w:b/>
          <w:sz w:val="32"/>
          <w:szCs w:val="32"/>
          <w:highlight w:val="yellow"/>
        </w:rPr>
      </w:pPr>
    </w:p>
    <w:tbl>
      <w:tblPr>
        <w:tblStyle w:val="11"/>
        <w:tblW w:w="8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0"/>
        <w:gridCol w:w="2192"/>
        <w:gridCol w:w="2192"/>
        <w:gridCol w:w="21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50" w:type="dxa"/>
            <w:vAlign w:val="center"/>
          </w:tcPr>
          <w:p>
            <w:pPr>
              <w:ind w:firstLine="0" w:firstLineChars="0"/>
              <w:jc w:val="center"/>
              <w:rPr>
                <w:rFonts w:ascii="Arial Narrow" w:hAnsi="Arial Narrow" w:cs="Arial Narrow"/>
                <w:sz w:val="28"/>
                <w:szCs w:val="28"/>
              </w:rPr>
            </w:pPr>
            <w:r>
              <w:rPr>
                <w:rFonts w:ascii="Arial Narrow" w:hAnsi="Arial Narrow" w:cs="Arial Narrow"/>
                <w:sz w:val="28"/>
                <w:szCs w:val="28"/>
              </w:rPr>
              <w:t>评价准则</w:t>
            </w:r>
          </w:p>
        </w:tc>
        <w:tc>
          <w:tcPr>
            <w:tcW w:w="2192" w:type="dxa"/>
            <w:vAlign w:val="center"/>
          </w:tcPr>
          <w:p>
            <w:pPr>
              <w:ind w:firstLine="0" w:firstLineChars="0"/>
              <w:jc w:val="center"/>
              <w:rPr>
                <w:rFonts w:ascii="Arial Narrow" w:hAnsi="Arial Narrow" w:cs="Arial Narrow"/>
                <w:sz w:val="28"/>
                <w:szCs w:val="28"/>
              </w:rPr>
            </w:pPr>
            <w:r>
              <w:rPr>
                <w:rFonts w:ascii="Arial Narrow" w:hAnsi="Arial Narrow" w:cs="Arial Narrow"/>
                <w:sz w:val="28"/>
                <w:szCs w:val="28"/>
              </w:rPr>
              <w:t>权重</w:t>
            </w:r>
          </w:p>
        </w:tc>
        <w:tc>
          <w:tcPr>
            <w:tcW w:w="2192" w:type="dxa"/>
            <w:vAlign w:val="center"/>
          </w:tcPr>
          <w:p>
            <w:pPr>
              <w:ind w:firstLine="0" w:firstLineChars="0"/>
              <w:jc w:val="center"/>
              <w:rPr>
                <w:rFonts w:ascii="Arial Narrow" w:hAnsi="Arial Narrow" w:cs="Arial Narrow"/>
                <w:sz w:val="28"/>
                <w:szCs w:val="28"/>
              </w:rPr>
            </w:pPr>
            <w:r>
              <w:rPr>
                <w:rFonts w:ascii="Arial Narrow" w:hAnsi="Arial Narrow" w:cs="Arial Narrow"/>
                <w:sz w:val="28"/>
                <w:szCs w:val="28"/>
              </w:rPr>
              <w:t>评价得分</w:t>
            </w:r>
          </w:p>
        </w:tc>
        <w:tc>
          <w:tcPr>
            <w:tcW w:w="2197" w:type="dxa"/>
            <w:vAlign w:val="center"/>
          </w:tcPr>
          <w:p>
            <w:pPr>
              <w:ind w:firstLine="0" w:firstLineChars="0"/>
              <w:jc w:val="center"/>
              <w:rPr>
                <w:rFonts w:ascii="Arial Narrow" w:hAnsi="Arial Narrow" w:cs="Arial Narrow"/>
                <w:sz w:val="28"/>
                <w:szCs w:val="28"/>
              </w:rPr>
            </w:pPr>
            <w:r>
              <w:rPr>
                <w:rFonts w:ascii="Arial Narrow" w:hAnsi="Arial Narrow" w:cs="Arial Narrow"/>
                <w:sz w:val="28"/>
                <w:szCs w:val="28"/>
              </w:rPr>
              <w:t>评价等级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50" w:type="dxa"/>
            <w:vAlign w:val="center"/>
          </w:tcPr>
          <w:p>
            <w:pPr>
              <w:ind w:firstLine="0" w:firstLineChars="0"/>
              <w:jc w:val="center"/>
              <w:rPr>
                <w:rFonts w:ascii="Arial Narrow" w:hAnsi="Arial Narrow" w:cs="Arial Narrow"/>
                <w:sz w:val="28"/>
                <w:szCs w:val="28"/>
              </w:rPr>
            </w:pPr>
            <w:r>
              <w:rPr>
                <w:rFonts w:ascii="Arial Narrow" w:hAnsi="Arial Narrow" w:cs="Arial Narrow"/>
                <w:sz w:val="28"/>
                <w:szCs w:val="28"/>
              </w:rPr>
              <w:t>投入</w:t>
            </w:r>
          </w:p>
        </w:tc>
        <w:tc>
          <w:tcPr>
            <w:tcW w:w="2192" w:type="dxa"/>
            <w:vAlign w:val="center"/>
          </w:tcPr>
          <w:p>
            <w:pPr>
              <w:ind w:firstLine="0" w:firstLineChars="0"/>
              <w:jc w:val="center"/>
              <w:rPr>
                <w:rFonts w:ascii="Arial Narrow" w:hAnsi="Arial Narrow" w:cs="Arial Narrow"/>
                <w:sz w:val="28"/>
                <w:szCs w:val="28"/>
              </w:rPr>
            </w:pPr>
            <w:r>
              <w:rPr>
                <w:rFonts w:ascii="Arial Narrow" w:hAnsi="Arial Narrow" w:cs="Arial Narrow"/>
                <w:sz w:val="28"/>
                <w:szCs w:val="28"/>
              </w:rPr>
              <w:t>16</w:t>
            </w:r>
          </w:p>
        </w:tc>
        <w:tc>
          <w:tcPr>
            <w:tcW w:w="2192" w:type="dxa"/>
            <w:vAlign w:val="center"/>
          </w:tcPr>
          <w:p>
            <w:pPr>
              <w:ind w:firstLine="0" w:firstLineChars="0"/>
              <w:jc w:val="center"/>
              <w:rPr>
                <w:rFonts w:ascii="Arial Narrow" w:hAnsi="Arial Narrow" w:cs="Arial Narrow"/>
                <w:sz w:val="28"/>
                <w:szCs w:val="28"/>
              </w:rPr>
            </w:pPr>
            <w:r>
              <w:rPr>
                <w:rFonts w:ascii="Arial Narrow" w:hAnsi="Arial Narrow" w:cs="Arial Narrow"/>
                <w:sz w:val="28"/>
                <w:szCs w:val="28"/>
              </w:rPr>
              <w:t>13</w:t>
            </w:r>
          </w:p>
        </w:tc>
        <w:tc>
          <w:tcPr>
            <w:tcW w:w="2197" w:type="dxa"/>
            <w:vAlign w:val="center"/>
          </w:tcPr>
          <w:p>
            <w:pPr>
              <w:ind w:firstLine="0" w:firstLineChars="0"/>
              <w:jc w:val="center"/>
              <w:rPr>
                <w:rFonts w:ascii="Arial Narrow" w:hAnsi="Arial Narrow" w:cs="Arial Narrow"/>
                <w:sz w:val="28"/>
                <w:szCs w:val="28"/>
              </w:rPr>
            </w:pPr>
            <w:r>
              <w:rPr>
                <w:rFonts w:ascii="Arial Narrow" w:hAnsi="Arial Narrow" w:cs="Arial Narrow"/>
                <w:sz w:val="28"/>
                <w:szCs w:val="28"/>
              </w:rPr>
              <w:t>良（B）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50" w:type="dxa"/>
            <w:vAlign w:val="center"/>
          </w:tcPr>
          <w:p>
            <w:pPr>
              <w:ind w:firstLine="0" w:firstLineChars="0"/>
              <w:jc w:val="center"/>
              <w:rPr>
                <w:rFonts w:ascii="Arial Narrow" w:hAnsi="Arial Narrow" w:cs="Arial Narrow"/>
                <w:sz w:val="28"/>
                <w:szCs w:val="28"/>
              </w:rPr>
            </w:pPr>
            <w:r>
              <w:rPr>
                <w:rFonts w:ascii="Arial Narrow" w:hAnsi="Arial Narrow" w:cs="Arial Narrow"/>
                <w:sz w:val="28"/>
                <w:szCs w:val="28"/>
              </w:rPr>
              <w:t>过程</w:t>
            </w:r>
          </w:p>
        </w:tc>
        <w:tc>
          <w:tcPr>
            <w:tcW w:w="2192" w:type="dxa"/>
            <w:vAlign w:val="center"/>
          </w:tcPr>
          <w:p>
            <w:pPr>
              <w:ind w:firstLine="0" w:firstLineChars="0"/>
              <w:jc w:val="center"/>
              <w:rPr>
                <w:rFonts w:ascii="Arial Narrow" w:hAnsi="Arial Narrow" w:cs="Arial Narrow"/>
                <w:sz w:val="28"/>
                <w:szCs w:val="28"/>
              </w:rPr>
            </w:pPr>
            <w:r>
              <w:rPr>
                <w:rFonts w:ascii="Arial Narrow" w:hAnsi="Arial Narrow" w:cs="Arial Narrow"/>
                <w:sz w:val="28"/>
                <w:szCs w:val="28"/>
              </w:rPr>
              <w:t>24</w:t>
            </w:r>
          </w:p>
        </w:tc>
        <w:tc>
          <w:tcPr>
            <w:tcW w:w="2192" w:type="dxa"/>
            <w:vAlign w:val="center"/>
          </w:tcPr>
          <w:p>
            <w:pPr>
              <w:ind w:firstLine="0" w:firstLineChars="0"/>
              <w:jc w:val="center"/>
              <w:rPr>
                <w:rFonts w:ascii="Arial Narrow" w:hAnsi="Arial Narrow" w:cs="Arial Narrow"/>
                <w:sz w:val="28"/>
                <w:szCs w:val="28"/>
              </w:rPr>
            </w:pPr>
            <w:r>
              <w:rPr>
                <w:rFonts w:ascii="Arial Narrow" w:hAnsi="Arial Narrow" w:cs="Arial Narrow"/>
                <w:sz w:val="28"/>
                <w:szCs w:val="28"/>
              </w:rPr>
              <w:t>24</w:t>
            </w:r>
          </w:p>
        </w:tc>
        <w:tc>
          <w:tcPr>
            <w:tcW w:w="2197" w:type="dxa"/>
            <w:vAlign w:val="center"/>
          </w:tcPr>
          <w:p>
            <w:pPr>
              <w:ind w:firstLine="0" w:firstLineChars="0"/>
              <w:jc w:val="center"/>
              <w:rPr>
                <w:rFonts w:ascii="Arial Narrow" w:hAnsi="Arial Narrow" w:cs="Arial Narrow"/>
                <w:sz w:val="28"/>
                <w:szCs w:val="28"/>
              </w:rPr>
            </w:pPr>
            <w:r>
              <w:rPr>
                <w:rFonts w:ascii="Arial Narrow" w:hAnsi="Arial Narrow" w:cs="Arial Narrow"/>
                <w:sz w:val="28"/>
                <w:szCs w:val="28"/>
              </w:rPr>
              <w:t>优（A）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50" w:type="dxa"/>
            <w:vAlign w:val="center"/>
          </w:tcPr>
          <w:p>
            <w:pPr>
              <w:ind w:firstLine="0" w:firstLineChars="0"/>
              <w:jc w:val="center"/>
              <w:rPr>
                <w:rFonts w:ascii="Arial Narrow" w:hAnsi="Arial Narrow" w:cs="Arial Narrow"/>
                <w:sz w:val="28"/>
                <w:szCs w:val="28"/>
              </w:rPr>
            </w:pPr>
            <w:r>
              <w:rPr>
                <w:rFonts w:ascii="Arial Narrow" w:hAnsi="Arial Narrow" w:cs="Arial Narrow"/>
                <w:sz w:val="28"/>
                <w:szCs w:val="28"/>
              </w:rPr>
              <w:t>产出</w:t>
            </w:r>
          </w:p>
        </w:tc>
        <w:tc>
          <w:tcPr>
            <w:tcW w:w="2192" w:type="dxa"/>
            <w:vAlign w:val="center"/>
          </w:tcPr>
          <w:p>
            <w:pPr>
              <w:ind w:firstLine="0" w:firstLineChars="0"/>
              <w:jc w:val="center"/>
              <w:rPr>
                <w:rFonts w:ascii="Arial Narrow" w:hAnsi="Arial Narrow" w:cs="Arial Narrow"/>
                <w:sz w:val="28"/>
                <w:szCs w:val="28"/>
              </w:rPr>
            </w:pPr>
            <w:r>
              <w:rPr>
                <w:rFonts w:ascii="Arial Narrow" w:hAnsi="Arial Narrow" w:cs="Arial Narrow"/>
                <w:sz w:val="28"/>
                <w:szCs w:val="28"/>
              </w:rPr>
              <w:t>28</w:t>
            </w:r>
          </w:p>
        </w:tc>
        <w:tc>
          <w:tcPr>
            <w:tcW w:w="2192" w:type="dxa"/>
            <w:vAlign w:val="center"/>
          </w:tcPr>
          <w:p>
            <w:pPr>
              <w:ind w:firstLine="0" w:firstLineChars="0"/>
              <w:jc w:val="center"/>
              <w:textAlignment w:val="top"/>
              <w:rPr>
                <w:rFonts w:ascii="Arial Narrow" w:hAnsi="Arial Narrow" w:cs="Arial Narrow"/>
                <w:sz w:val="28"/>
                <w:szCs w:val="28"/>
              </w:rPr>
            </w:pPr>
            <w:r>
              <w:rPr>
                <w:rFonts w:ascii="Arial Narrow" w:hAnsi="Arial Narrow" w:cs="Arial Narrow"/>
                <w:sz w:val="28"/>
                <w:szCs w:val="28"/>
              </w:rPr>
              <w:t>25</w:t>
            </w:r>
          </w:p>
        </w:tc>
        <w:tc>
          <w:tcPr>
            <w:tcW w:w="2197" w:type="dxa"/>
            <w:vAlign w:val="center"/>
          </w:tcPr>
          <w:p>
            <w:pPr>
              <w:ind w:firstLine="0" w:firstLineChars="0"/>
              <w:jc w:val="center"/>
              <w:textAlignment w:val="top"/>
              <w:rPr>
                <w:rFonts w:ascii="Arial Narrow" w:hAnsi="Arial Narrow" w:cs="Arial Narrow"/>
                <w:sz w:val="28"/>
                <w:szCs w:val="28"/>
              </w:rPr>
            </w:pPr>
            <w:r>
              <w:rPr>
                <w:rFonts w:ascii="Arial Narrow" w:hAnsi="Arial Narrow" w:cs="Arial Narrow"/>
                <w:sz w:val="28"/>
                <w:szCs w:val="28"/>
              </w:rPr>
              <w:t>良（B）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50" w:type="dxa"/>
            <w:vAlign w:val="center"/>
          </w:tcPr>
          <w:p>
            <w:pPr>
              <w:ind w:firstLine="0" w:firstLineChars="0"/>
              <w:jc w:val="center"/>
              <w:rPr>
                <w:rFonts w:ascii="Arial Narrow" w:hAnsi="Arial Narrow" w:cs="Arial Narrow"/>
                <w:sz w:val="28"/>
                <w:szCs w:val="28"/>
              </w:rPr>
            </w:pPr>
            <w:r>
              <w:rPr>
                <w:rFonts w:ascii="Arial Narrow" w:hAnsi="Arial Narrow" w:cs="Arial Narrow"/>
                <w:sz w:val="28"/>
                <w:szCs w:val="28"/>
              </w:rPr>
              <w:t>效果</w:t>
            </w:r>
          </w:p>
        </w:tc>
        <w:tc>
          <w:tcPr>
            <w:tcW w:w="2192" w:type="dxa"/>
            <w:vAlign w:val="center"/>
          </w:tcPr>
          <w:p>
            <w:pPr>
              <w:ind w:firstLine="0" w:firstLineChars="0"/>
              <w:jc w:val="center"/>
              <w:rPr>
                <w:rFonts w:ascii="Arial Narrow" w:hAnsi="Arial Narrow" w:cs="Arial Narrow"/>
                <w:sz w:val="28"/>
                <w:szCs w:val="28"/>
              </w:rPr>
            </w:pPr>
            <w:r>
              <w:rPr>
                <w:rFonts w:ascii="Arial Narrow" w:hAnsi="Arial Narrow" w:cs="Arial Narrow"/>
                <w:sz w:val="28"/>
                <w:szCs w:val="28"/>
              </w:rPr>
              <w:t>32</w:t>
            </w:r>
          </w:p>
        </w:tc>
        <w:tc>
          <w:tcPr>
            <w:tcW w:w="2192" w:type="dxa"/>
            <w:vAlign w:val="center"/>
          </w:tcPr>
          <w:p>
            <w:pPr>
              <w:ind w:firstLine="0" w:firstLineChars="0"/>
              <w:jc w:val="center"/>
              <w:textAlignment w:val="top"/>
              <w:rPr>
                <w:rFonts w:ascii="Arial Narrow" w:hAnsi="Arial Narrow" w:cs="Arial Narrow"/>
                <w:sz w:val="28"/>
                <w:szCs w:val="28"/>
              </w:rPr>
            </w:pPr>
            <w:r>
              <w:rPr>
                <w:rFonts w:ascii="Arial Narrow" w:hAnsi="Arial Narrow" w:cs="Arial Narrow"/>
                <w:sz w:val="28"/>
                <w:szCs w:val="28"/>
              </w:rPr>
              <w:t>29</w:t>
            </w:r>
          </w:p>
        </w:tc>
        <w:tc>
          <w:tcPr>
            <w:tcW w:w="2197" w:type="dxa"/>
            <w:vAlign w:val="center"/>
          </w:tcPr>
          <w:p>
            <w:pPr>
              <w:ind w:firstLine="0" w:firstLineChars="0"/>
              <w:jc w:val="center"/>
              <w:textAlignment w:val="top"/>
              <w:rPr>
                <w:rFonts w:ascii="Arial Narrow" w:hAnsi="Arial Narrow" w:cs="Arial Narrow"/>
                <w:sz w:val="28"/>
                <w:szCs w:val="28"/>
              </w:rPr>
            </w:pPr>
            <w:r>
              <w:rPr>
                <w:rFonts w:ascii="Arial Narrow" w:hAnsi="Arial Narrow" w:cs="Arial Narrow"/>
                <w:sz w:val="28"/>
                <w:szCs w:val="28"/>
              </w:rPr>
              <w:t>优（A）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50" w:type="dxa"/>
            <w:vAlign w:val="center"/>
          </w:tcPr>
          <w:p>
            <w:pPr>
              <w:ind w:firstLine="0" w:firstLineChars="0"/>
              <w:jc w:val="center"/>
              <w:rPr>
                <w:rFonts w:ascii="Arial Narrow" w:hAnsi="Arial Narrow" w:cs="Arial Narrow"/>
                <w:sz w:val="28"/>
                <w:szCs w:val="28"/>
              </w:rPr>
            </w:pPr>
            <w:r>
              <w:rPr>
                <w:rFonts w:ascii="Arial Narrow" w:hAnsi="Arial Narrow" w:cs="Arial Narrow"/>
                <w:sz w:val="28"/>
                <w:szCs w:val="28"/>
              </w:rPr>
              <w:t>综合绩效</w:t>
            </w:r>
          </w:p>
        </w:tc>
        <w:tc>
          <w:tcPr>
            <w:tcW w:w="2192" w:type="dxa"/>
            <w:vAlign w:val="center"/>
          </w:tcPr>
          <w:p>
            <w:pPr>
              <w:ind w:firstLine="0" w:firstLineChars="0"/>
              <w:jc w:val="center"/>
              <w:rPr>
                <w:rFonts w:ascii="Arial Narrow" w:hAnsi="Arial Narrow" w:cs="Arial Narrow"/>
                <w:sz w:val="28"/>
                <w:szCs w:val="28"/>
              </w:rPr>
            </w:pPr>
            <w:r>
              <w:rPr>
                <w:rFonts w:ascii="Arial Narrow" w:hAnsi="Arial Narrow" w:cs="Arial Narrow"/>
                <w:sz w:val="28"/>
                <w:szCs w:val="28"/>
              </w:rPr>
              <w:t>100</w:t>
            </w:r>
          </w:p>
        </w:tc>
        <w:tc>
          <w:tcPr>
            <w:tcW w:w="2192" w:type="dxa"/>
            <w:vAlign w:val="center"/>
          </w:tcPr>
          <w:p>
            <w:pPr>
              <w:ind w:firstLine="0" w:firstLineChars="0"/>
              <w:jc w:val="center"/>
              <w:rPr>
                <w:rFonts w:ascii="Arial Narrow" w:hAnsi="Arial Narrow" w:cs="Arial Narrow"/>
                <w:sz w:val="28"/>
                <w:szCs w:val="28"/>
              </w:rPr>
            </w:pPr>
            <w:r>
              <w:rPr>
                <w:rFonts w:ascii="Arial Narrow" w:hAnsi="Arial Narrow" w:cs="Arial Narrow"/>
                <w:sz w:val="28"/>
                <w:szCs w:val="28"/>
              </w:rPr>
              <w:t>91</w:t>
            </w:r>
          </w:p>
        </w:tc>
        <w:tc>
          <w:tcPr>
            <w:tcW w:w="2197" w:type="dxa"/>
            <w:vAlign w:val="center"/>
          </w:tcPr>
          <w:p>
            <w:pPr>
              <w:tabs>
                <w:tab w:val="left" w:pos="1099"/>
                <w:tab w:val="center" w:pos="1863"/>
              </w:tabs>
              <w:ind w:firstLine="0" w:firstLineChars="0"/>
              <w:jc w:val="center"/>
              <w:rPr>
                <w:rFonts w:ascii="Arial Narrow" w:hAnsi="Arial Narrow" w:cs="Arial Narrow"/>
                <w:sz w:val="28"/>
                <w:szCs w:val="28"/>
              </w:rPr>
            </w:pPr>
            <w:r>
              <w:rPr>
                <w:rFonts w:ascii="Arial Narrow" w:hAnsi="Arial Narrow" w:cs="Arial Narrow"/>
                <w:sz w:val="28"/>
                <w:szCs w:val="28"/>
              </w:rPr>
              <w:t>优（A）</w:t>
            </w:r>
          </w:p>
        </w:tc>
      </w:tr>
    </w:tbl>
    <w:p>
      <w:pPr>
        <w:ind w:firstLine="560"/>
        <w:rPr>
          <w:rFonts w:ascii="Arial Narrow" w:hAnsi="Arial Narrow" w:cs="Arial Narrow"/>
          <w:sz w:val="28"/>
          <w:szCs w:val="28"/>
          <w:highlight w:val="yellow"/>
        </w:rPr>
      </w:pPr>
    </w:p>
    <w:tbl>
      <w:tblPr>
        <w:tblStyle w:val="11"/>
        <w:tblW w:w="8339" w:type="dxa"/>
        <w:tblInd w:w="1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trPr>
        <w:tc>
          <w:tcPr>
            <w:tcW w:w="8339" w:type="dxa"/>
            <w:vAlign w:val="center"/>
          </w:tcPr>
          <w:p>
            <w:pPr>
              <w:ind w:firstLine="503"/>
              <w:jc w:val="center"/>
              <w:rPr>
                <w:rFonts w:ascii="Arial Narrow" w:hAnsi="Arial Narrow" w:cs="Arial Narrow"/>
                <w:sz w:val="28"/>
                <w:szCs w:val="28"/>
                <w:highlight w:val="yellow"/>
              </w:rPr>
            </w:pPr>
            <w:r>
              <w:rPr>
                <w:rFonts w:ascii="Arial Narrow" w:hAnsi="Arial Narrow" w:cs="Arial Narrow"/>
                <w:w w:val="90"/>
                <w:kern w:val="0"/>
                <w:sz w:val="28"/>
                <w:szCs w:val="28"/>
              </w:rPr>
              <w:t>绩效评价工作组与项目实施无直接利益冲</w:t>
            </w:r>
            <w:r>
              <w:rPr>
                <w:rFonts w:ascii="Arial Narrow" w:hAnsi="Arial Narrow" w:cs="Arial Narrow"/>
                <w:spacing w:val="10"/>
                <w:w w:val="90"/>
                <w:kern w:val="0"/>
                <w:sz w:val="28"/>
                <w:szCs w:val="28"/>
              </w:rPr>
              <w:t>突</w:t>
            </w:r>
          </w:p>
        </w:tc>
      </w:tr>
    </w:tbl>
    <w:p>
      <w:pPr>
        <w:ind w:firstLine="571"/>
        <w:jc w:val="center"/>
        <w:rPr>
          <w:rFonts w:ascii="Arial Narrow" w:hAnsi="Arial Narrow" w:cs="Arial Narrow"/>
          <w:b/>
          <w:sz w:val="28"/>
          <w:szCs w:val="28"/>
          <w:highlight w:val="yellow"/>
        </w:rPr>
      </w:pPr>
    </w:p>
    <w:p>
      <w:pPr>
        <w:ind w:firstLine="571"/>
        <w:jc w:val="center"/>
        <w:rPr>
          <w:rFonts w:ascii="Arial Narrow" w:hAnsi="Arial Narrow" w:cs="Arial Narrow"/>
          <w:b/>
          <w:sz w:val="28"/>
          <w:szCs w:val="28"/>
          <w:highlight w:val="yellow"/>
        </w:rPr>
      </w:pPr>
    </w:p>
    <w:p>
      <w:pPr>
        <w:ind w:firstLine="571"/>
        <w:jc w:val="center"/>
        <w:rPr>
          <w:rFonts w:ascii="Arial Narrow" w:hAnsi="Arial Narrow" w:cs="Arial Narrow"/>
          <w:b/>
          <w:sz w:val="28"/>
          <w:szCs w:val="28"/>
          <w:highlight w:val="yellow"/>
        </w:rPr>
      </w:pPr>
    </w:p>
    <w:p>
      <w:pPr>
        <w:ind w:firstLine="571"/>
        <w:jc w:val="center"/>
        <w:rPr>
          <w:rFonts w:ascii="Arial Narrow" w:hAnsi="Arial Narrow" w:cs="Arial Narrow"/>
          <w:b/>
          <w:sz w:val="28"/>
          <w:szCs w:val="28"/>
          <w:highlight w:val="yellow"/>
        </w:rPr>
      </w:pPr>
    </w:p>
    <w:p>
      <w:pPr>
        <w:ind w:firstLine="571"/>
        <w:jc w:val="center"/>
        <w:rPr>
          <w:rFonts w:ascii="Arial Narrow" w:hAnsi="Arial Narrow" w:cs="Arial Narrow"/>
          <w:b/>
          <w:sz w:val="28"/>
          <w:szCs w:val="28"/>
          <w:highlight w:val="yellow"/>
        </w:rPr>
      </w:pPr>
    </w:p>
    <w:p>
      <w:pPr>
        <w:ind w:firstLine="571"/>
        <w:rPr>
          <w:rFonts w:ascii="Arial Narrow" w:hAnsi="Arial Narrow" w:cs="Arial Narrow"/>
          <w:b/>
          <w:sz w:val="28"/>
          <w:szCs w:val="28"/>
          <w:highlight w:val="yellow"/>
        </w:rPr>
      </w:pPr>
    </w:p>
    <w:p>
      <w:pPr>
        <w:snapToGrid w:val="0"/>
        <w:ind w:firstLine="653"/>
        <w:rPr>
          <w:rFonts w:ascii="Arial Narrow" w:hAnsi="Arial Narrow" w:cs="Arial Narrow"/>
          <w:b/>
          <w:sz w:val="32"/>
          <w:szCs w:val="32"/>
        </w:rPr>
      </w:pPr>
      <w:r>
        <w:rPr>
          <w:rFonts w:ascii="Arial Narrow" w:hAnsi="Arial Narrow" w:cs="Arial Narrow"/>
          <w:b/>
          <w:sz w:val="32"/>
          <w:szCs w:val="32"/>
        </w:rPr>
        <w:t>评价工作组</w:t>
      </w:r>
    </w:p>
    <w:p>
      <w:pPr>
        <w:snapToGrid w:val="0"/>
        <w:ind w:firstLine="560"/>
        <w:rPr>
          <w:rFonts w:ascii="Arial Narrow" w:hAnsi="Arial Narrow" w:cs="Arial Narrow"/>
          <w:sz w:val="28"/>
          <w:szCs w:val="28"/>
        </w:rPr>
      </w:pPr>
      <w:r>
        <w:rPr>
          <w:rFonts w:ascii="Arial Narrow" w:hAnsi="Arial Narrow" w:cs="Arial Narrow"/>
          <w:sz w:val="28"/>
          <w:szCs w:val="28"/>
        </w:rPr>
        <w:t>组长：蒋中友、吴孟魁</w:t>
      </w:r>
    </w:p>
    <w:p>
      <w:pPr>
        <w:snapToGrid w:val="0"/>
        <w:ind w:firstLine="560"/>
        <w:rPr>
          <w:rFonts w:ascii="Arial Narrow" w:hAnsi="Arial Narrow" w:cs="Arial Narrow"/>
          <w:sz w:val="28"/>
          <w:szCs w:val="28"/>
        </w:rPr>
      </w:pPr>
      <w:r>
        <w:rPr>
          <w:rFonts w:ascii="Arial Narrow" w:hAnsi="Arial Narrow" w:cs="Arial Narrow"/>
          <w:sz w:val="28"/>
          <w:szCs w:val="28"/>
        </w:rPr>
        <w:t>绩效评价专家：李海京</w:t>
      </w:r>
    </w:p>
    <w:p>
      <w:pPr>
        <w:snapToGrid w:val="0"/>
        <w:ind w:firstLine="560"/>
        <w:rPr>
          <w:rFonts w:ascii="Arial Narrow" w:hAnsi="Arial Narrow" w:cs="Arial Narrow"/>
          <w:sz w:val="28"/>
          <w:szCs w:val="28"/>
        </w:rPr>
      </w:pPr>
      <w:r>
        <w:rPr>
          <w:rFonts w:ascii="Arial Narrow" w:hAnsi="Arial Narrow" w:cs="Arial Narrow"/>
          <w:sz w:val="28"/>
          <w:szCs w:val="28"/>
        </w:rPr>
        <w:t>绩效评价现场负责人：陈卓</w:t>
      </w:r>
    </w:p>
    <w:p>
      <w:pPr>
        <w:snapToGrid w:val="0"/>
        <w:ind w:firstLine="560"/>
        <w:rPr>
          <w:rFonts w:ascii="Arial Narrow" w:hAnsi="Arial Narrow" w:cs="Arial Narrow"/>
          <w:sz w:val="28"/>
          <w:szCs w:val="28"/>
        </w:rPr>
        <w:sectPr>
          <w:pgSz w:w="11906" w:h="16838"/>
          <w:pgMar w:top="1440" w:right="1800" w:bottom="1440" w:left="1800" w:header="992" w:footer="1417" w:gutter="0"/>
          <w:pgNumType w:start="1"/>
          <w:cols w:space="0" w:num="1"/>
          <w:docGrid w:type="lines" w:linePitch="312" w:charSpace="0"/>
        </w:sectPr>
      </w:pPr>
      <w:r>
        <w:rPr>
          <w:rFonts w:ascii="Arial Narrow" w:hAnsi="Arial Narrow" w:cs="Arial Narrow"/>
          <w:sz w:val="28"/>
          <w:szCs w:val="28"/>
        </w:rPr>
        <w:t>绩效评价小组成员：沈浮沉、李晨辉、李凌波</w:t>
      </w:r>
    </w:p>
    <w:p>
      <w:pPr>
        <w:pStyle w:val="13"/>
        <w:spacing w:before="0"/>
        <w:ind w:firstLine="653"/>
        <w:jc w:val="center"/>
        <w:rPr>
          <w:rFonts w:ascii="Arial Narrow" w:hAnsi="Arial Narrow" w:eastAsia="仿宋_GB2312" w:cs="Arial Narrow"/>
          <w:szCs w:val="32"/>
          <w:lang w:val="zh-CN"/>
        </w:rPr>
      </w:pPr>
      <w:bookmarkStart w:id="0" w:name="_Toc8749"/>
      <w:bookmarkStart w:id="1" w:name="_Toc28232"/>
      <w:bookmarkStart w:id="2" w:name="_Toc7095"/>
      <w:bookmarkStart w:id="3" w:name="_Toc17690"/>
      <w:bookmarkStart w:id="4" w:name="_Toc8731"/>
      <w:r>
        <w:rPr>
          <w:rFonts w:ascii="Arial Narrow" w:hAnsi="Arial Narrow" w:eastAsia="仿宋_GB2312" w:cs="Arial Narrow"/>
          <w:color w:val="auto"/>
          <w:sz w:val="32"/>
          <w:szCs w:val="32"/>
          <w:lang w:val="zh-CN"/>
        </w:rPr>
        <w:t>目</w:t>
      </w:r>
      <w:r>
        <w:rPr>
          <w:rFonts w:ascii="Arial Narrow" w:hAnsi="Arial Narrow" w:eastAsia="仿宋_GB2312" w:cs="Arial Narrow"/>
          <w:color w:val="auto"/>
          <w:sz w:val="32"/>
          <w:szCs w:val="32"/>
        </w:rPr>
        <w:t xml:space="preserve">  </w:t>
      </w:r>
      <w:r>
        <w:rPr>
          <w:rFonts w:ascii="Arial Narrow" w:hAnsi="Arial Narrow" w:eastAsia="仿宋_GB2312" w:cs="Arial Narrow"/>
          <w:color w:val="auto"/>
          <w:sz w:val="32"/>
          <w:szCs w:val="32"/>
          <w:lang w:val="zh-CN"/>
        </w:rPr>
        <w:t>录</w:t>
      </w:r>
      <w:bookmarkEnd w:id="0"/>
      <w:bookmarkEnd w:id="1"/>
      <w:bookmarkEnd w:id="2"/>
      <w:bookmarkEnd w:id="3"/>
      <w:bookmarkEnd w:id="4"/>
    </w:p>
    <w:p>
      <w:pPr>
        <w:pStyle w:val="9"/>
        <w:tabs>
          <w:tab w:val="right" w:leader="dot" w:pos="8306"/>
        </w:tabs>
        <w:ind w:firstLine="480"/>
        <w:jc w:val="center"/>
        <w:rPr>
          <w:rFonts w:ascii="Arial Narrow" w:hAnsi="Arial Narrow" w:eastAsia="仿宋_GB2312" w:cs="Arial Narrow"/>
        </w:rPr>
      </w:pPr>
      <w:r>
        <w:rPr>
          <w:rFonts w:ascii="Arial Narrow" w:hAnsi="Arial Narrow" w:eastAsia="仿宋_GB2312" w:cs="Arial Narrow"/>
          <w:sz w:val="24"/>
          <w:szCs w:val="24"/>
        </w:rPr>
        <w:fldChar w:fldCharType="begin"/>
      </w:r>
      <w:r>
        <w:rPr>
          <w:rFonts w:ascii="Arial Narrow" w:hAnsi="Arial Narrow" w:eastAsia="仿宋_GB2312" w:cs="Arial Narrow"/>
          <w:sz w:val="24"/>
          <w:szCs w:val="24"/>
        </w:rPr>
        <w:instrText xml:space="preserve">TOC\o"1-3"\h\z\u</w:instrText>
      </w:r>
      <w:r>
        <w:rPr>
          <w:rFonts w:ascii="Arial Narrow" w:hAnsi="Arial Narrow" w:eastAsia="仿宋_GB2312" w:cs="Arial Narrow"/>
          <w:sz w:val="24"/>
          <w:szCs w:val="24"/>
        </w:rPr>
        <w:fldChar w:fldCharType="separate"/>
      </w:r>
      <w:r>
        <w:fldChar w:fldCharType="begin"/>
      </w:r>
      <w:r>
        <w:instrText xml:space="preserve"> HYPERLINK \l "_Toc16230" </w:instrText>
      </w:r>
      <w:r>
        <w:fldChar w:fldCharType="separate"/>
      </w:r>
      <w:r>
        <w:rPr>
          <w:rFonts w:ascii="Arial Narrow" w:hAnsi="Arial Narrow" w:eastAsia="仿宋_GB2312" w:cs="Arial Narrow"/>
          <w:bCs/>
          <w:szCs w:val="24"/>
        </w:rPr>
        <w:t>一、摘要</w:t>
      </w:r>
      <w:r>
        <w:rPr>
          <w:rFonts w:ascii="Arial Narrow" w:hAnsi="Arial Narrow" w:eastAsia="仿宋_GB2312" w:cs="Arial Narrow"/>
        </w:rPr>
        <w:tab/>
      </w:r>
      <w:r>
        <w:rPr>
          <w:rFonts w:ascii="Arial Narrow" w:hAnsi="Arial Narrow" w:eastAsia="仿宋_GB2312" w:cs="Arial Narrow"/>
        </w:rPr>
        <w:fldChar w:fldCharType="begin"/>
      </w:r>
      <w:r>
        <w:rPr>
          <w:rFonts w:ascii="Arial Narrow" w:hAnsi="Arial Narrow" w:eastAsia="仿宋_GB2312" w:cs="Arial Narrow"/>
        </w:rPr>
        <w:instrText xml:space="preserve"> PAGEREF _Toc16230 </w:instrText>
      </w:r>
      <w:r>
        <w:rPr>
          <w:rFonts w:ascii="Arial Narrow" w:hAnsi="Arial Narrow" w:eastAsia="仿宋_GB2312" w:cs="Arial Narrow"/>
        </w:rPr>
        <w:fldChar w:fldCharType="separate"/>
      </w:r>
      <w:r>
        <w:rPr>
          <w:rFonts w:ascii="Arial Narrow" w:hAnsi="Arial Narrow" w:eastAsia="仿宋_GB2312" w:cs="Arial Narrow"/>
        </w:rPr>
        <w:t>1</w:t>
      </w:r>
      <w:r>
        <w:rPr>
          <w:rFonts w:ascii="Arial Narrow" w:hAnsi="Arial Narrow" w:eastAsia="仿宋_GB2312" w:cs="Arial Narrow"/>
        </w:rPr>
        <w:fldChar w:fldCharType="end"/>
      </w:r>
      <w:r>
        <w:rPr>
          <w:rFonts w:ascii="Arial Narrow" w:hAnsi="Arial Narrow" w:eastAsia="仿宋_GB2312" w:cs="Arial Narrow"/>
        </w:rPr>
        <w:fldChar w:fldCharType="end"/>
      </w:r>
    </w:p>
    <w:p>
      <w:pPr>
        <w:pStyle w:val="10"/>
        <w:tabs>
          <w:tab w:val="right" w:leader="dot" w:pos="8306"/>
        </w:tabs>
        <w:ind w:firstLine="440"/>
        <w:rPr>
          <w:rFonts w:ascii="Arial Narrow" w:hAnsi="Arial Narrow" w:eastAsia="仿宋_GB2312" w:cs="Arial Narrow"/>
        </w:rPr>
      </w:pPr>
      <w:r>
        <w:fldChar w:fldCharType="begin"/>
      </w:r>
      <w:r>
        <w:instrText xml:space="preserve"> HYPERLINK \l "_Toc26192" </w:instrText>
      </w:r>
      <w:r>
        <w:fldChar w:fldCharType="separate"/>
      </w:r>
      <w:r>
        <w:rPr>
          <w:rFonts w:ascii="Arial Narrow" w:hAnsi="Arial Narrow" w:eastAsia="仿宋_GB2312" w:cs="Arial Narrow"/>
          <w:bCs/>
          <w:kern w:val="2"/>
          <w:szCs w:val="24"/>
        </w:rPr>
        <w:t>（一）基本情况</w:t>
      </w:r>
      <w:r>
        <w:rPr>
          <w:rFonts w:ascii="Arial Narrow" w:hAnsi="Arial Narrow" w:eastAsia="仿宋_GB2312" w:cs="Arial Narrow"/>
        </w:rPr>
        <w:tab/>
      </w:r>
      <w:r>
        <w:rPr>
          <w:rFonts w:ascii="Arial Narrow" w:hAnsi="Arial Narrow" w:eastAsia="仿宋_GB2312" w:cs="Arial Narrow"/>
        </w:rPr>
        <w:fldChar w:fldCharType="begin"/>
      </w:r>
      <w:r>
        <w:rPr>
          <w:rFonts w:ascii="Arial Narrow" w:hAnsi="Arial Narrow" w:eastAsia="仿宋_GB2312" w:cs="Arial Narrow"/>
        </w:rPr>
        <w:instrText xml:space="preserve"> PAGEREF _Toc26192 </w:instrText>
      </w:r>
      <w:r>
        <w:rPr>
          <w:rFonts w:ascii="Arial Narrow" w:hAnsi="Arial Narrow" w:eastAsia="仿宋_GB2312" w:cs="Arial Narrow"/>
        </w:rPr>
        <w:fldChar w:fldCharType="separate"/>
      </w:r>
      <w:r>
        <w:rPr>
          <w:rFonts w:ascii="Arial Narrow" w:hAnsi="Arial Narrow" w:eastAsia="仿宋_GB2312" w:cs="Arial Narrow"/>
        </w:rPr>
        <w:t>1</w:t>
      </w:r>
      <w:r>
        <w:rPr>
          <w:rFonts w:ascii="Arial Narrow" w:hAnsi="Arial Narrow" w:eastAsia="仿宋_GB2312" w:cs="Arial Narrow"/>
        </w:rPr>
        <w:fldChar w:fldCharType="end"/>
      </w:r>
      <w:r>
        <w:rPr>
          <w:rFonts w:ascii="Arial Narrow" w:hAnsi="Arial Narrow" w:eastAsia="仿宋_GB2312" w:cs="Arial Narrow"/>
        </w:rPr>
        <w:fldChar w:fldCharType="end"/>
      </w:r>
    </w:p>
    <w:p>
      <w:pPr>
        <w:pStyle w:val="10"/>
        <w:tabs>
          <w:tab w:val="right" w:leader="dot" w:pos="8306"/>
        </w:tabs>
        <w:ind w:firstLine="440"/>
        <w:jc w:val="center"/>
        <w:rPr>
          <w:rFonts w:ascii="Arial Narrow" w:hAnsi="Arial Narrow" w:eastAsia="仿宋_GB2312" w:cs="Arial Narrow"/>
        </w:rPr>
      </w:pPr>
      <w:r>
        <w:fldChar w:fldCharType="begin"/>
      </w:r>
      <w:r>
        <w:instrText xml:space="preserve"> HYPERLINK \l "_Toc21648" </w:instrText>
      </w:r>
      <w:r>
        <w:fldChar w:fldCharType="separate"/>
      </w:r>
      <w:r>
        <w:rPr>
          <w:rFonts w:ascii="Arial Narrow" w:hAnsi="Arial Narrow" w:eastAsia="仿宋_GB2312" w:cs="Arial Narrow"/>
          <w:bCs/>
          <w:kern w:val="2"/>
          <w:szCs w:val="24"/>
        </w:rPr>
        <w:t>（二）绩效评价结论</w:t>
      </w:r>
      <w:r>
        <w:rPr>
          <w:rFonts w:ascii="Arial Narrow" w:hAnsi="Arial Narrow" w:eastAsia="仿宋_GB2312" w:cs="Arial Narrow"/>
        </w:rPr>
        <w:tab/>
      </w:r>
      <w:r>
        <w:rPr>
          <w:rFonts w:ascii="Arial Narrow" w:hAnsi="Arial Narrow" w:eastAsia="仿宋_GB2312" w:cs="Arial Narrow"/>
        </w:rPr>
        <w:fldChar w:fldCharType="begin"/>
      </w:r>
      <w:r>
        <w:rPr>
          <w:rFonts w:ascii="Arial Narrow" w:hAnsi="Arial Narrow" w:eastAsia="仿宋_GB2312" w:cs="Arial Narrow"/>
        </w:rPr>
        <w:instrText xml:space="preserve"> PAGEREF _Toc21648 </w:instrText>
      </w:r>
      <w:r>
        <w:rPr>
          <w:rFonts w:ascii="Arial Narrow" w:hAnsi="Arial Narrow" w:eastAsia="仿宋_GB2312" w:cs="Arial Narrow"/>
        </w:rPr>
        <w:fldChar w:fldCharType="separate"/>
      </w:r>
      <w:r>
        <w:rPr>
          <w:rFonts w:ascii="Arial Narrow" w:hAnsi="Arial Narrow" w:eastAsia="仿宋_GB2312" w:cs="Arial Narrow"/>
        </w:rPr>
        <w:t>1</w:t>
      </w:r>
      <w:r>
        <w:rPr>
          <w:rFonts w:ascii="Arial Narrow" w:hAnsi="Arial Narrow" w:eastAsia="仿宋_GB2312" w:cs="Arial Narrow"/>
        </w:rPr>
        <w:fldChar w:fldCharType="end"/>
      </w:r>
      <w:r>
        <w:rPr>
          <w:rFonts w:ascii="Arial Narrow" w:hAnsi="Arial Narrow" w:eastAsia="仿宋_GB2312" w:cs="Arial Narrow"/>
        </w:rPr>
        <w:fldChar w:fldCharType="end"/>
      </w:r>
    </w:p>
    <w:p>
      <w:pPr>
        <w:pStyle w:val="10"/>
        <w:tabs>
          <w:tab w:val="right" w:leader="dot" w:pos="8306"/>
        </w:tabs>
        <w:ind w:firstLine="440"/>
        <w:jc w:val="center"/>
        <w:rPr>
          <w:rFonts w:ascii="Arial Narrow" w:hAnsi="Arial Narrow" w:eastAsia="仿宋_GB2312" w:cs="Arial Narrow"/>
        </w:rPr>
      </w:pPr>
      <w:r>
        <w:fldChar w:fldCharType="begin"/>
      </w:r>
      <w:r>
        <w:instrText xml:space="preserve"> HYPERLINK \l "_Toc29444" </w:instrText>
      </w:r>
      <w:r>
        <w:fldChar w:fldCharType="separate"/>
      </w:r>
      <w:r>
        <w:rPr>
          <w:rFonts w:ascii="Arial Narrow" w:hAnsi="Arial Narrow" w:eastAsia="仿宋_GB2312" w:cs="Arial Narrow"/>
        </w:rPr>
        <w:t>（三）项目的经验与问题</w:t>
      </w:r>
      <w:r>
        <w:rPr>
          <w:rFonts w:ascii="Arial Narrow" w:hAnsi="Arial Narrow" w:eastAsia="仿宋_GB2312" w:cs="Arial Narrow"/>
        </w:rPr>
        <w:tab/>
      </w:r>
      <w:r>
        <w:rPr>
          <w:rFonts w:ascii="Arial Narrow" w:hAnsi="Arial Narrow" w:eastAsia="仿宋_GB2312" w:cs="Arial Narrow"/>
        </w:rPr>
        <w:fldChar w:fldCharType="begin"/>
      </w:r>
      <w:r>
        <w:rPr>
          <w:rFonts w:ascii="Arial Narrow" w:hAnsi="Arial Narrow" w:eastAsia="仿宋_GB2312" w:cs="Arial Narrow"/>
        </w:rPr>
        <w:instrText xml:space="preserve"> PAGEREF _Toc29444 </w:instrText>
      </w:r>
      <w:r>
        <w:rPr>
          <w:rFonts w:ascii="Arial Narrow" w:hAnsi="Arial Narrow" w:eastAsia="仿宋_GB2312" w:cs="Arial Narrow"/>
        </w:rPr>
        <w:fldChar w:fldCharType="separate"/>
      </w:r>
      <w:r>
        <w:rPr>
          <w:rFonts w:ascii="Arial Narrow" w:hAnsi="Arial Narrow" w:eastAsia="仿宋_GB2312" w:cs="Arial Narrow"/>
        </w:rPr>
        <w:t>3</w:t>
      </w:r>
      <w:r>
        <w:rPr>
          <w:rFonts w:ascii="Arial Narrow" w:hAnsi="Arial Narrow" w:eastAsia="仿宋_GB2312" w:cs="Arial Narrow"/>
        </w:rPr>
        <w:fldChar w:fldCharType="end"/>
      </w:r>
      <w:r>
        <w:rPr>
          <w:rFonts w:ascii="Arial Narrow" w:hAnsi="Arial Narrow" w:eastAsia="仿宋_GB2312" w:cs="Arial Narrow"/>
        </w:rPr>
        <w:fldChar w:fldCharType="end"/>
      </w:r>
    </w:p>
    <w:p>
      <w:pPr>
        <w:pStyle w:val="10"/>
        <w:tabs>
          <w:tab w:val="right" w:leader="dot" w:pos="8306"/>
        </w:tabs>
        <w:ind w:firstLine="440"/>
        <w:jc w:val="center"/>
        <w:rPr>
          <w:rFonts w:ascii="Arial Narrow" w:hAnsi="Arial Narrow" w:eastAsia="仿宋_GB2312" w:cs="Arial Narrow"/>
        </w:rPr>
      </w:pPr>
      <w:r>
        <w:fldChar w:fldCharType="begin"/>
      </w:r>
      <w:r>
        <w:instrText xml:space="preserve"> HYPERLINK \l "_Toc25983" </w:instrText>
      </w:r>
      <w:r>
        <w:fldChar w:fldCharType="separate"/>
      </w:r>
      <w:r>
        <w:rPr>
          <w:rFonts w:ascii="Arial Narrow" w:hAnsi="Arial Narrow" w:eastAsia="仿宋_GB2312" w:cs="Arial Narrow"/>
        </w:rPr>
        <w:t>（四）建议</w:t>
      </w:r>
      <w:r>
        <w:rPr>
          <w:rFonts w:ascii="Arial Narrow" w:hAnsi="Arial Narrow" w:eastAsia="仿宋_GB2312" w:cs="Arial Narrow"/>
        </w:rPr>
        <w:tab/>
      </w:r>
      <w:r>
        <w:rPr>
          <w:rFonts w:ascii="Arial Narrow" w:hAnsi="Arial Narrow" w:eastAsia="仿宋_GB2312" w:cs="Arial Narrow"/>
        </w:rPr>
        <w:fldChar w:fldCharType="begin"/>
      </w:r>
      <w:r>
        <w:rPr>
          <w:rFonts w:ascii="Arial Narrow" w:hAnsi="Arial Narrow" w:eastAsia="仿宋_GB2312" w:cs="Arial Narrow"/>
        </w:rPr>
        <w:instrText xml:space="preserve"> PAGEREF _Toc25983 </w:instrText>
      </w:r>
      <w:r>
        <w:rPr>
          <w:rFonts w:ascii="Arial Narrow" w:hAnsi="Arial Narrow" w:eastAsia="仿宋_GB2312" w:cs="Arial Narrow"/>
        </w:rPr>
        <w:fldChar w:fldCharType="separate"/>
      </w:r>
      <w:r>
        <w:rPr>
          <w:rFonts w:ascii="Arial Narrow" w:hAnsi="Arial Narrow" w:eastAsia="仿宋_GB2312" w:cs="Arial Narrow"/>
        </w:rPr>
        <w:t>4</w:t>
      </w:r>
      <w:r>
        <w:rPr>
          <w:rFonts w:ascii="Arial Narrow" w:hAnsi="Arial Narrow" w:eastAsia="仿宋_GB2312" w:cs="Arial Narrow"/>
        </w:rPr>
        <w:fldChar w:fldCharType="end"/>
      </w:r>
      <w:r>
        <w:rPr>
          <w:rFonts w:ascii="Arial Narrow" w:hAnsi="Arial Narrow" w:eastAsia="仿宋_GB2312" w:cs="Arial Narrow"/>
        </w:rPr>
        <w:fldChar w:fldCharType="end"/>
      </w:r>
    </w:p>
    <w:p>
      <w:pPr>
        <w:pStyle w:val="9"/>
        <w:tabs>
          <w:tab w:val="right" w:leader="dot" w:pos="8306"/>
        </w:tabs>
        <w:ind w:firstLine="440"/>
        <w:jc w:val="center"/>
        <w:rPr>
          <w:rFonts w:ascii="Arial Narrow" w:hAnsi="Arial Narrow" w:eastAsia="仿宋_GB2312" w:cs="Arial Narrow"/>
        </w:rPr>
      </w:pPr>
      <w:r>
        <w:fldChar w:fldCharType="begin"/>
      </w:r>
      <w:r>
        <w:instrText xml:space="preserve"> HYPERLINK \l "_Toc18493" </w:instrText>
      </w:r>
      <w:r>
        <w:fldChar w:fldCharType="separate"/>
      </w:r>
      <w:r>
        <w:rPr>
          <w:rFonts w:ascii="Arial Narrow" w:hAnsi="Arial Narrow" w:eastAsia="仿宋_GB2312" w:cs="Arial Narrow"/>
          <w:szCs w:val="24"/>
        </w:rPr>
        <w:t>二、正文</w:t>
      </w:r>
      <w:r>
        <w:rPr>
          <w:rFonts w:ascii="Arial Narrow" w:hAnsi="Arial Narrow" w:eastAsia="仿宋_GB2312" w:cs="Arial Narrow"/>
        </w:rPr>
        <w:tab/>
      </w:r>
      <w:r>
        <w:rPr>
          <w:rFonts w:ascii="Arial Narrow" w:hAnsi="Arial Narrow" w:eastAsia="仿宋_GB2312" w:cs="Arial Narrow"/>
        </w:rPr>
        <w:fldChar w:fldCharType="begin"/>
      </w:r>
      <w:r>
        <w:rPr>
          <w:rFonts w:ascii="Arial Narrow" w:hAnsi="Arial Narrow" w:eastAsia="仿宋_GB2312" w:cs="Arial Narrow"/>
        </w:rPr>
        <w:instrText xml:space="preserve"> PAGEREF _Toc18493 </w:instrText>
      </w:r>
      <w:r>
        <w:rPr>
          <w:rFonts w:ascii="Arial Narrow" w:hAnsi="Arial Narrow" w:eastAsia="仿宋_GB2312" w:cs="Arial Narrow"/>
        </w:rPr>
        <w:fldChar w:fldCharType="separate"/>
      </w:r>
      <w:r>
        <w:rPr>
          <w:rFonts w:ascii="Arial Narrow" w:hAnsi="Arial Narrow" w:eastAsia="仿宋_GB2312" w:cs="Arial Narrow"/>
        </w:rPr>
        <w:t>4</w:t>
      </w:r>
      <w:r>
        <w:rPr>
          <w:rFonts w:ascii="Arial Narrow" w:hAnsi="Arial Narrow" w:eastAsia="仿宋_GB2312" w:cs="Arial Narrow"/>
        </w:rPr>
        <w:fldChar w:fldCharType="end"/>
      </w:r>
      <w:r>
        <w:rPr>
          <w:rFonts w:ascii="Arial Narrow" w:hAnsi="Arial Narrow" w:eastAsia="仿宋_GB2312" w:cs="Arial Narrow"/>
        </w:rPr>
        <w:fldChar w:fldCharType="end"/>
      </w:r>
    </w:p>
    <w:p>
      <w:pPr>
        <w:pStyle w:val="10"/>
        <w:tabs>
          <w:tab w:val="right" w:leader="dot" w:pos="8306"/>
        </w:tabs>
        <w:ind w:firstLine="440"/>
        <w:jc w:val="center"/>
        <w:rPr>
          <w:rFonts w:ascii="Arial Narrow" w:hAnsi="Arial Narrow" w:eastAsia="仿宋_GB2312" w:cs="Arial Narrow"/>
        </w:rPr>
      </w:pPr>
      <w:r>
        <w:fldChar w:fldCharType="begin"/>
      </w:r>
      <w:r>
        <w:instrText xml:space="preserve"> HYPERLINK \l "_Toc18017" </w:instrText>
      </w:r>
      <w:r>
        <w:fldChar w:fldCharType="separate"/>
      </w:r>
      <w:r>
        <w:rPr>
          <w:rFonts w:ascii="Arial Narrow" w:hAnsi="Arial Narrow" w:eastAsia="仿宋_GB2312" w:cs="Arial Narrow"/>
          <w:bCs/>
          <w:szCs w:val="24"/>
        </w:rPr>
        <w:t>（一）项目基本情况</w:t>
      </w:r>
      <w:r>
        <w:rPr>
          <w:rFonts w:ascii="Arial Narrow" w:hAnsi="Arial Narrow" w:eastAsia="仿宋_GB2312" w:cs="Arial Narrow"/>
        </w:rPr>
        <w:tab/>
      </w:r>
      <w:r>
        <w:rPr>
          <w:rFonts w:ascii="Arial Narrow" w:hAnsi="Arial Narrow" w:eastAsia="仿宋_GB2312" w:cs="Arial Narrow"/>
        </w:rPr>
        <w:fldChar w:fldCharType="begin"/>
      </w:r>
      <w:r>
        <w:rPr>
          <w:rFonts w:ascii="Arial Narrow" w:hAnsi="Arial Narrow" w:eastAsia="仿宋_GB2312" w:cs="Arial Narrow"/>
        </w:rPr>
        <w:instrText xml:space="preserve"> PAGEREF _Toc18017 </w:instrText>
      </w:r>
      <w:r>
        <w:rPr>
          <w:rFonts w:ascii="Arial Narrow" w:hAnsi="Arial Narrow" w:eastAsia="仿宋_GB2312" w:cs="Arial Narrow"/>
        </w:rPr>
        <w:fldChar w:fldCharType="separate"/>
      </w:r>
      <w:r>
        <w:rPr>
          <w:rFonts w:ascii="Arial Narrow" w:hAnsi="Arial Narrow" w:eastAsia="仿宋_GB2312" w:cs="Arial Narrow"/>
        </w:rPr>
        <w:t>5</w:t>
      </w:r>
      <w:r>
        <w:rPr>
          <w:rFonts w:ascii="Arial Narrow" w:hAnsi="Arial Narrow" w:eastAsia="仿宋_GB2312" w:cs="Arial Narrow"/>
        </w:rPr>
        <w:fldChar w:fldCharType="end"/>
      </w:r>
      <w:r>
        <w:rPr>
          <w:rFonts w:ascii="Arial Narrow" w:hAnsi="Arial Narrow" w:eastAsia="仿宋_GB2312" w:cs="Arial Narrow"/>
        </w:rPr>
        <w:fldChar w:fldCharType="end"/>
      </w:r>
    </w:p>
    <w:p>
      <w:pPr>
        <w:pStyle w:val="6"/>
        <w:tabs>
          <w:tab w:val="right" w:leader="dot" w:pos="8306"/>
        </w:tabs>
        <w:ind w:firstLine="440"/>
        <w:jc w:val="center"/>
        <w:rPr>
          <w:rFonts w:ascii="Arial Narrow" w:hAnsi="Arial Narrow" w:eastAsia="仿宋_GB2312" w:cs="Arial Narrow"/>
        </w:rPr>
      </w:pPr>
      <w:r>
        <w:fldChar w:fldCharType="begin"/>
      </w:r>
      <w:r>
        <w:instrText xml:space="preserve"> HYPERLINK \l "_Toc6665" </w:instrText>
      </w:r>
      <w:r>
        <w:fldChar w:fldCharType="separate"/>
      </w:r>
      <w:r>
        <w:rPr>
          <w:rFonts w:ascii="Arial Narrow" w:hAnsi="Arial Narrow" w:eastAsia="仿宋_GB2312" w:cs="Arial Narrow"/>
          <w:kern w:val="2"/>
          <w:szCs w:val="24"/>
        </w:rPr>
        <w:t>1、项目立项背景及依据</w:t>
      </w:r>
      <w:r>
        <w:rPr>
          <w:rFonts w:ascii="Arial Narrow" w:hAnsi="Arial Narrow" w:eastAsia="仿宋_GB2312" w:cs="Arial Narrow"/>
        </w:rPr>
        <w:tab/>
      </w:r>
      <w:r>
        <w:rPr>
          <w:rFonts w:ascii="Arial Narrow" w:hAnsi="Arial Narrow" w:eastAsia="仿宋_GB2312" w:cs="Arial Narrow"/>
        </w:rPr>
        <w:fldChar w:fldCharType="begin"/>
      </w:r>
      <w:r>
        <w:rPr>
          <w:rFonts w:ascii="Arial Narrow" w:hAnsi="Arial Narrow" w:eastAsia="仿宋_GB2312" w:cs="Arial Narrow"/>
        </w:rPr>
        <w:instrText xml:space="preserve"> PAGEREF _Toc6665 </w:instrText>
      </w:r>
      <w:r>
        <w:rPr>
          <w:rFonts w:ascii="Arial Narrow" w:hAnsi="Arial Narrow" w:eastAsia="仿宋_GB2312" w:cs="Arial Narrow"/>
        </w:rPr>
        <w:fldChar w:fldCharType="separate"/>
      </w:r>
      <w:r>
        <w:rPr>
          <w:rFonts w:ascii="Arial Narrow" w:hAnsi="Arial Narrow" w:eastAsia="仿宋_GB2312" w:cs="Arial Narrow"/>
        </w:rPr>
        <w:t>5</w:t>
      </w:r>
      <w:r>
        <w:rPr>
          <w:rFonts w:ascii="Arial Narrow" w:hAnsi="Arial Narrow" w:eastAsia="仿宋_GB2312" w:cs="Arial Narrow"/>
        </w:rPr>
        <w:fldChar w:fldCharType="end"/>
      </w:r>
      <w:r>
        <w:rPr>
          <w:rFonts w:ascii="Arial Narrow" w:hAnsi="Arial Narrow" w:eastAsia="仿宋_GB2312" w:cs="Arial Narrow"/>
        </w:rPr>
        <w:fldChar w:fldCharType="end"/>
      </w:r>
    </w:p>
    <w:p>
      <w:pPr>
        <w:pStyle w:val="6"/>
        <w:tabs>
          <w:tab w:val="right" w:leader="dot" w:pos="8306"/>
        </w:tabs>
        <w:ind w:firstLine="440"/>
        <w:jc w:val="center"/>
        <w:rPr>
          <w:rFonts w:ascii="Arial Narrow" w:hAnsi="Arial Narrow" w:eastAsia="仿宋_GB2312" w:cs="Arial Narrow"/>
        </w:rPr>
      </w:pPr>
      <w:r>
        <w:fldChar w:fldCharType="begin"/>
      </w:r>
      <w:r>
        <w:instrText xml:space="preserve"> HYPERLINK \l "_Toc12614" </w:instrText>
      </w:r>
      <w:r>
        <w:fldChar w:fldCharType="separate"/>
      </w:r>
      <w:r>
        <w:rPr>
          <w:rFonts w:ascii="Arial Narrow" w:hAnsi="Arial Narrow" w:eastAsia="仿宋_GB2312" w:cs="Arial Narrow"/>
          <w:kern w:val="2"/>
          <w:szCs w:val="24"/>
        </w:rPr>
        <w:t>2、项目绩效目标</w:t>
      </w:r>
      <w:r>
        <w:rPr>
          <w:rFonts w:ascii="Arial Narrow" w:hAnsi="Arial Narrow" w:eastAsia="仿宋_GB2312" w:cs="Arial Narrow"/>
        </w:rPr>
        <w:tab/>
      </w:r>
      <w:r>
        <w:rPr>
          <w:rFonts w:ascii="Arial Narrow" w:hAnsi="Arial Narrow" w:eastAsia="仿宋_GB2312" w:cs="Arial Narrow"/>
        </w:rPr>
        <w:fldChar w:fldCharType="begin"/>
      </w:r>
      <w:r>
        <w:rPr>
          <w:rFonts w:ascii="Arial Narrow" w:hAnsi="Arial Narrow" w:eastAsia="仿宋_GB2312" w:cs="Arial Narrow"/>
        </w:rPr>
        <w:instrText xml:space="preserve"> PAGEREF _Toc12614 </w:instrText>
      </w:r>
      <w:r>
        <w:rPr>
          <w:rFonts w:ascii="Arial Narrow" w:hAnsi="Arial Narrow" w:eastAsia="仿宋_GB2312" w:cs="Arial Narrow"/>
        </w:rPr>
        <w:fldChar w:fldCharType="separate"/>
      </w:r>
      <w:r>
        <w:rPr>
          <w:rFonts w:ascii="Arial Narrow" w:hAnsi="Arial Narrow" w:eastAsia="仿宋_GB2312" w:cs="Arial Narrow"/>
        </w:rPr>
        <w:t>5</w:t>
      </w:r>
      <w:r>
        <w:rPr>
          <w:rFonts w:ascii="Arial Narrow" w:hAnsi="Arial Narrow" w:eastAsia="仿宋_GB2312" w:cs="Arial Narrow"/>
        </w:rPr>
        <w:fldChar w:fldCharType="end"/>
      </w:r>
      <w:r>
        <w:rPr>
          <w:rFonts w:ascii="Arial Narrow" w:hAnsi="Arial Narrow" w:eastAsia="仿宋_GB2312" w:cs="Arial Narrow"/>
        </w:rPr>
        <w:fldChar w:fldCharType="end"/>
      </w:r>
    </w:p>
    <w:p>
      <w:pPr>
        <w:pStyle w:val="6"/>
        <w:tabs>
          <w:tab w:val="right" w:leader="dot" w:pos="8306"/>
        </w:tabs>
        <w:ind w:firstLine="440"/>
        <w:jc w:val="center"/>
        <w:rPr>
          <w:rFonts w:ascii="Arial Narrow" w:hAnsi="Arial Narrow" w:eastAsia="仿宋_GB2312" w:cs="Arial Narrow"/>
        </w:rPr>
      </w:pPr>
      <w:r>
        <w:fldChar w:fldCharType="begin"/>
      </w:r>
      <w:r>
        <w:instrText xml:space="preserve"> HYPERLINK \l "_Toc32677" </w:instrText>
      </w:r>
      <w:r>
        <w:fldChar w:fldCharType="separate"/>
      </w:r>
      <w:r>
        <w:rPr>
          <w:rFonts w:ascii="Arial Narrow" w:hAnsi="Arial Narrow" w:eastAsia="仿宋_GB2312" w:cs="Arial Narrow"/>
          <w:kern w:val="2"/>
          <w:szCs w:val="24"/>
        </w:rPr>
        <w:t>3、项目经费来源和使用情况</w:t>
      </w:r>
      <w:r>
        <w:rPr>
          <w:rFonts w:ascii="Arial Narrow" w:hAnsi="Arial Narrow" w:eastAsia="仿宋_GB2312" w:cs="Arial Narrow"/>
        </w:rPr>
        <w:tab/>
      </w:r>
      <w:r>
        <w:rPr>
          <w:rFonts w:ascii="Arial Narrow" w:hAnsi="Arial Narrow" w:eastAsia="仿宋_GB2312" w:cs="Arial Narrow"/>
        </w:rPr>
        <w:fldChar w:fldCharType="begin"/>
      </w:r>
      <w:r>
        <w:rPr>
          <w:rFonts w:ascii="Arial Narrow" w:hAnsi="Arial Narrow" w:eastAsia="仿宋_GB2312" w:cs="Arial Narrow"/>
        </w:rPr>
        <w:instrText xml:space="preserve"> PAGEREF _Toc32677 </w:instrText>
      </w:r>
      <w:r>
        <w:rPr>
          <w:rFonts w:ascii="Arial Narrow" w:hAnsi="Arial Narrow" w:eastAsia="仿宋_GB2312" w:cs="Arial Narrow"/>
        </w:rPr>
        <w:fldChar w:fldCharType="separate"/>
      </w:r>
      <w:r>
        <w:rPr>
          <w:rFonts w:ascii="Arial Narrow" w:hAnsi="Arial Narrow" w:eastAsia="仿宋_GB2312" w:cs="Arial Narrow"/>
        </w:rPr>
        <w:t>6</w:t>
      </w:r>
      <w:r>
        <w:rPr>
          <w:rFonts w:ascii="Arial Narrow" w:hAnsi="Arial Narrow" w:eastAsia="仿宋_GB2312" w:cs="Arial Narrow"/>
        </w:rPr>
        <w:fldChar w:fldCharType="end"/>
      </w:r>
      <w:r>
        <w:rPr>
          <w:rFonts w:ascii="Arial Narrow" w:hAnsi="Arial Narrow" w:eastAsia="仿宋_GB2312" w:cs="Arial Narrow"/>
        </w:rPr>
        <w:fldChar w:fldCharType="end"/>
      </w:r>
    </w:p>
    <w:p>
      <w:pPr>
        <w:pStyle w:val="6"/>
        <w:tabs>
          <w:tab w:val="right" w:leader="dot" w:pos="8306"/>
        </w:tabs>
        <w:ind w:firstLine="440"/>
        <w:jc w:val="center"/>
        <w:rPr>
          <w:rFonts w:ascii="Arial Narrow" w:hAnsi="Arial Narrow" w:eastAsia="仿宋_GB2312" w:cs="Arial Narrow"/>
        </w:rPr>
      </w:pPr>
      <w:r>
        <w:fldChar w:fldCharType="begin"/>
      </w:r>
      <w:r>
        <w:instrText xml:space="preserve"> HYPERLINK \l "_Toc14385" </w:instrText>
      </w:r>
      <w:r>
        <w:fldChar w:fldCharType="separate"/>
      </w:r>
      <w:r>
        <w:rPr>
          <w:rFonts w:ascii="Arial Narrow" w:hAnsi="Arial Narrow" w:eastAsia="仿宋_GB2312" w:cs="Arial Narrow"/>
          <w:kern w:val="2"/>
          <w:szCs w:val="24"/>
        </w:rPr>
        <w:t>4、项目实施情况</w:t>
      </w:r>
      <w:r>
        <w:rPr>
          <w:rFonts w:ascii="Arial Narrow" w:hAnsi="Arial Narrow" w:eastAsia="仿宋_GB2312" w:cs="Arial Narrow"/>
        </w:rPr>
        <w:tab/>
      </w:r>
      <w:r>
        <w:rPr>
          <w:rFonts w:ascii="Arial Narrow" w:hAnsi="Arial Narrow" w:eastAsia="仿宋_GB2312" w:cs="Arial Narrow"/>
        </w:rPr>
        <w:fldChar w:fldCharType="begin"/>
      </w:r>
      <w:r>
        <w:rPr>
          <w:rFonts w:ascii="Arial Narrow" w:hAnsi="Arial Narrow" w:eastAsia="仿宋_GB2312" w:cs="Arial Narrow"/>
        </w:rPr>
        <w:instrText xml:space="preserve"> PAGEREF _Toc14385 </w:instrText>
      </w:r>
      <w:r>
        <w:rPr>
          <w:rFonts w:ascii="Arial Narrow" w:hAnsi="Arial Narrow" w:eastAsia="仿宋_GB2312" w:cs="Arial Narrow"/>
        </w:rPr>
        <w:fldChar w:fldCharType="separate"/>
      </w:r>
      <w:r>
        <w:rPr>
          <w:rFonts w:ascii="Arial Narrow" w:hAnsi="Arial Narrow" w:eastAsia="仿宋_GB2312" w:cs="Arial Narrow"/>
        </w:rPr>
        <w:t>7</w:t>
      </w:r>
      <w:r>
        <w:rPr>
          <w:rFonts w:ascii="Arial Narrow" w:hAnsi="Arial Narrow" w:eastAsia="仿宋_GB2312" w:cs="Arial Narrow"/>
        </w:rPr>
        <w:fldChar w:fldCharType="end"/>
      </w:r>
      <w:r>
        <w:rPr>
          <w:rFonts w:ascii="Arial Narrow" w:hAnsi="Arial Narrow" w:eastAsia="仿宋_GB2312" w:cs="Arial Narrow"/>
        </w:rPr>
        <w:fldChar w:fldCharType="end"/>
      </w:r>
    </w:p>
    <w:p>
      <w:pPr>
        <w:pStyle w:val="10"/>
        <w:tabs>
          <w:tab w:val="right" w:leader="dot" w:pos="8306"/>
        </w:tabs>
        <w:ind w:firstLine="440"/>
        <w:jc w:val="center"/>
        <w:rPr>
          <w:rFonts w:ascii="Arial Narrow" w:hAnsi="Arial Narrow" w:eastAsia="仿宋_GB2312" w:cs="Arial Narrow"/>
        </w:rPr>
      </w:pPr>
      <w:r>
        <w:fldChar w:fldCharType="begin"/>
      </w:r>
      <w:r>
        <w:instrText xml:space="preserve"> HYPERLINK \l "_Toc17342" </w:instrText>
      </w:r>
      <w:r>
        <w:fldChar w:fldCharType="separate"/>
      </w:r>
      <w:r>
        <w:rPr>
          <w:rFonts w:ascii="Arial Narrow" w:hAnsi="Arial Narrow" w:eastAsia="仿宋_GB2312" w:cs="Arial Narrow"/>
          <w:bCs/>
        </w:rPr>
        <w:t>（二）绩效评价工作情况</w:t>
      </w:r>
      <w:r>
        <w:rPr>
          <w:rFonts w:ascii="Arial Narrow" w:hAnsi="Arial Narrow" w:eastAsia="仿宋_GB2312" w:cs="Arial Narrow"/>
        </w:rPr>
        <w:tab/>
      </w:r>
      <w:r>
        <w:rPr>
          <w:rFonts w:ascii="Arial Narrow" w:hAnsi="Arial Narrow" w:eastAsia="仿宋_GB2312" w:cs="Arial Narrow"/>
        </w:rPr>
        <w:fldChar w:fldCharType="begin"/>
      </w:r>
      <w:r>
        <w:rPr>
          <w:rFonts w:ascii="Arial Narrow" w:hAnsi="Arial Narrow" w:eastAsia="仿宋_GB2312" w:cs="Arial Narrow"/>
        </w:rPr>
        <w:instrText xml:space="preserve"> PAGEREF _Toc17342 </w:instrText>
      </w:r>
      <w:r>
        <w:rPr>
          <w:rFonts w:ascii="Arial Narrow" w:hAnsi="Arial Narrow" w:eastAsia="仿宋_GB2312" w:cs="Arial Narrow"/>
        </w:rPr>
        <w:fldChar w:fldCharType="separate"/>
      </w:r>
      <w:r>
        <w:rPr>
          <w:rFonts w:ascii="Arial Narrow" w:hAnsi="Arial Narrow" w:eastAsia="仿宋_GB2312" w:cs="Arial Narrow"/>
        </w:rPr>
        <w:t>7</w:t>
      </w:r>
      <w:r>
        <w:rPr>
          <w:rFonts w:ascii="Arial Narrow" w:hAnsi="Arial Narrow" w:eastAsia="仿宋_GB2312" w:cs="Arial Narrow"/>
        </w:rPr>
        <w:fldChar w:fldCharType="end"/>
      </w:r>
      <w:r>
        <w:rPr>
          <w:rFonts w:ascii="Arial Narrow" w:hAnsi="Arial Narrow" w:eastAsia="仿宋_GB2312" w:cs="Arial Narrow"/>
        </w:rPr>
        <w:fldChar w:fldCharType="end"/>
      </w:r>
    </w:p>
    <w:p>
      <w:pPr>
        <w:pStyle w:val="6"/>
        <w:tabs>
          <w:tab w:val="right" w:leader="dot" w:pos="8306"/>
        </w:tabs>
        <w:ind w:firstLine="440"/>
        <w:jc w:val="center"/>
        <w:rPr>
          <w:rFonts w:ascii="Arial Narrow" w:hAnsi="Arial Narrow" w:eastAsia="仿宋_GB2312" w:cs="Arial Narrow"/>
        </w:rPr>
      </w:pPr>
      <w:r>
        <w:fldChar w:fldCharType="begin"/>
      </w:r>
      <w:r>
        <w:instrText xml:space="preserve"> HYPERLINK \l "_Toc24820" </w:instrText>
      </w:r>
      <w:r>
        <w:fldChar w:fldCharType="separate"/>
      </w:r>
      <w:r>
        <w:rPr>
          <w:rFonts w:ascii="Arial Narrow" w:hAnsi="Arial Narrow" w:eastAsia="仿宋_GB2312" w:cs="Arial Narrow"/>
          <w:kern w:val="2"/>
          <w:szCs w:val="24"/>
        </w:rPr>
        <w:t>1、绩效评价目的</w:t>
      </w:r>
      <w:r>
        <w:rPr>
          <w:rFonts w:ascii="Arial Narrow" w:hAnsi="Arial Narrow" w:eastAsia="仿宋_GB2312" w:cs="Arial Narrow"/>
        </w:rPr>
        <w:tab/>
      </w:r>
      <w:r>
        <w:rPr>
          <w:rFonts w:ascii="Arial Narrow" w:hAnsi="Arial Narrow" w:eastAsia="仿宋_GB2312" w:cs="Arial Narrow"/>
        </w:rPr>
        <w:fldChar w:fldCharType="begin"/>
      </w:r>
      <w:r>
        <w:rPr>
          <w:rFonts w:ascii="Arial Narrow" w:hAnsi="Arial Narrow" w:eastAsia="仿宋_GB2312" w:cs="Arial Narrow"/>
        </w:rPr>
        <w:instrText xml:space="preserve"> PAGEREF _Toc24820 </w:instrText>
      </w:r>
      <w:r>
        <w:rPr>
          <w:rFonts w:ascii="Arial Narrow" w:hAnsi="Arial Narrow" w:eastAsia="仿宋_GB2312" w:cs="Arial Narrow"/>
        </w:rPr>
        <w:fldChar w:fldCharType="separate"/>
      </w:r>
      <w:r>
        <w:rPr>
          <w:rFonts w:ascii="Arial Narrow" w:hAnsi="Arial Narrow" w:eastAsia="仿宋_GB2312" w:cs="Arial Narrow"/>
        </w:rPr>
        <w:t>7</w:t>
      </w:r>
      <w:r>
        <w:rPr>
          <w:rFonts w:ascii="Arial Narrow" w:hAnsi="Arial Narrow" w:eastAsia="仿宋_GB2312" w:cs="Arial Narrow"/>
        </w:rPr>
        <w:fldChar w:fldCharType="end"/>
      </w:r>
      <w:r>
        <w:rPr>
          <w:rFonts w:ascii="Arial Narrow" w:hAnsi="Arial Narrow" w:eastAsia="仿宋_GB2312" w:cs="Arial Narrow"/>
        </w:rPr>
        <w:fldChar w:fldCharType="end"/>
      </w:r>
    </w:p>
    <w:p>
      <w:pPr>
        <w:pStyle w:val="6"/>
        <w:tabs>
          <w:tab w:val="right" w:leader="dot" w:pos="8306"/>
        </w:tabs>
        <w:ind w:firstLine="440"/>
        <w:jc w:val="center"/>
        <w:rPr>
          <w:rFonts w:ascii="Arial Narrow" w:hAnsi="Arial Narrow" w:eastAsia="仿宋_GB2312" w:cs="Arial Narrow"/>
        </w:rPr>
      </w:pPr>
      <w:r>
        <w:fldChar w:fldCharType="begin"/>
      </w:r>
      <w:r>
        <w:instrText xml:space="preserve"> HYPERLINK \l "_Toc27502" </w:instrText>
      </w:r>
      <w:r>
        <w:fldChar w:fldCharType="separate"/>
      </w:r>
      <w:r>
        <w:rPr>
          <w:rFonts w:ascii="Arial Narrow" w:hAnsi="Arial Narrow" w:eastAsia="仿宋_GB2312" w:cs="Arial Narrow"/>
          <w:kern w:val="2"/>
          <w:szCs w:val="24"/>
        </w:rPr>
        <w:t>2、绩效评价框架说明</w:t>
      </w:r>
      <w:r>
        <w:rPr>
          <w:rFonts w:ascii="Arial Narrow" w:hAnsi="Arial Narrow" w:eastAsia="仿宋_GB2312" w:cs="Arial Narrow"/>
        </w:rPr>
        <w:tab/>
      </w:r>
      <w:r>
        <w:rPr>
          <w:rFonts w:ascii="Arial Narrow" w:hAnsi="Arial Narrow" w:eastAsia="仿宋_GB2312" w:cs="Arial Narrow"/>
        </w:rPr>
        <w:fldChar w:fldCharType="begin"/>
      </w:r>
      <w:r>
        <w:rPr>
          <w:rFonts w:ascii="Arial Narrow" w:hAnsi="Arial Narrow" w:eastAsia="仿宋_GB2312" w:cs="Arial Narrow"/>
        </w:rPr>
        <w:instrText xml:space="preserve"> PAGEREF _Toc27502 </w:instrText>
      </w:r>
      <w:r>
        <w:rPr>
          <w:rFonts w:ascii="Arial Narrow" w:hAnsi="Arial Narrow" w:eastAsia="仿宋_GB2312" w:cs="Arial Narrow"/>
        </w:rPr>
        <w:fldChar w:fldCharType="separate"/>
      </w:r>
      <w:r>
        <w:rPr>
          <w:rFonts w:ascii="Arial Narrow" w:hAnsi="Arial Narrow" w:eastAsia="仿宋_GB2312" w:cs="Arial Narrow"/>
        </w:rPr>
        <w:t>8</w:t>
      </w:r>
      <w:r>
        <w:rPr>
          <w:rFonts w:ascii="Arial Narrow" w:hAnsi="Arial Narrow" w:eastAsia="仿宋_GB2312" w:cs="Arial Narrow"/>
        </w:rPr>
        <w:fldChar w:fldCharType="end"/>
      </w:r>
      <w:r>
        <w:rPr>
          <w:rFonts w:ascii="Arial Narrow" w:hAnsi="Arial Narrow" w:eastAsia="仿宋_GB2312" w:cs="Arial Narrow"/>
        </w:rPr>
        <w:fldChar w:fldCharType="end"/>
      </w:r>
    </w:p>
    <w:p>
      <w:pPr>
        <w:pStyle w:val="10"/>
        <w:tabs>
          <w:tab w:val="right" w:leader="dot" w:pos="8306"/>
        </w:tabs>
        <w:ind w:firstLine="440"/>
        <w:jc w:val="center"/>
        <w:rPr>
          <w:rFonts w:ascii="Arial Narrow" w:hAnsi="Arial Narrow" w:eastAsia="仿宋_GB2312" w:cs="Arial Narrow"/>
        </w:rPr>
      </w:pPr>
      <w:r>
        <w:fldChar w:fldCharType="begin"/>
      </w:r>
      <w:r>
        <w:instrText xml:space="preserve"> HYPERLINK \l "_Toc162" </w:instrText>
      </w:r>
      <w:r>
        <w:fldChar w:fldCharType="separate"/>
      </w:r>
      <w:r>
        <w:rPr>
          <w:rFonts w:ascii="Arial Narrow" w:hAnsi="Arial Narrow" w:eastAsia="仿宋_GB2312" w:cs="Arial Narrow"/>
          <w:bCs/>
        </w:rPr>
        <w:t>（三）绩效分析及评价结论</w:t>
      </w:r>
      <w:r>
        <w:rPr>
          <w:rFonts w:ascii="Arial Narrow" w:hAnsi="Arial Narrow" w:eastAsia="仿宋_GB2312" w:cs="Arial Narrow"/>
        </w:rPr>
        <w:tab/>
      </w:r>
      <w:r>
        <w:rPr>
          <w:rFonts w:ascii="Arial Narrow" w:hAnsi="Arial Narrow" w:eastAsia="仿宋_GB2312" w:cs="Arial Narrow"/>
        </w:rPr>
        <w:fldChar w:fldCharType="begin"/>
      </w:r>
      <w:r>
        <w:rPr>
          <w:rFonts w:ascii="Arial Narrow" w:hAnsi="Arial Narrow" w:eastAsia="仿宋_GB2312" w:cs="Arial Narrow"/>
        </w:rPr>
        <w:instrText xml:space="preserve"> PAGEREF _Toc162 </w:instrText>
      </w:r>
      <w:r>
        <w:rPr>
          <w:rFonts w:ascii="Arial Narrow" w:hAnsi="Arial Narrow" w:eastAsia="仿宋_GB2312" w:cs="Arial Narrow"/>
        </w:rPr>
        <w:fldChar w:fldCharType="separate"/>
      </w:r>
      <w:r>
        <w:rPr>
          <w:rFonts w:ascii="Arial Narrow" w:hAnsi="Arial Narrow" w:eastAsia="仿宋_GB2312" w:cs="Arial Narrow"/>
        </w:rPr>
        <w:t>18</w:t>
      </w:r>
      <w:r>
        <w:rPr>
          <w:rFonts w:ascii="Arial Narrow" w:hAnsi="Arial Narrow" w:eastAsia="仿宋_GB2312" w:cs="Arial Narrow"/>
        </w:rPr>
        <w:fldChar w:fldCharType="end"/>
      </w:r>
      <w:r>
        <w:rPr>
          <w:rFonts w:ascii="Arial Narrow" w:hAnsi="Arial Narrow" w:eastAsia="仿宋_GB2312" w:cs="Arial Narrow"/>
        </w:rPr>
        <w:fldChar w:fldCharType="end"/>
      </w:r>
    </w:p>
    <w:p>
      <w:pPr>
        <w:pStyle w:val="6"/>
        <w:tabs>
          <w:tab w:val="right" w:leader="dot" w:pos="8306"/>
        </w:tabs>
        <w:ind w:firstLine="440"/>
        <w:jc w:val="center"/>
        <w:rPr>
          <w:rFonts w:ascii="Arial Narrow" w:hAnsi="Arial Narrow" w:eastAsia="仿宋_GB2312" w:cs="Arial Narrow"/>
        </w:rPr>
      </w:pPr>
      <w:r>
        <w:fldChar w:fldCharType="begin"/>
      </w:r>
      <w:r>
        <w:instrText xml:space="preserve"> HYPERLINK \l "_Toc21070" </w:instrText>
      </w:r>
      <w:r>
        <w:fldChar w:fldCharType="separate"/>
      </w:r>
      <w:r>
        <w:rPr>
          <w:rFonts w:ascii="Arial Narrow" w:hAnsi="Arial Narrow" w:eastAsia="仿宋_GB2312" w:cs="Arial Narrow"/>
          <w:kern w:val="2"/>
          <w:szCs w:val="24"/>
        </w:rPr>
        <w:t>1、绩效分析</w:t>
      </w:r>
      <w:r>
        <w:rPr>
          <w:rFonts w:ascii="Arial Narrow" w:hAnsi="Arial Narrow" w:eastAsia="仿宋_GB2312" w:cs="Arial Narrow"/>
        </w:rPr>
        <w:tab/>
      </w:r>
      <w:r>
        <w:rPr>
          <w:rFonts w:ascii="Arial Narrow" w:hAnsi="Arial Narrow" w:eastAsia="仿宋_GB2312" w:cs="Arial Narrow"/>
        </w:rPr>
        <w:fldChar w:fldCharType="begin"/>
      </w:r>
      <w:r>
        <w:rPr>
          <w:rFonts w:ascii="Arial Narrow" w:hAnsi="Arial Narrow" w:eastAsia="仿宋_GB2312" w:cs="Arial Narrow"/>
        </w:rPr>
        <w:instrText xml:space="preserve"> PAGEREF _Toc21070 </w:instrText>
      </w:r>
      <w:r>
        <w:rPr>
          <w:rFonts w:ascii="Arial Narrow" w:hAnsi="Arial Narrow" w:eastAsia="仿宋_GB2312" w:cs="Arial Narrow"/>
        </w:rPr>
        <w:fldChar w:fldCharType="separate"/>
      </w:r>
      <w:r>
        <w:rPr>
          <w:rFonts w:ascii="Arial Narrow" w:hAnsi="Arial Narrow" w:eastAsia="仿宋_GB2312" w:cs="Arial Narrow"/>
        </w:rPr>
        <w:t>18</w:t>
      </w:r>
      <w:r>
        <w:rPr>
          <w:rFonts w:ascii="Arial Narrow" w:hAnsi="Arial Narrow" w:eastAsia="仿宋_GB2312" w:cs="Arial Narrow"/>
        </w:rPr>
        <w:fldChar w:fldCharType="end"/>
      </w:r>
      <w:r>
        <w:rPr>
          <w:rFonts w:ascii="Arial Narrow" w:hAnsi="Arial Narrow" w:eastAsia="仿宋_GB2312" w:cs="Arial Narrow"/>
        </w:rPr>
        <w:fldChar w:fldCharType="end"/>
      </w:r>
    </w:p>
    <w:p>
      <w:pPr>
        <w:pStyle w:val="6"/>
        <w:tabs>
          <w:tab w:val="right" w:leader="dot" w:pos="8306"/>
        </w:tabs>
        <w:ind w:firstLine="440"/>
        <w:jc w:val="center"/>
        <w:rPr>
          <w:rFonts w:ascii="Arial Narrow" w:hAnsi="Arial Narrow" w:eastAsia="仿宋_GB2312" w:cs="Arial Narrow"/>
        </w:rPr>
      </w:pPr>
      <w:r>
        <w:fldChar w:fldCharType="begin"/>
      </w:r>
      <w:r>
        <w:instrText xml:space="preserve"> HYPERLINK \l "_Toc23517" </w:instrText>
      </w:r>
      <w:r>
        <w:fldChar w:fldCharType="separate"/>
      </w:r>
      <w:r>
        <w:rPr>
          <w:rFonts w:ascii="Arial Narrow" w:hAnsi="Arial Narrow" w:eastAsia="仿宋_GB2312" w:cs="Arial Narrow"/>
          <w:kern w:val="2"/>
          <w:szCs w:val="24"/>
        </w:rPr>
        <w:t>2、评价结论</w:t>
      </w:r>
      <w:r>
        <w:rPr>
          <w:rFonts w:ascii="Arial Narrow" w:hAnsi="Arial Narrow" w:eastAsia="仿宋_GB2312" w:cs="Arial Narrow"/>
        </w:rPr>
        <w:tab/>
      </w:r>
      <w:r>
        <w:rPr>
          <w:rFonts w:ascii="Arial Narrow" w:hAnsi="Arial Narrow" w:eastAsia="仿宋_GB2312" w:cs="Arial Narrow"/>
        </w:rPr>
        <w:fldChar w:fldCharType="begin"/>
      </w:r>
      <w:r>
        <w:rPr>
          <w:rFonts w:ascii="Arial Narrow" w:hAnsi="Arial Narrow" w:eastAsia="仿宋_GB2312" w:cs="Arial Narrow"/>
        </w:rPr>
        <w:instrText xml:space="preserve"> PAGEREF _Toc23517 </w:instrText>
      </w:r>
      <w:r>
        <w:rPr>
          <w:rFonts w:ascii="Arial Narrow" w:hAnsi="Arial Narrow" w:eastAsia="仿宋_GB2312" w:cs="Arial Narrow"/>
        </w:rPr>
        <w:fldChar w:fldCharType="separate"/>
      </w:r>
      <w:r>
        <w:rPr>
          <w:rFonts w:ascii="Arial Narrow" w:hAnsi="Arial Narrow" w:eastAsia="仿宋_GB2312" w:cs="Arial Narrow"/>
        </w:rPr>
        <w:t>26</w:t>
      </w:r>
      <w:r>
        <w:rPr>
          <w:rFonts w:ascii="Arial Narrow" w:hAnsi="Arial Narrow" w:eastAsia="仿宋_GB2312" w:cs="Arial Narrow"/>
        </w:rPr>
        <w:fldChar w:fldCharType="end"/>
      </w:r>
      <w:r>
        <w:rPr>
          <w:rFonts w:ascii="Arial Narrow" w:hAnsi="Arial Narrow" w:eastAsia="仿宋_GB2312" w:cs="Arial Narrow"/>
        </w:rPr>
        <w:fldChar w:fldCharType="end"/>
      </w:r>
    </w:p>
    <w:p>
      <w:pPr>
        <w:pStyle w:val="10"/>
        <w:tabs>
          <w:tab w:val="right" w:leader="dot" w:pos="8306"/>
        </w:tabs>
        <w:ind w:firstLine="440"/>
        <w:jc w:val="center"/>
        <w:rPr>
          <w:rFonts w:ascii="Arial Narrow" w:hAnsi="Arial Narrow" w:eastAsia="仿宋_GB2312" w:cs="Arial Narrow"/>
        </w:rPr>
      </w:pPr>
      <w:r>
        <w:fldChar w:fldCharType="begin"/>
      </w:r>
      <w:r>
        <w:instrText xml:space="preserve"> HYPERLINK \l "_Toc27689" </w:instrText>
      </w:r>
      <w:r>
        <w:fldChar w:fldCharType="separate"/>
      </w:r>
      <w:r>
        <w:rPr>
          <w:rFonts w:ascii="Arial Narrow" w:hAnsi="Arial Narrow" w:eastAsia="仿宋_GB2312" w:cs="Arial Narrow"/>
          <w:bCs/>
        </w:rPr>
        <w:t>（四）主要经验及做法、存在的问题和建议</w:t>
      </w:r>
      <w:r>
        <w:rPr>
          <w:rFonts w:ascii="Arial Narrow" w:hAnsi="Arial Narrow" w:eastAsia="仿宋_GB2312" w:cs="Arial Narrow"/>
        </w:rPr>
        <w:tab/>
      </w:r>
      <w:r>
        <w:rPr>
          <w:rFonts w:ascii="Arial Narrow" w:hAnsi="Arial Narrow" w:eastAsia="仿宋_GB2312" w:cs="Arial Narrow"/>
        </w:rPr>
        <w:fldChar w:fldCharType="begin"/>
      </w:r>
      <w:r>
        <w:rPr>
          <w:rFonts w:ascii="Arial Narrow" w:hAnsi="Arial Narrow" w:eastAsia="仿宋_GB2312" w:cs="Arial Narrow"/>
        </w:rPr>
        <w:instrText xml:space="preserve"> PAGEREF _Toc27689 </w:instrText>
      </w:r>
      <w:r>
        <w:rPr>
          <w:rFonts w:ascii="Arial Narrow" w:hAnsi="Arial Narrow" w:eastAsia="仿宋_GB2312" w:cs="Arial Narrow"/>
        </w:rPr>
        <w:fldChar w:fldCharType="separate"/>
      </w:r>
      <w:r>
        <w:rPr>
          <w:rFonts w:ascii="Arial Narrow" w:hAnsi="Arial Narrow" w:eastAsia="仿宋_GB2312" w:cs="Arial Narrow"/>
        </w:rPr>
        <w:t>26</w:t>
      </w:r>
      <w:r>
        <w:rPr>
          <w:rFonts w:ascii="Arial Narrow" w:hAnsi="Arial Narrow" w:eastAsia="仿宋_GB2312" w:cs="Arial Narrow"/>
        </w:rPr>
        <w:fldChar w:fldCharType="end"/>
      </w:r>
      <w:r>
        <w:rPr>
          <w:rFonts w:ascii="Arial Narrow" w:hAnsi="Arial Narrow" w:eastAsia="仿宋_GB2312" w:cs="Arial Narrow"/>
        </w:rPr>
        <w:fldChar w:fldCharType="end"/>
      </w:r>
    </w:p>
    <w:p>
      <w:pPr>
        <w:pStyle w:val="6"/>
        <w:tabs>
          <w:tab w:val="right" w:leader="dot" w:pos="8306"/>
        </w:tabs>
        <w:ind w:firstLine="440"/>
        <w:jc w:val="center"/>
        <w:rPr>
          <w:rFonts w:ascii="Arial Narrow" w:hAnsi="Arial Narrow" w:eastAsia="仿宋_GB2312" w:cs="Arial Narrow"/>
        </w:rPr>
      </w:pPr>
      <w:r>
        <w:fldChar w:fldCharType="begin"/>
      </w:r>
      <w:r>
        <w:instrText xml:space="preserve"> HYPERLINK \l "_Toc31308" </w:instrText>
      </w:r>
      <w:r>
        <w:fldChar w:fldCharType="separate"/>
      </w:r>
      <w:r>
        <w:rPr>
          <w:rFonts w:ascii="Arial Narrow" w:hAnsi="Arial Narrow" w:eastAsia="仿宋_GB2312" w:cs="Arial Narrow"/>
          <w:kern w:val="2"/>
          <w:szCs w:val="24"/>
        </w:rPr>
        <w:t>1、主要经验及做法</w:t>
      </w:r>
      <w:r>
        <w:rPr>
          <w:rFonts w:ascii="Arial Narrow" w:hAnsi="Arial Narrow" w:eastAsia="仿宋_GB2312" w:cs="Arial Narrow"/>
        </w:rPr>
        <w:tab/>
      </w:r>
      <w:r>
        <w:rPr>
          <w:rFonts w:ascii="Arial Narrow" w:hAnsi="Arial Narrow" w:eastAsia="仿宋_GB2312" w:cs="Arial Narrow"/>
        </w:rPr>
        <w:fldChar w:fldCharType="begin"/>
      </w:r>
      <w:r>
        <w:rPr>
          <w:rFonts w:ascii="Arial Narrow" w:hAnsi="Arial Narrow" w:eastAsia="仿宋_GB2312" w:cs="Arial Narrow"/>
        </w:rPr>
        <w:instrText xml:space="preserve"> PAGEREF _Toc31308 </w:instrText>
      </w:r>
      <w:r>
        <w:rPr>
          <w:rFonts w:ascii="Arial Narrow" w:hAnsi="Arial Narrow" w:eastAsia="仿宋_GB2312" w:cs="Arial Narrow"/>
        </w:rPr>
        <w:fldChar w:fldCharType="separate"/>
      </w:r>
      <w:r>
        <w:rPr>
          <w:rFonts w:ascii="Arial Narrow" w:hAnsi="Arial Narrow" w:eastAsia="仿宋_GB2312" w:cs="Arial Narrow"/>
        </w:rPr>
        <w:t>27</w:t>
      </w:r>
      <w:r>
        <w:rPr>
          <w:rFonts w:ascii="Arial Narrow" w:hAnsi="Arial Narrow" w:eastAsia="仿宋_GB2312" w:cs="Arial Narrow"/>
        </w:rPr>
        <w:fldChar w:fldCharType="end"/>
      </w:r>
      <w:r>
        <w:rPr>
          <w:rFonts w:ascii="Arial Narrow" w:hAnsi="Arial Narrow" w:eastAsia="仿宋_GB2312" w:cs="Arial Narrow"/>
        </w:rPr>
        <w:fldChar w:fldCharType="end"/>
      </w:r>
    </w:p>
    <w:p>
      <w:pPr>
        <w:pStyle w:val="6"/>
        <w:tabs>
          <w:tab w:val="right" w:leader="dot" w:pos="8306"/>
        </w:tabs>
        <w:ind w:firstLine="440"/>
        <w:jc w:val="center"/>
        <w:rPr>
          <w:rFonts w:ascii="Arial Narrow" w:hAnsi="Arial Narrow" w:eastAsia="仿宋_GB2312" w:cs="Arial Narrow"/>
        </w:rPr>
      </w:pPr>
      <w:r>
        <w:fldChar w:fldCharType="begin"/>
      </w:r>
      <w:r>
        <w:instrText xml:space="preserve"> HYPERLINK \l "_Toc257" </w:instrText>
      </w:r>
      <w:r>
        <w:fldChar w:fldCharType="separate"/>
      </w:r>
      <w:r>
        <w:rPr>
          <w:rFonts w:ascii="Arial Narrow" w:hAnsi="Arial Narrow" w:eastAsia="仿宋_GB2312" w:cs="Arial Narrow"/>
          <w:kern w:val="2"/>
          <w:szCs w:val="24"/>
        </w:rPr>
        <w:t>2、存在的问题及原因分析</w:t>
      </w:r>
      <w:r>
        <w:rPr>
          <w:rFonts w:ascii="Arial Narrow" w:hAnsi="Arial Narrow" w:eastAsia="仿宋_GB2312" w:cs="Arial Narrow"/>
        </w:rPr>
        <w:tab/>
      </w:r>
      <w:r>
        <w:rPr>
          <w:rFonts w:ascii="Arial Narrow" w:hAnsi="Arial Narrow" w:eastAsia="仿宋_GB2312" w:cs="Arial Narrow"/>
        </w:rPr>
        <w:fldChar w:fldCharType="begin"/>
      </w:r>
      <w:r>
        <w:rPr>
          <w:rFonts w:ascii="Arial Narrow" w:hAnsi="Arial Narrow" w:eastAsia="仿宋_GB2312" w:cs="Arial Narrow"/>
        </w:rPr>
        <w:instrText xml:space="preserve"> PAGEREF _Toc257 </w:instrText>
      </w:r>
      <w:r>
        <w:rPr>
          <w:rFonts w:ascii="Arial Narrow" w:hAnsi="Arial Narrow" w:eastAsia="仿宋_GB2312" w:cs="Arial Narrow"/>
        </w:rPr>
        <w:fldChar w:fldCharType="separate"/>
      </w:r>
      <w:r>
        <w:rPr>
          <w:rFonts w:ascii="Arial Narrow" w:hAnsi="Arial Narrow" w:eastAsia="仿宋_GB2312" w:cs="Arial Narrow"/>
        </w:rPr>
        <w:t>27</w:t>
      </w:r>
      <w:r>
        <w:rPr>
          <w:rFonts w:ascii="Arial Narrow" w:hAnsi="Arial Narrow" w:eastAsia="仿宋_GB2312" w:cs="Arial Narrow"/>
        </w:rPr>
        <w:fldChar w:fldCharType="end"/>
      </w:r>
      <w:r>
        <w:rPr>
          <w:rFonts w:ascii="Arial Narrow" w:hAnsi="Arial Narrow" w:eastAsia="仿宋_GB2312" w:cs="Arial Narrow"/>
        </w:rPr>
        <w:fldChar w:fldCharType="end"/>
      </w:r>
    </w:p>
    <w:p>
      <w:pPr>
        <w:pStyle w:val="6"/>
        <w:tabs>
          <w:tab w:val="right" w:leader="dot" w:pos="8306"/>
        </w:tabs>
        <w:ind w:firstLine="440"/>
        <w:jc w:val="center"/>
        <w:rPr>
          <w:rFonts w:ascii="Arial Narrow" w:hAnsi="Arial Narrow" w:eastAsia="仿宋_GB2312" w:cs="Arial Narrow"/>
        </w:rPr>
      </w:pPr>
      <w:r>
        <w:fldChar w:fldCharType="begin"/>
      </w:r>
      <w:r>
        <w:instrText xml:space="preserve"> HYPERLINK \l "_Toc20214" </w:instrText>
      </w:r>
      <w:r>
        <w:fldChar w:fldCharType="separate"/>
      </w:r>
      <w:r>
        <w:rPr>
          <w:rFonts w:ascii="Arial Narrow" w:hAnsi="Arial Narrow" w:eastAsia="仿宋_GB2312" w:cs="Arial Narrow"/>
          <w:kern w:val="2"/>
          <w:szCs w:val="24"/>
        </w:rPr>
        <w:t>3、建议和改进措施</w:t>
      </w:r>
      <w:r>
        <w:rPr>
          <w:rFonts w:ascii="Arial Narrow" w:hAnsi="Arial Narrow" w:eastAsia="仿宋_GB2312" w:cs="Arial Narrow"/>
        </w:rPr>
        <w:tab/>
      </w:r>
      <w:r>
        <w:rPr>
          <w:rFonts w:ascii="Arial Narrow" w:hAnsi="Arial Narrow" w:eastAsia="仿宋_GB2312" w:cs="Arial Narrow"/>
        </w:rPr>
        <w:fldChar w:fldCharType="begin"/>
      </w:r>
      <w:r>
        <w:rPr>
          <w:rFonts w:ascii="Arial Narrow" w:hAnsi="Arial Narrow" w:eastAsia="仿宋_GB2312" w:cs="Arial Narrow"/>
        </w:rPr>
        <w:instrText xml:space="preserve"> PAGEREF _Toc20214 </w:instrText>
      </w:r>
      <w:r>
        <w:rPr>
          <w:rFonts w:ascii="Arial Narrow" w:hAnsi="Arial Narrow" w:eastAsia="仿宋_GB2312" w:cs="Arial Narrow"/>
        </w:rPr>
        <w:fldChar w:fldCharType="separate"/>
      </w:r>
      <w:r>
        <w:rPr>
          <w:rFonts w:ascii="Arial Narrow" w:hAnsi="Arial Narrow" w:eastAsia="仿宋_GB2312" w:cs="Arial Narrow"/>
        </w:rPr>
        <w:t>28</w:t>
      </w:r>
      <w:r>
        <w:rPr>
          <w:rFonts w:ascii="Arial Narrow" w:hAnsi="Arial Narrow" w:eastAsia="仿宋_GB2312" w:cs="Arial Narrow"/>
        </w:rPr>
        <w:fldChar w:fldCharType="end"/>
      </w:r>
      <w:r>
        <w:rPr>
          <w:rFonts w:ascii="Arial Narrow" w:hAnsi="Arial Narrow" w:eastAsia="仿宋_GB2312" w:cs="Arial Narrow"/>
        </w:rPr>
        <w:fldChar w:fldCharType="end"/>
      </w:r>
    </w:p>
    <w:p>
      <w:pPr>
        <w:pStyle w:val="10"/>
        <w:tabs>
          <w:tab w:val="right" w:leader="dot" w:pos="8306"/>
        </w:tabs>
        <w:ind w:firstLine="440"/>
        <w:jc w:val="center"/>
        <w:rPr>
          <w:rFonts w:ascii="Arial Narrow" w:hAnsi="Arial Narrow" w:eastAsia="仿宋_GB2312" w:cs="Arial Narrow"/>
        </w:rPr>
      </w:pPr>
      <w:r>
        <w:fldChar w:fldCharType="begin"/>
      </w:r>
      <w:r>
        <w:instrText xml:space="preserve"> HYPERLINK \l "_Toc7820" </w:instrText>
      </w:r>
      <w:r>
        <w:fldChar w:fldCharType="separate"/>
      </w:r>
      <w:r>
        <w:rPr>
          <w:rFonts w:ascii="Arial Narrow" w:hAnsi="Arial Narrow" w:eastAsia="仿宋_GB2312" w:cs="Arial Narrow"/>
          <w:bCs/>
        </w:rPr>
        <w:t>（五）其他需说明的问题</w:t>
      </w:r>
      <w:r>
        <w:rPr>
          <w:rFonts w:ascii="Arial Narrow" w:hAnsi="Arial Narrow" w:eastAsia="仿宋_GB2312" w:cs="Arial Narrow"/>
        </w:rPr>
        <w:tab/>
      </w:r>
      <w:r>
        <w:rPr>
          <w:rFonts w:ascii="Arial Narrow" w:hAnsi="Arial Narrow" w:eastAsia="仿宋_GB2312" w:cs="Arial Narrow"/>
        </w:rPr>
        <w:fldChar w:fldCharType="begin"/>
      </w:r>
      <w:r>
        <w:rPr>
          <w:rFonts w:ascii="Arial Narrow" w:hAnsi="Arial Narrow" w:eastAsia="仿宋_GB2312" w:cs="Arial Narrow"/>
        </w:rPr>
        <w:instrText xml:space="preserve"> PAGEREF _Toc7820 </w:instrText>
      </w:r>
      <w:r>
        <w:rPr>
          <w:rFonts w:ascii="Arial Narrow" w:hAnsi="Arial Narrow" w:eastAsia="仿宋_GB2312" w:cs="Arial Narrow"/>
        </w:rPr>
        <w:fldChar w:fldCharType="separate"/>
      </w:r>
      <w:r>
        <w:rPr>
          <w:rFonts w:ascii="Arial Narrow" w:hAnsi="Arial Narrow" w:eastAsia="仿宋_GB2312" w:cs="Arial Narrow"/>
        </w:rPr>
        <w:t>28</w:t>
      </w:r>
      <w:r>
        <w:rPr>
          <w:rFonts w:ascii="Arial Narrow" w:hAnsi="Arial Narrow" w:eastAsia="仿宋_GB2312" w:cs="Arial Narrow"/>
        </w:rPr>
        <w:fldChar w:fldCharType="end"/>
      </w:r>
      <w:r>
        <w:rPr>
          <w:rFonts w:ascii="Arial Narrow" w:hAnsi="Arial Narrow" w:eastAsia="仿宋_GB2312" w:cs="Arial Narrow"/>
        </w:rPr>
        <w:fldChar w:fldCharType="end"/>
      </w:r>
    </w:p>
    <w:p>
      <w:pPr>
        <w:pStyle w:val="6"/>
        <w:tabs>
          <w:tab w:val="right" w:leader="dot" w:pos="8306"/>
        </w:tabs>
        <w:ind w:firstLine="440"/>
        <w:jc w:val="center"/>
        <w:rPr>
          <w:rFonts w:ascii="Arial Narrow" w:hAnsi="Arial Narrow" w:eastAsia="仿宋_GB2312" w:cs="Arial Narrow"/>
        </w:rPr>
      </w:pPr>
      <w:r>
        <w:fldChar w:fldCharType="begin"/>
      </w:r>
      <w:r>
        <w:instrText xml:space="preserve"> HYPERLINK \l "_Toc9311" </w:instrText>
      </w:r>
      <w:r>
        <w:fldChar w:fldCharType="separate"/>
      </w:r>
      <w:r>
        <w:rPr>
          <w:rFonts w:ascii="Arial Narrow" w:hAnsi="Arial Narrow" w:eastAsia="仿宋_GB2312" w:cs="Arial Narrow"/>
          <w:kern w:val="2"/>
          <w:szCs w:val="24"/>
        </w:rPr>
        <w:t>1、关于评价责任的说明</w:t>
      </w:r>
      <w:r>
        <w:rPr>
          <w:rFonts w:ascii="Arial Narrow" w:hAnsi="Arial Narrow" w:eastAsia="仿宋_GB2312" w:cs="Arial Narrow"/>
        </w:rPr>
        <w:tab/>
      </w:r>
      <w:r>
        <w:rPr>
          <w:rFonts w:ascii="Arial Narrow" w:hAnsi="Arial Narrow" w:eastAsia="仿宋_GB2312" w:cs="Arial Narrow"/>
        </w:rPr>
        <w:fldChar w:fldCharType="begin"/>
      </w:r>
      <w:r>
        <w:rPr>
          <w:rFonts w:ascii="Arial Narrow" w:hAnsi="Arial Narrow" w:eastAsia="仿宋_GB2312" w:cs="Arial Narrow"/>
        </w:rPr>
        <w:instrText xml:space="preserve"> PAGEREF _Toc9311 </w:instrText>
      </w:r>
      <w:r>
        <w:rPr>
          <w:rFonts w:ascii="Arial Narrow" w:hAnsi="Arial Narrow" w:eastAsia="仿宋_GB2312" w:cs="Arial Narrow"/>
        </w:rPr>
        <w:fldChar w:fldCharType="separate"/>
      </w:r>
      <w:r>
        <w:rPr>
          <w:rFonts w:ascii="Arial Narrow" w:hAnsi="Arial Narrow" w:eastAsia="仿宋_GB2312" w:cs="Arial Narrow"/>
        </w:rPr>
        <w:t>29</w:t>
      </w:r>
      <w:r>
        <w:rPr>
          <w:rFonts w:ascii="Arial Narrow" w:hAnsi="Arial Narrow" w:eastAsia="仿宋_GB2312" w:cs="Arial Narrow"/>
        </w:rPr>
        <w:fldChar w:fldCharType="end"/>
      </w:r>
      <w:r>
        <w:rPr>
          <w:rFonts w:ascii="Arial Narrow" w:hAnsi="Arial Narrow" w:eastAsia="仿宋_GB2312" w:cs="Arial Narrow"/>
        </w:rPr>
        <w:fldChar w:fldCharType="end"/>
      </w:r>
    </w:p>
    <w:p>
      <w:pPr>
        <w:pStyle w:val="6"/>
        <w:tabs>
          <w:tab w:val="right" w:leader="dot" w:pos="8306"/>
        </w:tabs>
        <w:ind w:firstLine="440"/>
        <w:jc w:val="center"/>
        <w:rPr>
          <w:rFonts w:ascii="Arial Narrow" w:hAnsi="Arial Narrow" w:eastAsia="仿宋_GB2312" w:cs="Arial Narrow"/>
        </w:rPr>
      </w:pPr>
      <w:r>
        <w:fldChar w:fldCharType="begin"/>
      </w:r>
      <w:r>
        <w:instrText xml:space="preserve"> HYPERLINK \l "_Toc4693" </w:instrText>
      </w:r>
      <w:r>
        <w:fldChar w:fldCharType="separate"/>
      </w:r>
      <w:r>
        <w:rPr>
          <w:rFonts w:ascii="Arial Narrow" w:hAnsi="Arial Narrow" w:eastAsia="仿宋_GB2312" w:cs="Arial Narrow"/>
          <w:kern w:val="2"/>
          <w:szCs w:val="24"/>
        </w:rPr>
        <w:t>2、关于本项目评价中局限性的说明</w:t>
      </w:r>
      <w:r>
        <w:rPr>
          <w:rFonts w:ascii="Arial Narrow" w:hAnsi="Arial Narrow" w:eastAsia="仿宋_GB2312" w:cs="Arial Narrow"/>
        </w:rPr>
        <w:tab/>
      </w:r>
      <w:r>
        <w:rPr>
          <w:rFonts w:ascii="Arial Narrow" w:hAnsi="Arial Narrow" w:eastAsia="仿宋_GB2312" w:cs="Arial Narrow"/>
        </w:rPr>
        <w:fldChar w:fldCharType="begin"/>
      </w:r>
      <w:r>
        <w:rPr>
          <w:rFonts w:ascii="Arial Narrow" w:hAnsi="Arial Narrow" w:eastAsia="仿宋_GB2312" w:cs="Arial Narrow"/>
        </w:rPr>
        <w:instrText xml:space="preserve"> PAGEREF _Toc4693 </w:instrText>
      </w:r>
      <w:r>
        <w:rPr>
          <w:rFonts w:ascii="Arial Narrow" w:hAnsi="Arial Narrow" w:eastAsia="仿宋_GB2312" w:cs="Arial Narrow"/>
        </w:rPr>
        <w:fldChar w:fldCharType="separate"/>
      </w:r>
      <w:r>
        <w:rPr>
          <w:rFonts w:ascii="Arial Narrow" w:hAnsi="Arial Narrow" w:eastAsia="仿宋_GB2312" w:cs="Arial Narrow"/>
        </w:rPr>
        <w:t>29</w:t>
      </w:r>
      <w:r>
        <w:rPr>
          <w:rFonts w:ascii="Arial Narrow" w:hAnsi="Arial Narrow" w:eastAsia="仿宋_GB2312" w:cs="Arial Narrow"/>
        </w:rPr>
        <w:fldChar w:fldCharType="end"/>
      </w:r>
      <w:r>
        <w:rPr>
          <w:rFonts w:ascii="Arial Narrow" w:hAnsi="Arial Narrow" w:eastAsia="仿宋_GB2312" w:cs="Arial Narrow"/>
        </w:rPr>
        <w:fldChar w:fldCharType="end"/>
      </w:r>
    </w:p>
    <w:p>
      <w:pPr>
        <w:pStyle w:val="9"/>
        <w:tabs>
          <w:tab w:val="right" w:leader="dot" w:pos="8306"/>
        </w:tabs>
        <w:ind w:firstLine="440"/>
        <w:sectPr>
          <w:footerReference r:id="rId11" w:type="default"/>
          <w:pgSz w:w="11906" w:h="16838"/>
          <w:pgMar w:top="2007" w:right="1800" w:bottom="1440" w:left="1800" w:header="992" w:footer="1417" w:gutter="0"/>
          <w:pgNumType w:start="1"/>
          <w:cols w:space="0" w:num="1"/>
          <w:docGrid w:type="lines" w:linePitch="312" w:charSpace="0"/>
        </w:sectPr>
      </w:pPr>
      <w:r>
        <w:fldChar w:fldCharType="begin"/>
      </w:r>
      <w:r>
        <w:instrText xml:space="preserve"> HYPERLINK \l "_Toc29332" </w:instrText>
      </w:r>
      <w:r>
        <w:fldChar w:fldCharType="separate"/>
      </w:r>
      <w:r>
        <w:rPr>
          <w:rFonts w:ascii="Arial Narrow" w:hAnsi="Arial Narrow" w:eastAsia="仿宋_GB2312" w:cs="Arial Narrow"/>
          <w:bCs/>
          <w:szCs w:val="24"/>
          <w:lang w:val="zh-CN"/>
        </w:rPr>
        <w:t>附件</w:t>
      </w:r>
      <w:r>
        <w:rPr>
          <w:rFonts w:ascii="Arial Narrow" w:hAnsi="Arial Narrow" w:eastAsia="仿宋_GB2312" w:cs="Arial Narrow"/>
          <w:bCs/>
          <w:szCs w:val="24"/>
          <w:lang w:val="zh-CN"/>
        </w:rPr>
        <w:fldChar w:fldCharType="end"/>
      </w:r>
    </w:p>
    <w:p>
      <w:pPr>
        <w:spacing w:line="240" w:lineRule="auto"/>
        <w:ind w:firstLine="0" w:firstLineChars="0"/>
        <w:rPr>
          <w:rFonts w:ascii="Arial Narrow" w:hAnsi="Arial Narrow" w:cs="Arial Narrow"/>
          <w:sz w:val="28"/>
          <w:szCs w:val="28"/>
          <w:highlight w:val="yellow"/>
        </w:rPr>
        <w:sectPr>
          <w:pgSz w:w="11906" w:h="16838"/>
          <w:pgMar w:top="2007" w:right="1800" w:bottom="1440" w:left="1800" w:header="992" w:footer="1417" w:gutter="0"/>
          <w:pgNumType w:start="1"/>
          <w:cols w:space="0" w:num="1"/>
          <w:docGrid w:type="lines" w:linePitch="312" w:charSpace="0"/>
        </w:sectPr>
      </w:pPr>
      <w:r>
        <w:rPr>
          <w:rFonts w:ascii="Arial Narrow" w:hAnsi="Arial Narrow" w:cs="Arial Narrow"/>
          <w:bCs/>
          <w:lang w:val="zh-CN"/>
        </w:rPr>
        <w:fldChar w:fldCharType="end"/>
      </w:r>
    </w:p>
    <w:p>
      <w:pPr>
        <w:pStyle w:val="2"/>
        <w:spacing w:before="50" w:after="50" w:line="360" w:lineRule="auto"/>
        <w:ind w:firstLine="0" w:firstLineChars="0"/>
        <w:rPr>
          <w:rFonts w:ascii="Arial Narrow" w:hAnsi="Arial Narrow" w:cs="Arial Narrow"/>
          <w:sz w:val="24"/>
          <w:szCs w:val="24"/>
        </w:rPr>
      </w:pPr>
      <w:bookmarkStart w:id="5" w:name="_Toc18023"/>
      <w:bookmarkStart w:id="6" w:name="_Toc16230"/>
      <w:r>
        <w:rPr>
          <w:rFonts w:ascii="Arial Narrow" w:hAnsi="Arial Narrow" w:cs="Arial Narrow"/>
          <w:sz w:val="24"/>
          <w:szCs w:val="24"/>
        </w:rPr>
        <w:t>一、摘要</w:t>
      </w:r>
      <w:bookmarkEnd w:id="5"/>
      <w:bookmarkEnd w:id="6"/>
    </w:p>
    <w:p>
      <w:pPr>
        <w:ind w:firstLine="489"/>
        <w:outlineLvl w:val="1"/>
        <w:rPr>
          <w:rFonts w:ascii="Arial Narrow" w:hAnsi="Arial Narrow" w:cs="Arial Narrow"/>
          <w:b/>
          <w:bCs/>
        </w:rPr>
      </w:pPr>
      <w:bookmarkStart w:id="7" w:name="_Toc481590348"/>
      <w:bookmarkStart w:id="8" w:name="_Toc26192"/>
      <w:bookmarkStart w:id="9" w:name="_Toc25953"/>
      <w:bookmarkStart w:id="10" w:name="_Toc28940"/>
      <w:r>
        <w:rPr>
          <w:rFonts w:ascii="Arial Narrow" w:hAnsi="Arial Narrow" w:cs="Arial Narrow"/>
          <w:b/>
          <w:bCs/>
        </w:rPr>
        <w:t>（一）基本情况</w:t>
      </w:r>
      <w:bookmarkEnd w:id="7"/>
      <w:bookmarkEnd w:id="8"/>
      <w:bookmarkEnd w:id="9"/>
    </w:p>
    <w:p>
      <w:pPr>
        <w:ind w:firstLine="480"/>
        <w:rPr>
          <w:rFonts w:ascii="Arial Narrow" w:hAnsi="Arial Narrow" w:cs="Arial Narrow"/>
        </w:rPr>
      </w:pPr>
      <w:bookmarkStart w:id="11" w:name="_Toc9727"/>
      <w:r>
        <w:rPr>
          <w:rFonts w:ascii="Arial Narrow" w:hAnsi="Arial Narrow" w:cs="Arial Narrow"/>
        </w:rPr>
        <w:t>1、项目基本情况</w:t>
      </w:r>
      <w:bookmarkEnd w:id="10"/>
      <w:bookmarkEnd w:id="11"/>
    </w:p>
    <w:p>
      <w:pPr>
        <w:pStyle w:val="5"/>
        <w:ind w:firstLine="480"/>
        <w:jc w:val="both"/>
        <w:rPr>
          <w:rFonts w:ascii="Arial Narrow" w:hAnsi="Arial Narrow" w:cs="Arial Narrow"/>
        </w:rPr>
      </w:pPr>
      <w:r>
        <w:rPr>
          <w:rFonts w:ascii="Arial Narrow" w:hAnsi="Arial Narrow" w:cs="Arial Narrow"/>
        </w:rPr>
        <w:t>根据《武汉市城乡建设委员会、武汉市财政局关于进一步规范新型墙体材料专项基金退付工作的通知》（武城建[2013]130号）及《湖北省新型墙体材料专项基金征收和使用管理办法实施细则》（鄂财综</w:t>
      </w:r>
      <w:r>
        <w:rPr>
          <w:rFonts w:hint="eastAsia" w:ascii="Arial Narrow" w:hAnsi="Arial Narrow" w:cs="Arial Narrow"/>
        </w:rPr>
        <w:t>[</w:t>
      </w:r>
      <w:r>
        <w:rPr>
          <w:rFonts w:ascii="Arial Narrow" w:hAnsi="Arial Narrow" w:cs="Arial Narrow"/>
        </w:rPr>
        <w:t>2009</w:t>
      </w:r>
      <w:r>
        <w:rPr>
          <w:rFonts w:hint="eastAsia" w:ascii="Arial Narrow" w:hAnsi="Arial Narrow" w:cs="Arial Narrow"/>
        </w:rPr>
        <w:t>]</w:t>
      </w:r>
      <w:r>
        <w:rPr>
          <w:rFonts w:ascii="Arial Narrow" w:hAnsi="Arial Narrow" w:cs="Arial Narrow"/>
        </w:rPr>
        <w:t>6号）等文件要求，为规范我区新型墙体材料专项基金返退工作，进一步推广新型墙体材料使用，促进保护耕地和资源节约，本年度开展了建设项目新型墙体材料基金的返退工作。</w:t>
      </w:r>
    </w:p>
    <w:p>
      <w:pPr>
        <w:pStyle w:val="5"/>
        <w:ind w:firstLine="480"/>
        <w:jc w:val="both"/>
        <w:rPr>
          <w:rFonts w:ascii="Arial Narrow" w:hAnsi="Arial Narrow" w:cs="Arial Narrow"/>
        </w:rPr>
      </w:pPr>
      <w:r>
        <w:rPr>
          <w:rFonts w:ascii="Arial Narrow" w:hAnsi="Arial Narrow" w:cs="Arial Narrow"/>
        </w:rPr>
        <w:t>“新型墙体材料专项基金返退”是经武汉经济技术开发区（汉南区）财政局批准，项目预算资金是由其他项目调拨的255.00万元，截止至2018年12月31日，实际支出实际使用246.58万元，资金使用率为96.70%。</w:t>
      </w:r>
    </w:p>
    <w:p>
      <w:pPr>
        <w:ind w:firstLine="480"/>
        <w:rPr>
          <w:rFonts w:ascii="Arial Narrow" w:hAnsi="Arial Narrow" w:cs="Arial Narrow"/>
        </w:rPr>
      </w:pPr>
      <w:bookmarkStart w:id="12" w:name="_Toc26423"/>
      <w:bookmarkStart w:id="13" w:name="_Toc14798"/>
      <w:r>
        <w:rPr>
          <w:rFonts w:ascii="Arial Narrow" w:hAnsi="Arial Narrow" w:cs="Arial Narrow"/>
        </w:rPr>
        <w:t>2、绩效评价工作情况</w:t>
      </w:r>
      <w:bookmarkEnd w:id="12"/>
      <w:bookmarkEnd w:id="13"/>
      <w:bookmarkStart w:id="14" w:name="_Toc11352"/>
    </w:p>
    <w:p>
      <w:pPr>
        <w:pStyle w:val="5"/>
        <w:ind w:firstLine="480"/>
        <w:jc w:val="both"/>
        <w:rPr>
          <w:rFonts w:ascii="Arial Narrow" w:hAnsi="Arial Narrow" w:cs="Arial Narrow"/>
        </w:rPr>
      </w:pPr>
      <w:r>
        <w:rPr>
          <w:rFonts w:ascii="Arial Narrow" w:hAnsi="Arial Narrow" w:cs="Arial Narrow"/>
        </w:rPr>
        <w:t>致同会计师事务所（特殊普通合伙）武汉分所接受武汉经济技术开发区（汉南区）城乡建设局委托，从7月10日—7月26日，历时17天，投入7人，根据《区财政局关于2019年开展预算绩效评价工作的通知》（武经开财〔2019〕29号）开展现场评价工作，项目由省财政厅专家库成员李海京提供指导。</w:t>
      </w:r>
    </w:p>
    <w:p>
      <w:pPr>
        <w:ind w:firstLine="489"/>
        <w:outlineLvl w:val="1"/>
        <w:rPr>
          <w:rFonts w:ascii="Arial Narrow" w:hAnsi="Arial Narrow" w:cs="Arial Narrow"/>
          <w:b/>
          <w:bCs/>
        </w:rPr>
      </w:pPr>
      <w:bookmarkStart w:id="15" w:name="_Toc21648"/>
      <w:r>
        <w:rPr>
          <w:rFonts w:ascii="Arial Narrow" w:hAnsi="Arial Narrow" w:cs="Arial Narrow"/>
          <w:b/>
          <w:bCs/>
        </w:rPr>
        <w:t>（二）绩效评价结论</w:t>
      </w:r>
      <w:bookmarkEnd w:id="14"/>
      <w:bookmarkEnd w:id="15"/>
    </w:p>
    <w:p>
      <w:pPr>
        <w:ind w:firstLine="480"/>
        <w:rPr>
          <w:rFonts w:ascii="Arial Narrow" w:hAnsi="Arial Narrow" w:cs="Arial Narrow"/>
        </w:rPr>
      </w:pPr>
      <w:bookmarkStart w:id="16" w:name="_Toc31464"/>
      <w:r>
        <w:rPr>
          <w:rFonts w:ascii="Arial Narrow" w:hAnsi="Arial Narrow" w:cs="Arial Narrow"/>
        </w:rPr>
        <w:t>1、评分结果</w:t>
      </w:r>
      <w:bookmarkEnd w:id="16"/>
    </w:p>
    <w:p>
      <w:pPr>
        <w:pStyle w:val="5"/>
        <w:ind w:firstLine="480"/>
        <w:rPr>
          <w:rFonts w:ascii="Arial Narrow" w:hAnsi="Arial Narrow" w:cs="Arial Narrow"/>
        </w:rPr>
      </w:pPr>
      <w:r>
        <w:rPr>
          <w:rFonts w:ascii="Arial Narrow" w:hAnsi="Arial Narrow" w:cs="Arial Narrow"/>
        </w:rPr>
        <w:t>项目绩效评价综合得分为91分。其中投入得分13分，过程得分24分，产出得分25分，效果得分29分。</w:t>
      </w:r>
    </w:p>
    <w:p>
      <w:pPr>
        <w:pStyle w:val="5"/>
        <w:ind w:firstLine="480"/>
        <w:rPr>
          <w:rFonts w:ascii="Arial Narrow" w:hAnsi="Arial Narrow" w:cs="Arial Narrow"/>
        </w:rPr>
      </w:pPr>
      <w:r>
        <w:rPr>
          <w:rFonts w:ascii="Arial Narrow" w:hAnsi="Arial Narrow" w:cs="Arial Narrow"/>
        </w:rPr>
        <w:t>下图为各指标得分情况：</w:t>
      </w:r>
    </w:p>
    <w:p>
      <w:pPr>
        <w:spacing w:before="163" w:beforeLines="50"/>
        <w:ind w:firstLine="480"/>
        <w:jc w:val="center"/>
        <w:rPr>
          <w:rFonts w:ascii="Arial Narrow" w:hAnsi="Arial Narrow" w:cs="Arial Narrow"/>
          <w:highlight w:val="yellow"/>
        </w:rPr>
      </w:pPr>
      <w:r>
        <w:rPr>
          <w:rFonts w:ascii="Arial Narrow" w:hAnsi="Arial Narrow" w:cs="Arial Narrow"/>
        </w:rPr>
        <w:drawing>
          <wp:inline distT="0" distB="0" distL="114300" distR="114300">
            <wp:extent cx="3987800" cy="2350135"/>
            <wp:effectExtent l="0" t="0" r="5080" b="1206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5"/>
                    <a:stretch>
                      <a:fillRect/>
                    </a:stretch>
                  </pic:blipFill>
                  <pic:spPr>
                    <a:xfrm>
                      <a:off x="0" y="0"/>
                      <a:ext cx="3987800" cy="2350135"/>
                    </a:xfrm>
                    <a:prstGeom prst="rect">
                      <a:avLst/>
                    </a:prstGeom>
                    <a:noFill/>
                    <a:ln>
                      <a:noFill/>
                    </a:ln>
                  </pic:spPr>
                </pic:pic>
              </a:graphicData>
            </a:graphic>
          </wp:inline>
        </w:drawing>
      </w:r>
    </w:p>
    <w:p>
      <w:pPr>
        <w:ind w:firstLine="480"/>
        <w:rPr>
          <w:rFonts w:ascii="Arial Narrow" w:hAnsi="Arial Narrow" w:cs="Arial Narrow"/>
        </w:rPr>
      </w:pPr>
      <w:bookmarkStart w:id="17" w:name="_Toc18750"/>
      <w:r>
        <w:rPr>
          <w:rFonts w:ascii="Arial Narrow" w:hAnsi="Arial Narrow" w:cs="Arial Narrow"/>
        </w:rPr>
        <w:t>2、主要结论</w:t>
      </w:r>
      <w:bookmarkEnd w:id="17"/>
    </w:p>
    <w:p>
      <w:pPr>
        <w:pStyle w:val="5"/>
        <w:ind w:firstLine="480"/>
        <w:rPr>
          <w:rFonts w:ascii="Arial Narrow" w:hAnsi="Arial Narrow" w:cs="Arial Narrow"/>
        </w:rPr>
      </w:pPr>
      <w:bookmarkStart w:id="18" w:name="_Toc2107"/>
      <w:r>
        <w:rPr>
          <w:rFonts w:ascii="Arial Narrow" w:hAnsi="Arial Narrow" w:cs="Arial Narrow"/>
        </w:rPr>
        <w:t>（1）投入。评价得分为13分，评价等级为良。项目投入分为项目立项、资金落实两个方面，由于本项目是年中追加项目，未进行年初申报，但项目是根据具体的政策进行开展，项目的申保、批复均符合财务制度的有关规定；项目资金由城乡建设局其他部门项目预算调剂而来，资金全部及时到位。</w:t>
      </w:r>
    </w:p>
    <w:p>
      <w:pPr>
        <w:pStyle w:val="5"/>
        <w:ind w:firstLine="480"/>
        <w:rPr>
          <w:rFonts w:ascii="Arial Narrow" w:hAnsi="Arial Narrow" w:cs="Arial Narrow"/>
        </w:rPr>
      </w:pPr>
      <w:r>
        <w:rPr>
          <w:rFonts w:ascii="Arial Narrow" w:hAnsi="Arial Narrow" w:cs="Arial Narrow"/>
        </w:rPr>
        <w:t>（2）过程。评价得分为24分，评价等级为优。在项目管理方面，项目管理制度较为健全且合规合法，按照市《武汉市城乡建设委员会武汉市财政局关于进一步规范新型墙体材料专项基金退付工作的通知》（武城建[2013]130号）以及省财政厅、省住房和城乡建设厅关于印发《湖北省新型墙体材料专项基金征收使用管理办法实施细则》的通知（鄂财综[2009]6号）等相关管理办法执行，相关档案资料保存完好；在财务管理方面，项目单位财务管理制度符合国家财经法规与财务管理制度；资金拨付需要审核材料，待单位领导审核后拨付；符合项目项目预算批复和合同规定的用途；项目实施单位还在支出管理制度中明确了相应的监控机制，如项目支出的报销，必须按规定的程序和权限审核、审批，并有具体经办人、证明人、审批人签字，在执行过程按照资金申请由科室申报，上交领导签字通过后，交由财务审核批款。</w:t>
      </w:r>
    </w:p>
    <w:p>
      <w:pPr>
        <w:pStyle w:val="5"/>
        <w:ind w:firstLine="480"/>
        <w:rPr>
          <w:rFonts w:ascii="Arial Narrow" w:hAnsi="Arial Narrow" w:cs="Arial Narrow"/>
        </w:rPr>
      </w:pPr>
      <w:r>
        <w:rPr>
          <w:rFonts w:ascii="Arial Narrow" w:hAnsi="Arial Narrow" w:cs="Arial Narrow"/>
        </w:rPr>
        <w:t>（3）产出。评价得分为25分，评价等级为良。项目实施单位对各申报补贴项目审核手续齐全，同时采取了相应的监控手段对审核手续进行验收检查；项目实施单位依据湖北省建设工程质量检测专用报告单检测出来的墙改材料的强度大小来判断墙改基金退付比例，在各建设单位申请基金后，项目实施单位根据专用报告单结果对申报单位进行验收，并根据实际验收情况，发放墙改基金，项目实施单位较好的完成了本次工作，但未提供检查小组到“海伦春天三期”巡视的现场检查记录。</w:t>
      </w:r>
    </w:p>
    <w:p>
      <w:pPr>
        <w:pStyle w:val="5"/>
        <w:ind w:firstLine="480"/>
        <w:rPr>
          <w:rFonts w:ascii="Arial Narrow" w:hAnsi="Arial Narrow" w:cs="Arial Narrow"/>
        </w:rPr>
      </w:pPr>
      <w:r>
        <w:rPr>
          <w:rFonts w:ascii="Arial Narrow" w:hAnsi="Arial Narrow" w:cs="Arial Narrow"/>
        </w:rPr>
        <w:t>（4）效果。评价得分为29分，评价等级为优。项目积极宣传新墙体材料的节能环保作用，告知建筑单位使用新型墙体材料，可以有效地降低能耗损失，促进资源节约；项目实施单位根据检查结果发放墙改基金，为建设单位较好的提供持续发展的基础，保证该项目的长期运行，但由于该项目为年中追加项目，不确定本年度的补贴数额，导致本年基金反退较慢。</w:t>
      </w:r>
    </w:p>
    <w:bookmarkEnd w:id="18"/>
    <w:p>
      <w:pPr>
        <w:ind w:firstLine="489"/>
        <w:outlineLvl w:val="1"/>
        <w:rPr>
          <w:rFonts w:ascii="Arial Narrow" w:hAnsi="Arial Narrow" w:cs="Arial Narrow"/>
          <w:b/>
          <w:color w:val="000000"/>
        </w:rPr>
      </w:pPr>
      <w:bookmarkStart w:id="19" w:name="_Toc29444"/>
      <w:bookmarkStart w:id="20" w:name="_Toc19500"/>
      <w:r>
        <w:rPr>
          <w:rFonts w:ascii="Arial Narrow" w:hAnsi="Arial Narrow" w:cs="Arial Narrow"/>
          <w:b/>
          <w:color w:val="000000"/>
        </w:rPr>
        <w:t>（三）项目的经验与问题</w:t>
      </w:r>
      <w:bookmarkEnd w:id="19"/>
    </w:p>
    <w:p>
      <w:pPr>
        <w:ind w:firstLine="480"/>
        <w:rPr>
          <w:rFonts w:ascii="Arial Narrow" w:hAnsi="Arial Narrow" w:cs="Arial Narrow"/>
        </w:rPr>
      </w:pPr>
      <w:bookmarkStart w:id="21" w:name="_Toc14339"/>
      <w:r>
        <w:rPr>
          <w:rFonts w:ascii="Arial Narrow" w:hAnsi="Arial Narrow" w:cs="Arial Narrow"/>
        </w:rPr>
        <w:t>1、经验</w:t>
      </w:r>
      <w:bookmarkEnd w:id="21"/>
    </w:p>
    <w:p>
      <w:pPr>
        <w:adjustRightInd w:val="0"/>
        <w:ind w:firstLine="480"/>
        <w:rPr>
          <w:rFonts w:ascii="Arial Narrow" w:hAnsi="Arial Narrow" w:cs="Arial Narrow"/>
        </w:rPr>
      </w:pPr>
      <w:r>
        <w:rPr>
          <w:rFonts w:ascii="Arial Narrow" w:hAnsi="Arial Narrow" w:cs="Arial Narrow"/>
          <w:color w:val="000000"/>
        </w:rPr>
        <w:t>（1）顺利</w:t>
      </w:r>
      <w:r>
        <w:rPr>
          <w:rFonts w:ascii="Arial Narrow" w:hAnsi="Arial Narrow" w:cs="Arial Narrow"/>
        </w:rPr>
        <w:t>开展新型墙体材料专项基金返退服务。武汉经济技术开发区本年度首次开展新型墙体材料专项基金反退活动，根据《湖北省新型墙体材料专项基金征收使用管理办法实施细则》对各建设单位申请的新型墙体使用资料进行审核、验收，并根据各建设单位使用的新型墙体材料种类确定基金反退比例，及时发放审核合规的墙补资金，帮助各建设单位较好的完成工程建设，提高建设单位的效率与质量。</w:t>
      </w:r>
    </w:p>
    <w:p>
      <w:pPr>
        <w:adjustRightInd w:val="0"/>
        <w:ind w:firstLine="480"/>
        <w:rPr>
          <w:rFonts w:ascii="Arial Narrow" w:hAnsi="Arial Narrow" w:cs="Arial Narrow"/>
        </w:rPr>
      </w:pPr>
      <w:r>
        <w:rPr>
          <w:rFonts w:ascii="Arial Narrow" w:hAnsi="Arial Narrow" w:cs="Arial Narrow"/>
        </w:rPr>
        <w:t>（2）现场核验及时。建设单位通过电话联系城乡建设局墙革节能办，提出墙体材料使用验收申请，墙革节工作人员均能办在3个工作日内，派人员项目现场进行查看验收。</w:t>
      </w:r>
    </w:p>
    <w:bookmarkEnd w:id="20"/>
    <w:p>
      <w:pPr>
        <w:ind w:firstLine="480"/>
        <w:rPr>
          <w:rFonts w:ascii="Arial Narrow" w:hAnsi="Arial Narrow" w:cs="Arial Narrow"/>
        </w:rPr>
      </w:pPr>
      <w:bookmarkStart w:id="22" w:name="_Toc31207"/>
      <w:r>
        <w:rPr>
          <w:rFonts w:ascii="Arial Narrow" w:hAnsi="Arial Narrow" w:cs="Arial Narrow"/>
        </w:rPr>
        <w:t>2、问题</w:t>
      </w:r>
      <w:bookmarkEnd w:id="22"/>
    </w:p>
    <w:p>
      <w:pPr>
        <w:pStyle w:val="23"/>
        <w:ind w:firstLine="480"/>
        <w:rPr>
          <w:rFonts w:ascii="Arial Narrow" w:hAnsi="Arial Narrow" w:cs="Arial Narrow"/>
          <w:bCs/>
        </w:rPr>
      </w:pPr>
      <w:bookmarkStart w:id="23" w:name="_Toc11582"/>
      <w:r>
        <w:rPr>
          <w:rFonts w:ascii="Arial Narrow" w:hAnsi="Arial Narrow" w:cs="Arial Narrow"/>
          <w:bCs/>
        </w:rPr>
        <w:t>（1）未提交申报表，绩效指标体系不够完善。由于该项目为年中追加项目，未纳入年初预算，因此项目实施单位未在申报时提交申报文本；且该项目本年第一次在在经济技术开发区实施，项目实施单位未提出具体的工作计划，未确立具体的绩效指标对工作进行考核，项目实施单位主要依靠于各建设单位提出基金反退申请来开展验收补贴工作。</w:t>
      </w:r>
    </w:p>
    <w:p>
      <w:pPr>
        <w:pStyle w:val="23"/>
        <w:ind w:firstLine="480"/>
        <w:rPr>
          <w:rFonts w:ascii="Arial Narrow" w:hAnsi="Arial Narrow" w:cs="Arial Narrow"/>
          <w:bCs/>
        </w:rPr>
      </w:pPr>
      <w:r>
        <w:rPr>
          <w:rFonts w:ascii="Arial Narrow" w:hAnsi="Arial Narrow" w:cs="Arial Narrow"/>
          <w:bCs/>
        </w:rPr>
        <w:t>（2）宣传方式单一。项目实施单位仅通过发放宣传册的方式对新墙体材料进行宣传，宣传种类较少，不能全面的将新型墙体的环保性能宣传给各个建设单位，用以提高各单位的环保意识。</w:t>
      </w:r>
    </w:p>
    <w:bookmarkEnd w:id="23"/>
    <w:p>
      <w:pPr>
        <w:ind w:firstLine="489"/>
        <w:outlineLvl w:val="1"/>
        <w:rPr>
          <w:rFonts w:ascii="Arial Narrow" w:hAnsi="Arial Narrow" w:cs="Arial Narrow"/>
          <w:b/>
        </w:rPr>
      </w:pPr>
      <w:bookmarkStart w:id="24" w:name="_Toc18445"/>
      <w:bookmarkStart w:id="25" w:name="_Toc25983"/>
      <w:bookmarkStart w:id="26" w:name="_Toc10313"/>
      <w:r>
        <w:rPr>
          <w:rFonts w:ascii="Arial Narrow" w:hAnsi="Arial Narrow" w:cs="Arial Narrow"/>
          <w:b/>
          <w:color w:val="000000"/>
        </w:rPr>
        <w:t>（四</w:t>
      </w:r>
      <w:r>
        <w:rPr>
          <w:rFonts w:ascii="Arial Narrow" w:hAnsi="Arial Narrow" w:cs="Arial Narrow"/>
          <w:b/>
        </w:rPr>
        <w:t>）建议</w:t>
      </w:r>
      <w:bookmarkEnd w:id="24"/>
      <w:bookmarkEnd w:id="25"/>
    </w:p>
    <w:p>
      <w:pPr>
        <w:pStyle w:val="2"/>
        <w:spacing w:before="50" w:after="50" w:line="360" w:lineRule="auto"/>
        <w:ind w:firstLine="480"/>
        <w:rPr>
          <w:rFonts w:ascii="Arial Narrow" w:hAnsi="Arial Narrow" w:cs="Arial Narrow"/>
          <w:b w:val="0"/>
          <w:bCs w:val="0"/>
          <w:sz w:val="24"/>
          <w:szCs w:val="24"/>
        </w:rPr>
      </w:pPr>
      <w:r>
        <w:rPr>
          <w:rFonts w:ascii="Arial Narrow" w:hAnsi="Arial Narrow" w:cs="Arial Narrow"/>
          <w:b w:val="0"/>
          <w:bCs w:val="0"/>
          <w:sz w:val="24"/>
          <w:szCs w:val="24"/>
        </w:rPr>
        <w:t>1、</w:t>
      </w:r>
      <w:bookmarkStart w:id="27" w:name="_Toc18493"/>
      <w:r>
        <w:rPr>
          <w:rFonts w:ascii="Arial Narrow" w:hAnsi="Arial Narrow" w:cs="Arial Narrow"/>
          <w:b w:val="0"/>
          <w:bCs w:val="0"/>
          <w:sz w:val="24"/>
          <w:szCs w:val="24"/>
        </w:rPr>
        <w:t>合理编制整体目标，设置合适绩效指标值，健全绩效指标体系。项目单位在年初应考虑多方因素，编制整体绩效目标，充分把握全局的工作计划</w:t>
      </w:r>
      <w:bookmarkStart w:id="83" w:name="_GoBack"/>
      <w:bookmarkEnd w:id="83"/>
      <w:r>
        <w:rPr>
          <w:rFonts w:ascii="Arial Narrow" w:hAnsi="Arial Narrow" w:cs="Arial Narrow"/>
          <w:b w:val="0"/>
          <w:bCs w:val="0"/>
          <w:sz w:val="24"/>
          <w:szCs w:val="24"/>
        </w:rPr>
        <w:t>以及各项工作内容，对全局工作进行整合，凝练出合适完整的整体项目目标，为设计的指标选择合适的指标值，逐步完善绩效指标体系。</w:t>
      </w:r>
    </w:p>
    <w:p>
      <w:pPr>
        <w:ind w:firstLine="480"/>
        <w:rPr>
          <w:rFonts w:ascii="Arial Narrow" w:hAnsi="Arial Narrow" w:cs="Arial Narrow"/>
        </w:rPr>
      </w:pPr>
      <w:r>
        <w:rPr>
          <w:rFonts w:ascii="Arial Narrow" w:hAnsi="Arial Narrow" w:cs="Arial Narrow"/>
        </w:rPr>
        <w:t>2、多渠道对新型墙体材料进行宣传。为了让社会广泛了解新型墙体材料对于节能环保的作用，项目实施单位可以充分利用资源对新型墙体材料进行大力宣传，如通过报刊、网络等传媒积极宣传新型墙体的作用，促进建筑单位选用环保级别较高的材料进行项目建设。</w:t>
      </w:r>
    </w:p>
    <w:p>
      <w:pPr>
        <w:ind w:firstLine="480"/>
        <w:rPr>
          <w:rFonts w:ascii="Arial Narrow" w:hAnsi="Arial Narrow" w:cs="Arial Narrow"/>
        </w:rPr>
      </w:pPr>
    </w:p>
    <w:p>
      <w:pPr>
        <w:ind w:firstLine="480"/>
        <w:rPr>
          <w:rFonts w:ascii="Arial Narrow" w:hAnsi="Arial Narrow" w:cs="Arial Narrow"/>
        </w:rPr>
      </w:pPr>
    </w:p>
    <w:p>
      <w:pPr>
        <w:ind w:firstLine="480"/>
        <w:rPr>
          <w:rFonts w:ascii="Arial Narrow" w:hAnsi="Arial Narrow" w:cs="Arial Narrow"/>
        </w:rPr>
      </w:pPr>
    </w:p>
    <w:p>
      <w:pPr>
        <w:ind w:firstLine="480"/>
        <w:rPr>
          <w:rFonts w:ascii="Arial Narrow" w:hAnsi="Arial Narrow" w:cs="Arial Narrow"/>
        </w:rPr>
      </w:pPr>
    </w:p>
    <w:p>
      <w:pPr>
        <w:ind w:firstLine="480"/>
        <w:rPr>
          <w:rFonts w:ascii="Arial Narrow" w:hAnsi="Arial Narrow" w:cs="Arial Narrow"/>
        </w:rPr>
      </w:pPr>
    </w:p>
    <w:p>
      <w:pPr>
        <w:ind w:firstLine="480"/>
        <w:rPr>
          <w:rFonts w:ascii="Arial Narrow" w:hAnsi="Arial Narrow" w:cs="Arial Narrow"/>
        </w:rPr>
      </w:pPr>
    </w:p>
    <w:p>
      <w:pPr>
        <w:ind w:firstLine="480"/>
        <w:rPr>
          <w:rFonts w:ascii="Arial Narrow" w:hAnsi="Arial Narrow" w:cs="Arial Narrow"/>
        </w:rPr>
      </w:pPr>
    </w:p>
    <w:p>
      <w:pPr>
        <w:pStyle w:val="2"/>
        <w:spacing w:before="50" w:after="50" w:line="360" w:lineRule="auto"/>
        <w:ind w:firstLine="0" w:firstLineChars="0"/>
        <w:rPr>
          <w:rFonts w:ascii="Arial Narrow" w:hAnsi="Arial Narrow" w:cs="Arial Narrow"/>
          <w:sz w:val="24"/>
          <w:szCs w:val="24"/>
        </w:rPr>
      </w:pPr>
      <w:r>
        <w:rPr>
          <w:rFonts w:ascii="Arial Narrow" w:hAnsi="Arial Narrow" w:cs="Arial Narrow"/>
          <w:sz w:val="24"/>
          <w:szCs w:val="24"/>
        </w:rPr>
        <w:t>二、</w:t>
      </w:r>
      <w:bookmarkEnd w:id="26"/>
      <w:r>
        <w:rPr>
          <w:rFonts w:ascii="Arial Narrow" w:hAnsi="Arial Narrow" w:cs="Arial Narrow"/>
          <w:sz w:val="24"/>
          <w:szCs w:val="24"/>
        </w:rPr>
        <w:t>正文</w:t>
      </w:r>
      <w:bookmarkEnd w:id="27"/>
    </w:p>
    <w:p>
      <w:pPr>
        <w:pStyle w:val="3"/>
        <w:spacing w:before="50" w:after="50" w:line="360" w:lineRule="auto"/>
        <w:ind w:firstLine="489"/>
        <w:rPr>
          <w:rFonts w:ascii="Arial Narrow" w:hAnsi="Arial Narrow" w:eastAsia="仿宋_GB2312" w:cs="Arial Narrow"/>
          <w:sz w:val="24"/>
          <w:szCs w:val="24"/>
        </w:rPr>
      </w:pPr>
      <w:bookmarkStart w:id="28" w:name="_Toc11666"/>
      <w:bookmarkStart w:id="29" w:name="_Toc18017"/>
      <w:r>
        <w:rPr>
          <w:rFonts w:ascii="Arial Narrow" w:hAnsi="Arial Narrow" w:eastAsia="仿宋_GB2312" w:cs="Arial Narrow"/>
          <w:sz w:val="24"/>
          <w:szCs w:val="24"/>
        </w:rPr>
        <w:t>（一）</w:t>
      </w:r>
      <w:bookmarkEnd w:id="28"/>
      <w:r>
        <w:rPr>
          <w:rFonts w:ascii="Arial Narrow" w:hAnsi="Arial Narrow" w:eastAsia="仿宋_GB2312" w:cs="Arial Narrow"/>
          <w:sz w:val="24"/>
          <w:szCs w:val="24"/>
        </w:rPr>
        <w:t>项目基本情况</w:t>
      </w:r>
      <w:bookmarkEnd w:id="29"/>
    </w:p>
    <w:p>
      <w:pPr>
        <w:pStyle w:val="4"/>
        <w:spacing w:before="0" w:after="0"/>
        <w:ind w:firstLine="480"/>
        <w:rPr>
          <w:rFonts w:ascii="Arial Narrow" w:hAnsi="Arial Narrow" w:cs="Arial Narrow"/>
          <w:b w:val="0"/>
          <w:bCs w:val="0"/>
          <w:kern w:val="2"/>
          <w:szCs w:val="24"/>
        </w:rPr>
      </w:pPr>
      <w:bookmarkStart w:id="30" w:name="_Toc6665"/>
      <w:r>
        <w:rPr>
          <w:rFonts w:ascii="Arial Narrow" w:hAnsi="Arial Narrow" w:cs="Arial Narrow"/>
          <w:b w:val="0"/>
          <w:bCs w:val="0"/>
          <w:kern w:val="2"/>
          <w:szCs w:val="24"/>
        </w:rPr>
        <w:t>1、项目立项背景及依据</w:t>
      </w:r>
      <w:bookmarkEnd w:id="30"/>
    </w:p>
    <w:p>
      <w:pPr>
        <w:pStyle w:val="5"/>
        <w:ind w:firstLine="480"/>
        <w:rPr>
          <w:rFonts w:ascii="Arial Narrow" w:hAnsi="Arial Narrow" w:cs="Arial Narrow"/>
        </w:rPr>
      </w:pPr>
      <w:r>
        <w:rPr>
          <w:rFonts w:ascii="Arial Narrow" w:hAnsi="Arial Narrow" w:cs="Arial Narrow"/>
        </w:rPr>
        <w:t>1.2项目所属领域</w:t>
      </w:r>
    </w:p>
    <w:p>
      <w:pPr>
        <w:pStyle w:val="5"/>
        <w:ind w:firstLine="480"/>
        <w:rPr>
          <w:rFonts w:ascii="Arial Narrow" w:hAnsi="Arial Narrow" w:cs="Arial Narrow"/>
        </w:rPr>
      </w:pPr>
      <w:r>
        <w:rPr>
          <w:rFonts w:ascii="Arial Narrow" w:hAnsi="Arial Narrow" w:cs="Arial Narrow"/>
        </w:rPr>
        <w:t>“新型墙体材料专项基金返退”属于环保、节能领域。通过加强新型墙体材料专项基金征收使用管理，推动我省新型墙体材料专项基金返退清算工作有序开展，加快推广新型墙体材料，有效的节约能源和保护耕地。</w:t>
      </w:r>
    </w:p>
    <w:p>
      <w:pPr>
        <w:pStyle w:val="5"/>
        <w:ind w:firstLine="480"/>
        <w:rPr>
          <w:rFonts w:ascii="Arial Narrow" w:hAnsi="Arial Narrow" w:cs="Arial Narrow"/>
        </w:rPr>
      </w:pPr>
      <w:r>
        <w:rPr>
          <w:rFonts w:ascii="Arial Narrow" w:hAnsi="Arial Narrow" w:cs="Arial Narrow"/>
        </w:rPr>
        <w:t>1.3 项目性质与特点</w:t>
      </w:r>
    </w:p>
    <w:p>
      <w:pPr>
        <w:pStyle w:val="5"/>
        <w:ind w:firstLine="480"/>
        <w:rPr>
          <w:rFonts w:ascii="Arial Narrow" w:hAnsi="Arial Narrow" w:cs="Arial Narrow"/>
        </w:rPr>
      </w:pPr>
      <w:r>
        <w:rPr>
          <w:rFonts w:ascii="Arial Narrow" w:hAnsi="Arial Narrow" w:cs="Arial Narrow"/>
        </w:rPr>
        <w:t>“新型墙体材料专项基金返退”项目是审核建筑单位提交的材料，根据建筑用新型墙体材料的等级，向建筑单位返退新型墙体材料专项基金的项目，对于加强节能环保材料的使用有促进作用。</w:t>
      </w:r>
    </w:p>
    <w:p>
      <w:pPr>
        <w:pStyle w:val="5"/>
        <w:ind w:firstLine="480"/>
        <w:rPr>
          <w:rFonts w:ascii="Arial Narrow" w:hAnsi="Arial Narrow" w:cs="Arial Narrow"/>
        </w:rPr>
      </w:pPr>
      <w:r>
        <w:rPr>
          <w:rFonts w:ascii="Arial Narrow" w:hAnsi="Arial Narrow" w:cs="Arial Narrow"/>
        </w:rPr>
        <w:t>1.4项目立项时所属领域状况</w:t>
      </w:r>
    </w:p>
    <w:p>
      <w:pPr>
        <w:pStyle w:val="4"/>
        <w:spacing w:before="0" w:after="0"/>
        <w:ind w:firstLine="480"/>
        <w:rPr>
          <w:rFonts w:ascii="Arial Narrow" w:hAnsi="Arial Narrow" w:cs="Arial Narrow"/>
          <w:b w:val="0"/>
          <w:bCs w:val="0"/>
          <w:kern w:val="2"/>
          <w:szCs w:val="24"/>
        </w:rPr>
      </w:pPr>
      <w:bookmarkStart w:id="31" w:name="_Toc1773"/>
      <w:bookmarkStart w:id="32" w:name="_Toc12614"/>
      <w:r>
        <w:rPr>
          <w:rFonts w:ascii="Arial Narrow" w:hAnsi="Arial Narrow" w:cs="Arial Narrow"/>
          <w:b w:val="0"/>
          <w:bCs w:val="0"/>
          <w:kern w:val="2"/>
          <w:szCs w:val="24"/>
        </w:rPr>
        <w:t>2016、2017年此项工作尚未纳入财政预算。2018年之前，沌口片区尚无单位申请新型墙体材料专项基金清算，汉南片区基金清算由汉南建管站财政承担，该项目并未纳入年度预算。2018年，两片区大量企业提出基金清算申请，由于2018年财政预算未申报，导致每项清算业务均需追加财政预算，请款手续办理繁复。</w:t>
      </w:r>
    </w:p>
    <w:p>
      <w:pPr>
        <w:pStyle w:val="4"/>
        <w:tabs>
          <w:tab w:val="left" w:pos="3579"/>
        </w:tabs>
        <w:spacing w:before="0" w:after="0"/>
        <w:ind w:firstLine="480"/>
        <w:rPr>
          <w:rFonts w:ascii="Arial Narrow" w:hAnsi="Arial Narrow" w:cs="Arial Narrow"/>
          <w:b w:val="0"/>
          <w:bCs w:val="0"/>
          <w:kern w:val="2"/>
          <w:szCs w:val="24"/>
        </w:rPr>
      </w:pPr>
      <w:r>
        <w:rPr>
          <w:rFonts w:ascii="Arial Narrow" w:hAnsi="Arial Narrow" w:cs="Arial Narrow"/>
          <w:b w:val="0"/>
          <w:bCs w:val="0"/>
          <w:kern w:val="2"/>
          <w:szCs w:val="24"/>
        </w:rPr>
        <w:t>2、</w:t>
      </w:r>
      <w:bookmarkEnd w:id="31"/>
      <w:r>
        <w:rPr>
          <w:rFonts w:ascii="Arial Narrow" w:hAnsi="Arial Narrow" w:cs="Arial Narrow"/>
          <w:b w:val="0"/>
          <w:bCs w:val="0"/>
          <w:kern w:val="2"/>
          <w:szCs w:val="24"/>
        </w:rPr>
        <w:t>项目绩效目标</w:t>
      </w:r>
      <w:bookmarkEnd w:id="32"/>
      <w:r>
        <w:rPr>
          <w:rFonts w:ascii="Arial Narrow" w:hAnsi="Arial Narrow" w:cs="Arial Narrow"/>
          <w:b w:val="0"/>
          <w:bCs w:val="0"/>
          <w:kern w:val="2"/>
          <w:szCs w:val="24"/>
        </w:rPr>
        <w:tab/>
      </w:r>
    </w:p>
    <w:p>
      <w:pPr>
        <w:adjustRightInd w:val="0"/>
        <w:spacing w:before="50" w:after="50"/>
        <w:ind w:firstLine="480"/>
        <w:rPr>
          <w:rFonts w:ascii="Arial Narrow" w:hAnsi="Arial Narrow" w:cs="Arial Narrow"/>
        </w:rPr>
      </w:pPr>
      <w:r>
        <w:rPr>
          <w:rFonts w:ascii="Arial Narrow" w:hAnsi="Arial Narrow" w:cs="Arial Narrow"/>
        </w:rPr>
        <w:t>（1）项目立项设定绩效目标</w:t>
      </w:r>
    </w:p>
    <w:p>
      <w:pPr>
        <w:adjustRightInd w:val="0"/>
        <w:spacing w:before="50" w:after="50"/>
        <w:ind w:firstLine="480"/>
        <w:rPr>
          <w:rFonts w:ascii="Arial Narrow" w:hAnsi="Arial Narrow" w:cs="Arial Narrow"/>
        </w:rPr>
      </w:pPr>
      <w:r>
        <w:rPr>
          <w:rFonts w:ascii="Arial Narrow" w:hAnsi="Arial Narrow" w:cs="Arial Narrow"/>
        </w:rPr>
        <w:t>该项目设置了长期目标：根据各建设单位对新型墙体的申报情况进行验收，验收合格后对各建设单位按比例进行补贴发放，进一步促进节能环保材料的使用情况。同时也设立了相应的年度目标：在手续合规的情况下完成本年度的墙补资金发放，解决有关补贴发放的投诉问题，协助各建设单位较好的开展工作，提高节能环保材料的使用情况。</w:t>
      </w:r>
    </w:p>
    <w:p>
      <w:pPr>
        <w:numPr>
          <w:ilvl w:val="0"/>
          <w:numId w:val="1"/>
        </w:numPr>
        <w:adjustRightInd w:val="0"/>
        <w:spacing w:before="50" w:after="50"/>
        <w:ind w:firstLine="480"/>
        <w:rPr>
          <w:rFonts w:ascii="Arial Narrow" w:hAnsi="Arial Narrow" w:cs="Arial Narrow"/>
        </w:rPr>
      </w:pPr>
      <w:bookmarkStart w:id="33" w:name="_Toc6630"/>
      <w:r>
        <w:rPr>
          <w:rFonts w:ascii="Arial Narrow" w:hAnsi="Arial Narrow" w:cs="Arial Narrow"/>
        </w:rPr>
        <w:t>绩效目标完成情况</w:t>
      </w:r>
    </w:p>
    <w:p>
      <w:pPr>
        <w:adjustRightInd w:val="0"/>
        <w:spacing w:before="50" w:after="50"/>
        <w:ind w:firstLine="0" w:firstLineChars="0"/>
        <w:rPr>
          <w:rFonts w:ascii="Arial Narrow" w:hAnsi="Arial Narrow" w:cs="Arial Narrow"/>
        </w:rPr>
      </w:pPr>
      <w:r>
        <w:rPr>
          <w:rFonts w:ascii="Arial Narrow" w:hAnsi="Arial Narrow" w:cs="Arial Narrow"/>
        </w:rPr>
        <w:t xml:space="preserve">    项目单位具有相应的审核手续，同时采取了相应的监控手段对审核手续进行验收检查，2018年共完成2笔基金返退；并发放宣传手册对新墙体材料的节能效果进行宣传，但由于年初没有预算，资金由其他项目调拨而来，基金清退不够及时。</w:t>
      </w:r>
    </w:p>
    <w:p>
      <w:pPr>
        <w:pStyle w:val="4"/>
        <w:spacing w:before="0" w:after="0"/>
        <w:ind w:firstLine="480"/>
        <w:rPr>
          <w:rFonts w:ascii="Arial Narrow" w:hAnsi="Arial Narrow" w:cs="Arial Narrow"/>
          <w:b w:val="0"/>
          <w:bCs w:val="0"/>
          <w:kern w:val="2"/>
          <w:szCs w:val="24"/>
        </w:rPr>
      </w:pPr>
      <w:bookmarkStart w:id="34" w:name="_Toc32677"/>
      <w:r>
        <w:rPr>
          <w:rFonts w:ascii="Arial Narrow" w:hAnsi="Arial Narrow" w:cs="Arial Narrow"/>
          <w:b w:val="0"/>
          <w:bCs w:val="0"/>
          <w:kern w:val="2"/>
          <w:szCs w:val="24"/>
        </w:rPr>
        <w:t>3、项目经费来源和使用情况</w:t>
      </w:r>
      <w:bookmarkEnd w:id="34"/>
    </w:p>
    <w:p>
      <w:pPr>
        <w:adjustRightInd w:val="0"/>
        <w:spacing w:before="50" w:after="50"/>
        <w:ind w:firstLine="480"/>
        <w:rPr>
          <w:rFonts w:ascii="Arial Narrow" w:hAnsi="Arial Narrow" w:cs="Arial Narrow"/>
        </w:rPr>
      </w:pPr>
      <w:r>
        <w:rPr>
          <w:rFonts w:ascii="Arial Narrow" w:hAnsi="Arial Narrow" w:cs="Arial Narrow"/>
        </w:rPr>
        <w:t>（1）项目资金来源概况</w:t>
      </w:r>
    </w:p>
    <w:p>
      <w:pPr>
        <w:adjustRightInd w:val="0"/>
        <w:spacing w:before="50" w:after="50"/>
        <w:ind w:firstLine="480"/>
        <w:rPr>
          <w:rFonts w:ascii="Arial Narrow" w:hAnsi="Arial Narrow" w:cs="Arial Narrow"/>
        </w:rPr>
      </w:pPr>
      <w:r>
        <w:rPr>
          <w:rFonts w:ascii="Arial Narrow" w:hAnsi="Arial Narrow" w:cs="Arial Narrow"/>
        </w:rPr>
        <w:t>由其他项目账户调拨而来，具体调拨情况如下：</w:t>
      </w:r>
    </w:p>
    <w:p>
      <w:pPr>
        <w:adjustRightInd w:val="0"/>
        <w:spacing w:before="50" w:after="50"/>
        <w:ind w:firstLine="480"/>
        <w:rPr>
          <w:rFonts w:ascii="Arial Narrow" w:hAnsi="Arial Narrow" w:cs="Arial Narrow"/>
        </w:rPr>
      </w:pPr>
      <w:r>
        <w:rPr>
          <w:rFonts w:ascii="Arial Narrow" w:hAnsi="Arial Narrow" w:cs="Arial Narrow"/>
        </w:rPr>
        <w:t xml:space="preserve">                                                  </w:t>
      </w:r>
      <w:r>
        <w:rPr>
          <w:rFonts w:ascii="Arial Narrow" w:hAnsi="Arial Narrow" w:cs="Arial Narrow"/>
          <w:b/>
          <w:bCs/>
          <w:color w:val="000000"/>
          <w:kern w:val="0"/>
          <w:sz w:val="20"/>
          <w:szCs w:val="20"/>
          <w:lang w:bidi="ar"/>
        </w:rPr>
        <w:t>单位:元</w:t>
      </w:r>
    </w:p>
    <w:tbl>
      <w:tblPr>
        <w:tblStyle w:val="11"/>
        <w:tblW w:w="7240" w:type="dxa"/>
        <w:jc w:val="center"/>
        <w:tblLayout w:type="fixed"/>
        <w:tblCellMar>
          <w:top w:w="0" w:type="dxa"/>
          <w:left w:w="0" w:type="dxa"/>
          <w:bottom w:w="0" w:type="dxa"/>
          <w:right w:w="0" w:type="dxa"/>
        </w:tblCellMar>
      </w:tblPr>
      <w:tblGrid>
        <w:gridCol w:w="5713"/>
        <w:gridCol w:w="1527"/>
      </w:tblGrid>
      <w:tr>
        <w:tblPrEx>
          <w:tblCellMar>
            <w:top w:w="0" w:type="dxa"/>
            <w:left w:w="0" w:type="dxa"/>
            <w:bottom w:w="0" w:type="dxa"/>
            <w:right w:w="0" w:type="dxa"/>
          </w:tblCellMar>
        </w:tblPrEx>
        <w:trPr>
          <w:trHeight w:val="448" w:hRule="atLeast"/>
          <w:tblHeader/>
          <w:jc w:val="center"/>
        </w:trPr>
        <w:tc>
          <w:tcPr>
            <w:tcW w:w="571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ind w:firstLine="408"/>
              <w:jc w:val="center"/>
              <w:textAlignment w:val="center"/>
              <w:rPr>
                <w:rFonts w:ascii="Arial Narrow" w:hAnsi="Arial Narrow" w:cs="Arial Narrow"/>
                <w:b/>
                <w:bCs/>
                <w:color w:val="000000"/>
                <w:sz w:val="20"/>
                <w:szCs w:val="20"/>
              </w:rPr>
            </w:pPr>
            <w:r>
              <w:rPr>
                <w:rFonts w:ascii="Arial Narrow" w:hAnsi="Arial Narrow" w:cs="Arial Narrow"/>
                <w:b/>
                <w:bCs/>
                <w:color w:val="000000"/>
                <w:kern w:val="0"/>
                <w:sz w:val="20"/>
                <w:szCs w:val="20"/>
                <w:lang w:bidi="ar"/>
              </w:rPr>
              <w:t>调拨单位</w:t>
            </w:r>
          </w:p>
        </w:tc>
        <w:tc>
          <w:tcPr>
            <w:tcW w:w="1527" w:type="dxa"/>
            <w:tcBorders>
              <w:top w:val="single" w:color="auto" w:sz="4" w:space="0"/>
              <w:left w:val="nil"/>
              <w:bottom w:val="single" w:color="auto" w:sz="4" w:space="0"/>
              <w:right w:val="single" w:color="auto" w:sz="4" w:space="0"/>
            </w:tcBorders>
            <w:shd w:val="clear" w:color="auto" w:fill="auto"/>
            <w:noWrap/>
            <w:tcMar>
              <w:top w:w="15" w:type="dxa"/>
              <w:left w:w="15" w:type="dxa"/>
              <w:right w:w="15" w:type="dxa"/>
            </w:tcMar>
            <w:vAlign w:val="center"/>
          </w:tcPr>
          <w:p>
            <w:pPr>
              <w:widowControl/>
              <w:ind w:firstLine="408"/>
              <w:jc w:val="center"/>
              <w:textAlignment w:val="center"/>
              <w:rPr>
                <w:rFonts w:ascii="Arial Narrow" w:hAnsi="Arial Narrow" w:cs="Arial Narrow"/>
                <w:b/>
                <w:bCs/>
                <w:color w:val="000000"/>
                <w:sz w:val="20"/>
                <w:szCs w:val="20"/>
              </w:rPr>
            </w:pPr>
            <w:r>
              <w:rPr>
                <w:rFonts w:ascii="Arial Narrow" w:hAnsi="Arial Narrow" w:cs="Arial Narrow"/>
                <w:b/>
                <w:bCs/>
                <w:color w:val="000000"/>
                <w:kern w:val="0"/>
                <w:sz w:val="20"/>
                <w:szCs w:val="20"/>
                <w:lang w:bidi="ar"/>
              </w:rPr>
              <w:t>金额</w:t>
            </w:r>
          </w:p>
        </w:tc>
      </w:tr>
      <w:tr>
        <w:tblPrEx>
          <w:tblCellMar>
            <w:top w:w="0" w:type="dxa"/>
            <w:left w:w="0" w:type="dxa"/>
            <w:bottom w:w="0" w:type="dxa"/>
            <w:right w:w="0" w:type="dxa"/>
          </w:tblCellMar>
        </w:tblPrEx>
        <w:trPr>
          <w:trHeight w:val="570" w:hRule="atLeast"/>
          <w:jc w:val="center"/>
        </w:trPr>
        <w:tc>
          <w:tcPr>
            <w:tcW w:w="5713"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ind w:firstLine="0" w:firstLineChars="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城建档案工作经费用于调剂新型墙体材料专项基金返退</w:t>
            </w:r>
          </w:p>
        </w:tc>
        <w:tc>
          <w:tcPr>
            <w:tcW w:w="1527"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widowControl/>
              <w:ind w:firstLine="40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50,000.00</w:t>
            </w:r>
          </w:p>
        </w:tc>
      </w:tr>
      <w:tr>
        <w:tblPrEx>
          <w:tblCellMar>
            <w:top w:w="0" w:type="dxa"/>
            <w:left w:w="0" w:type="dxa"/>
            <w:bottom w:w="0" w:type="dxa"/>
            <w:right w:w="0" w:type="dxa"/>
          </w:tblCellMar>
        </w:tblPrEx>
        <w:trPr>
          <w:trHeight w:val="594" w:hRule="atLeast"/>
          <w:jc w:val="center"/>
        </w:trPr>
        <w:tc>
          <w:tcPr>
            <w:tcW w:w="5713"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ind w:firstLine="0" w:firstLineChars="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城市公交（客运）专项经费用于调剂新型墙体材料专项基金返退</w:t>
            </w:r>
          </w:p>
        </w:tc>
        <w:tc>
          <w:tcPr>
            <w:tcW w:w="1527"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widowControl/>
              <w:ind w:firstLine="40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450,000.00</w:t>
            </w:r>
          </w:p>
        </w:tc>
      </w:tr>
      <w:tr>
        <w:tblPrEx>
          <w:tblCellMar>
            <w:top w:w="0" w:type="dxa"/>
            <w:left w:w="0" w:type="dxa"/>
            <w:bottom w:w="0" w:type="dxa"/>
            <w:right w:w="0" w:type="dxa"/>
          </w:tblCellMar>
        </w:tblPrEx>
        <w:trPr>
          <w:trHeight w:val="570" w:hRule="atLeast"/>
          <w:jc w:val="center"/>
        </w:trPr>
        <w:tc>
          <w:tcPr>
            <w:tcW w:w="5713"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ind w:firstLine="0" w:firstLineChars="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城市维护费用于调剂新型墙体材料专项基金返退</w:t>
            </w:r>
          </w:p>
        </w:tc>
        <w:tc>
          <w:tcPr>
            <w:tcW w:w="1527"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widowControl/>
              <w:ind w:firstLine="40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330,000.00</w:t>
            </w:r>
          </w:p>
        </w:tc>
      </w:tr>
      <w:tr>
        <w:tblPrEx>
          <w:tblCellMar>
            <w:top w:w="0" w:type="dxa"/>
            <w:left w:w="0" w:type="dxa"/>
            <w:bottom w:w="0" w:type="dxa"/>
            <w:right w:w="0" w:type="dxa"/>
          </w:tblCellMar>
        </w:tblPrEx>
        <w:trPr>
          <w:trHeight w:val="570" w:hRule="atLeast"/>
          <w:jc w:val="center"/>
        </w:trPr>
        <w:tc>
          <w:tcPr>
            <w:tcW w:w="5713"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ind w:firstLine="0" w:firstLineChars="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城乡建设事务劳务用于调剂新型墙体材料专项基金返退</w:t>
            </w:r>
          </w:p>
        </w:tc>
        <w:tc>
          <w:tcPr>
            <w:tcW w:w="1527"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widowControl/>
              <w:ind w:firstLine="40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620,000.00</w:t>
            </w:r>
          </w:p>
        </w:tc>
      </w:tr>
      <w:tr>
        <w:tblPrEx>
          <w:tblCellMar>
            <w:top w:w="0" w:type="dxa"/>
            <w:left w:w="0" w:type="dxa"/>
            <w:bottom w:w="0" w:type="dxa"/>
            <w:right w:w="0" w:type="dxa"/>
          </w:tblCellMar>
        </w:tblPrEx>
        <w:trPr>
          <w:trHeight w:val="570" w:hRule="atLeast"/>
          <w:jc w:val="center"/>
        </w:trPr>
        <w:tc>
          <w:tcPr>
            <w:tcW w:w="5713"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ind w:firstLine="0" w:firstLineChars="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城镇建设工作经费用于调剂新型墙体材料专项基金返退</w:t>
            </w:r>
          </w:p>
        </w:tc>
        <w:tc>
          <w:tcPr>
            <w:tcW w:w="1527"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widowControl/>
              <w:ind w:firstLine="40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100,000.00</w:t>
            </w:r>
          </w:p>
        </w:tc>
      </w:tr>
      <w:tr>
        <w:tblPrEx>
          <w:tblCellMar>
            <w:top w:w="0" w:type="dxa"/>
            <w:left w:w="0" w:type="dxa"/>
            <w:bottom w:w="0" w:type="dxa"/>
            <w:right w:w="0" w:type="dxa"/>
          </w:tblCellMar>
        </w:tblPrEx>
        <w:trPr>
          <w:trHeight w:val="570" w:hRule="atLeast"/>
          <w:jc w:val="center"/>
        </w:trPr>
        <w:tc>
          <w:tcPr>
            <w:tcW w:w="5713"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ind w:firstLine="0" w:firstLineChars="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东升治超站工作经费用于调剂新型墙体材料专项基金返退</w:t>
            </w:r>
          </w:p>
        </w:tc>
        <w:tc>
          <w:tcPr>
            <w:tcW w:w="1527"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widowControl/>
              <w:ind w:firstLine="40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160,000.00</w:t>
            </w:r>
          </w:p>
        </w:tc>
      </w:tr>
      <w:tr>
        <w:tblPrEx>
          <w:tblCellMar>
            <w:top w:w="0" w:type="dxa"/>
            <w:left w:w="0" w:type="dxa"/>
            <w:bottom w:w="0" w:type="dxa"/>
            <w:right w:w="0" w:type="dxa"/>
          </w:tblCellMar>
        </w:tblPrEx>
        <w:trPr>
          <w:trHeight w:val="570" w:hRule="atLeast"/>
          <w:jc w:val="center"/>
        </w:trPr>
        <w:tc>
          <w:tcPr>
            <w:tcW w:w="5713"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ind w:firstLine="0" w:firstLineChars="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建设安全管理专项经费用于调剂新型墙体材料专项基金返退</w:t>
            </w:r>
          </w:p>
        </w:tc>
        <w:tc>
          <w:tcPr>
            <w:tcW w:w="1527"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widowControl/>
              <w:ind w:firstLine="40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200,000.00</w:t>
            </w:r>
          </w:p>
        </w:tc>
      </w:tr>
      <w:tr>
        <w:tblPrEx>
          <w:tblCellMar>
            <w:top w:w="0" w:type="dxa"/>
            <w:left w:w="0" w:type="dxa"/>
            <w:bottom w:w="0" w:type="dxa"/>
            <w:right w:w="0" w:type="dxa"/>
          </w:tblCellMar>
        </w:tblPrEx>
        <w:trPr>
          <w:trHeight w:val="570" w:hRule="atLeast"/>
          <w:jc w:val="center"/>
        </w:trPr>
        <w:tc>
          <w:tcPr>
            <w:tcW w:w="5713"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ind w:firstLine="0" w:firstLineChars="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交通安全专项经费用于调剂新型墙体材料专项基金返退</w:t>
            </w:r>
          </w:p>
        </w:tc>
        <w:tc>
          <w:tcPr>
            <w:tcW w:w="1527"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widowControl/>
              <w:ind w:firstLine="40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100,000.00</w:t>
            </w:r>
          </w:p>
        </w:tc>
      </w:tr>
      <w:tr>
        <w:tblPrEx>
          <w:tblCellMar>
            <w:top w:w="0" w:type="dxa"/>
            <w:left w:w="0" w:type="dxa"/>
            <w:bottom w:w="0" w:type="dxa"/>
            <w:right w:w="0" w:type="dxa"/>
          </w:tblCellMar>
        </w:tblPrEx>
        <w:trPr>
          <w:trHeight w:val="570" w:hRule="atLeast"/>
          <w:jc w:val="center"/>
        </w:trPr>
        <w:tc>
          <w:tcPr>
            <w:tcW w:w="5713"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ind w:firstLine="0" w:firstLineChars="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人防（防震减灾）工作经费用于调剂新型墙体材料专项基金返退</w:t>
            </w:r>
          </w:p>
        </w:tc>
        <w:tc>
          <w:tcPr>
            <w:tcW w:w="1527"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widowControl/>
              <w:ind w:firstLine="40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150,000.00</w:t>
            </w:r>
          </w:p>
        </w:tc>
      </w:tr>
      <w:tr>
        <w:tblPrEx>
          <w:tblCellMar>
            <w:top w:w="0" w:type="dxa"/>
            <w:left w:w="0" w:type="dxa"/>
            <w:bottom w:w="0" w:type="dxa"/>
            <w:right w:w="0" w:type="dxa"/>
          </w:tblCellMar>
        </w:tblPrEx>
        <w:trPr>
          <w:trHeight w:val="570" w:hRule="atLeast"/>
          <w:jc w:val="center"/>
        </w:trPr>
        <w:tc>
          <w:tcPr>
            <w:tcW w:w="5713"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ind w:firstLine="0" w:firstLineChars="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治超整治专项经费用于调剂新型墙体材料专项基金返退</w:t>
            </w:r>
          </w:p>
        </w:tc>
        <w:tc>
          <w:tcPr>
            <w:tcW w:w="1527"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widowControl/>
              <w:ind w:firstLine="40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300,000.00</w:t>
            </w:r>
          </w:p>
        </w:tc>
      </w:tr>
      <w:tr>
        <w:tblPrEx>
          <w:tblCellMar>
            <w:top w:w="0" w:type="dxa"/>
            <w:left w:w="0" w:type="dxa"/>
            <w:bottom w:w="0" w:type="dxa"/>
            <w:right w:w="0" w:type="dxa"/>
          </w:tblCellMar>
        </w:tblPrEx>
        <w:trPr>
          <w:trHeight w:val="570" w:hRule="atLeast"/>
          <w:jc w:val="center"/>
        </w:trPr>
        <w:tc>
          <w:tcPr>
            <w:tcW w:w="5713"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ind w:firstLine="0" w:firstLineChars="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专家咨询费用于调剂新型墙体材料专项基金返退</w:t>
            </w:r>
          </w:p>
        </w:tc>
        <w:tc>
          <w:tcPr>
            <w:tcW w:w="1527"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widowControl/>
              <w:ind w:firstLine="40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90,000.00</w:t>
            </w:r>
          </w:p>
        </w:tc>
      </w:tr>
      <w:tr>
        <w:tblPrEx>
          <w:tblCellMar>
            <w:top w:w="0" w:type="dxa"/>
            <w:left w:w="0" w:type="dxa"/>
            <w:bottom w:w="0" w:type="dxa"/>
            <w:right w:w="0" w:type="dxa"/>
          </w:tblCellMar>
        </w:tblPrEx>
        <w:trPr>
          <w:trHeight w:val="315" w:hRule="atLeast"/>
          <w:jc w:val="center"/>
        </w:trPr>
        <w:tc>
          <w:tcPr>
            <w:tcW w:w="5713"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ind w:firstLine="408"/>
              <w:jc w:val="center"/>
              <w:textAlignment w:val="center"/>
              <w:rPr>
                <w:rFonts w:ascii="Arial Narrow" w:hAnsi="Arial Narrow" w:cs="Arial Narrow"/>
                <w:b/>
                <w:bCs/>
                <w:color w:val="000000"/>
                <w:sz w:val="20"/>
                <w:szCs w:val="20"/>
              </w:rPr>
            </w:pPr>
            <w:r>
              <w:rPr>
                <w:rFonts w:ascii="Arial Narrow" w:hAnsi="Arial Narrow" w:cs="Arial Narrow"/>
                <w:b/>
                <w:bCs/>
                <w:color w:val="000000"/>
                <w:kern w:val="0"/>
                <w:sz w:val="20"/>
                <w:szCs w:val="20"/>
                <w:lang w:bidi="ar"/>
              </w:rPr>
              <w:t>合计</w:t>
            </w:r>
          </w:p>
        </w:tc>
        <w:tc>
          <w:tcPr>
            <w:tcW w:w="1527"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widowControl/>
              <w:ind w:firstLine="408"/>
              <w:jc w:val="center"/>
              <w:textAlignment w:val="center"/>
              <w:rPr>
                <w:rFonts w:ascii="Arial Narrow" w:hAnsi="Arial Narrow" w:cs="Arial Narrow"/>
                <w:color w:val="000000"/>
                <w:sz w:val="20"/>
                <w:szCs w:val="20"/>
              </w:rPr>
            </w:pPr>
            <w:r>
              <w:rPr>
                <w:rFonts w:ascii="Arial Narrow" w:hAnsi="Arial Narrow" w:cs="Arial Narrow"/>
                <w:b/>
                <w:bCs/>
                <w:color w:val="000000"/>
                <w:kern w:val="0"/>
                <w:sz w:val="20"/>
                <w:szCs w:val="20"/>
                <w:lang w:bidi="ar"/>
              </w:rPr>
              <w:t>2,550,000.00</w:t>
            </w:r>
          </w:p>
        </w:tc>
      </w:tr>
    </w:tbl>
    <w:p>
      <w:pPr>
        <w:adjustRightInd w:val="0"/>
        <w:spacing w:before="50" w:after="50"/>
        <w:ind w:firstLine="0" w:firstLineChars="0"/>
        <w:rPr>
          <w:rFonts w:ascii="Arial Narrow" w:hAnsi="Arial Narrow" w:cs="Arial Narrow"/>
          <w:highlight w:val="yellow"/>
        </w:rPr>
      </w:pPr>
    </w:p>
    <w:p>
      <w:pPr>
        <w:adjustRightInd w:val="0"/>
        <w:spacing w:before="50" w:after="50"/>
        <w:ind w:firstLine="480"/>
        <w:rPr>
          <w:rFonts w:ascii="Arial Narrow" w:hAnsi="Arial Narrow" w:cs="Arial Narrow"/>
          <w:highlight w:val="yellow"/>
        </w:rPr>
      </w:pPr>
    </w:p>
    <w:p>
      <w:pPr>
        <w:adjustRightInd w:val="0"/>
        <w:spacing w:before="50" w:after="50"/>
        <w:ind w:firstLine="480"/>
        <w:rPr>
          <w:rFonts w:ascii="Arial Narrow" w:hAnsi="Arial Narrow" w:cs="Arial Narrow"/>
        </w:rPr>
      </w:pPr>
      <w:r>
        <w:rPr>
          <w:rFonts w:ascii="Arial Narrow" w:hAnsi="Arial Narrow" w:cs="Arial Narrow"/>
        </w:rPr>
        <w:t>（2）项目资金使用概况</w:t>
      </w:r>
    </w:p>
    <w:p>
      <w:pPr>
        <w:adjustRightInd w:val="0"/>
        <w:spacing w:before="50" w:after="50"/>
        <w:ind w:firstLine="480"/>
        <w:rPr>
          <w:rFonts w:ascii="Arial Narrow" w:hAnsi="Arial Narrow" w:cs="Arial Narrow"/>
        </w:rPr>
      </w:pPr>
      <w:r>
        <w:rPr>
          <w:rFonts w:ascii="Arial Narrow" w:hAnsi="Arial Narrow" w:cs="Arial Narrow"/>
        </w:rPr>
        <w:t>新型墙体材料专项基金实际支出实际使用2,465,832.38元，支出明细如下：</w:t>
      </w:r>
    </w:p>
    <w:p>
      <w:pPr>
        <w:adjustRightInd w:val="0"/>
        <w:spacing w:before="50" w:after="50"/>
        <w:ind w:firstLine="489"/>
        <w:jc w:val="center"/>
        <w:rPr>
          <w:rFonts w:ascii="Arial Narrow" w:hAnsi="Arial Narrow" w:cs="Arial Narrow"/>
          <w:b/>
          <w:bCs/>
        </w:rPr>
      </w:pPr>
      <w:r>
        <w:rPr>
          <w:rFonts w:ascii="Arial Narrow" w:hAnsi="Arial Narrow" w:cs="Arial Narrow"/>
          <w:b/>
          <w:bCs/>
        </w:rPr>
        <w:t>新型墙体材料专项基金返退支出明细表</w:t>
      </w:r>
    </w:p>
    <w:p>
      <w:pPr>
        <w:adjustRightInd w:val="0"/>
        <w:spacing w:before="50" w:after="50"/>
        <w:ind w:firstLine="489"/>
        <w:jc w:val="center"/>
        <w:rPr>
          <w:rFonts w:ascii="Arial Narrow" w:hAnsi="Arial Narrow" w:cs="Arial Narrow"/>
          <w:b/>
          <w:bCs/>
        </w:rPr>
      </w:pPr>
      <w:r>
        <w:rPr>
          <w:rFonts w:ascii="Arial Narrow" w:hAnsi="Arial Narrow" w:cs="Arial Narrow"/>
          <w:b/>
          <w:bCs/>
        </w:rPr>
        <w:t xml:space="preserve">                                                  单位：元</w:t>
      </w:r>
    </w:p>
    <w:tbl>
      <w:tblPr>
        <w:tblStyle w:val="11"/>
        <w:tblW w:w="7660" w:type="dxa"/>
        <w:jc w:val="center"/>
        <w:tblLayout w:type="fixed"/>
        <w:tblCellMar>
          <w:top w:w="0" w:type="dxa"/>
          <w:left w:w="0" w:type="dxa"/>
          <w:bottom w:w="0" w:type="dxa"/>
          <w:right w:w="0" w:type="dxa"/>
        </w:tblCellMar>
      </w:tblPr>
      <w:tblGrid>
        <w:gridCol w:w="1056"/>
        <w:gridCol w:w="1946"/>
        <w:gridCol w:w="1710"/>
        <w:gridCol w:w="1660"/>
        <w:gridCol w:w="1288"/>
      </w:tblGrid>
      <w:tr>
        <w:tblPrEx>
          <w:tblCellMar>
            <w:top w:w="0" w:type="dxa"/>
            <w:left w:w="0" w:type="dxa"/>
            <w:bottom w:w="0" w:type="dxa"/>
            <w:right w:w="0" w:type="dxa"/>
          </w:tblCellMar>
        </w:tblPrEx>
        <w:trPr>
          <w:trHeight w:val="553" w:hRule="atLeast"/>
          <w:tblHeader/>
          <w:jc w:val="center"/>
        </w:trPr>
        <w:tc>
          <w:tcPr>
            <w:tcW w:w="105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240" w:lineRule="auto"/>
              <w:ind w:firstLine="400"/>
              <w:jc w:val="left"/>
              <w:textAlignment w:val="center"/>
              <w:rPr>
                <w:rFonts w:ascii="Arial Narrow" w:hAnsi="Arial Narrow" w:cs="Arial Narrow"/>
                <w:color w:val="000000"/>
                <w:sz w:val="20"/>
                <w:szCs w:val="20"/>
              </w:rPr>
            </w:pPr>
          </w:p>
        </w:tc>
        <w:tc>
          <w:tcPr>
            <w:tcW w:w="194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240" w:lineRule="auto"/>
              <w:ind w:firstLine="408"/>
              <w:jc w:val="left"/>
              <w:textAlignment w:val="center"/>
              <w:rPr>
                <w:rFonts w:ascii="Arial Narrow" w:hAnsi="Arial Narrow" w:cs="Arial Narrow"/>
                <w:b/>
                <w:bCs/>
                <w:sz w:val="20"/>
                <w:szCs w:val="20"/>
              </w:rPr>
            </w:pPr>
            <w:r>
              <w:rPr>
                <w:rFonts w:ascii="Arial Narrow" w:hAnsi="Arial Narrow" w:cs="Arial Narrow"/>
                <w:b/>
                <w:bCs/>
                <w:kern w:val="0"/>
                <w:sz w:val="20"/>
                <w:szCs w:val="20"/>
                <w:lang w:bidi="ar"/>
              </w:rPr>
              <w:t>项目支出</w:t>
            </w:r>
          </w:p>
        </w:tc>
        <w:tc>
          <w:tcPr>
            <w:tcW w:w="171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240" w:lineRule="auto"/>
              <w:ind w:firstLine="408"/>
              <w:jc w:val="left"/>
              <w:textAlignment w:val="center"/>
              <w:rPr>
                <w:rFonts w:ascii="Arial Narrow" w:hAnsi="Arial Narrow" w:cs="Arial Narrow"/>
                <w:b/>
                <w:bCs/>
                <w:sz w:val="20"/>
                <w:szCs w:val="20"/>
              </w:rPr>
            </w:pPr>
            <w:r>
              <w:rPr>
                <w:rFonts w:ascii="Arial Narrow" w:hAnsi="Arial Narrow" w:cs="Arial Narrow"/>
                <w:b/>
                <w:bCs/>
                <w:kern w:val="0"/>
                <w:sz w:val="20"/>
                <w:szCs w:val="20"/>
                <w:lang w:bidi="ar"/>
              </w:rPr>
              <w:t>预算金额</w:t>
            </w:r>
          </w:p>
        </w:tc>
        <w:tc>
          <w:tcPr>
            <w:tcW w:w="166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240" w:lineRule="auto"/>
              <w:ind w:firstLine="408"/>
              <w:jc w:val="left"/>
              <w:textAlignment w:val="center"/>
              <w:rPr>
                <w:rFonts w:ascii="Arial Narrow" w:hAnsi="Arial Narrow" w:cs="Arial Narrow"/>
                <w:b/>
                <w:bCs/>
                <w:sz w:val="20"/>
                <w:szCs w:val="20"/>
              </w:rPr>
            </w:pPr>
            <w:r>
              <w:rPr>
                <w:rFonts w:ascii="Arial Narrow" w:hAnsi="Arial Narrow" w:cs="Arial Narrow"/>
                <w:b/>
                <w:bCs/>
                <w:kern w:val="0"/>
                <w:sz w:val="20"/>
                <w:szCs w:val="20"/>
                <w:lang w:bidi="ar"/>
              </w:rPr>
              <w:t>执行金额</w:t>
            </w:r>
          </w:p>
        </w:tc>
        <w:tc>
          <w:tcPr>
            <w:tcW w:w="128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240" w:lineRule="auto"/>
              <w:ind w:firstLine="408"/>
              <w:jc w:val="left"/>
              <w:textAlignment w:val="center"/>
              <w:rPr>
                <w:rFonts w:ascii="Arial Narrow" w:hAnsi="Arial Narrow" w:cs="Arial Narrow"/>
                <w:b/>
                <w:bCs/>
                <w:sz w:val="20"/>
                <w:szCs w:val="20"/>
              </w:rPr>
            </w:pPr>
            <w:r>
              <w:rPr>
                <w:rFonts w:ascii="Arial Narrow" w:hAnsi="Arial Narrow" w:cs="Arial Narrow"/>
                <w:b/>
                <w:bCs/>
                <w:kern w:val="0"/>
                <w:sz w:val="20"/>
                <w:szCs w:val="20"/>
                <w:lang w:bidi="ar"/>
              </w:rPr>
              <w:t>执行率</w:t>
            </w:r>
          </w:p>
        </w:tc>
      </w:tr>
      <w:tr>
        <w:tblPrEx>
          <w:tblCellMar>
            <w:top w:w="0" w:type="dxa"/>
            <w:left w:w="0" w:type="dxa"/>
            <w:bottom w:w="0" w:type="dxa"/>
            <w:right w:w="0" w:type="dxa"/>
          </w:tblCellMar>
        </w:tblPrEx>
        <w:trPr>
          <w:trHeight w:val="660" w:hRule="atLeast"/>
          <w:jc w:val="center"/>
        </w:trPr>
        <w:tc>
          <w:tcPr>
            <w:tcW w:w="105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新型墙体材料专项基金</w:t>
            </w:r>
          </w:p>
        </w:tc>
        <w:tc>
          <w:tcPr>
            <w:tcW w:w="194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ascii="Arial Narrow" w:hAnsi="Arial Narrow" w:cs="Arial Narrow"/>
                <w:sz w:val="20"/>
                <w:szCs w:val="20"/>
              </w:rPr>
            </w:pPr>
            <w:r>
              <w:rPr>
                <w:rFonts w:ascii="Arial Narrow" w:hAnsi="Arial Narrow" w:cs="Arial Narrow"/>
                <w:sz w:val="20"/>
                <w:szCs w:val="20"/>
              </w:rPr>
              <w:t>支付基金返退</w:t>
            </w:r>
          </w:p>
        </w:tc>
        <w:tc>
          <w:tcPr>
            <w:tcW w:w="171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240" w:lineRule="auto"/>
              <w:ind w:firstLine="0" w:firstLineChars="0"/>
              <w:jc w:val="right"/>
              <w:textAlignment w:val="center"/>
              <w:rPr>
                <w:rFonts w:ascii="Arial Narrow" w:hAnsi="Arial Narrow" w:cs="Arial Narrow"/>
                <w:sz w:val="20"/>
                <w:szCs w:val="20"/>
              </w:rPr>
            </w:pPr>
            <w:r>
              <w:rPr>
                <w:rFonts w:ascii="Arial Narrow" w:hAnsi="Arial Narrow" w:cs="Arial Narrow"/>
                <w:sz w:val="20"/>
                <w:szCs w:val="20"/>
              </w:rPr>
              <w:t>2,550,000.00</w:t>
            </w:r>
          </w:p>
        </w:tc>
        <w:tc>
          <w:tcPr>
            <w:tcW w:w="166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240" w:lineRule="auto"/>
              <w:ind w:firstLine="0" w:firstLineChars="0"/>
              <w:jc w:val="right"/>
              <w:textAlignment w:val="center"/>
              <w:rPr>
                <w:rFonts w:ascii="Arial Narrow" w:hAnsi="Arial Narrow" w:cs="Arial Narrow"/>
                <w:sz w:val="20"/>
                <w:szCs w:val="20"/>
              </w:rPr>
            </w:pPr>
            <w:r>
              <w:rPr>
                <w:rFonts w:ascii="Arial Narrow" w:hAnsi="Arial Narrow" w:cs="Arial Narrow"/>
                <w:sz w:val="20"/>
                <w:szCs w:val="20"/>
              </w:rPr>
              <w:t>2,465,832.38</w:t>
            </w:r>
          </w:p>
        </w:tc>
        <w:tc>
          <w:tcPr>
            <w:tcW w:w="128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240" w:lineRule="auto"/>
              <w:ind w:firstLine="400"/>
              <w:jc w:val="right"/>
              <w:textAlignment w:val="center"/>
              <w:rPr>
                <w:rFonts w:ascii="Arial Narrow" w:hAnsi="Arial Narrow" w:cs="Arial Narrow"/>
                <w:sz w:val="20"/>
                <w:szCs w:val="20"/>
              </w:rPr>
            </w:pPr>
            <w:r>
              <w:rPr>
                <w:rFonts w:ascii="Arial Narrow" w:hAnsi="Arial Narrow" w:cs="Arial Narrow"/>
                <w:sz w:val="20"/>
                <w:szCs w:val="20"/>
              </w:rPr>
              <w:t>96.70%</w:t>
            </w:r>
          </w:p>
        </w:tc>
      </w:tr>
      <w:tr>
        <w:tblPrEx>
          <w:tblCellMar>
            <w:top w:w="0" w:type="dxa"/>
            <w:left w:w="0" w:type="dxa"/>
            <w:bottom w:w="0" w:type="dxa"/>
            <w:right w:w="0" w:type="dxa"/>
          </w:tblCellMar>
        </w:tblPrEx>
        <w:trPr>
          <w:trHeight w:val="825" w:hRule="atLeast"/>
          <w:jc w:val="center"/>
        </w:trPr>
        <w:tc>
          <w:tcPr>
            <w:tcW w:w="105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ascii="Arial Narrow" w:hAnsi="Arial Narrow" w:cs="Arial Narrow"/>
                <w:color w:val="000000"/>
                <w:sz w:val="20"/>
                <w:szCs w:val="20"/>
              </w:rPr>
            </w:pPr>
          </w:p>
        </w:tc>
        <w:tc>
          <w:tcPr>
            <w:tcW w:w="194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ascii="Arial Narrow" w:hAnsi="Arial Narrow" w:cs="Arial Narrow"/>
                <w:sz w:val="20"/>
                <w:szCs w:val="20"/>
              </w:rPr>
            </w:pPr>
            <w:r>
              <w:rPr>
                <w:rFonts w:ascii="Arial Narrow" w:hAnsi="Arial Narrow" w:cs="Arial Narrow"/>
                <w:b/>
                <w:bCs/>
                <w:sz w:val="20"/>
                <w:szCs w:val="20"/>
              </w:rPr>
              <w:t>合计</w:t>
            </w:r>
          </w:p>
        </w:tc>
        <w:tc>
          <w:tcPr>
            <w:tcW w:w="171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ind w:firstLine="0" w:firstLineChars="0"/>
              <w:jc w:val="right"/>
              <w:textAlignment w:val="center"/>
              <w:rPr>
                <w:rFonts w:ascii="Arial Narrow" w:hAnsi="Arial Narrow" w:cs="Arial Narrow"/>
                <w:sz w:val="20"/>
                <w:szCs w:val="20"/>
              </w:rPr>
            </w:pPr>
            <w:r>
              <w:rPr>
                <w:rFonts w:ascii="Arial Narrow" w:hAnsi="Arial Narrow" w:cs="Arial Narrow"/>
                <w:color w:val="000000"/>
                <w:kern w:val="0"/>
                <w:sz w:val="20"/>
                <w:szCs w:val="20"/>
                <w:lang w:bidi="ar"/>
              </w:rPr>
              <w:t>2,550,000.00</w:t>
            </w:r>
          </w:p>
        </w:tc>
        <w:tc>
          <w:tcPr>
            <w:tcW w:w="166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ind w:firstLine="0" w:firstLineChars="0"/>
              <w:jc w:val="right"/>
              <w:textAlignment w:val="center"/>
              <w:rPr>
                <w:rFonts w:ascii="Arial Narrow" w:hAnsi="Arial Narrow" w:cs="Arial Narrow"/>
                <w:sz w:val="20"/>
                <w:szCs w:val="20"/>
              </w:rPr>
            </w:pPr>
            <w:r>
              <w:rPr>
                <w:rFonts w:ascii="Arial Narrow" w:hAnsi="Arial Narrow" w:cs="Arial Narrow"/>
                <w:color w:val="000000"/>
                <w:kern w:val="0"/>
                <w:sz w:val="20"/>
                <w:szCs w:val="20"/>
                <w:lang w:bidi="ar"/>
              </w:rPr>
              <w:t>2,465,832.38</w:t>
            </w:r>
          </w:p>
        </w:tc>
        <w:tc>
          <w:tcPr>
            <w:tcW w:w="128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ind w:firstLine="400"/>
              <w:jc w:val="right"/>
              <w:textAlignment w:val="center"/>
              <w:rPr>
                <w:rFonts w:ascii="Arial Narrow" w:hAnsi="Arial Narrow" w:cs="Arial Narrow"/>
                <w:sz w:val="20"/>
                <w:szCs w:val="20"/>
              </w:rPr>
            </w:pPr>
            <w:r>
              <w:rPr>
                <w:rFonts w:ascii="Arial Narrow" w:hAnsi="Arial Narrow" w:cs="Arial Narrow"/>
                <w:sz w:val="20"/>
                <w:szCs w:val="20"/>
              </w:rPr>
              <w:t>96.70%</w:t>
            </w:r>
          </w:p>
        </w:tc>
      </w:tr>
    </w:tbl>
    <w:p>
      <w:pPr>
        <w:pStyle w:val="4"/>
        <w:spacing w:before="0" w:after="0"/>
        <w:ind w:firstLine="480"/>
        <w:rPr>
          <w:rFonts w:ascii="Arial Narrow" w:hAnsi="Arial Narrow" w:cs="Arial Narrow"/>
          <w:b w:val="0"/>
          <w:bCs w:val="0"/>
          <w:kern w:val="2"/>
          <w:szCs w:val="24"/>
        </w:rPr>
      </w:pPr>
      <w:bookmarkStart w:id="35" w:name="_Toc14385"/>
      <w:bookmarkStart w:id="36" w:name="_Toc2104"/>
      <w:bookmarkStart w:id="37" w:name="_Toc481590357"/>
      <w:r>
        <w:rPr>
          <w:rFonts w:ascii="Arial Narrow" w:hAnsi="Arial Narrow" w:cs="Arial Narrow"/>
          <w:b w:val="0"/>
          <w:bCs w:val="0"/>
          <w:kern w:val="2"/>
          <w:szCs w:val="24"/>
        </w:rPr>
        <w:t>4、项目实施情况</w:t>
      </w:r>
      <w:bookmarkEnd w:id="35"/>
      <w:bookmarkEnd w:id="36"/>
      <w:bookmarkEnd w:id="37"/>
    </w:p>
    <w:p>
      <w:pPr>
        <w:adjustRightInd w:val="0"/>
        <w:ind w:firstLine="480"/>
        <w:rPr>
          <w:rFonts w:ascii="Arial Narrow" w:hAnsi="Arial Narrow" w:cs="Arial Narrow"/>
        </w:rPr>
      </w:pPr>
      <w:r>
        <w:rPr>
          <w:rFonts w:ascii="Arial Narrow" w:hAnsi="Arial Narrow" w:cs="Arial Narrow"/>
        </w:rPr>
        <w:t>（1）项目实施单位：武汉经济技术开发区（汉南区）城乡建设局</w:t>
      </w:r>
    </w:p>
    <w:p>
      <w:pPr>
        <w:adjustRightInd w:val="0"/>
        <w:ind w:firstLine="480"/>
        <w:rPr>
          <w:rFonts w:ascii="Arial Narrow" w:hAnsi="Arial Narrow" w:cs="Arial Narrow"/>
        </w:rPr>
      </w:pPr>
      <w:r>
        <w:rPr>
          <w:rFonts w:ascii="Arial Narrow" w:hAnsi="Arial Narrow" w:cs="Arial Narrow"/>
        </w:rPr>
        <w:t>（2）项目实施周期与地点：2018年1月至2018年12月；武汉经济技术开发区（汉南区）</w:t>
      </w:r>
    </w:p>
    <w:p>
      <w:pPr>
        <w:adjustRightInd w:val="0"/>
        <w:ind w:firstLine="480"/>
        <w:rPr>
          <w:rFonts w:ascii="Arial Narrow" w:hAnsi="Arial Narrow" w:cs="Arial Narrow"/>
        </w:rPr>
      </w:pPr>
      <w:r>
        <w:rPr>
          <w:rFonts w:ascii="Arial Narrow" w:hAnsi="Arial Narrow" w:cs="Arial Narrow"/>
        </w:rPr>
        <w:t>（3）项目主要内容：新型墙体材料专项基金返退项目是审核建筑单位提交的材料，根据建筑用新型墙体材料的等级，向建筑单位返退新型墙体材料专项基金的项目，对于加强节能环保材料的使用有促进作用。</w:t>
      </w:r>
    </w:p>
    <w:p>
      <w:pPr>
        <w:adjustRightInd w:val="0"/>
        <w:ind w:firstLine="480"/>
        <w:rPr>
          <w:rFonts w:ascii="Arial Narrow" w:hAnsi="Arial Narrow" w:cs="Arial Narrow"/>
        </w:rPr>
      </w:pPr>
      <w:r>
        <w:rPr>
          <w:rFonts w:ascii="Arial Narrow" w:hAnsi="Arial Narrow" w:cs="Arial Narrow"/>
        </w:rPr>
        <w:t xml:space="preserve">（4）项目完成概况： </w:t>
      </w:r>
    </w:p>
    <w:bookmarkEnd w:id="33"/>
    <w:p>
      <w:pPr>
        <w:ind w:firstLine="480"/>
        <w:outlineLvl w:val="1"/>
        <w:rPr>
          <w:rFonts w:ascii="Arial Narrow" w:hAnsi="Arial Narrow" w:cs="Arial Narrow"/>
        </w:rPr>
      </w:pPr>
      <w:bookmarkStart w:id="38" w:name="_Toc13258"/>
      <w:bookmarkStart w:id="39" w:name="_Toc17342"/>
      <w:r>
        <w:rPr>
          <w:rFonts w:ascii="Arial Narrow" w:hAnsi="Arial Narrow" w:cs="Arial Narrow"/>
        </w:rPr>
        <w:t>项目单位具有相应的审核手续，同时采取了相应的监控手段对审核手续进行验收检查，2018年共完成2笔基金返退；并发放宣传手册对新墙体材料的节能效果进行宣传，但由于年初没有预算，资金由其他项目调拨而来，基金清退不够及时。</w:t>
      </w:r>
    </w:p>
    <w:p>
      <w:pPr>
        <w:ind w:firstLine="489"/>
        <w:outlineLvl w:val="1"/>
        <w:rPr>
          <w:rFonts w:ascii="Arial Narrow" w:hAnsi="Arial Narrow" w:cs="Arial Narrow"/>
          <w:b/>
          <w:bCs/>
          <w:color w:val="000000"/>
        </w:rPr>
      </w:pPr>
      <w:r>
        <w:rPr>
          <w:rFonts w:ascii="Arial Narrow" w:hAnsi="Arial Narrow" w:cs="Arial Narrow"/>
          <w:b/>
          <w:bCs/>
          <w:color w:val="000000"/>
        </w:rPr>
        <w:t>（二）绩效评价工作情况</w:t>
      </w:r>
      <w:bookmarkEnd w:id="38"/>
      <w:bookmarkEnd w:id="39"/>
    </w:p>
    <w:p>
      <w:pPr>
        <w:pStyle w:val="4"/>
        <w:spacing w:before="0" w:after="0"/>
        <w:ind w:firstLine="480"/>
        <w:rPr>
          <w:rFonts w:ascii="Arial Narrow" w:hAnsi="Arial Narrow" w:cs="Arial Narrow"/>
          <w:b w:val="0"/>
          <w:bCs w:val="0"/>
          <w:kern w:val="2"/>
          <w:szCs w:val="24"/>
        </w:rPr>
      </w:pPr>
      <w:bookmarkStart w:id="40" w:name="_Toc24820"/>
      <w:bookmarkStart w:id="41" w:name="_Toc7652"/>
      <w:r>
        <w:rPr>
          <w:rFonts w:ascii="Arial Narrow" w:hAnsi="Arial Narrow" w:cs="Arial Narrow"/>
          <w:b w:val="0"/>
          <w:bCs w:val="0"/>
          <w:kern w:val="2"/>
          <w:szCs w:val="24"/>
        </w:rPr>
        <w:t>1、绩效评价目的</w:t>
      </w:r>
      <w:bookmarkEnd w:id="40"/>
      <w:bookmarkEnd w:id="41"/>
    </w:p>
    <w:p>
      <w:pPr>
        <w:adjustRightInd w:val="0"/>
        <w:spacing w:before="50" w:after="50"/>
        <w:ind w:firstLine="480"/>
        <w:rPr>
          <w:rFonts w:ascii="Arial Narrow" w:hAnsi="Arial Narrow" w:cs="Arial Narrow"/>
        </w:rPr>
      </w:pPr>
      <w:r>
        <w:rPr>
          <w:rFonts w:ascii="Arial Narrow" w:hAnsi="Arial Narrow" w:cs="Arial Narrow"/>
        </w:rPr>
        <w:t>为深化预算管理改革，进一步加强科研、能力建设项目经费支出的监督，提高财政资金使用效益，根据《中华人民共和国预算法》和《财政支出绩效评价管理暂行办法》等国家有关财务规章制度，结合“新型墙体材料专项基金返退”支出具体情况，根据武汉经济技术开发区（汉南区）城乡建设局的要求进行此绩效评价工作。此外，本次绩效评价还力争实现以下目的：</w:t>
      </w:r>
    </w:p>
    <w:p>
      <w:pPr>
        <w:adjustRightInd w:val="0"/>
        <w:spacing w:before="50" w:after="50"/>
        <w:ind w:firstLine="480"/>
        <w:rPr>
          <w:rFonts w:ascii="Arial Narrow" w:hAnsi="Arial Narrow" w:cs="Arial Narrow"/>
        </w:rPr>
      </w:pPr>
      <w:r>
        <w:rPr>
          <w:rFonts w:ascii="Arial Narrow" w:hAnsi="Arial Narrow" w:cs="Arial Narrow"/>
        </w:rPr>
        <w:t>（1）按照建设安全管理专项经费项目资金管理要求，设计合理的指标体系和评价标准，采取科学、规范的评价方法，采用定性及定量相结合的评价指标，对“新型墙体材料专项基金返退”的投入、过程、产出和效果四个方面进行客观公正地评价。</w:t>
      </w:r>
    </w:p>
    <w:p>
      <w:pPr>
        <w:adjustRightInd w:val="0"/>
        <w:spacing w:before="50" w:after="50"/>
        <w:ind w:firstLine="480"/>
        <w:rPr>
          <w:rFonts w:ascii="Arial Narrow" w:hAnsi="Arial Narrow" w:cs="Arial Narrow"/>
        </w:rPr>
      </w:pPr>
      <w:r>
        <w:rPr>
          <w:rFonts w:ascii="Arial Narrow" w:hAnsi="Arial Narrow" w:cs="Arial Narrow"/>
        </w:rPr>
        <w:t>（2）通过绩效评价为合理分配资金、优化支出提供依据，也为逐步建立预算编制有目标，预算执行有监控，预算完成有评价，评价结果有反馈，反馈结果有应用”的绩效评价机制提供决策依据。</w:t>
      </w:r>
    </w:p>
    <w:p>
      <w:pPr>
        <w:adjustRightInd w:val="0"/>
        <w:spacing w:before="50" w:after="50"/>
        <w:ind w:firstLine="480"/>
        <w:rPr>
          <w:rFonts w:ascii="Arial Narrow" w:hAnsi="Arial Narrow" w:cs="Arial Narrow"/>
        </w:rPr>
      </w:pPr>
      <w:r>
        <w:rPr>
          <w:rFonts w:ascii="Arial Narrow" w:hAnsi="Arial Narrow" w:cs="Arial Narrow"/>
        </w:rPr>
        <w:t>（3）通过绩效评价总结前一年度项目实施的经验教训，为进一步加强“新型墙体材料专项基金返退”管理，提高项目建设水平，发挥资金效益提供重要的参考依据，也为将来的新型墙体材料专项基金返退项目提供借鉴。</w:t>
      </w:r>
    </w:p>
    <w:p>
      <w:pPr>
        <w:pStyle w:val="4"/>
        <w:spacing w:before="0" w:after="0"/>
        <w:ind w:firstLine="480"/>
        <w:rPr>
          <w:rFonts w:ascii="Arial Narrow" w:hAnsi="Arial Narrow" w:cs="Arial Narrow"/>
          <w:b w:val="0"/>
          <w:bCs w:val="0"/>
          <w:kern w:val="2"/>
          <w:szCs w:val="24"/>
        </w:rPr>
      </w:pPr>
      <w:bookmarkStart w:id="42" w:name="_Toc26550"/>
      <w:bookmarkStart w:id="43" w:name="_Toc27502"/>
      <w:r>
        <w:rPr>
          <w:rFonts w:ascii="Arial Narrow" w:hAnsi="Arial Narrow" w:cs="Arial Narrow"/>
          <w:b w:val="0"/>
          <w:bCs w:val="0"/>
          <w:kern w:val="2"/>
          <w:szCs w:val="24"/>
        </w:rPr>
        <w:t>2、绩效评价框架说明</w:t>
      </w:r>
      <w:bookmarkEnd w:id="42"/>
      <w:bookmarkEnd w:id="43"/>
    </w:p>
    <w:p>
      <w:pPr>
        <w:ind w:firstLine="480"/>
        <w:rPr>
          <w:rFonts w:ascii="Arial Narrow" w:hAnsi="Arial Narrow" w:cs="Arial Narrow"/>
          <w:color w:val="000000"/>
        </w:rPr>
      </w:pPr>
      <w:r>
        <w:rPr>
          <w:rFonts w:ascii="Arial Narrow" w:hAnsi="Arial Narrow" w:cs="Arial Narrow"/>
          <w:color w:val="000000"/>
        </w:rPr>
        <w:t>2.1评价原则</w:t>
      </w:r>
    </w:p>
    <w:p>
      <w:pPr>
        <w:ind w:firstLine="489"/>
        <w:rPr>
          <w:rFonts w:ascii="Arial Narrow" w:hAnsi="Arial Narrow" w:cs="Arial Narrow"/>
          <w:color w:val="000000"/>
        </w:rPr>
      </w:pPr>
      <w:r>
        <w:rPr>
          <w:rFonts w:ascii="Arial Narrow" w:hAnsi="Arial Narrow" w:cs="Arial Narrow"/>
          <w:b/>
          <w:bCs/>
        </w:rPr>
        <w:drawing>
          <wp:inline distT="0" distB="0" distL="114300" distR="114300">
            <wp:extent cx="4895215" cy="1419225"/>
            <wp:effectExtent l="0" t="0" r="6985" b="3175"/>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16"/>
                    <a:stretch>
                      <a:fillRect/>
                    </a:stretch>
                  </pic:blipFill>
                  <pic:spPr>
                    <a:xfrm>
                      <a:off x="0" y="0"/>
                      <a:ext cx="4895215" cy="1419225"/>
                    </a:xfrm>
                    <a:prstGeom prst="rect">
                      <a:avLst/>
                    </a:prstGeom>
                    <a:noFill/>
                    <a:ln w="9525">
                      <a:noFill/>
                    </a:ln>
                  </pic:spPr>
                </pic:pic>
              </a:graphicData>
            </a:graphic>
          </wp:inline>
        </w:drawing>
      </w:r>
    </w:p>
    <w:p>
      <w:pPr>
        <w:adjustRightInd w:val="0"/>
        <w:spacing w:before="50" w:after="50"/>
        <w:ind w:firstLine="480"/>
        <w:rPr>
          <w:rFonts w:ascii="Arial Narrow" w:hAnsi="Arial Narrow" w:cs="Arial Narrow"/>
        </w:rPr>
      </w:pPr>
      <w:r>
        <w:rPr>
          <w:rFonts w:ascii="Arial Narrow" w:hAnsi="Arial Narrow" w:cs="Arial Narrow"/>
        </w:rPr>
        <w:t>本次绩效评价，我们遵循科学性原则、公正公开原则、分级分类原则和绩效相关原则。</w:t>
      </w:r>
    </w:p>
    <w:p>
      <w:pPr>
        <w:adjustRightInd w:val="0"/>
        <w:ind w:firstLine="480"/>
        <w:rPr>
          <w:rFonts w:ascii="Arial Narrow" w:hAnsi="Arial Narrow" w:cs="Arial Narrow"/>
        </w:rPr>
      </w:pPr>
      <w:r>
        <w:rPr>
          <w:rFonts w:ascii="Arial Narrow" w:hAnsi="Arial Narrow" w:cs="Arial Narrow"/>
        </w:rPr>
        <w:t>（1）科学规范原则。绩效评价注重财政支出的经济性、效率性和有效性，严格执行规定的程序，采用定量与定性分析相结合的方法。同时在反应项目产出、项目效果等方面的末级明细指标细化、量化程度高，如审核手续齐全性、现场核验完成率等。</w:t>
      </w:r>
    </w:p>
    <w:p>
      <w:pPr>
        <w:adjustRightInd w:val="0"/>
        <w:ind w:firstLine="480"/>
        <w:rPr>
          <w:rFonts w:ascii="Arial Narrow" w:hAnsi="Arial Narrow" w:cs="Arial Narrow"/>
        </w:rPr>
      </w:pPr>
      <w:r>
        <w:rPr>
          <w:rFonts w:ascii="Arial Narrow" w:hAnsi="Arial Narrow" w:cs="Arial Narrow"/>
        </w:rPr>
        <w:t>（2）公正公开原则。绩效评价应当客观、公正、标准统一、资料可靠、依法公开并接受监督。</w:t>
      </w:r>
    </w:p>
    <w:p>
      <w:pPr>
        <w:adjustRightInd w:val="0"/>
        <w:ind w:firstLine="480"/>
        <w:rPr>
          <w:rFonts w:ascii="Arial Narrow" w:hAnsi="Arial Narrow" w:cs="Arial Narrow"/>
        </w:rPr>
      </w:pPr>
      <w:r>
        <w:rPr>
          <w:rFonts w:ascii="Arial Narrow" w:hAnsi="Arial Narrow" w:cs="Arial Narrow"/>
        </w:rPr>
        <w:t>（3）分级分类原则。绩效评价根据评价对象的特点分类组织实施。</w:t>
      </w:r>
    </w:p>
    <w:p>
      <w:pPr>
        <w:adjustRightInd w:val="0"/>
        <w:ind w:firstLine="480"/>
        <w:rPr>
          <w:rFonts w:ascii="Arial Narrow" w:hAnsi="Arial Narrow" w:cs="Arial Narrow"/>
        </w:rPr>
      </w:pPr>
      <w:r>
        <w:rPr>
          <w:rFonts w:ascii="Arial Narrow" w:hAnsi="Arial Narrow" w:cs="Arial Narrow"/>
        </w:rPr>
        <w:t>（4）绩效相关原则。绩效评价应当针对具体支出及其产出绩效进行，评价结构应清晰反映支出和产出绩效之间的紧密对应关系。如墙体材料专项基金退付时间、基金退付投诉次数等，均为能够反映项目目标实现程度的绩效指标。</w:t>
      </w:r>
    </w:p>
    <w:p>
      <w:pPr>
        <w:adjustRightInd w:val="0"/>
        <w:spacing w:before="50" w:after="50"/>
        <w:ind w:firstLine="480"/>
        <w:rPr>
          <w:rFonts w:ascii="Arial Narrow" w:hAnsi="Arial Narrow" w:cs="Arial Narrow"/>
        </w:rPr>
      </w:pPr>
      <w:r>
        <w:rPr>
          <w:rFonts w:ascii="Arial Narrow" w:hAnsi="Arial Narrow" w:cs="Arial Narrow"/>
        </w:rPr>
        <w:t>2.2绩效评价指标体系</w:t>
      </w:r>
    </w:p>
    <w:p>
      <w:pPr>
        <w:adjustRightInd w:val="0"/>
        <w:ind w:firstLine="480"/>
        <w:rPr>
          <w:rFonts w:ascii="Arial Narrow" w:hAnsi="Arial Narrow" w:cs="Arial Narrow"/>
        </w:rPr>
      </w:pPr>
      <w:r>
        <w:rPr>
          <w:rFonts w:ascii="Arial Narrow" w:hAnsi="Arial Narrow" w:cs="Arial Narrow"/>
        </w:rPr>
        <w:t>评价指标体系是开展绩效评价工作的核心。评价小组依据《武汉经济技术开发区（汉南区）财政局关于印发2018年预算绩效评价工作方案的通知》文件，结合建设安全管理专项经费的特点，运用定量定性原则，确定了绩效评价一级指标、二级指标和三级指标。</w:t>
      </w:r>
    </w:p>
    <w:p>
      <w:pPr>
        <w:adjustRightInd w:val="0"/>
        <w:ind w:firstLine="480"/>
        <w:rPr>
          <w:rFonts w:ascii="Arial Narrow" w:hAnsi="Arial Narrow" w:cs="Arial Narrow"/>
        </w:rPr>
      </w:pPr>
      <w:r>
        <w:rPr>
          <w:rFonts w:ascii="Arial Narrow" w:hAnsi="Arial Narrow" w:cs="Arial Narrow"/>
        </w:rPr>
        <w:t>绩效评价指标体系包括投入、过程、产出、效果四个方面。</w:t>
      </w:r>
    </w:p>
    <w:p>
      <w:pPr>
        <w:adjustRightInd w:val="0"/>
        <w:ind w:firstLine="480"/>
        <w:rPr>
          <w:rFonts w:ascii="Arial Narrow" w:hAnsi="Arial Narrow" w:cs="Arial Narrow"/>
        </w:rPr>
      </w:pPr>
      <w:r>
        <w:rPr>
          <w:rFonts w:ascii="Arial Narrow" w:hAnsi="Arial Narrow" w:cs="Arial Narrow"/>
        </w:rPr>
        <w:t>“投入”权重16分，下设二级指标“项目立项”、“资金落实”，主要评价项目立项规范性、绩效目标合理性、资金到位率、到位及时率，下设4个三级指标具体评价；</w:t>
      </w:r>
    </w:p>
    <w:p>
      <w:pPr>
        <w:adjustRightInd w:val="0"/>
        <w:ind w:firstLine="480"/>
        <w:rPr>
          <w:rFonts w:ascii="Arial Narrow" w:hAnsi="Arial Narrow" w:cs="Arial Narrow"/>
        </w:rPr>
      </w:pPr>
      <w:r>
        <w:rPr>
          <w:rFonts w:ascii="Arial Narrow" w:hAnsi="Arial Narrow" w:cs="Arial Narrow"/>
        </w:rPr>
        <w:t>“过程”权重24分，下设二级指标“项目管理”和“财务管理”，主要评价项目管理制度的执行、资金使用情况和项目具体实施情况，下设6个三级指标具体评价；</w:t>
      </w:r>
    </w:p>
    <w:p>
      <w:pPr>
        <w:adjustRightInd w:val="0"/>
        <w:ind w:firstLine="480"/>
        <w:rPr>
          <w:rFonts w:ascii="Arial Narrow" w:hAnsi="Arial Narrow" w:cs="Arial Narrow"/>
        </w:rPr>
      </w:pPr>
      <w:r>
        <w:rPr>
          <w:rFonts w:ascii="Arial Narrow" w:hAnsi="Arial Narrow" w:cs="Arial Narrow"/>
        </w:rPr>
        <w:t>“产出”权重28分，下设二级指标“项目产出”，主要评价项目各项数量产出、质量产出、时效的实现程度以及资金使用率，下设6个三级指标具体评价；</w:t>
      </w:r>
    </w:p>
    <w:p>
      <w:pPr>
        <w:adjustRightInd w:val="0"/>
        <w:ind w:firstLine="480"/>
        <w:rPr>
          <w:rFonts w:ascii="Arial Narrow" w:hAnsi="Arial Narrow" w:cs="Arial Narrow"/>
        </w:rPr>
      </w:pPr>
      <w:r>
        <w:rPr>
          <w:rFonts w:ascii="Arial Narrow" w:hAnsi="Arial Narrow" w:cs="Arial Narrow"/>
        </w:rPr>
        <w:t>“效果”权重32分，下设二级指标“项目效益”，主要评价项目实施后的社会效益、可持续影响、社会公众或服务对象满意度，下设6个三级指标具体评价。</w:t>
      </w:r>
    </w:p>
    <w:p>
      <w:pPr>
        <w:adjustRightInd w:val="0"/>
        <w:ind w:firstLine="480"/>
        <w:rPr>
          <w:rFonts w:ascii="Arial Narrow" w:hAnsi="Arial Narrow" w:cs="Arial Narrow"/>
        </w:rPr>
      </w:pPr>
      <w:r>
        <w:rPr>
          <w:rFonts w:ascii="Arial Narrow" w:hAnsi="Arial Narrow" w:cs="Arial Narrow"/>
        </w:rPr>
        <w:t>具体指标的分布情况、权重、指标解释、指标说明如下表所示：</w:t>
      </w:r>
    </w:p>
    <w:p>
      <w:pPr>
        <w:adjustRightInd w:val="0"/>
        <w:ind w:firstLine="480"/>
        <w:rPr>
          <w:rFonts w:ascii="Arial Narrow" w:hAnsi="Arial Narrow" w:cs="Arial Narrow"/>
        </w:rPr>
      </w:pPr>
    </w:p>
    <w:p>
      <w:pPr>
        <w:adjustRightInd w:val="0"/>
        <w:ind w:firstLine="480"/>
        <w:rPr>
          <w:rFonts w:ascii="Arial Narrow" w:hAnsi="Arial Narrow" w:cs="Arial Narrow"/>
        </w:rPr>
      </w:pPr>
    </w:p>
    <w:tbl>
      <w:tblPr>
        <w:tblStyle w:val="11"/>
        <w:tblW w:w="7960" w:type="dxa"/>
        <w:tblInd w:w="0" w:type="dxa"/>
        <w:tblLayout w:type="fixed"/>
        <w:tblCellMar>
          <w:top w:w="0" w:type="dxa"/>
          <w:left w:w="0" w:type="dxa"/>
          <w:bottom w:w="0" w:type="dxa"/>
          <w:right w:w="0" w:type="dxa"/>
        </w:tblCellMar>
      </w:tblPr>
      <w:tblGrid>
        <w:gridCol w:w="866"/>
        <w:gridCol w:w="1412"/>
        <w:gridCol w:w="2545"/>
        <w:gridCol w:w="3137"/>
      </w:tblGrid>
      <w:tr>
        <w:tblPrEx>
          <w:tblCellMar>
            <w:top w:w="0" w:type="dxa"/>
            <w:left w:w="0" w:type="dxa"/>
            <w:bottom w:w="0" w:type="dxa"/>
            <w:right w:w="0" w:type="dxa"/>
          </w:tblCellMar>
        </w:tblPrEx>
        <w:trPr>
          <w:trHeight w:val="737" w:hRule="atLeast"/>
          <w:tblHeader/>
        </w:trPr>
        <w:tc>
          <w:tcPr>
            <w:tcW w:w="227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ind w:firstLine="0" w:firstLineChars="0"/>
              <w:jc w:val="center"/>
              <w:textAlignment w:val="center"/>
              <w:rPr>
                <w:rFonts w:ascii="Arial Narrow" w:hAnsi="Arial Narrow" w:cs="Arial Narrow"/>
                <w:b/>
                <w:bCs/>
                <w:color w:val="000000"/>
                <w:sz w:val="20"/>
                <w:szCs w:val="20"/>
              </w:rPr>
            </w:pPr>
            <w:r>
              <w:rPr>
                <w:rFonts w:ascii="Arial Narrow" w:hAnsi="Arial Narrow" w:cs="Arial Narrow"/>
                <w:b/>
                <w:bCs/>
                <w:color w:val="000000"/>
                <w:kern w:val="0"/>
                <w:sz w:val="20"/>
                <w:szCs w:val="20"/>
                <w:lang w:bidi="ar"/>
              </w:rPr>
              <w:t>指标（权重）</w:t>
            </w:r>
          </w:p>
        </w:tc>
        <w:tc>
          <w:tcPr>
            <w:tcW w:w="25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uto"/>
              <w:ind w:firstLine="408"/>
              <w:jc w:val="center"/>
              <w:textAlignment w:val="center"/>
              <w:rPr>
                <w:rFonts w:ascii="Arial Narrow" w:hAnsi="Arial Narrow" w:cs="Arial Narrow"/>
                <w:b/>
                <w:bCs/>
                <w:color w:val="000000"/>
                <w:sz w:val="20"/>
                <w:szCs w:val="20"/>
              </w:rPr>
            </w:pPr>
            <w:r>
              <w:rPr>
                <w:rFonts w:ascii="Arial Narrow" w:hAnsi="Arial Narrow" w:cs="Arial Narrow"/>
                <w:b/>
                <w:bCs/>
                <w:color w:val="000000"/>
                <w:kern w:val="0"/>
                <w:sz w:val="20"/>
                <w:szCs w:val="20"/>
                <w:lang w:bidi="ar"/>
              </w:rPr>
              <w:t>指标解释</w:t>
            </w:r>
          </w:p>
        </w:tc>
        <w:tc>
          <w:tcPr>
            <w:tcW w:w="313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uto"/>
              <w:ind w:firstLine="408"/>
              <w:jc w:val="center"/>
              <w:textAlignment w:val="center"/>
              <w:rPr>
                <w:rFonts w:ascii="Arial Narrow" w:hAnsi="Arial Narrow" w:cs="Arial Narrow"/>
                <w:b/>
                <w:bCs/>
                <w:color w:val="000000"/>
                <w:sz w:val="20"/>
                <w:szCs w:val="20"/>
              </w:rPr>
            </w:pPr>
            <w:r>
              <w:rPr>
                <w:rFonts w:ascii="Arial Narrow" w:hAnsi="Arial Narrow" w:cs="Arial Narrow"/>
                <w:b/>
                <w:bCs/>
                <w:color w:val="000000"/>
                <w:kern w:val="0"/>
                <w:sz w:val="20"/>
                <w:szCs w:val="20"/>
                <w:lang w:bidi="ar"/>
              </w:rPr>
              <w:t>指标说明</w:t>
            </w:r>
          </w:p>
        </w:tc>
      </w:tr>
      <w:tr>
        <w:tblPrEx>
          <w:tblCellMar>
            <w:top w:w="0" w:type="dxa"/>
            <w:left w:w="0" w:type="dxa"/>
            <w:bottom w:w="0" w:type="dxa"/>
            <w:right w:w="0" w:type="dxa"/>
          </w:tblCellMar>
        </w:tblPrEx>
        <w:trPr>
          <w:trHeight w:val="2876" w:hRule="atLeast"/>
        </w:trPr>
        <w:tc>
          <w:tcPr>
            <w:tcW w:w="86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项目立项</w:t>
            </w:r>
          </w:p>
        </w:tc>
        <w:tc>
          <w:tcPr>
            <w:tcW w:w="1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项目立项规范性（4）</w:t>
            </w:r>
          </w:p>
        </w:tc>
        <w:tc>
          <w:tcPr>
            <w:tcW w:w="2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项目的申请、设立过程是否符合相关要求，用以反映和考核项目立项的规范情况。</w:t>
            </w:r>
          </w:p>
        </w:tc>
        <w:tc>
          <w:tcPr>
            <w:tcW w:w="31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hint="eastAsia" w:ascii="Arial Narrow" w:hAnsi="Arial Narrow" w:eastAsia="仿宋_GB2312" w:cs="Arial Narrow"/>
                <w:color w:val="000000"/>
                <w:kern w:val="0"/>
                <w:sz w:val="20"/>
                <w:szCs w:val="20"/>
                <w:lang w:eastAsia="zh-CN" w:bidi="ar"/>
              </w:rPr>
            </w:pPr>
            <w:r>
              <w:rPr>
                <w:rFonts w:ascii="Arial Narrow" w:hAnsi="Arial Narrow" w:cs="Arial Narrow"/>
                <w:color w:val="000000"/>
                <w:kern w:val="0"/>
                <w:sz w:val="20"/>
                <w:szCs w:val="20"/>
                <w:lang w:bidi="ar"/>
              </w:rPr>
              <w:t>评价要点：</w:t>
            </w:r>
          </w:p>
          <w:p>
            <w:pPr>
              <w:widowControl/>
              <w:spacing w:line="240" w:lineRule="auto"/>
              <w:ind w:firstLine="0" w:firstLineChars="0"/>
              <w:jc w:val="left"/>
              <w:textAlignment w:val="center"/>
              <w:rPr>
                <w:rFonts w:hint="eastAsia" w:ascii="Arial Narrow" w:hAnsi="Arial Narrow" w:eastAsia="仿宋_GB2312" w:cs="Arial Narrow"/>
                <w:color w:val="000000"/>
                <w:kern w:val="0"/>
                <w:sz w:val="20"/>
                <w:szCs w:val="20"/>
                <w:lang w:eastAsia="zh-CN" w:bidi="ar"/>
              </w:rPr>
            </w:pPr>
            <w:r>
              <w:rPr>
                <w:rFonts w:ascii="Arial Narrow" w:hAnsi="Arial Narrow" w:cs="Arial Narrow"/>
                <w:color w:val="000000"/>
                <w:kern w:val="0"/>
                <w:sz w:val="20"/>
                <w:szCs w:val="20"/>
                <w:lang w:bidi="ar"/>
              </w:rPr>
              <w:t>①项目是否有规划，项目是否按照规定的程序申请设立；</w:t>
            </w:r>
          </w:p>
          <w:p>
            <w:pPr>
              <w:widowControl/>
              <w:spacing w:line="240" w:lineRule="auto"/>
              <w:ind w:firstLine="0" w:firstLineChars="0"/>
              <w:jc w:val="left"/>
              <w:textAlignment w:val="center"/>
              <w:rPr>
                <w:rFonts w:hint="eastAsia" w:ascii="Arial Narrow" w:hAnsi="Arial Narrow" w:eastAsia="仿宋_GB2312" w:cs="Arial Narrow"/>
                <w:color w:val="000000"/>
                <w:kern w:val="0"/>
                <w:sz w:val="20"/>
                <w:szCs w:val="20"/>
                <w:lang w:eastAsia="zh-CN" w:bidi="ar"/>
              </w:rPr>
            </w:pPr>
            <w:r>
              <w:rPr>
                <w:rFonts w:ascii="Arial Narrow" w:hAnsi="Arial Narrow" w:cs="Arial Narrow"/>
                <w:color w:val="000000"/>
                <w:kern w:val="0"/>
                <w:sz w:val="20"/>
                <w:szCs w:val="20"/>
                <w:lang w:bidi="ar"/>
              </w:rPr>
              <w:t>②是否按管理办法和分配办法分配资金。</w:t>
            </w:r>
          </w:p>
          <w:p>
            <w:pPr>
              <w:widowControl/>
              <w:spacing w:line="240" w:lineRule="auto"/>
              <w:ind w:firstLine="0" w:firstLineChars="0"/>
              <w:jc w:val="left"/>
              <w:textAlignment w:val="center"/>
              <w:rPr>
                <w:rFonts w:hint="eastAsia" w:ascii="Arial Narrow" w:hAnsi="Arial Narrow" w:eastAsia="仿宋_GB2312" w:cs="Arial Narrow"/>
                <w:color w:val="000000"/>
                <w:kern w:val="0"/>
                <w:sz w:val="20"/>
                <w:szCs w:val="20"/>
                <w:lang w:eastAsia="zh-CN" w:bidi="ar"/>
              </w:rPr>
            </w:pPr>
            <w:r>
              <w:rPr>
                <w:rFonts w:ascii="Arial Narrow" w:hAnsi="Arial Narrow" w:cs="Arial Narrow"/>
                <w:color w:val="000000"/>
                <w:kern w:val="0"/>
                <w:sz w:val="20"/>
                <w:szCs w:val="20"/>
                <w:lang w:bidi="ar"/>
              </w:rPr>
              <w:t>③所提交的文件、材料是否符合相关要求；</w:t>
            </w:r>
          </w:p>
          <w:p>
            <w:pPr>
              <w:widowControl/>
              <w:spacing w:line="240" w:lineRule="auto"/>
              <w:ind w:firstLine="0" w:firstLineChars="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④项目执行时是否发生重大调整。</w:t>
            </w:r>
          </w:p>
        </w:tc>
      </w:tr>
      <w:tr>
        <w:tblPrEx>
          <w:tblCellMar>
            <w:top w:w="0" w:type="dxa"/>
            <w:left w:w="0" w:type="dxa"/>
            <w:bottom w:w="0" w:type="dxa"/>
            <w:right w:w="0" w:type="dxa"/>
          </w:tblCellMar>
        </w:tblPrEx>
        <w:trPr>
          <w:trHeight w:val="3026" w:hRule="atLeast"/>
        </w:trPr>
        <w:tc>
          <w:tcPr>
            <w:tcW w:w="86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ind w:firstLine="400"/>
              <w:jc w:val="left"/>
              <w:rPr>
                <w:rFonts w:ascii="Arial Narrow" w:hAnsi="Arial Narrow" w:cs="Arial Narrow"/>
                <w:color w:val="000000"/>
                <w:sz w:val="20"/>
                <w:szCs w:val="20"/>
              </w:rPr>
            </w:pPr>
          </w:p>
        </w:tc>
        <w:tc>
          <w:tcPr>
            <w:tcW w:w="1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绩效目标合理性（4）</w:t>
            </w:r>
          </w:p>
          <w:p>
            <w:pPr>
              <w:widowControl/>
              <w:spacing w:line="240" w:lineRule="auto"/>
              <w:ind w:firstLine="0" w:firstLineChars="0"/>
              <w:jc w:val="center"/>
              <w:textAlignment w:val="center"/>
              <w:rPr>
                <w:rFonts w:ascii="Arial Narrow" w:hAnsi="Arial Narrow" w:cs="Arial Narrow"/>
                <w:color w:val="000000"/>
                <w:sz w:val="20"/>
                <w:szCs w:val="20"/>
              </w:rPr>
            </w:pPr>
          </w:p>
        </w:tc>
        <w:tc>
          <w:tcPr>
            <w:tcW w:w="2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项目是否设定绩效目标和绩效指标，所设定的绩效目标和指标是否符合实际，用以反映和考核项目绩效目标与项目实施的相符情况。</w:t>
            </w:r>
          </w:p>
        </w:tc>
        <w:tc>
          <w:tcPr>
            <w:tcW w:w="31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hint="eastAsia" w:ascii="Arial Narrow" w:hAnsi="Arial Narrow" w:eastAsia="仿宋_GB2312" w:cs="Arial Narrow"/>
                <w:color w:val="000000"/>
                <w:kern w:val="0"/>
                <w:sz w:val="20"/>
                <w:szCs w:val="20"/>
                <w:lang w:eastAsia="zh-CN" w:bidi="ar"/>
              </w:rPr>
            </w:pPr>
            <w:r>
              <w:rPr>
                <w:rFonts w:ascii="Arial Narrow" w:hAnsi="Arial Narrow" w:cs="Arial Narrow"/>
                <w:color w:val="000000"/>
                <w:kern w:val="0"/>
                <w:sz w:val="20"/>
                <w:szCs w:val="20"/>
                <w:lang w:bidi="ar"/>
              </w:rPr>
              <w:t>评价要点：</w:t>
            </w:r>
          </w:p>
          <w:p>
            <w:pPr>
              <w:widowControl/>
              <w:spacing w:line="240" w:lineRule="auto"/>
              <w:ind w:firstLine="0" w:firstLineChars="0"/>
              <w:jc w:val="left"/>
              <w:textAlignment w:val="center"/>
              <w:rPr>
                <w:rFonts w:hint="eastAsia" w:ascii="Arial Narrow" w:hAnsi="Arial Narrow" w:eastAsia="仿宋_GB2312" w:cs="Arial Narrow"/>
                <w:color w:val="000000"/>
                <w:kern w:val="0"/>
                <w:sz w:val="20"/>
                <w:szCs w:val="20"/>
                <w:lang w:eastAsia="zh-CN" w:bidi="ar"/>
              </w:rPr>
            </w:pPr>
            <w:r>
              <w:rPr>
                <w:rFonts w:ascii="Arial Narrow" w:hAnsi="Arial Narrow" w:cs="Arial Narrow"/>
                <w:color w:val="000000"/>
                <w:kern w:val="0"/>
                <w:sz w:val="20"/>
                <w:szCs w:val="20"/>
                <w:lang w:bidi="ar"/>
              </w:rPr>
              <w:t>①是否设定长期目标、年度目标和绩效指标；</w:t>
            </w:r>
          </w:p>
          <w:p>
            <w:pPr>
              <w:widowControl/>
              <w:spacing w:line="240" w:lineRule="auto"/>
              <w:ind w:firstLine="0" w:firstLineChars="0"/>
              <w:jc w:val="left"/>
              <w:textAlignment w:val="center"/>
              <w:rPr>
                <w:rFonts w:hint="eastAsia" w:ascii="Arial Narrow" w:hAnsi="Arial Narrow" w:eastAsia="仿宋_GB2312" w:cs="Arial Narrow"/>
                <w:color w:val="000000"/>
                <w:kern w:val="0"/>
                <w:sz w:val="20"/>
                <w:szCs w:val="20"/>
                <w:lang w:eastAsia="zh-CN" w:bidi="ar"/>
              </w:rPr>
            </w:pPr>
            <w:r>
              <w:rPr>
                <w:rFonts w:ascii="Arial Narrow" w:hAnsi="Arial Narrow" w:cs="Arial Narrow"/>
                <w:color w:val="000000"/>
                <w:kern w:val="0"/>
                <w:sz w:val="20"/>
                <w:szCs w:val="20"/>
                <w:lang w:bidi="ar"/>
              </w:rPr>
              <w:t>②目标和指标的设计是否符合目标管理规范；</w:t>
            </w:r>
          </w:p>
          <w:p>
            <w:pPr>
              <w:widowControl/>
              <w:spacing w:line="240" w:lineRule="auto"/>
              <w:ind w:firstLine="0" w:firstLineChars="0"/>
              <w:jc w:val="left"/>
              <w:textAlignment w:val="center"/>
              <w:rPr>
                <w:rFonts w:hint="eastAsia" w:ascii="Arial Narrow" w:hAnsi="Arial Narrow" w:eastAsia="仿宋_GB2312" w:cs="Arial Narrow"/>
                <w:color w:val="000000"/>
                <w:kern w:val="0"/>
                <w:sz w:val="20"/>
                <w:szCs w:val="20"/>
                <w:lang w:eastAsia="zh-CN" w:bidi="ar"/>
              </w:rPr>
            </w:pPr>
            <w:r>
              <w:rPr>
                <w:rFonts w:ascii="Arial Narrow" w:hAnsi="Arial Narrow" w:cs="Arial Narrow"/>
                <w:color w:val="000000"/>
                <w:kern w:val="0"/>
                <w:sz w:val="20"/>
                <w:szCs w:val="20"/>
                <w:lang w:bidi="ar"/>
              </w:rPr>
              <w:t>③根据绩效目标和完成情况的对比考核目标设立的合理性；</w:t>
            </w:r>
          </w:p>
          <w:p>
            <w:pPr>
              <w:widowControl/>
              <w:spacing w:line="240" w:lineRule="auto"/>
              <w:ind w:firstLine="0" w:firstLineChars="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④绩效指标是否具有可测性。</w:t>
            </w:r>
          </w:p>
        </w:tc>
      </w:tr>
      <w:tr>
        <w:tblPrEx>
          <w:tblCellMar>
            <w:top w:w="0" w:type="dxa"/>
            <w:left w:w="0" w:type="dxa"/>
            <w:bottom w:w="0" w:type="dxa"/>
            <w:right w:w="0" w:type="dxa"/>
          </w:tblCellMar>
        </w:tblPrEx>
        <w:trPr>
          <w:trHeight w:val="2912" w:hRule="atLeast"/>
        </w:trPr>
        <w:tc>
          <w:tcPr>
            <w:tcW w:w="86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资金落实</w:t>
            </w:r>
          </w:p>
        </w:tc>
        <w:tc>
          <w:tcPr>
            <w:tcW w:w="1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资金到位率（4）</w:t>
            </w:r>
          </w:p>
        </w:tc>
        <w:tc>
          <w:tcPr>
            <w:tcW w:w="2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实际到位资金与计划投入资金的比率，用以反映和考核资金落实情况对项目实施的总体保障程度。</w:t>
            </w:r>
          </w:p>
        </w:tc>
        <w:tc>
          <w:tcPr>
            <w:tcW w:w="31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评价要点：</w:t>
            </w:r>
          </w:p>
          <w:p>
            <w:pPr>
              <w:widowControl/>
              <w:spacing w:line="240" w:lineRule="auto"/>
              <w:ind w:firstLine="0" w:firstLineChars="0"/>
              <w:jc w:val="left"/>
              <w:textAlignment w:val="center"/>
              <w:rPr>
                <w:rFonts w:hint="eastAsia" w:ascii="Arial Narrow" w:hAnsi="Arial Narrow" w:eastAsia="仿宋_GB2312" w:cs="Arial Narrow"/>
                <w:color w:val="000000"/>
                <w:kern w:val="0"/>
                <w:sz w:val="20"/>
                <w:szCs w:val="20"/>
                <w:lang w:eastAsia="zh-CN" w:bidi="ar"/>
              </w:rPr>
            </w:pPr>
            <w:r>
              <w:rPr>
                <w:rFonts w:ascii="Arial Narrow" w:hAnsi="Arial Narrow" w:cs="Arial Narrow"/>
                <w:color w:val="000000"/>
                <w:kern w:val="0"/>
                <w:sz w:val="20"/>
                <w:szCs w:val="20"/>
                <w:lang w:bidi="ar"/>
              </w:rPr>
              <w:t>资金到位率=（实际到位资金/计划投入资金）×100%。</w:t>
            </w:r>
          </w:p>
          <w:p>
            <w:pPr>
              <w:widowControl/>
              <w:spacing w:line="240" w:lineRule="auto"/>
              <w:ind w:firstLine="0" w:firstLineChars="0"/>
              <w:jc w:val="left"/>
              <w:textAlignment w:val="center"/>
              <w:rPr>
                <w:rFonts w:hint="eastAsia" w:ascii="Arial Narrow" w:hAnsi="Arial Narrow" w:eastAsia="仿宋_GB2312" w:cs="Arial Narrow"/>
                <w:color w:val="000000"/>
                <w:kern w:val="0"/>
                <w:sz w:val="20"/>
                <w:szCs w:val="20"/>
                <w:lang w:eastAsia="zh-CN" w:bidi="ar"/>
              </w:rPr>
            </w:pPr>
            <w:r>
              <w:rPr>
                <w:rFonts w:ascii="Arial Narrow" w:hAnsi="Arial Narrow" w:cs="Arial Narrow"/>
                <w:color w:val="000000"/>
                <w:kern w:val="0"/>
                <w:sz w:val="20"/>
                <w:szCs w:val="20"/>
                <w:lang w:bidi="ar"/>
              </w:rPr>
              <w:t>实际到位资金：一定时期（本年度或项目期）内实际落实到具体项目的资金。</w:t>
            </w:r>
          </w:p>
          <w:p>
            <w:pPr>
              <w:widowControl/>
              <w:spacing w:line="240" w:lineRule="auto"/>
              <w:ind w:firstLine="0" w:firstLineChars="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计划投入资金：一定时期（本年度或项目期）内计划投入到具体项目的资金。</w:t>
            </w:r>
          </w:p>
        </w:tc>
      </w:tr>
      <w:tr>
        <w:tblPrEx>
          <w:tblCellMar>
            <w:top w:w="0" w:type="dxa"/>
            <w:left w:w="0" w:type="dxa"/>
            <w:bottom w:w="0" w:type="dxa"/>
            <w:right w:w="0" w:type="dxa"/>
          </w:tblCellMar>
        </w:tblPrEx>
        <w:trPr>
          <w:trHeight w:val="2696" w:hRule="atLeast"/>
        </w:trPr>
        <w:tc>
          <w:tcPr>
            <w:tcW w:w="86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ind w:firstLine="400"/>
              <w:jc w:val="left"/>
              <w:rPr>
                <w:rFonts w:ascii="Arial Narrow" w:hAnsi="Arial Narrow" w:cs="Arial Narrow"/>
                <w:color w:val="000000"/>
                <w:sz w:val="20"/>
                <w:szCs w:val="20"/>
              </w:rPr>
            </w:pPr>
          </w:p>
        </w:tc>
        <w:tc>
          <w:tcPr>
            <w:tcW w:w="1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到位及时率（4）</w:t>
            </w:r>
          </w:p>
        </w:tc>
        <w:tc>
          <w:tcPr>
            <w:tcW w:w="2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及时到位资金与应到位资金的比率，用以反映和考核项目资金落实的及时性程度。</w:t>
            </w:r>
          </w:p>
        </w:tc>
        <w:tc>
          <w:tcPr>
            <w:tcW w:w="31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评价要点：</w:t>
            </w:r>
          </w:p>
          <w:p>
            <w:pPr>
              <w:widowControl/>
              <w:spacing w:line="240" w:lineRule="auto"/>
              <w:ind w:firstLine="0" w:firstLineChars="0"/>
              <w:jc w:val="left"/>
              <w:textAlignment w:val="center"/>
              <w:rPr>
                <w:rFonts w:hint="eastAsia" w:ascii="Arial Narrow" w:hAnsi="Arial Narrow" w:eastAsia="仿宋_GB2312" w:cs="Arial Narrow"/>
                <w:color w:val="000000"/>
                <w:kern w:val="0"/>
                <w:sz w:val="20"/>
                <w:szCs w:val="20"/>
                <w:lang w:eastAsia="zh-CN" w:bidi="ar"/>
              </w:rPr>
            </w:pPr>
            <w:r>
              <w:rPr>
                <w:rFonts w:ascii="Arial Narrow" w:hAnsi="Arial Narrow" w:cs="Arial Narrow"/>
                <w:color w:val="000000"/>
                <w:kern w:val="0"/>
                <w:sz w:val="20"/>
                <w:szCs w:val="20"/>
                <w:lang w:bidi="ar"/>
              </w:rPr>
              <w:t>到位及时率=（及时到位资金/应到位资金）×100%。</w:t>
            </w:r>
          </w:p>
          <w:p>
            <w:pPr>
              <w:widowControl/>
              <w:spacing w:line="240" w:lineRule="auto"/>
              <w:ind w:firstLine="0" w:firstLineChars="0"/>
              <w:jc w:val="left"/>
              <w:textAlignment w:val="center"/>
              <w:rPr>
                <w:rFonts w:hint="eastAsia" w:ascii="Arial Narrow" w:hAnsi="Arial Narrow" w:eastAsia="仿宋_GB2312" w:cs="Arial Narrow"/>
                <w:color w:val="000000"/>
                <w:kern w:val="0"/>
                <w:sz w:val="20"/>
                <w:szCs w:val="20"/>
                <w:lang w:eastAsia="zh-CN" w:bidi="ar"/>
              </w:rPr>
            </w:pPr>
            <w:r>
              <w:rPr>
                <w:rFonts w:ascii="Arial Narrow" w:hAnsi="Arial Narrow" w:cs="Arial Narrow"/>
                <w:color w:val="000000"/>
                <w:kern w:val="0"/>
                <w:sz w:val="20"/>
                <w:szCs w:val="20"/>
                <w:lang w:bidi="ar"/>
              </w:rPr>
              <w:t>及时到位资金：截至规定时点实际落实到具体项目的资金。</w:t>
            </w:r>
          </w:p>
          <w:p>
            <w:pPr>
              <w:widowControl/>
              <w:spacing w:line="240" w:lineRule="auto"/>
              <w:ind w:firstLine="0" w:firstLineChars="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应到位资金：按照合同或项目进度要求截至规定时点应落实到具体项目的资金。</w:t>
            </w:r>
          </w:p>
        </w:tc>
      </w:tr>
      <w:tr>
        <w:tblPrEx>
          <w:tblCellMar>
            <w:top w:w="0" w:type="dxa"/>
            <w:left w:w="0" w:type="dxa"/>
            <w:bottom w:w="0" w:type="dxa"/>
            <w:right w:w="0" w:type="dxa"/>
          </w:tblCellMar>
        </w:tblPrEx>
        <w:trPr>
          <w:trHeight w:val="90" w:hRule="atLeast"/>
        </w:trPr>
        <w:tc>
          <w:tcPr>
            <w:tcW w:w="86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项目管理</w:t>
            </w:r>
          </w:p>
        </w:tc>
        <w:tc>
          <w:tcPr>
            <w:tcW w:w="1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管理制度健全性（4）</w:t>
            </w:r>
          </w:p>
        </w:tc>
        <w:tc>
          <w:tcPr>
            <w:tcW w:w="2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项目管理制度是否健全，用以反映和考核项目管理制度对项目顺利实施的保障情况。</w:t>
            </w:r>
          </w:p>
        </w:tc>
        <w:tc>
          <w:tcPr>
            <w:tcW w:w="31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hint="eastAsia" w:ascii="Arial Narrow" w:hAnsi="Arial Narrow" w:eastAsia="仿宋_GB2312" w:cs="Arial Narrow"/>
                <w:color w:val="000000"/>
                <w:kern w:val="0"/>
                <w:sz w:val="20"/>
                <w:szCs w:val="20"/>
                <w:lang w:eastAsia="zh-CN" w:bidi="ar"/>
              </w:rPr>
            </w:pPr>
            <w:r>
              <w:rPr>
                <w:rFonts w:ascii="Arial Narrow" w:hAnsi="Arial Narrow" w:cs="Arial Narrow"/>
                <w:color w:val="000000"/>
                <w:kern w:val="0"/>
                <w:sz w:val="20"/>
                <w:szCs w:val="20"/>
                <w:lang w:bidi="ar"/>
              </w:rPr>
              <w:t>评价要点：</w:t>
            </w:r>
          </w:p>
          <w:p>
            <w:pPr>
              <w:widowControl/>
              <w:spacing w:line="240" w:lineRule="auto"/>
              <w:ind w:firstLine="0" w:firstLineChars="0"/>
              <w:jc w:val="left"/>
              <w:textAlignment w:val="center"/>
              <w:rPr>
                <w:rFonts w:hint="eastAsia" w:ascii="Arial Narrow" w:hAnsi="Arial Narrow" w:eastAsia="仿宋_GB2312" w:cs="Arial Narrow"/>
                <w:color w:val="000000"/>
                <w:kern w:val="0"/>
                <w:sz w:val="20"/>
                <w:szCs w:val="20"/>
                <w:lang w:eastAsia="zh-CN" w:bidi="ar"/>
              </w:rPr>
            </w:pPr>
            <w:r>
              <w:rPr>
                <w:rFonts w:ascii="Arial Narrow" w:hAnsi="Arial Narrow" w:cs="Arial Narrow"/>
                <w:color w:val="000000"/>
                <w:kern w:val="0"/>
                <w:sz w:val="20"/>
                <w:szCs w:val="20"/>
                <w:lang w:bidi="ar"/>
              </w:rPr>
              <w:t>①是否已制定或具有相应的项目管理制度；</w:t>
            </w:r>
          </w:p>
          <w:p>
            <w:pPr>
              <w:widowControl/>
              <w:spacing w:line="240" w:lineRule="auto"/>
              <w:ind w:firstLine="0" w:firstLineChars="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②项目管理制度是否合法、合规、完整。</w:t>
            </w:r>
          </w:p>
        </w:tc>
      </w:tr>
      <w:tr>
        <w:tblPrEx>
          <w:tblCellMar>
            <w:top w:w="0" w:type="dxa"/>
            <w:left w:w="0" w:type="dxa"/>
            <w:bottom w:w="0" w:type="dxa"/>
            <w:right w:w="0" w:type="dxa"/>
          </w:tblCellMar>
        </w:tblPrEx>
        <w:trPr>
          <w:trHeight w:val="2708" w:hRule="atLeast"/>
        </w:trPr>
        <w:tc>
          <w:tcPr>
            <w:tcW w:w="86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ind w:firstLine="400"/>
              <w:jc w:val="left"/>
              <w:rPr>
                <w:rFonts w:ascii="Arial Narrow" w:hAnsi="Arial Narrow" w:cs="Arial Narrow"/>
                <w:color w:val="000000"/>
                <w:sz w:val="20"/>
                <w:szCs w:val="20"/>
              </w:rPr>
            </w:pPr>
          </w:p>
        </w:tc>
        <w:tc>
          <w:tcPr>
            <w:tcW w:w="1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制度执行有效性（4）</w:t>
            </w:r>
          </w:p>
        </w:tc>
        <w:tc>
          <w:tcPr>
            <w:tcW w:w="2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项目实施是否符合相关项目管理规定，用以反映和考核项目管理制度的有效执行情况。</w:t>
            </w:r>
          </w:p>
        </w:tc>
        <w:tc>
          <w:tcPr>
            <w:tcW w:w="31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hint="eastAsia" w:ascii="Arial Narrow" w:hAnsi="Arial Narrow" w:eastAsia="仿宋_GB2312" w:cs="Arial Narrow"/>
                <w:color w:val="000000"/>
                <w:kern w:val="0"/>
                <w:sz w:val="20"/>
                <w:szCs w:val="20"/>
                <w:lang w:eastAsia="zh-CN" w:bidi="ar"/>
              </w:rPr>
            </w:pPr>
            <w:r>
              <w:rPr>
                <w:rFonts w:ascii="Arial Narrow" w:hAnsi="Arial Narrow" w:cs="Arial Narrow"/>
                <w:color w:val="000000"/>
                <w:kern w:val="0"/>
                <w:sz w:val="20"/>
                <w:szCs w:val="20"/>
                <w:lang w:bidi="ar"/>
              </w:rPr>
              <w:t>评价要点：</w:t>
            </w:r>
          </w:p>
          <w:p>
            <w:pPr>
              <w:widowControl/>
              <w:spacing w:line="240" w:lineRule="auto"/>
              <w:ind w:firstLine="0" w:firstLineChars="0"/>
              <w:jc w:val="left"/>
              <w:textAlignment w:val="center"/>
              <w:rPr>
                <w:rFonts w:hint="eastAsia" w:ascii="Arial Narrow" w:hAnsi="Arial Narrow" w:eastAsia="仿宋_GB2312" w:cs="Arial Narrow"/>
                <w:color w:val="000000"/>
                <w:kern w:val="0"/>
                <w:sz w:val="20"/>
                <w:szCs w:val="20"/>
                <w:lang w:eastAsia="zh-CN" w:bidi="ar"/>
              </w:rPr>
            </w:pPr>
            <w:r>
              <w:rPr>
                <w:rFonts w:ascii="Arial Narrow" w:hAnsi="Arial Narrow" w:cs="Arial Narrow"/>
                <w:color w:val="000000"/>
                <w:kern w:val="0"/>
                <w:sz w:val="20"/>
                <w:szCs w:val="20"/>
                <w:lang w:bidi="ar"/>
              </w:rPr>
              <w:t>①是否遵守相应的项目管理制度，如台账管理制、招标管理制、后勤管理制、采购制、合同制、工作考核奖惩办法。</w:t>
            </w:r>
          </w:p>
          <w:p>
            <w:pPr>
              <w:widowControl/>
              <w:spacing w:line="240" w:lineRule="auto"/>
              <w:ind w:firstLine="0" w:firstLineChars="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②制度执行过程是否留痕。</w:t>
            </w:r>
          </w:p>
        </w:tc>
      </w:tr>
      <w:tr>
        <w:tblPrEx>
          <w:tblCellMar>
            <w:top w:w="0" w:type="dxa"/>
            <w:left w:w="0" w:type="dxa"/>
            <w:bottom w:w="0" w:type="dxa"/>
            <w:right w:w="0" w:type="dxa"/>
          </w:tblCellMar>
        </w:tblPrEx>
        <w:trPr>
          <w:trHeight w:val="2276" w:hRule="atLeast"/>
        </w:trPr>
        <w:tc>
          <w:tcPr>
            <w:tcW w:w="86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ind w:firstLine="400"/>
              <w:jc w:val="left"/>
              <w:rPr>
                <w:rFonts w:ascii="Arial Narrow" w:hAnsi="Arial Narrow" w:cs="Arial Narrow"/>
                <w:color w:val="000000"/>
                <w:sz w:val="20"/>
                <w:szCs w:val="20"/>
              </w:rPr>
            </w:pPr>
          </w:p>
        </w:tc>
        <w:tc>
          <w:tcPr>
            <w:tcW w:w="1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项目质量可控性（4）</w:t>
            </w:r>
          </w:p>
        </w:tc>
        <w:tc>
          <w:tcPr>
            <w:tcW w:w="2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项目实施单位是否为达到项目质量要求而采取了必需的措施,用以反映和考核项目实施单位对项目质量的控制情况。</w:t>
            </w:r>
          </w:p>
        </w:tc>
        <w:tc>
          <w:tcPr>
            <w:tcW w:w="31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hint="eastAsia" w:ascii="Arial Narrow" w:hAnsi="Arial Narrow" w:eastAsia="仿宋_GB2312" w:cs="Arial Narrow"/>
                <w:color w:val="000000"/>
                <w:kern w:val="0"/>
                <w:sz w:val="20"/>
                <w:szCs w:val="20"/>
                <w:lang w:eastAsia="zh-CN" w:bidi="ar"/>
              </w:rPr>
            </w:pPr>
            <w:r>
              <w:rPr>
                <w:rFonts w:ascii="Arial Narrow" w:hAnsi="Arial Narrow" w:cs="Arial Narrow"/>
                <w:color w:val="000000"/>
                <w:kern w:val="0"/>
                <w:sz w:val="20"/>
                <w:szCs w:val="20"/>
                <w:lang w:bidi="ar"/>
              </w:rPr>
              <w:t>评价要点：</w:t>
            </w:r>
          </w:p>
          <w:p>
            <w:pPr>
              <w:widowControl/>
              <w:spacing w:line="240" w:lineRule="auto"/>
              <w:ind w:firstLine="0" w:firstLineChars="0"/>
              <w:jc w:val="left"/>
              <w:textAlignment w:val="center"/>
              <w:rPr>
                <w:rFonts w:hint="eastAsia" w:ascii="Arial Narrow" w:hAnsi="Arial Narrow" w:eastAsia="仿宋_GB2312" w:cs="Arial Narrow"/>
                <w:color w:val="000000"/>
                <w:kern w:val="0"/>
                <w:sz w:val="20"/>
                <w:szCs w:val="20"/>
                <w:lang w:eastAsia="zh-CN" w:bidi="ar"/>
              </w:rPr>
            </w:pPr>
            <w:r>
              <w:rPr>
                <w:rFonts w:ascii="Arial Narrow" w:hAnsi="Arial Narrow" w:cs="Arial Narrow"/>
                <w:color w:val="000000"/>
                <w:kern w:val="0"/>
                <w:sz w:val="20"/>
                <w:szCs w:val="20"/>
                <w:lang w:bidi="ar"/>
              </w:rPr>
              <w:t>①是否已制定或具有相应的项目质量要求或标准；</w:t>
            </w:r>
          </w:p>
          <w:p>
            <w:pPr>
              <w:widowControl/>
              <w:spacing w:line="240" w:lineRule="auto"/>
              <w:ind w:firstLine="0" w:firstLineChars="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②是否采取了相应的项目质量检查等必需的控制措施或手段。</w:t>
            </w:r>
          </w:p>
        </w:tc>
      </w:tr>
      <w:tr>
        <w:tblPrEx>
          <w:tblCellMar>
            <w:top w:w="0" w:type="dxa"/>
            <w:left w:w="0" w:type="dxa"/>
            <w:bottom w:w="0" w:type="dxa"/>
            <w:right w:w="0" w:type="dxa"/>
          </w:tblCellMar>
        </w:tblPrEx>
        <w:trPr>
          <w:trHeight w:val="2171" w:hRule="atLeast"/>
        </w:trPr>
        <w:tc>
          <w:tcPr>
            <w:tcW w:w="86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财务管理</w:t>
            </w:r>
          </w:p>
        </w:tc>
        <w:tc>
          <w:tcPr>
            <w:tcW w:w="1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管理制度健全性（4）</w:t>
            </w:r>
          </w:p>
        </w:tc>
        <w:tc>
          <w:tcPr>
            <w:tcW w:w="2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项目实施单位的财务制度是否健全，用以反映和考核财务管理制度对资金规范、安全运行的保障情况。</w:t>
            </w:r>
          </w:p>
        </w:tc>
        <w:tc>
          <w:tcPr>
            <w:tcW w:w="31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hint="eastAsia" w:ascii="Arial Narrow" w:hAnsi="Arial Narrow" w:eastAsia="仿宋_GB2312" w:cs="Arial Narrow"/>
                <w:color w:val="000000"/>
                <w:kern w:val="0"/>
                <w:sz w:val="20"/>
                <w:szCs w:val="20"/>
                <w:lang w:eastAsia="zh-CN" w:bidi="ar"/>
              </w:rPr>
            </w:pPr>
            <w:r>
              <w:rPr>
                <w:rFonts w:ascii="Arial Narrow" w:hAnsi="Arial Narrow" w:cs="Arial Narrow"/>
                <w:color w:val="000000"/>
                <w:kern w:val="0"/>
                <w:sz w:val="20"/>
                <w:szCs w:val="20"/>
                <w:lang w:bidi="ar"/>
              </w:rPr>
              <w:t>评价要点：</w:t>
            </w:r>
          </w:p>
          <w:p>
            <w:pPr>
              <w:widowControl/>
              <w:spacing w:line="240" w:lineRule="auto"/>
              <w:ind w:firstLine="0" w:firstLineChars="0"/>
              <w:jc w:val="left"/>
              <w:textAlignment w:val="center"/>
              <w:rPr>
                <w:rFonts w:hint="eastAsia" w:ascii="Arial Narrow" w:hAnsi="Arial Narrow" w:eastAsia="仿宋_GB2312" w:cs="Arial Narrow"/>
                <w:color w:val="000000"/>
                <w:kern w:val="0"/>
                <w:sz w:val="20"/>
                <w:szCs w:val="20"/>
                <w:lang w:eastAsia="zh-CN" w:bidi="ar"/>
              </w:rPr>
            </w:pPr>
            <w:r>
              <w:rPr>
                <w:rFonts w:ascii="Arial Narrow" w:hAnsi="Arial Narrow" w:cs="Arial Narrow"/>
                <w:color w:val="000000"/>
                <w:kern w:val="0"/>
                <w:sz w:val="20"/>
                <w:szCs w:val="20"/>
                <w:lang w:bidi="ar"/>
              </w:rPr>
              <w:t>①是否已制定或具有相应的项目资金管理办法；</w:t>
            </w:r>
          </w:p>
          <w:p>
            <w:pPr>
              <w:widowControl/>
              <w:spacing w:line="240" w:lineRule="auto"/>
              <w:ind w:firstLine="0" w:firstLineChars="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②项目资金管理办法是否符合相关财务会计制度的规定。</w:t>
            </w:r>
          </w:p>
        </w:tc>
      </w:tr>
      <w:tr>
        <w:tblPrEx>
          <w:tblCellMar>
            <w:top w:w="0" w:type="dxa"/>
            <w:left w:w="0" w:type="dxa"/>
            <w:bottom w:w="0" w:type="dxa"/>
            <w:right w:w="0" w:type="dxa"/>
          </w:tblCellMar>
        </w:tblPrEx>
        <w:trPr>
          <w:trHeight w:val="90" w:hRule="atLeast"/>
        </w:trPr>
        <w:tc>
          <w:tcPr>
            <w:tcW w:w="86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ind w:firstLine="400"/>
              <w:jc w:val="left"/>
              <w:rPr>
                <w:rFonts w:ascii="Arial Narrow" w:hAnsi="Arial Narrow" w:cs="Arial Narrow"/>
                <w:color w:val="000000"/>
                <w:sz w:val="20"/>
                <w:szCs w:val="20"/>
                <w:highlight w:val="yellow"/>
              </w:rPr>
            </w:pPr>
          </w:p>
        </w:tc>
        <w:tc>
          <w:tcPr>
            <w:tcW w:w="1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资金使用合规性（5）</w:t>
            </w:r>
          </w:p>
        </w:tc>
        <w:tc>
          <w:tcPr>
            <w:tcW w:w="2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项目资金使用是否符合相关的财务管理制度规定，用以反映和考核项目资金的规范运行情况。</w:t>
            </w:r>
          </w:p>
        </w:tc>
        <w:tc>
          <w:tcPr>
            <w:tcW w:w="31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hint="eastAsia" w:ascii="Arial Narrow" w:hAnsi="Arial Narrow" w:eastAsia="仿宋_GB2312" w:cs="Arial Narrow"/>
                <w:color w:val="000000"/>
                <w:kern w:val="0"/>
                <w:sz w:val="20"/>
                <w:szCs w:val="20"/>
                <w:lang w:eastAsia="zh-CN" w:bidi="ar"/>
              </w:rPr>
            </w:pPr>
            <w:r>
              <w:rPr>
                <w:rFonts w:ascii="Arial Narrow" w:hAnsi="Arial Narrow" w:cs="Arial Narrow"/>
                <w:color w:val="000000"/>
                <w:kern w:val="0"/>
                <w:sz w:val="20"/>
                <w:szCs w:val="20"/>
                <w:lang w:bidi="ar"/>
              </w:rPr>
              <w:t>评价要点：</w:t>
            </w:r>
          </w:p>
          <w:p>
            <w:pPr>
              <w:widowControl/>
              <w:spacing w:line="240" w:lineRule="auto"/>
              <w:ind w:firstLine="0" w:firstLineChars="0"/>
              <w:jc w:val="left"/>
              <w:textAlignment w:val="center"/>
              <w:rPr>
                <w:rFonts w:hint="eastAsia" w:ascii="Arial Narrow" w:hAnsi="Arial Narrow" w:eastAsia="仿宋_GB2312" w:cs="Arial Narrow"/>
                <w:color w:val="000000"/>
                <w:kern w:val="0"/>
                <w:sz w:val="20"/>
                <w:szCs w:val="20"/>
                <w:lang w:eastAsia="zh-CN" w:bidi="ar"/>
              </w:rPr>
            </w:pPr>
            <w:r>
              <w:rPr>
                <w:rFonts w:ascii="Arial Narrow" w:hAnsi="Arial Narrow" w:cs="Arial Narrow"/>
                <w:color w:val="000000"/>
                <w:kern w:val="0"/>
                <w:sz w:val="20"/>
                <w:szCs w:val="20"/>
                <w:lang w:bidi="ar"/>
              </w:rPr>
              <w:t>①是否符合国家财经法规和财务管理制度以及有关专项资金管理办法的规定；</w:t>
            </w:r>
          </w:p>
          <w:p>
            <w:pPr>
              <w:widowControl/>
              <w:spacing w:line="240" w:lineRule="auto"/>
              <w:ind w:firstLine="0" w:firstLineChars="0"/>
              <w:jc w:val="left"/>
              <w:textAlignment w:val="center"/>
              <w:rPr>
                <w:rFonts w:hint="eastAsia" w:ascii="Arial Narrow" w:hAnsi="Arial Narrow" w:eastAsia="仿宋_GB2312" w:cs="Arial Narrow"/>
                <w:color w:val="000000"/>
                <w:kern w:val="0"/>
                <w:sz w:val="20"/>
                <w:szCs w:val="20"/>
                <w:lang w:eastAsia="zh-CN" w:bidi="ar"/>
              </w:rPr>
            </w:pPr>
            <w:r>
              <w:rPr>
                <w:rFonts w:ascii="Arial Narrow" w:hAnsi="Arial Narrow" w:cs="Arial Narrow"/>
                <w:color w:val="000000"/>
                <w:kern w:val="0"/>
                <w:sz w:val="20"/>
                <w:szCs w:val="20"/>
                <w:lang w:bidi="ar"/>
              </w:rPr>
              <w:t>②资金的拨付是否有完整的审批程序和手续；</w:t>
            </w:r>
          </w:p>
          <w:p>
            <w:pPr>
              <w:widowControl/>
              <w:spacing w:line="240" w:lineRule="auto"/>
              <w:ind w:firstLine="0" w:firstLineChars="0"/>
              <w:jc w:val="left"/>
              <w:textAlignment w:val="center"/>
              <w:rPr>
                <w:rFonts w:hint="eastAsia" w:ascii="Arial Narrow" w:hAnsi="Arial Narrow" w:eastAsia="仿宋_GB2312" w:cs="Arial Narrow"/>
                <w:color w:val="000000"/>
                <w:kern w:val="0"/>
                <w:sz w:val="20"/>
                <w:szCs w:val="20"/>
                <w:lang w:eastAsia="zh-CN" w:bidi="ar"/>
              </w:rPr>
            </w:pPr>
            <w:r>
              <w:rPr>
                <w:rFonts w:ascii="Arial Narrow" w:hAnsi="Arial Narrow" w:cs="Arial Narrow"/>
                <w:color w:val="000000"/>
                <w:kern w:val="0"/>
                <w:sz w:val="20"/>
                <w:szCs w:val="20"/>
                <w:lang w:bidi="ar"/>
              </w:rPr>
              <w:t>③项目的重大开支是否经过评估认证；</w:t>
            </w:r>
          </w:p>
          <w:p>
            <w:pPr>
              <w:widowControl/>
              <w:spacing w:line="240" w:lineRule="auto"/>
              <w:ind w:firstLine="0" w:firstLineChars="0"/>
              <w:jc w:val="left"/>
              <w:textAlignment w:val="center"/>
              <w:rPr>
                <w:rFonts w:hint="eastAsia" w:ascii="Arial Narrow" w:hAnsi="Arial Narrow" w:eastAsia="仿宋_GB2312" w:cs="Arial Narrow"/>
                <w:color w:val="000000"/>
                <w:kern w:val="0"/>
                <w:sz w:val="20"/>
                <w:szCs w:val="20"/>
                <w:lang w:eastAsia="zh-CN" w:bidi="ar"/>
              </w:rPr>
            </w:pPr>
            <w:r>
              <w:rPr>
                <w:rFonts w:ascii="Arial Narrow" w:hAnsi="Arial Narrow" w:cs="Arial Narrow"/>
                <w:color w:val="000000"/>
                <w:kern w:val="0"/>
                <w:sz w:val="20"/>
                <w:szCs w:val="20"/>
                <w:lang w:bidi="ar"/>
              </w:rPr>
              <w:t>④是否符合项目预算批复或合同规定的用途；</w:t>
            </w:r>
          </w:p>
          <w:p>
            <w:pPr>
              <w:widowControl/>
              <w:spacing w:line="240" w:lineRule="auto"/>
              <w:ind w:firstLine="0" w:firstLineChars="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⑤是否存在截留、挤占、挪用、虚列支出等情况。</w:t>
            </w:r>
          </w:p>
        </w:tc>
      </w:tr>
      <w:tr>
        <w:tblPrEx>
          <w:tblCellMar>
            <w:top w:w="0" w:type="dxa"/>
            <w:left w:w="0" w:type="dxa"/>
            <w:bottom w:w="0" w:type="dxa"/>
            <w:right w:w="0" w:type="dxa"/>
          </w:tblCellMar>
        </w:tblPrEx>
        <w:trPr>
          <w:trHeight w:val="2773" w:hRule="atLeast"/>
        </w:trPr>
        <w:tc>
          <w:tcPr>
            <w:tcW w:w="86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ind w:firstLine="400"/>
              <w:jc w:val="left"/>
              <w:rPr>
                <w:rFonts w:ascii="Arial Narrow" w:hAnsi="Arial Narrow" w:cs="Arial Narrow"/>
                <w:color w:val="000000"/>
                <w:sz w:val="20"/>
                <w:szCs w:val="20"/>
                <w:highlight w:val="yellow"/>
              </w:rPr>
            </w:pPr>
          </w:p>
        </w:tc>
        <w:tc>
          <w:tcPr>
            <w:tcW w:w="1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财务监控有效性（3）</w:t>
            </w:r>
          </w:p>
        </w:tc>
        <w:tc>
          <w:tcPr>
            <w:tcW w:w="2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项目实施单位是否为保障资金的安全、规范运行而采取了必要的监控措施，用以反映和考核项目实施单位对资金运行的控制情况。</w:t>
            </w:r>
          </w:p>
        </w:tc>
        <w:tc>
          <w:tcPr>
            <w:tcW w:w="31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hint="eastAsia" w:ascii="Arial Narrow" w:hAnsi="Arial Narrow" w:eastAsia="仿宋_GB2312" w:cs="Arial Narrow"/>
                <w:color w:val="000000"/>
                <w:kern w:val="0"/>
                <w:sz w:val="20"/>
                <w:szCs w:val="20"/>
                <w:lang w:eastAsia="zh-CN" w:bidi="ar"/>
              </w:rPr>
            </w:pPr>
            <w:r>
              <w:rPr>
                <w:rFonts w:ascii="Arial Narrow" w:hAnsi="Arial Narrow" w:cs="Arial Narrow"/>
                <w:color w:val="000000"/>
                <w:kern w:val="0"/>
                <w:sz w:val="20"/>
                <w:szCs w:val="20"/>
                <w:lang w:bidi="ar"/>
              </w:rPr>
              <w:t>评价要点：</w:t>
            </w:r>
          </w:p>
          <w:p>
            <w:pPr>
              <w:widowControl/>
              <w:spacing w:line="240" w:lineRule="auto"/>
              <w:ind w:firstLine="0" w:firstLineChars="0"/>
              <w:jc w:val="left"/>
              <w:textAlignment w:val="center"/>
              <w:rPr>
                <w:rFonts w:hint="eastAsia" w:ascii="Arial Narrow" w:hAnsi="Arial Narrow" w:eastAsia="仿宋_GB2312" w:cs="Arial Narrow"/>
                <w:color w:val="000000"/>
                <w:kern w:val="0"/>
                <w:sz w:val="20"/>
                <w:szCs w:val="20"/>
                <w:lang w:eastAsia="zh-CN" w:bidi="ar"/>
              </w:rPr>
            </w:pPr>
            <w:r>
              <w:rPr>
                <w:rFonts w:ascii="Arial Narrow" w:hAnsi="Arial Narrow" w:cs="Arial Narrow"/>
                <w:color w:val="000000"/>
                <w:kern w:val="0"/>
                <w:sz w:val="20"/>
                <w:szCs w:val="20"/>
                <w:lang w:bidi="ar"/>
              </w:rPr>
              <w:t>①是否已制定或具有相应的监控机制；</w:t>
            </w:r>
          </w:p>
          <w:p>
            <w:pPr>
              <w:widowControl/>
              <w:spacing w:line="240" w:lineRule="auto"/>
              <w:ind w:firstLine="0" w:firstLineChars="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②是否采取了相应的财务检查等必要的监控措施或手段。</w:t>
            </w:r>
          </w:p>
        </w:tc>
      </w:tr>
      <w:tr>
        <w:tblPrEx>
          <w:tblCellMar>
            <w:top w:w="0" w:type="dxa"/>
            <w:left w:w="0" w:type="dxa"/>
            <w:bottom w:w="0" w:type="dxa"/>
            <w:right w:w="0" w:type="dxa"/>
          </w:tblCellMar>
        </w:tblPrEx>
        <w:trPr>
          <w:trHeight w:val="1739" w:hRule="atLeast"/>
        </w:trPr>
        <w:tc>
          <w:tcPr>
            <w:tcW w:w="86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项目产出</w:t>
            </w:r>
          </w:p>
        </w:tc>
        <w:tc>
          <w:tcPr>
            <w:tcW w:w="1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审核手续齐全性（5）</w:t>
            </w:r>
          </w:p>
        </w:tc>
        <w:tc>
          <w:tcPr>
            <w:tcW w:w="2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项目实施后，项目单位审批基金退付手续是否齐全，用以反映和考核项目实施后的产出质量指标。</w:t>
            </w:r>
          </w:p>
        </w:tc>
        <w:tc>
          <w:tcPr>
            <w:tcW w:w="313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uto"/>
              <w:ind w:firstLine="0" w:firstLineChars="0"/>
              <w:jc w:val="left"/>
              <w:textAlignment w:val="center"/>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评价要点：</w:t>
            </w:r>
          </w:p>
          <w:p>
            <w:pPr>
              <w:widowControl/>
              <w:spacing w:line="240" w:lineRule="auto"/>
              <w:ind w:firstLine="0" w:firstLineChars="0"/>
              <w:jc w:val="left"/>
              <w:textAlignment w:val="center"/>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①是否具有相应的审核手续；</w:t>
            </w:r>
          </w:p>
          <w:p>
            <w:pPr>
              <w:widowControl/>
              <w:spacing w:line="240" w:lineRule="auto"/>
              <w:ind w:firstLine="0" w:firstLineChars="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②是否采取了相应监控手段，对审核手续进行检查。</w:t>
            </w:r>
          </w:p>
        </w:tc>
      </w:tr>
      <w:tr>
        <w:tblPrEx>
          <w:tblCellMar>
            <w:top w:w="0" w:type="dxa"/>
            <w:left w:w="0" w:type="dxa"/>
            <w:bottom w:w="0" w:type="dxa"/>
            <w:right w:w="0" w:type="dxa"/>
          </w:tblCellMar>
        </w:tblPrEx>
        <w:trPr>
          <w:trHeight w:val="2029" w:hRule="atLeast"/>
        </w:trPr>
        <w:tc>
          <w:tcPr>
            <w:tcW w:w="86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ind w:firstLine="400"/>
              <w:jc w:val="left"/>
              <w:rPr>
                <w:rFonts w:ascii="Arial Narrow" w:hAnsi="Arial Narrow" w:cs="Arial Narrow"/>
                <w:color w:val="000000"/>
                <w:sz w:val="20"/>
                <w:szCs w:val="20"/>
              </w:rPr>
            </w:pPr>
          </w:p>
        </w:tc>
        <w:tc>
          <w:tcPr>
            <w:tcW w:w="1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申请墙改基金清算时间（4）</w:t>
            </w:r>
          </w:p>
        </w:tc>
        <w:tc>
          <w:tcPr>
            <w:tcW w:w="2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项目实施后，建设单位申请专项基金清算时间的实际情况，用以反映和考核项目实施后的产出质量指标。</w:t>
            </w:r>
          </w:p>
        </w:tc>
        <w:tc>
          <w:tcPr>
            <w:tcW w:w="31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评价要点：</w:t>
            </w:r>
          </w:p>
          <w:p>
            <w:pPr>
              <w:widowControl/>
              <w:spacing w:line="240" w:lineRule="auto"/>
              <w:ind w:firstLine="0" w:firstLineChars="0"/>
              <w:jc w:val="left"/>
              <w:textAlignment w:val="center"/>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①是否有工程竣工验收备案；</w:t>
            </w:r>
          </w:p>
          <w:p>
            <w:pPr>
              <w:widowControl/>
              <w:spacing w:line="240" w:lineRule="auto"/>
              <w:ind w:firstLine="0" w:firstLineChars="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②是否在取得工程竣工验收备案后30个工作日内申请。</w:t>
            </w:r>
          </w:p>
        </w:tc>
      </w:tr>
      <w:tr>
        <w:tblPrEx>
          <w:tblCellMar>
            <w:top w:w="0" w:type="dxa"/>
            <w:left w:w="0" w:type="dxa"/>
            <w:bottom w:w="0" w:type="dxa"/>
            <w:right w:w="0" w:type="dxa"/>
          </w:tblCellMar>
        </w:tblPrEx>
        <w:trPr>
          <w:trHeight w:val="1585" w:hRule="atLeast"/>
        </w:trPr>
        <w:tc>
          <w:tcPr>
            <w:tcW w:w="86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ind w:firstLine="400"/>
              <w:jc w:val="left"/>
              <w:rPr>
                <w:rFonts w:ascii="Arial Narrow" w:hAnsi="Arial Narrow" w:cs="Arial Narrow"/>
                <w:color w:val="000000"/>
                <w:sz w:val="20"/>
                <w:szCs w:val="20"/>
                <w:highlight w:val="yellow"/>
              </w:rPr>
            </w:pPr>
          </w:p>
        </w:tc>
        <w:tc>
          <w:tcPr>
            <w:tcW w:w="1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墙改基金退付比例合理性（4）</w:t>
            </w:r>
          </w:p>
        </w:tc>
        <w:tc>
          <w:tcPr>
            <w:tcW w:w="2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项目实施后，墙改基金退付比例的实际情况，用以反映和考核项目实施后的产出质量指标。</w:t>
            </w:r>
          </w:p>
        </w:tc>
        <w:tc>
          <w:tcPr>
            <w:tcW w:w="31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评价要点：</w:t>
            </w:r>
          </w:p>
          <w:p>
            <w:pPr>
              <w:widowControl/>
              <w:spacing w:line="240" w:lineRule="auto"/>
              <w:ind w:firstLine="0" w:firstLineChars="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是否有质量检测单位对墙体材料的检测报告。</w:t>
            </w:r>
          </w:p>
        </w:tc>
      </w:tr>
      <w:tr>
        <w:tblPrEx>
          <w:tblCellMar>
            <w:top w:w="0" w:type="dxa"/>
            <w:left w:w="0" w:type="dxa"/>
            <w:bottom w:w="0" w:type="dxa"/>
            <w:right w:w="0" w:type="dxa"/>
          </w:tblCellMar>
        </w:tblPrEx>
        <w:trPr>
          <w:trHeight w:val="1549" w:hRule="atLeast"/>
        </w:trPr>
        <w:tc>
          <w:tcPr>
            <w:tcW w:w="86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ind w:firstLine="400"/>
              <w:jc w:val="left"/>
              <w:rPr>
                <w:rFonts w:ascii="Arial Narrow" w:hAnsi="Arial Narrow" w:cs="Arial Narrow"/>
                <w:color w:val="000000"/>
                <w:sz w:val="20"/>
                <w:szCs w:val="20"/>
                <w:highlight w:val="yellow"/>
              </w:rPr>
            </w:pPr>
          </w:p>
        </w:tc>
        <w:tc>
          <w:tcPr>
            <w:tcW w:w="141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现场核验完成率（5）</w:t>
            </w:r>
          </w:p>
        </w:tc>
        <w:tc>
          <w:tcPr>
            <w:tcW w:w="25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uto"/>
              <w:ind w:firstLine="0" w:firstLineChars="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项目实施后，墙改节能部门接到申请后需在3个工作日内到现场核验，用以反映和考核项目实施后的产出质量指标。</w:t>
            </w:r>
          </w:p>
        </w:tc>
        <w:tc>
          <w:tcPr>
            <w:tcW w:w="313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uto"/>
              <w:ind w:firstLine="0" w:firstLineChars="0"/>
              <w:jc w:val="left"/>
              <w:textAlignment w:val="center"/>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评价要点：</w:t>
            </w:r>
          </w:p>
          <w:p>
            <w:pPr>
              <w:widowControl/>
              <w:spacing w:line="240" w:lineRule="auto"/>
              <w:ind w:firstLine="0" w:firstLineChars="0"/>
              <w:jc w:val="left"/>
              <w:textAlignment w:val="center"/>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①是否有墙改材料使用验收申请；</w:t>
            </w:r>
          </w:p>
          <w:p>
            <w:pPr>
              <w:widowControl/>
              <w:spacing w:line="240" w:lineRule="auto"/>
              <w:ind w:firstLine="0" w:firstLineChars="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②是否在3个工作日内到现场完成核验。</w:t>
            </w:r>
          </w:p>
        </w:tc>
      </w:tr>
      <w:tr>
        <w:tblPrEx>
          <w:tblCellMar>
            <w:top w:w="0" w:type="dxa"/>
            <w:left w:w="0" w:type="dxa"/>
            <w:bottom w:w="0" w:type="dxa"/>
            <w:right w:w="0" w:type="dxa"/>
          </w:tblCellMar>
        </w:tblPrEx>
        <w:trPr>
          <w:trHeight w:val="2050" w:hRule="atLeast"/>
        </w:trPr>
        <w:tc>
          <w:tcPr>
            <w:tcW w:w="86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ind w:firstLine="400"/>
              <w:jc w:val="left"/>
              <w:rPr>
                <w:rFonts w:ascii="Arial Narrow" w:hAnsi="Arial Narrow" w:cs="Arial Narrow"/>
                <w:color w:val="000000"/>
                <w:sz w:val="20"/>
                <w:szCs w:val="20"/>
                <w:highlight w:val="yellow"/>
              </w:rPr>
            </w:pPr>
          </w:p>
        </w:tc>
        <w:tc>
          <w:tcPr>
            <w:tcW w:w="141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专家机构审核合格率（4）</w:t>
            </w:r>
          </w:p>
        </w:tc>
        <w:tc>
          <w:tcPr>
            <w:tcW w:w="25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uto"/>
              <w:ind w:firstLine="0" w:firstLineChars="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项目实施后，专家机构对墙体材料检测的实际情况，用以反映和考核项目实施后的产出质量指标。</w:t>
            </w:r>
          </w:p>
        </w:tc>
        <w:tc>
          <w:tcPr>
            <w:tcW w:w="313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uto"/>
              <w:ind w:firstLine="0" w:firstLineChars="0"/>
              <w:jc w:val="left"/>
              <w:textAlignment w:val="center"/>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评价要点：</w:t>
            </w:r>
          </w:p>
          <w:p>
            <w:pPr>
              <w:widowControl/>
              <w:spacing w:line="240" w:lineRule="auto"/>
              <w:ind w:firstLine="0" w:firstLineChars="0"/>
              <w:jc w:val="left"/>
              <w:textAlignment w:val="center"/>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①是否有墙体材料购销合同；</w:t>
            </w:r>
          </w:p>
          <w:p>
            <w:pPr>
              <w:widowControl/>
              <w:spacing w:line="240" w:lineRule="auto"/>
              <w:ind w:firstLine="0" w:firstLineChars="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②专家机构审查材料属性是否符合购销合同的材料标准。</w:t>
            </w:r>
          </w:p>
        </w:tc>
      </w:tr>
      <w:tr>
        <w:tblPrEx>
          <w:tblCellMar>
            <w:top w:w="0" w:type="dxa"/>
            <w:left w:w="0" w:type="dxa"/>
            <w:bottom w:w="0" w:type="dxa"/>
            <w:right w:w="0" w:type="dxa"/>
          </w:tblCellMar>
        </w:tblPrEx>
        <w:trPr>
          <w:trHeight w:val="1696" w:hRule="atLeast"/>
        </w:trPr>
        <w:tc>
          <w:tcPr>
            <w:tcW w:w="86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ind w:firstLine="400"/>
              <w:jc w:val="left"/>
              <w:rPr>
                <w:rFonts w:ascii="Arial Narrow" w:hAnsi="Arial Narrow" w:cs="Arial Narrow"/>
                <w:color w:val="000000"/>
                <w:sz w:val="20"/>
                <w:szCs w:val="20"/>
                <w:highlight w:val="yellow"/>
              </w:rPr>
            </w:pPr>
          </w:p>
        </w:tc>
        <w:tc>
          <w:tcPr>
            <w:tcW w:w="1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资金使用率（6）</w:t>
            </w:r>
          </w:p>
        </w:tc>
        <w:tc>
          <w:tcPr>
            <w:tcW w:w="2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项目实际支出与项目到位资金的比率，用以反映和考核项目资金使用情况。</w:t>
            </w:r>
          </w:p>
        </w:tc>
        <w:tc>
          <w:tcPr>
            <w:tcW w:w="31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hint="eastAsia" w:ascii="Arial Narrow" w:hAnsi="Arial Narrow" w:eastAsia="仿宋_GB2312" w:cs="Arial Narrow"/>
                <w:color w:val="000000"/>
                <w:kern w:val="0"/>
                <w:sz w:val="20"/>
                <w:szCs w:val="20"/>
                <w:lang w:eastAsia="zh-CN" w:bidi="ar"/>
              </w:rPr>
            </w:pPr>
            <w:r>
              <w:rPr>
                <w:rFonts w:ascii="Arial Narrow" w:hAnsi="Arial Narrow" w:cs="Arial Narrow"/>
                <w:color w:val="000000"/>
                <w:kern w:val="0"/>
                <w:sz w:val="20"/>
                <w:szCs w:val="20"/>
                <w:lang w:bidi="ar"/>
              </w:rPr>
              <w:t>评价要点：</w:t>
            </w:r>
          </w:p>
          <w:p>
            <w:pPr>
              <w:widowControl/>
              <w:spacing w:line="240" w:lineRule="auto"/>
              <w:ind w:firstLine="0" w:firstLineChars="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资金使用率=项目实际支出金额/项目计划支出额×100%。</w:t>
            </w:r>
          </w:p>
        </w:tc>
      </w:tr>
      <w:tr>
        <w:tblPrEx>
          <w:tblCellMar>
            <w:top w:w="0" w:type="dxa"/>
            <w:left w:w="0" w:type="dxa"/>
            <w:bottom w:w="0" w:type="dxa"/>
            <w:right w:w="0" w:type="dxa"/>
          </w:tblCellMar>
        </w:tblPrEx>
        <w:trPr>
          <w:trHeight w:val="2316" w:hRule="atLeast"/>
        </w:trPr>
        <w:tc>
          <w:tcPr>
            <w:tcW w:w="86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ascii="Arial Narrow" w:hAnsi="Arial Narrow" w:cs="Arial Narrow"/>
                <w:color w:val="000000"/>
                <w:sz w:val="20"/>
                <w:szCs w:val="20"/>
                <w:highlight w:val="yellow"/>
              </w:rPr>
            </w:pPr>
            <w:r>
              <w:rPr>
                <w:rFonts w:ascii="Arial Narrow" w:hAnsi="Arial Narrow" w:cs="Arial Narrow"/>
                <w:color w:val="000000"/>
                <w:kern w:val="0"/>
                <w:sz w:val="20"/>
                <w:szCs w:val="20"/>
                <w:lang w:bidi="ar"/>
              </w:rPr>
              <w:t>项目效益</w:t>
            </w:r>
          </w:p>
        </w:tc>
        <w:tc>
          <w:tcPr>
            <w:tcW w:w="1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墙体材料专项基金退付时间（5）</w:t>
            </w:r>
          </w:p>
        </w:tc>
        <w:tc>
          <w:tcPr>
            <w:tcW w:w="2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项目实施后，建设单位申请专项基金退付时间的实际情况，用以反映和考核项目实施后的效益指标。</w:t>
            </w:r>
          </w:p>
        </w:tc>
        <w:tc>
          <w:tcPr>
            <w:tcW w:w="31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评价要点：</w:t>
            </w:r>
          </w:p>
          <w:p>
            <w:pPr>
              <w:widowControl/>
              <w:spacing w:line="240" w:lineRule="auto"/>
              <w:ind w:firstLine="0" w:firstLineChars="0"/>
              <w:jc w:val="left"/>
              <w:textAlignment w:val="center"/>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①是否有清退审定表；</w:t>
            </w:r>
          </w:p>
          <w:p>
            <w:pPr>
              <w:widowControl/>
              <w:spacing w:line="240" w:lineRule="auto"/>
              <w:ind w:firstLine="0" w:firstLineChars="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②是否在清退金额进行审定后，5个工作日内完成相关墙体材料专项基金的退付手续。</w:t>
            </w:r>
          </w:p>
        </w:tc>
      </w:tr>
      <w:tr>
        <w:tblPrEx>
          <w:tblCellMar>
            <w:top w:w="0" w:type="dxa"/>
            <w:left w:w="0" w:type="dxa"/>
            <w:bottom w:w="0" w:type="dxa"/>
            <w:right w:w="0" w:type="dxa"/>
          </w:tblCellMar>
        </w:tblPrEx>
        <w:trPr>
          <w:trHeight w:val="1738" w:hRule="atLeast"/>
        </w:trPr>
        <w:tc>
          <w:tcPr>
            <w:tcW w:w="86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ind w:firstLine="400"/>
              <w:jc w:val="left"/>
              <w:rPr>
                <w:rFonts w:ascii="Arial Narrow" w:hAnsi="Arial Narrow" w:cs="Arial Narrow"/>
                <w:color w:val="000000"/>
                <w:sz w:val="20"/>
                <w:szCs w:val="20"/>
                <w:highlight w:val="yellow"/>
              </w:rPr>
            </w:pPr>
          </w:p>
        </w:tc>
        <w:tc>
          <w:tcPr>
            <w:tcW w:w="1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基金退付投诉次数（5）</w:t>
            </w:r>
          </w:p>
        </w:tc>
        <w:tc>
          <w:tcPr>
            <w:tcW w:w="2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项目完成后，墙体基金项目退付投诉的次数，用以反映和考核项目实施后的效益指标。</w:t>
            </w:r>
          </w:p>
        </w:tc>
        <w:tc>
          <w:tcPr>
            <w:tcW w:w="31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评价要点：</w:t>
            </w:r>
          </w:p>
          <w:p>
            <w:pPr>
              <w:widowControl/>
              <w:spacing w:line="240" w:lineRule="auto"/>
              <w:ind w:firstLine="0" w:firstLineChars="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项目实施后，全区是否发生了墙体基金退付的投诉事件。</w:t>
            </w:r>
          </w:p>
        </w:tc>
      </w:tr>
      <w:tr>
        <w:tblPrEx>
          <w:tblCellMar>
            <w:top w:w="0" w:type="dxa"/>
            <w:left w:w="0" w:type="dxa"/>
            <w:bottom w:w="0" w:type="dxa"/>
            <w:right w:w="0" w:type="dxa"/>
          </w:tblCellMar>
        </w:tblPrEx>
        <w:trPr>
          <w:trHeight w:val="2359" w:hRule="atLeast"/>
        </w:trPr>
        <w:tc>
          <w:tcPr>
            <w:tcW w:w="86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ind w:firstLine="400"/>
              <w:jc w:val="left"/>
              <w:rPr>
                <w:rFonts w:ascii="Arial Narrow" w:hAnsi="Arial Narrow" w:cs="Arial Narrow"/>
                <w:color w:val="000000"/>
                <w:sz w:val="20"/>
                <w:szCs w:val="20"/>
                <w:highlight w:val="yellow"/>
              </w:rPr>
            </w:pPr>
          </w:p>
        </w:tc>
        <w:tc>
          <w:tcPr>
            <w:tcW w:w="1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宣传方式多样性（5）</w:t>
            </w:r>
          </w:p>
        </w:tc>
        <w:tc>
          <w:tcPr>
            <w:tcW w:w="2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项目完成后，新型墙体基金宣传方式的实际情况，用以反映和考核项目实施后的效益指标。</w:t>
            </w:r>
          </w:p>
        </w:tc>
        <w:tc>
          <w:tcPr>
            <w:tcW w:w="31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评价要点：</w:t>
            </w:r>
          </w:p>
          <w:p>
            <w:pPr>
              <w:widowControl/>
              <w:spacing w:line="240" w:lineRule="auto"/>
              <w:ind w:firstLine="0" w:firstLineChars="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项目实施后，全区是否对新型墙体材料进行宣传，培训达到3种。</w:t>
            </w:r>
          </w:p>
        </w:tc>
      </w:tr>
      <w:tr>
        <w:tblPrEx>
          <w:tblCellMar>
            <w:top w:w="0" w:type="dxa"/>
            <w:left w:w="0" w:type="dxa"/>
            <w:bottom w:w="0" w:type="dxa"/>
            <w:right w:w="0" w:type="dxa"/>
          </w:tblCellMar>
        </w:tblPrEx>
        <w:trPr>
          <w:trHeight w:val="1857" w:hRule="atLeast"/>
        </w:trPr>
        <w:tc>
          <w:tcPr>
            <w:tcW w:w="86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ind w:firstLine="400"/>
              <w:jc w:val="left"/>
              <w:rPr>
                <w:rFonts w:ascii="Arial Narrow" w:hAnsi="Arial Narrow" w:cs="Arial Narrow"/>
                <w:color w:val="000000"/>
                <w:sz w:val="20"/>
                <w:szCs w:val="20"/>
                <w:highlight w:val="yellow"/>
              </w:rPr>
            </w:pPr>
          </w:p>
        </w:tc>
        <w:tc>
          <w:tcPr>
            <w:tcW w:w="1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降低能耗损失（5）</w:t>
            </w:r>
          </w:p>
        </w:tc>
        <w:tc>
          <w:tcPr>
            <w:tcW w:w="2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项目完成后，新型墙体材料的使用，可以降低能耗损失用以反映和考核项目实施后的效益指标。</w:t>
            </w:r>
          </w:p>
        </w:tc>
        <w:tc>
          <w:tcPr>
            <w:tcW w:w="31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评价要点：</w:t>
            </w:r>
          </w:p>
          <w:p>
            <w:pPr>
              <w:widowControl/>
              <w:spacing w:line="240" w:lineRule="auto"/>
              <w:ind w:firstLine="0" w:firstLineChars="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项目实施后，使用新型墙体材料是否可以降低能耗。</w:t>
            </w:r>
          </w:p>
        </w:tc>
      </w:tr>
      <w:tr>
        <w:tblPrEx>
          <w:tblCellMar>
            <w:top w:w="0" w:type="dxa"/>
            <w:left w:w="0" w:type="dxa"/>
            <w:bottom w:w="0" w:type="dxa"/>
            <w:right w:w="0" w:type="dxa"/>
          </w:tblCellMar>
        </w:tblPrEx>
        <w:trPr>
          <w:trHeight w:val="2004" w:hRule="atLeast"/>
        </w:trPr>
        <w:tc>
          <w:tcPr>
            <w:tcW w:w="86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ind w:firstLine="400"/>
              <w:jc w:val="left"/>
              <w:rPr>
                <w:rFonts w:ascii="Arial Narrow" w:hAnsi="Arial Narrow" w:cs="Arial Narrow"/>
                <w:color w:val="000000"/>
                <w:sz w:val="20"/>
                <w:szCs w:val="20"/>
                <w:highlight w:val="yellow"/>
              </w:rPr>
            </w:pPr>
          </w:p>
        </w:tc>
        <w:tc>
          <w:tcPr>
            <w:tcW w:w="1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可持续性影响（6）</w:t>
            </w:r>
          </w:p>
        </w:tc>
        <w:tc>
          <w:tcPr>
            <w:tcW w:w="2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项目实施后是否支持该项目长期运行，是否有相关管理机构及人力资源满足项目的实施要求，用以反映项目的可持续性。</w:t>
            </w:r>
          </w:p>
        </w:tc>
        <w:tc>
          <w:tcPr>
            <w:tcW w:w="31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hint="eastAsia" w:ascii="Arial Narrow" w:hAnsi="Arial Narrow" w:eastAsia="仿宋_GB2312" w:cs="Arial Narrow"/>
                <w:color w:val="000000"/>
                <w:kern w:val="0"/>
                <w:sz w:val="20"/>
                <w:szCs w:val="20"/>
                <w:lang w:eastAsia="zh-CN" w:bidi="ar"/>
              </w:rPr>
            </w:pPr>
            <w:r>
              <w:rPr>
                <w:rFonts w:ascii="Arial Narrow" w:hAnsi="Arial Narrow" w:cs="Arial Narrow"/>
                <w:color w:val="000000"/>
                <w:kern w:val="0"/>
                <w:sz w:val="20"/>
                <w:szCs w:val="20"/>
                <w:lang w:bidi="ar"/>
              </w:rPr>
              <w:t>评价要点：</w:t>
            </w:r>
          </w:p>
          <w:p>
            <w:pPr>
              <w:widowControl/>
              <w:spacing w:line="240" w:lineRule="auto"/>
              <w:ind w:firstLine="0" w:firstLineChars="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项目实施单位有机构设置和充足的人员配备支持项目实施的后续运行。</w:t>
            </w:r>
          </w:p>
        </w:tc>
      </w:tr>
      <w:tr>
        <w:tblPrEx>
          <w:tblCellMar>
            <w:top w:w="0" w:type="dxa"/>
            <w:left w:w="0" w:type="dxa"/>
            <w:bottom w:w="0" w:type="dxa"/>
            <w:right w:w="0" w:type="dxa"/>
          </w:tblCellMar>
        </w:tblPrEx>
        <w:trPr>
          <w:trHeight w:val="1561" w:hRule="atLeast"/>
        </w:trPr>
        <w:tc>
          <w:tcPr>
            <w:tcW w:w="86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ind w:firstLine="400"/>
              <w:jc w:val="left"/>
              <w:rPr>
                <w:rFonts w:ascii="Arial Narrow" w:hAnsi="Arial Narrow" w:cs="Arial Narrow"/>
                <w:color w:val="000000"/>
                <w:sz w:val="20"/>
                <w:szCs w:val="20"/>
                <w:highlight w:val="yellow"/>
              </w:rPr>
            </w:pPr>
          </w:p>
        </w:tc>
        <w:tc>
          <w:tcPr>
            <w:tcW w:w="14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社会公众满意度（6）</w:t>
            </w:r>
          </w:p>
        </w:tc>
        <w:tc>
          <w:tcPr>
            <w:tcW w:w="2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社会公众或服务对象对项目实施效果的满意程度。</w:t>
            </w:r>
          </w:p>
        </w:tc>
        <w:tc>
          <w:tcPr>
            <w:tcW w:w="31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通过调查问卷的方式获取，社会公众对项目实施的整体满意程度。</w:t>
            </w:r>
          </w:p>
        </w:tc>
      </w:tr>
    </w:tbl>
    <w:p>
      <w:pPr>
        <w:pStyle w:val="5"/>
        <w:tabs>
          <w:tab w:val="left" w:pos="432"/>
        </w:tabs>
        <w:spacing w:line="240" w:lineRule="auto"/>
        <w:ind w:firstLine="0" w:firstLineChars="0"/>
        <w:rPr>
          <w:rFonts w:ascii="Arial Narrow" w:hAnsi="Arial Narrow" w:cs="Arial Narrow"/>
          <w:szCs w:val="28"/>
          <w:highlight w:val="yellow"/>
        </w:rPr>
      </w:pPr>
    </w:p>
    <w:p>
      <w:pPr>
        <w:pStyle w:val="5"/>
        <w:tabs>
          <w:tab w:val="left" w:pos="432"/>
        </w:tabs>
        <w:spacing w:line="240" w:lineRule="auto"/>
        <w:ind w:firstLine="480"/>
        <w:rPr>
          <w:rFonts w:ascii="Arial Narrow" w:hAnsi="Arial Narrow" w:cs="Arial Narrow"/>
          <w:szCs w:val="28"/>
        </w:rPr>
      </w:pPr>
      <w:r>
        <w:rPr>
          <w:rFonts w:ascii="Arial Narrow" w:hAnsi="Arial Narrow" w:cs="Arial Narrow"/>
          <w:szCs w:val="28"/>
        </w:rPr>
        <w:t>具体指标目标值、绩效标准、评分细则如下表所示：</w:t>
      </w:r>
    </w:p>
    <w:tbl>
      <w:tblPr>
        <w:tblStyle w:val="11"/>
        <w:tblW w:w="7940" w:type="dxa"/>
        <w:tblInd w:w="0" w:type="dxa"/>
        <w:tblLayout w:type="fixed"/>
        <w:tblCellMar>
          <w:top w:w="0" w:type="dxa"/>
          <w:left w:w="0" w:type="dxa"/>
          <w:bottom w:w="0" w:type="dxa"/>
          <w:right w:w="0" w:type="dxa"/>
        </w:tblCellMar>
      </w:tblPr>
      <w:tblGrid>
        <w:gridCol w:w="953"/>
        <w:gridCol w:w="1325"/>
        <w:gridCol w:w="1159"/>
        <w:gridCol w:w="1177"/>
        <w:gridCol w:w="3326"/>
      </w:tblGrid>
      <w:tr>
        <w:tblPrEx>
          <w:tblCellMar>
            <w:top w:w="0" w:type="dxa"/>
            <w:left w:w="0" w:type="dxa"/>
            <w:bottom w:w="0" w:type="dxa"/>
            <w:right w:w="0" w:type="dxa"/>
          </w:tblCellMar>
        </w:tblPrEx>
        <w:trPr>
          <w:trHeight w:val="584" w:hRule="atLeast"/>
          <w:tblHeader/>
        </w:trPr>
        <w:tc>
          <w:tcPr>
            <w:tcW w:w="2278" w:type="dxa"/>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240" w:lineRule="auto"/>
              <w:ind w:firstLine="0" w:firstLineChars="0"/>
              <w:jc w:val="center"/>
              <w:textAlignment w:val="center"/>
              <w:rPr>
                <w:rFonts w:ascii="Arial Narrow" w:hAnsi="Arial Narrow" w:cs="Arial Narrow"/>
                <w:b/>
                <w:bCs/>
                <w:color w:val="000000"/>
                <w:sz w:val="20"/>
                <w:szCs w:val="20"/>
              </w:rPr>
            </w:pPr>
            <w:r>
              <w:rPr>
                <w:rFonts w:ascii="Arial Narrow" w:hAnsi="Arial Narrow" w:cs="Arial Narrow"/>
                <w:b/>
                <w:bCs/>
                <w:color w:val="000000"/>
                <w:kern w:val="0"/>
                <w:sz w:val="20"/>
                <w:szCs w:val="20"/>
                <w:lang w:bidi="ar"/>
              </w:rPr>
              <w:t>指标（权重）</w:t>
            </w:r>
          </w:p>
        </w:tc>
        <w:tc>
          <w:tcPr>
            <w:tcW w:w="1159"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ascii="Arial Narrow" w:hAnsi="Arial Narrow" w:cs="Arial Narrow"/>
                <w:b/>
                <w:bCs/>
                <w:color w:val="000000"/>
                <w:sz w:val="20"/>
                <w:szCs w:val="20"/>
              </w:rPr>
            </w:pPr>
            <w:r>
              <w:rPr>
                <w:rFonts w:ascii="Arial Narrow" w:hAnsi="Arial Narrow" w:cs="Arial Narrow"/>
                <w:b/>
                <w:bCs/>
                <w:color w:val="000000"/>
                <w:kern w:val="0"/>
                <w:sz w:val="20"/>
                <w:szCs w:val="20"/>
                <w:lang w:bidi="ar"/>
              </w:rPr>
              <w:t>参考值</w:t>
            </w:r>
          </w:p>
        </w:tc>
        <w:tc>
          <w:tcPr>
            <w:tcW w:w="1177"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ascii="Arial Narrow" w:hAnsi="Arial Narrow" w:cs="Arial Narrow"/>
                <w:b/>
                <w:bCs/>
                <w:color w:val="000000"/>
                <w:sz w:val="20"/>
                <w:szCs w:val="20"/>
              </w:rPr>
            </w:pPr>
            <w:r>
              <w:rPr>
                <w:rFonts w:ascii="Arial Narrow" w:hAnsi="Arial Narrow" w:cs="Arial Narrow"/>
                <w:b/>
                <w:bCs/>
                <w:color w:val="000000"/>
                <w:kern w:val="0"/>
                <w:sz w:val="20"/>
                <w:szCs w:val="20"/>
                <w:lang w:bidi="ar"/>
              </w:rPr>
              <w:t>绩效标准</w:t>
            </w:r>
          </w:p>
        </w:tc>
        <w:tc>
          <w:tcPr>
            <w:tcW w:w="3326"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240" w:lineRule="auto"/>
              <w:ind w:firstLine="408"/>
              <w:jc w:val="center"/>
              <w:textAlignment w:val="center"/>
              <w:rPr>
                <w:rFonts w:ascii="Arial Narrow" w:hAnsi="Arial Narrow" w:cs="Arial Narrow"/>
                <w:b/>
                <w:bCs/>
                <w:color w:val="000000"/>
                <w:sz w:val="20"/>
                <w:szCs w:val="20"/>
              </w:rPr>
            </w:pPr>
            <w:r>
              <w:rPr>
                <w:rFonts w:ascii="Arial Narrow" w:hAnsi="Arial Narrow" w:cs="Arial Narrow"/>
                <w:b/>
                <w:bCs/>
                <w:color w:val="000000"/>
                <w:kern w:val="0"/>
                <w:sz w:val="20"/>
                <w:szCs w:val="20"/>
                <w:lang w:bidi="ar"/>
              </w:rPr>
              <w:t>评分细则</w:t>
            </w:r>
          </w:p>
        </w:tc>
      </w:tr>
      <w:tr>
        <w:tblPrEx>
          <w:tblCellMar>
            <w:top w:w="0" w:type="dxa"/>
            <w:left w:w="0" w:type="dxa"/>
            <w:bottom w:w="0" w:type="dxa"/>
            <w:right w:w="0" w:type="dxa"/>
          </w:tblCellMar>
        </w:tblPrEx>
        <w:trPr>
          <w:trHeight w:val="2178" w:hRule="atLeast"/>
        </w:trPr>
        <w:tc>
          <w:tcPr>
            <w:tcW w:w="953"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项目立项</w:t>
            </w:r>
          </w:p>
        </w:tc>
        <w:tc>
          <w:tcPr>
            <w:tcW w:w="132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项目立项规范（4）</w:t>
            </w:r>
          </w:p>
        </w:tc>
        <w:tc>
          <w:tcPr>
            <w:tcW w:w="115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auto"/>
              <w:ind w:firstLine="400"/>
              <w:jc w:val="center"/>
              <w:rPr>
                <w:rFonts w:ascii="Arial Narrow" w:hAnsi="Arial Narrow" w:cs="Arial Narrow"/>
                <w:color w:val="000000"/>
                <w:sz w:val="20"/>
                <w:szCs w:val="20"/>
              </w:rPr>
            </w:pPr>
          </w:p>
        </w:tc>
        <w:tc>
          <w:tcPr>
            <w:tcW w:w="117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auto"/>
              <w:ind w:firstLine="400"/>
              <w:jc w:val="center"/>
              <w:rPr>
                <w:rFonts w:ascii="Arial Narrow" w:hAnsi="Arial Narrow" w:cs="Arial Narrow"/>
                <w:color w:val="000000"/>
                <w:sz w:val="20"/>
                <w:szCs w:val="20"/>
              </w:rPr>
            </w:pPr>
          </w:p>
        </w:tc>
        <w:tc>
          <w:tcPr>
            <w:tcW w:w="3326"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spacing w:line="240" w:lineRule="auto"/>
              <w:ind w:firstLine="0" w:firstLineChars="0"/>
              <w:jc w:val="left"/>
              <w:textAlignment w:val="center"/>
              <w:rPr>
                <w:rFonts w:hint="eastAsia" w:ascii="Arial Narrow" w:hAnsi="Arial Narrow" w:eastAsia="仿宋_GB2312" w:cs="Arial Narrow"/>
                <w:color w:val="000000"/>
                <w:kern w:val="0"/>
                <w:sz w:val="20"/>
                <w:szCs w:val="20"/>
                <w:lang w:eastAsia="zh-CN" w:bidi="ar"/>
              </w:rPr>
            </w:pPr>
            <w:r>
              <w:rPr>
                <w:rFonts w:ascii="Arial Narrow" w:hAnsi="Arial Narrow" w:cs="Arial Narrow"/>
                <w:color w:val="000000"/>
                <w:kern w:val="0"/>
                <w:sz w:val="20"/>
                <w:szCs w:val="20"/>
                <w:lang w:bidi="ar"/>
              </w:rPr>
              <w:t>项目按照规定的程序申请设立，提交的文件、材料符合相关要求计1分；事前已经过必要的可行性研究、专家论证、风险评估、集体决策的，计1分；</w:t>
            </w:r>
          </w:p>
          <w:p>
            <w:pPr>
              <w:widowControl/>
              <w:spacing w:line="240" w:lineRule="auto"/>
              <w:ind w:firstLine="0" w:firstLineChars="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项目执行时发生重大调整，有相应调整手续的，计2分。</w:t>
            </w:r>
          </w:p>
        </w:tc>
      </w:tr>
      <w:tr>
        <w:tblPrEx>
          <w:tblCellMar>
            <w:top w:w="0" w:type="dxa"/>
            <w:left w:w="0" w:type="dxa"/>
            <w:bottom w:w="0" w:type="dxa"/>
            <w:right w:w="0" w:type="dxa"/>
          </w:tblCellMar>
        </w:tblPrEx>
        <w:trPr>
          <w:trHeight w:val="2313" w:hRule="atLeast"/>
        </w:trPr>
        <w:tc>
          <w:tcPr>
            <w:tcW w:w="953"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auto"/>
              <w:ind w:firstLine="400"/>
              <w:jc w:val="left"/>
              <w:rPr>
                <w:rFonts w:ascii="Arial Narrow" w:hAnsi="Arial Narrow" w:cs="Arial Narrow"/>
                <w:color w:val="000000"/>
                <w:sz w:val="20"/>
                <w:szCs w:val="20"/>
              </w:rPr>
            </w:pPr>
          </w:p>
        </w:tc>
        <w:tc>
          <w:tcPr>
            <w:tcW w:w="132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绩效目标合理（4）</w:t>
            </w:r>
          </w:p>
        </w:tc>
        <w:tc>
          <w:tcPr>
            <w:tcW w:w="115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auto"/>
              <w:ind w:firstLine="400"/>
              <w:jc w:val="center"/>
              <w:rPr>
                <w:rFonts w:ascii="Arial Narrow" w:hAnsi="Arial Narrow" w:cs="Arial Narrow"/>
                <w:color w:val="000000"/>
                <w:sz w:val="20"/>
                <w:szCs w:val="20"/>
              </w:rPr>
            </w:pPr>
          </w:p>
        </w:tc>
        <w:tc>
          <w:tcPr>
            <w:tcW w:w="117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auto"/>
              <w:ind w:firstLine="400"/>
              <w:jc w:val="center"/>
              <w:rPr>
                <w:rFonts w:ascii="Arial Narrow" w:hAnsi="Arial Narrow" w:cs="Arial Narrow"/>
                <w:color w:val="000000"/>
                <w:sz w:val="20"/>
                <w:szCs w:val="20"/>
              </w:rPr>
            </w:pPr>
          </w:p>
        </w:tc>
        <w:tc>
          <w:tcPr>
            <w:tcW w:w="3326"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spacing w:line="240" w:lineRule="auto"/>
              <w:ind w:firstLine="0" w:firstLineChars="0"/>
              <w:jc w:val="left"/>
              <w:textAlignment w:val="center"/>
              <w:rPr>
                <w:rFonts w:hint="eastAsia" w:ascii="Arial Narrow" w:hAnsi="Arial Narrow" w:eastAsia="仿宋_GB2312" w:cs="Arial Narrow"/>
                <w:color w:val="000000"/>
                <w:kern w:val="0"/>
                <w:sz w:val="20"/>
                <w:szCs w:val="20"/>
                <w:lang w:eastAsia="zh-CN" w:bidi="ar"/>
              </w:rPr>
            </w:pPr>
            <w:r>
              <w:rPr>
                <w:rFonts w:ascii="Arial Narrow" w:hAnsi="Arial Narrow" w:cs="Arial Narrow"/>
                <w:color w:val="000000"/>
                <w:kern w:val="0"/>
                <w:sz w:val="20"/>
                <w:szCs w:val="20"/>
                <w:lang w:bidi="ar"/>
              </w:rPr>
              <w:t>项目设定长期目标、年度目标和绩效指标，目标和指标的设计符合目标管理规范，计2分；</w:t>
            </w:r>
          </w:p>
          <w:p>
            <w:pPr>
              <w:widowControl/>
              <w:spacing w:line="240" w:lineRule="auto"/>
              <w:ind w:firstLine="0" w:firstLineChars="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根据绩效目标和完成情况的对比考核目标设立的合理性，绩效指标具有可测性，计2分。否则按实际情况扣分。</w:t>
            </w:r>
          </w:p>
        </w:tc>
      </w:tr>
      <w:tr>
        <w:tblPrEx>
          <w:tblCellMar>
            <w:top w:w="0" w:type="dxa"/>
            <w:left w:w="0" w:type="dxa"/>
            <w:bottom w:w="0" w:type="dxa"/>
            <w:right w:w="0" w:type="dxa"/>
          </w:tblCellMar>
        </w:tblPrEx>
        <w:trPr>
          <w:trHeight w:val="946" w:hRule="atLeast"/>
        </w:trPr>
        <w:tc>
          <w:tcPr>
            <w:tcW w:w="953" w:type="dxa"/>
            <w:vMerge w:val="restart"/>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资金落实</w:t>
            </w:r>
          </w:p>
        </w:tc>
        <w:tc>
          <w:tcPr>
            <w:tcW w:w="132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资金到位率（4）</w:t>
            </w:r>
          </w:p>
        </w:tc>
        <w:tc>
          <w:tcPr>
            <w:tcW w:w="1159"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100%</w:t>
            </w:r>
          </w:p>
        </w:tc>
        <w:tc>
          <w:tcPr>
            <w:tcW w:w="1177"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ind w:firstLine="0" w:firstLineChars="0"/>
              <w:jc w:val="center"/>
              <w:rPr>
                <w:rFonts w:ascii="Arial Narrow" w:hAnsi="Arial Narrow" w:cs="Arial Narrow"/>
                <w:color w:val="000000"/>
                <w:sz w:val="20"/>
                <w:szCs w:val="20"/>
              </w:rPr>
            </w:pPr>
            <w:r>
              <w:rPr>
                <w:rFonts w:ascii="Arial Narrow" w:hAnsi="Arial Narrow" w:cs="Arial Narrow"/>
                <w:color w:val="000000"/>
                <w:kern w:val="0"/>
                <w:sz w:val="20"/>
                <w:szCs w:val="20"/>
                <w:lang w:bidi="ar"/>
              </w:rPr>
              <w:t>计划标准</w:t>
            </w:r>
          </w:p>
        </w:tc>
        <w:tc>
          <w:tcPr>
            <w:tcW w:w="3326" w:type="dxa"/>
            <w:tcBorders>
              <w:top w:val="single" w:color="auto"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uto"/>
              <w:ind w:firstLine="0" w:firstLineChars="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资金全部到位计4分，资金到位率每降低5%，扣1分。</w:t>
            </w:r>
          </w:p>
        </w:tc>
      </w:tr>
      <w:tr>
        <w:tblPrEx>
          <w:tblCellMar>
            <w:top w:w="0" w:type="dxa"/>
            <w:left w:w="0" w:type="dxa"/>
            <w:bottom w:w="0" w:type="dxa"/>
            <w:right w:w="0" w:type="dxa"/>
          </w:tblCellMar>
        </w:tblPrEx>
        <w:trPr>
          <w:trHeight w:val="940" w:hRule="atLeast"/>
        </w:trPr>
        <w:tc>
          <w:tcPr>
            <w:tcW w:w="95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ind w:firstLine="400"/>
              <w:jc w:val="left"/>
              <w:rPr>
                <w:rFonts w:ascii="Arial Narrow" w:hAnsi="Arial Narrow" w:cs="Arial Narrow"/>
                <w:color w:val="000000"/>
                <w:sz w:val="20"/>
                <w:szCs w:val="20"/>
              </w:rPr>
            </w:pPr>
          </w:p>
        </w:tc>
        <w:tc>
          <w:tcPr>
            <w:tcW w:w="13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到位及时率（4）</w:t>
            </w:r>
          </w:p>
        </w:tc>
        <w:tc>
          <w:tcPr>
            <w:tcW w:w="11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100%</w:t>
            </w:r>
          </w:p>
        </w:tc>
        <w:tc>
          <w:tcPr>
            <w:tcW w:w="11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ind w:firstLine="0" w:firstLineChars="0"/>
              <w:jc w:val="center"/>
              <w:rPr>
                <w:rFonts w:ascii="Arial Narrow" w:hAnsi="Arial Narrow" w:cs="Arial Narrow"/>
                <w:color w:val="000000"/>
                <w:sz w:val="20"/>
                <w:szCs w:val="20"/>
              </w:rPr>
            </w:pPr>
            <w:r>
              <w:rPr>
                <w:rFonts w:ascii="Arial Narrow" w:hAnsi="Arial Narrow" w:cs="Arial Narrow"/>
                <w:color w:val="000000"/>
                <w:kern w:val="0"/>
                <w:sz w:val="20"/>
                <w:szCs w:val="20"/>
                <w:lang w:bidi="ar"/>
              </w:rPr>
              <w:t>计划标准</w:t>
            </w:r>
          </w:p>
        </w:tc>
        <w:tc>
          <w:tcPr>
            <w:tcW w:w="332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uto"/>
              <w:ind w:firstLine="0" w:firstLineChars="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资金的到位及时率达到100%计4分，每降低10%，扣1分。</w:t>
            </w:r>
          </w:p>
        </w:tc>
      </w:tr>
      <w:tr>
        <w:tblPrEx>
          <w:tblCellMar>
            <w:top w:w="0" w:type="dxa"/>
            <w:left w:w="0" w:type="dxa"/>
            <w:bottom w:w="0" w:type="dxa"/>
            <w:right w:w="0" w:type="dxa"/>
          </w:tblCellMar>
        </w:tblPrEx>
        <w:trPr>
          <w:trHeight w:val="1215" w:hRule="atLeast"/>
        </w:trPr>
        <w:tc>
          <w:tcPr>
            <w:tcW w:w="95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项目管理</w:t>
            </w:r>
          </w:p>
        </w:tc>
        <w:tc>
          <w:tcPr>
            <w:tcW w:w="13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管理制度健全性（4）</w:t>
            </w:r>
          </w:p>
        </w:tc>
        <w:tc>
          <w:tcPr>
            <w:tcW w:w="11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ind w:firstLine="400"/>
              <w:jc w:val="center"/>
              <w:rPr>
                <w:rFonts w:ascii="Arial Narrow" w:hAnsi="Arial Narrow" w:cs="Arial Narrow"/>
                <w:color w:val="000000"/>
                <w:sz w:val="20"/>
                <w:szCs w:val="20"/>
              </w:rPr>
            </w:pPr>
          </w:p>
        </w:tc>
        <w:tc>
          <w:tcPr>
            <w:tcW w:w="11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ind w:firstLine="400"/>
              <w:jc w:val="center"/>
              <w:rPr>
                <w:rFonts w:ascii="Arial Narrow" w:hAnsi="Arial Narrow" w:cs="Arial Narrow"/>
                <w:color w:val="000000"/>
                <w:sz w:val="20"/>
                <w:szCs w:val="20"/>
              </w:rPr>
            </w:pPr>
          </w:p>
        </w:tc>
        <w:tc>
          <w:tcPr>
            <w:tcW w:w="332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uto"/>
              <w:ind w:firstLine="0" w:firstLineChars="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制定相应的业务管理制度，包括项目管理办法、工作考核奖惩办法等计4分，缺少一项扣1分。</w:t>
            </w:r>
          </w:p>
        </w:tc>
      </w:tr>
      <w:tr>
        <w:tblPrEx>
          <w:tblCellMar>
            <w:top w:w="0" w:type="dxa"/>
            <w:left w:w="0" w:type="dxa"/>
            <w:bottom w:w="0" w:type="dxa"/>
            <w:right w:w="0" w:type="dxa"/>
          </w:tblCellMar>
        </w:tblPrEx>
        <w:trPr>
          <w:trHeight w:val="1599" w:hRule="atLeast"/>
        </w:trPr>
        <w:tc>
          <w:tcPr>
            <w:tcW w:w="95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ind w:firstLine="400"/>
              <w:jc w:val="left"/>
              <w:rPr>
                <w:rFonts w:ascii="Arial Narrow" w:hAnsi="Arial Narrow" w:cs="Arial Narrow"/>
                <w:color w:val="000000"/>
                <w:sz w:val="20"/>
                <w:szCs w:val="20"/>
              </w:rPr>
            </w:pPr>
          </w:p>
        </w:tc>
        <w:tc>
          <w:tcPr>
            <w:tcW w:w="13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制度执行有效性（4）</w:t>
            </w:r>
          </w:p>
        </w:tc>
        <w:tc>
          <w:tcPr>
            <w:tcW w:w="11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ind w:firstLine="400"/>
              <w:jc w:val="center"/>
              <w:rPr>
                <w:rFonts w:ascii="Arial Narrow" w:hAnsi="Arial Narrow" w:cs="Arial Narrow"/>
                <w:color w:val="000000"/>
                <w:sz w:val="20"/>
                <w:szCs w:val="20"/>
              </w:rPr>
            </w:pPr>
          </w:p>
        </w:tc>
        <w:tc>
          <w:tcPr>
            <w:tcW w:w="11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ind w:firstLine="400"/>
              <w:jc w:val="center"/>
              <w:rPr>
                <w:rFonts w:ascii="Arial Narrow" w:hAnsi="Arial Narrow" w:cs="Arial Narrow"/>
                <w:color w:val="000000"/>
                <w:sz w:val="20"/>
                <w:szCs w:val="20"/>
              </w:rPr>
            </w:pPr>
          </w:p>
        </w:tc>
        <w:tc>
          <w:tcPr>
            <w:tcW w:w="332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uto"/>
              <w:ind w:firstLine="0" w:firstLineChars="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项目执行遵守相应的业务管理制度，如项目管理办法、合同制、工作考核奖惩办法、作业标准。计4分，未遵守一项扣1分。</w:t>
            </w:r>
          </w:p>
        </w:tc>
      </w:tr>
      <w:tr>
        <w:tblPrEx>
          <w:tblCellMar>
            <w:top w:w="0" w:type="dxa"/>
            <w:left w:w="0" w:type="dxa"/>
            <w:bottom w:w="0" w:type="dxa"/>
            <w:right w:w="0" w:type="dxa"/>
          </w:tblCellMar>
        </w:tblPrEx>
        <w:trPr>
          <w:trHeight w:val="1192" w:hRule="atLeast"/>
        </w:trPr>
        <w:tc>
          <w:tcPr>
            <w:tcW w:w="95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ind w:firstLine="400"/>
              <w:jc w:val="left"/>
              <w:rPr>
                <w:rFonts w:ascii="Arial Narrow" w:hAnsi="Arial Narrow" w:cs="Arial Narrow"/>
                <w:color w:val="000000"/>
                <w:sz w:val="20"/>
                <w:szCs w:val="20"/>
              </w:rPr>
            </w:pPr>
          </w:p>
        </w:tc>
        <w:tc>
          <w:tcPr>
            <w:tcW w:w="13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项目质量可控性（4）</w:t>
            </w:r>
          </w:p>
        </w:tc>
        <w:tc>
          <w:tcPr>
            <w:tcW w:w="11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ind w:firstLine="400"/>
              <w:jc w:val="center"/>
              <w:rPr>
                <w:rFonts w:ascii="Arial Narrow" w:hAnsi="Arial Narrow" w:cs="Arial Narrow"/>
                <w:color w:val="000000"/>
                <w:sz w:val="20"/>
                <w:szCs w:val="20"/>
              </w:rPr>
            </w:pPr>
          </w:p>
        </w:tc>
        <w:tc>
          <w:tcPr>
            <w:tcW w:w="11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ind w:firstLine="400"/>
              <w:jc w:val="center"/>
              <w:rPr>
                <w:rFonts w:ascii="Arial Narrow" w:hAnsi="Arial Narrow" w:cs="Arial Narrow"/>
                <w:color w:val="000000"/>
                <w:sz w:val="20"/>
                <w:szCs w:val="20"/>
              </w:rPr>
            </w:pPr>
          </w:p>
        </w:tc>
        <w:tc>
          <w:tcPr>
            <w:tcW w:w="332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uto"/>
              <w:ind w:firstLine="0" w:firstLineChars="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具有相应的项目质量标准规定，计2分；采取了质量检查措施，计2分。未达到要求，按情况扣分。</w:t>
            </w:r>
          </w:p>
        </w:tc>
      </w:tr>
      <w:tr>
        <w:tblPrEx>
          <w:tblCellMar>
            <w:top w:w="0" w:type="dxa"/>
            <w:left w:w="0" w:type="dxa"/>
            <w:bottom w:w="0" w:type="dxa"/>
            <w:right w:w="0" w:type="dxa"/>
          </w:tblCellMar>
        </w:tblPrEx>
        <w:trPr>
          <w:trHeight w:val="1428" w:hRule="atLeast"/>
        </w:trPr>
        <w:tc>
          <w:tcPr>
            <w:tcW w:w="95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财务管理</w:t>
            </w:r>
          </w:p>
        </w:tc>
        <w:tc>
          <w:tcPr>
            <w:tcW w:w="13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管理制度健全性（4）</w:t>
            </w:r>
          </w:p>
        </w:tc>
        <w:tc>
          <w:tcPr>
            <w:tcW w:w="11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ind w:firstLine="400"/>
              <w:jc w:val="center"/>
              <w:rPr>
                <w:rFonts w:ascii="Arial Narrow" w:hAnsi="Arial Narrow" w:cs="Arial Narrow"/>
                <w:color w:val="000000"/>
                <w:sz w:val="20"/>
                <w:szCs w:val="20"/>
              </w:rPr>
            </w:pPr>
          </w:p>
        </w:tc>
        <w:tc>
          <w:tcPr>
            <w:tcW w:w="11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ind w:firstLine="400"/>
              <w:jc w:val="center"/>
              <w:rPr>
                <w:rFonts w:ascii="Arial Narrow" w:hAnsi="Arial Narrow" w:cs="Arial Narrow"/>
                <w:color w:val="000000"/>
                <w:sz w:val="20"/>
                <w:szCs w:val="20"/>
              </w:rPr>
            </w:pPr>
          </w:p>
        </w:tc>
        <w:tc>
          <w:tcPr>
            <w:tcW w:w="332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uto"/>
              <w:ind w:firstLine="0" w:firstLineChars="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项目制定了或具有相应的资金管理办法计2分，资金管理办法符合相关财务会计制度的规定计2分。</w:t>
            </w:r>
          </w:p>
        </w:tc>
      </w:tr>
      <w:tr>
        <w:tblPrEx>
          <w:tblCellMar>
            <w:top w:w="0" w:type="dxa"/>
            <w:left w:w="0" w:type="dxa"/>
            <w:bottom w:w="0" w:type="dxa"/>
            <w:right w:w="0" w:type="dxa"/>
          </w:tblCellMar>
        </w:tblPrEx>
        <w:trPr>
          <w:trHeight w:val="3277" w:hRule="atLeast"/>
        </w:trPr>
        <w:tc>
          <w:tcPr>
            <w:tcW w:w="95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ind w:firstLine="400"/>
              <w:jc w:val="left"/>
              <w:rPr>
                <w:rFonts w:ascii="Arial Narrow" w:hAnsi="Arial Narrow" w:cs="Arial Narrow"/>
                <w:color w:val="000000"/>
                <w:sz w:val="20"/>
                <w:szCs w:val="20"/>
              </w:rPr>
            </w:pPr>
          </w:p>
        </w:tc>
        <w:tc>
          <w:tcPr>
            <w:tcW w:w="132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资金使用合规性（5）</w:t>
            </w:r>
          </w:p>
        </w:tc>
        <w:tc>
          <w:tcPr>
            <w:tcW w:w="1159"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spacing w:line="240" w:lineRule="auto"/>
              <w:ind w:firstLine="400"/>
              <w:jc w:val="center"/>
              <w:rPr>
                <w:rFonts w:ascii="Arial Narrow" w:hAnsi="Arial Narrow" w:cs="Arial Narrow"/>
                <w:color w:val="000000"/>
                <w:sz w:val="20"/>
                <w:szCs w:val="20"/>
              </w:rPr>
            </w:pPr>
          </w:p>
        </w:tc>
        <w:tc>
          <w:tcPr>
            <w:tcW w:w="1177"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spacing w:line="240" w:lineRule="auto"/>
              <w:ind w:firstLine="400"/>
              <w:jc w:val="center"/>
              <w:rPr>
                <w:rFonts w:ascii="Arial Narrow" w:hAnsi="Arial Narrow" w:cs="Arial Narrow"/>
                <w:color w:val="000000"/>
                <w:sz w:val="20"/>
                <w:szCs w:val="20"/>
              </w:rPr>
            </w:pPr>
          </w:p>
        </w:tc>
        <w:tc>
          <w:tcPr>
            <w:tcW w:w="3326" w:type="dxa"/>
            <w:tcBorders>
              <w:top w:val="single" w:color="000000" w:sz="4" w:space="0"/>
              <w:left w:val="single" w:color="000000" w:sz="4" w:space="0"/>
              <w:bottom w:val="single" w:color="auto" w:sz="4" w:space="0"/>
              <w:right w:val="single" w:color="000000" w:sz="4" w:space="0"/>
            </w:tcBorders>
            <w:shd w:val="clear" w:color="auto" w:fill="FFFFFF"/>
            <w:tcMar>
              <w:top w:w="15" w:type="dxa"/>
              <w:left w:w="15" w:type="dxa"/>
              <w:right w:w="15" w:type="dxa"/>
            </w:tcMar>
            <w:vAlign w:val="center"/>
          </w:tcPr>
          <w:p>
            <w:pPr>
              <w:widowControl/>
              <w:spacing w:line="240" w:lineRule="auto"/>
              <w:ind w:firstLine="0" w:firstLineChars="0"/>
              <w:jc w:val="left"/>
              <w:textAlignment w:val="center"/>
              <w:rPr>
                <w:rFonts w:hint="eastAsia" w:ascii="Arial Narrow" w:hAnsi="Arial Narrow" w:eastAsia="仿宋_GB2312" w:cs="Arial Narrow"/>
                <w:color w:val="000000"/>
                <w:kern w:val="0"/>
                <w:sz w:val="20"/>
                <w:szCs w:val="20"/>
                <w:lang w:eastAsia="zh-CN" w:bidi="ar"/>
              </w:rPr>
            </w:pPr>
            <w:r>
              <w:rPr>
                <w:rFonts w:ascii="Arial Narrow" w:hAnsi="Arial Narrow" w:cs="Arial Narrow"/>
                <w:color w:val="000000"/>
                <w:kern w:val="0"/>
                <w:sz w:val="20"/>
                <w:szCs w:val="20"/>
                <w:lang w:bidi="ar"/>
              </w:rPr>
              <w:t>符合国家财经法规和财务管理制度以及有关专项资金管理办法的规定，计2分；</w:t>
            </w:r>
          </w:p>
          <w:p>
            <w:pPr>
              <w:widowControl/>
              <w:spacing w:line="240" w:lineRule="auto"/>
              <w:ind w:firstLine="0" w:firstLineChars="0"/>
              <w:jc w:val="left"/>
              <w:textAlignment w:val="center"/>
              <w:rPr>
                <w:rFonts w:hint="eastAsia" w:ascii="Arial Narrow" w:hAnsi="Arial Narrow" w:eastAsia="仿宋_GB2312" w:cs="Arial Narrow"/>
                <w:color w:val="000000"/>
                <w:kern w:val="0"/>
                <w:sz w:val="20"/>
                <w:szCs w:val="20"/>
                <w:lang w:eastAsia="zh-CN" w:bidi="ar"/>
              </w:rPr>
            </w:pPr>
            <w:r>
              <w:rPr>
                <w:rFonts w:ascii="Arial Narrow" w:hAnsi="Arial Narrow" w:cs="Arial Narrow"/>
                <w:color w:val="000000"/>
                <w:kern w:val="0"/>
                <w:sz w:val="20"/>
                <w:szCs w:val="20"/>
                <w:lang w:bidi="ar"/>
              </w:rPr>
              <w:t>资金的拨付有完整的审批程序和手续，且项目的重大开支是否经过评估认证，计2分；</w:t>
            </w:r>
          </w:p>
          <w:p>
            <w:pPr>
              <w:widowControl/>
              <w:spacing w:line="240" w:lineRule="auto"/>
              <w:ind w:firstLine="0" w:firstLineChars="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符合项目预算批复或合同规定的用途，且不存在截留、挤占、挪用、虚列支出等情况，计1分。</w:t>
            </w:r>
          </w:p>
        </w:tc>
      </w:tr>
      <w:tr>
        <w:tblPrEx>
          <w:tblCellMar>
            <w:top w:w="0" w:type="dxa"/>
            <w:left w:w="0" w:type="dxa"/>
            <w:bottom w:w="0" w:type="dxa"/>
            <w:right w:w="0" w:type="dxa"/>
          </w:tblCellMar>
        </w:tblPrEx>
        <w:trPr>
          <w:trHeight w:val="90" w:hRule="atLeast"/>
        </w:trPr>
        <w:tc>
          <w:tcPr>
            <w:tcW w:w="953" w:type="dxa"/>
            <w:vMerge w:val="continue"/>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spacing w:line="240" w:lineRule="auto"/>
              <w:ind w:firstLine="400"/>
              <w:jc w:val="left"/>
              <w:rPr>
                <w:rFonts w:ascii="Arial Narrow" w:hAnsi="Arial Narrow" w:cs="Arial Narrow"/>
                <w:color w:val="000000"/>
                <w:sz w:val="20"/>
                <w:szCs w:val="20"/>
              </w:rPr>
            </w:pPr>
          </w:p>
        </w:tc>
        <w:tc>
          <w:tcPr>
            <w:tcW w:w="132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财务监控有效性（3）</w:t>
            </w:r>
          </w:p>
        </w:tc>
        <w:tc>
          <w:tcPr>
            <w:tcW w:w="115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auto"/>
              <w:ind w:firstLine="400"/>
              <w:jc w:val="center"/>
              <w:rPr>
                <w:rFonts w:ascii="Arial Narrow" w:hAnsi="Arial Narrow" w:cs="Arial Narrow"/>
                <w:color w:val="000000"/>
                <w:sz w:val="20"/>
                <w:szCs w:val="20"/>
              </w:rPr>
            </w:pPr>
          </w:p>
        </w:tc>
        <w:tc>
          <w:tcPr>
            <w:tcW w:w="117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auto"/>
              <w:ind w:firstLine="400"/>
              <w:jc w:val="center"/>
              <w:rPr>
                <w:rFonts w:ascii="Arial Narrow" w:hAnsi="Arial Narrow" w:cs="Arial Narrow"/>
                <w:color w:val="000000"/>
                <w:sz w:val="20"/>
                <w:szCs w:val="20"/>
              </w:rPr>
            </w:pPr>
          </w:p>
        </w:tc>
        <w:tc>
          <w:tcPr>
            <w:tcW w:w="3326"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spacing w:line="240" w:lineRule="auto"/>
              <w:ind w:firstLine="0" w:firstLineChars="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已制定或具有相应对监控机制，计2分，采取率相应对财务检查等必要的监控措施或手段，加计1分。</w:t>
            </w:r>
          </w:p>
        </w:tc>
      </w:tr>
      <w:tr>
        <w:tblPrEx>
          <w:tblCellMar>
            <w:top w:w="0" w:type="dxa"/>
            <w:left w:w="0" w:type="dxa"/>
            <w:bottom w:w="0" w:type="dxa"/>
            <w:right w:w="0" w:type="dxa"/>
          </w:tblCellMar>
        </w:tblPrEx>
        <w:trPr>
          <w:trHeight w:val="1469" w:hRule="atLeast"/>
        </w:trPr>
        <w:tc>
          <w:tcPr>
            <w:tcW w:w="953" w:type="dxa"/>
            <w:vMerge w:val="restart"/>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项目产出</w:t>
            </w:r>
          </w:p>
        </w:tc>
        <w:tc>
          <w:tcPr>
            <w:tcW w:w="132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审核手续齐全性（5）</w:t>
            </w:r>
          </w:p>
        </w:tc>
        <w:tc>
          <w:tcPr>
            <w:tcW w:w="115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100%</w:t>
            </w:r>
          </w:p>
        </w:tc>
        <w:tc>
          <w:tcPr>
            <w:tcW w:w="117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计划标准</w:t>
            </w:r>
          </w:p>
        </w:tc>
        <w:tc>
          <w:tcPr>
            <w:tcW w:w="33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项目单位具有相应的审核手续，计3分；采取相应的监控手段，对审核手续进行有效检查，计2分。</w:t>
            </w:r>
          </w:p>
        </w:tc>
      </w:tr>
      <w:tr>
        <w:tblPrEx>
          <w:tblCellMar>
            <w:top w:w="0" w:type="dxa"/>
            <w:left w:w="0" w:type="dxa"/>
            <w:bottom w:w="0" w:type="dxa"/>
            <w:right w:w="0" w:type="dxa"/>
          </w:tblCellMar>
        </w:tblPrEx>
        <w:trPr>
          <w:trHeight w:val="1200" w:hRule="atLeast"/>
        </w:trPr>
        <w:tc>
          <w:tcPr>
            <w:tcW w:w="953" w:type="dxa"/>
            <w:vMerge w:val="continue"/>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spacing w:line="240" w:lineRule="auto"/>
              <w:ind w:firstLine="400"/>
              <w:jc w:val="left"/>
              <w:rPr>
                <w:rFonts w:ascii="Arial Narrow" w:hAnsi="Arial Narrow" w:cs="Arial Narrow"/>
                <w:color w:val="000000"/>
                <w:sz w:val="20"/>
                <w:szCs w:val="20"/>
              </w:rPr>
            </w:pPr>
          </w:p>
        </w:tc>
        <w:tc>
          <w:tcPr>
            <w:tcW w:w="132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申请墙改基金清算时间（4）</w:t>
            </w:r>
          </w:p>
        </w:tc>
        <w:tc>
          <w:tcPr>
            <w:tcW w:w="115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100%</w:t>
            </w:r>
          </w:p>
        </w:tc>
        <w:tc>
          <w:tcPr>
            <w:tcW w:w="117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计划标准</w:t>
            </w:r>
          </w:p>
        </w:tc>
        <w:tc>
          <w:tcPr>
            <w:tcW w:w="33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项目单位具有工程竣工验收备案，计2分；在取得工程竣工验收备案后30个工作日内申请基金清算，计2分。</w:t>
            </w:r>
          </w:p>
        </w:tc>
      </w:tr>
      <w:tr>
        <w:tblPrEx>
          <w:tblCellMar>
            <w:top w:w="0" w:type="dxa"/>
            <w:left w:w="0" w:type="dxa"/>
            <w:bottom w:w="0" w:type="dxa"/>
            <w:right w:w="0" w:type="dxa"/>
          </w:tblCellMar>
        </w:tblPrEx>
        <w:trPr>
          <w:trHeight w:val="1698" w:hRule="atLeast"/>
        </w:trPr>
        <w:tc>
          <w:tcPr>
            <w:tcW w:w="953" w:type="dxa"/>
            <w:vMerge w:val="continue"/>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spacing w:line="240" w:lineRule="auto"/>
              <w:ind w:firstLine="400"/>
              <w:jc w:val="left"/>
              <w:rPr>
                <w:rFonts w:ascii="Arial Narrow" w:hAnsi="Arial Narrow" w:cs="Arial Narrow"/>
                <w:color w:val="000000"/>
                <w:sz w:val="20"/>
                <w:szCs w:val="20"/>
              </w:rPr>
            </w:pPr>
          </w:p>
        </w:tc>
        <w:tc>
          <w:tcPr>
            <w:tcW w:w="132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墙改基金退付比例合理性（4）</w:t>
            </w:r>
          </w:p>
        </w:tc>
        <w:tc>
          <w:tcPr>
            <w:tcW w:w="115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100%</w:t>
            </w:r>
          </w:p>
        </w:tc>
        <w:tc>
          <w:tcPr>
            <w:tcW w:w="117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计划标准</w:t>
            </w:r>
          </w:p>
        </w:tc>
        <w:tc>
          <w:tcPr>
            <w:tcW w:w="33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项目单位具有武汉市新型墙体材料验收单，计2分；具有湖北省建设工程质量检测专用报告单，计2分。</w:t>
            </w:r>
          </w:p>
        </w:tc>
      </w:tr>
      <w:tr>
        <w:tblPrEx>
          <w:tblCellMar>
            <w:top w:w="0" w:type="dxa"/>
            <w:left w:w="0" w:type="dxa"/>
            <w:bottom w:w="0" w:type="dxa"/>
            <w:right w:w="0" w:type="dxa"/>
          </w:tblCellMar>
        </w:tblPrEx>
        <w:trPr>
          <w:trHeight w:val="1140" w:hRule="atLeast"/>
        </w:trPr>
        <w:tc>
          <w:tcPr>
            <w:tcW w:w="953" w:type="dxa"/>
            <w:vMerge w:val="continue"/>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spacing w:line="240" w:lineRule="auto"/>
              <w:ind w:firstLine="400"/>
              <w:jc w:val="left"/>
              <w:rPr>
                <w:rFonts w:ascii="Arial Narrow" w:hAnsi="Arial Narrow" w:cs="Arial Narrow"/>
                <w:color w:val="000000"/>
                <w:sz w:val="20"/>
                <w:szCs w:val="20"/>
              </w:rPr>
            </w:pPr>
          </w:p>
        </w:tc>
        <w:tc>
          <w:tcPr>
            <w:tcW w:w="132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现场核验完成率（5）</w:t>
            </w:r>
          </w:p>
        </w:tc>
        <w:tc>
          <w:tcPr>
            <w:tcW w:w="115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100%</w:t>
            </w:r>
          </w:p>
        </w:tc>
        <w:tc>
          <w:tcPr>
            <w:tcW w:w="117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计划标准</w:t>
            </w:r>
          </w:p>
        </w:tc>
        <w:tc>
          <w:tcPr>
            <w:tcW w:w="33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项目单位有墙体材料验收申请，计2分；在3个工作日内到现场审核，计3分。</w:t>
            </w:r>
          </w:p>
        </w:tc>
      </w:tr>
      <w:tr>
        <w:tblPrEx>
          <w:tblCellMar>
            <w:top w:w="0" w:type="dxa"/>
            <w:left w:w="0" w:type="dxa"/>
            <w:bottom w:w="0" w:type="dxa"/>
            <w:right w:w="0" w:type="dxa"/>
          </w:tblCellMar>
        </w:tblPrEx>
        <w:trPr>
          <w:trHeight w:val="1659" w:hRule="atLeast"/>
        </w:trPr>
        <w:tc>
          <w:tcPr>
            <w:tcW w:w="953" w:type="dxa"/>
            <w:vMerge w:val="continue"/>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spacing w:line="240" w:lineRule="auto"/>
              <w:ind w:firstLine="400"/>
              <w:jc w:val="left"/>
              <w:rPr>
                <w:rFonts w:ascii="Arial Narrow" w:hAnsi="Arial Narrow" w:cs="Arial Narrow"/>
                <w:color w:val="000000"/>
                <w:sz w:val="20"/>
                <w:szCs w:val="20"/>
              </w:rPr>
            </w:pPr>
          </w:p>
        </w:tc>
        <w:tc>
          <w:tcPr>
            <w:tcW w:w="132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spacing w:line="240" w:lineRule="auto"/>
              <w:ind w:firstLine="0" w:firstLineChars="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专家机构审核合格率（4）</w:t>
            </w:r>
          </w:p>
        </w:tc>
        <w:tc>
          <w:tcPr>
            <w:tcW w:w="115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100%</w:t>
            </w:r>
          </w:p>
        </w:tc>
        <w:tc>
          <w:tcPr>
            <w:tcW w:w="117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计划标准</w:t>
            </w:r>
          </w:p>
        </w:tc>
        <w:tc>
          <w:tcPr>
            <w:tcW w:w="3326"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spacing w:line="240" w:lineRule="auto"/>
              <w:ind w:firstLine="0" w:firstLineChars="0"/>
              <w:jc w:val="left"/>
              <w:textAlignment w:val="center"/>
              <w:rPr>
                <w:rFonts w:ascii="Arial Narrow" w:hAnsi="Arial Narrow" w:cs="Arial Narrow"/>
                <w:color w:val="000000"/>
                <w:sz w:val="20"/>
                <w:szCs w:val="20"/>
              </w:rPr>
            </w:pPr>
            <w:r>
              <w:rPr>
                <w:rFonts w:ascii="Arial Narrow" w:hAnsi="Arial Narrow" w:cs="Arial Narrow"/>
                <w:sz w:val="20"/>
                <w:szCs w:val="20"/>
              </w:rPr>
              <w:t>专家机构审查材料属性符合购销合同的材料标准，计2分；有相应的墙体材料购销合同，计2分。</w:t>
            </w:r>
          </w:p>
        </w:tc>
      </w:tr>
      <w:tr>
        <w:tblPrEx>
          <w:tblCellMar>
            <w:top w:w="0" w:type="dxa"/>
            <w:left w:w="0" w:type="dxa"/>
            <w:bottom w:w="0" w:type="dxa"/>
            <w:right w:w="0" w:type="dxa"/>
          </w:tblCellMar>
        </w:tblPrEx>
        <w:trPr>
          <w:trHeight w:val="1080" w:hRule="atLeast"/>
        </w:trPr>
        <w:tc>
          <w:tcPr>
            <w:tcW w:w="95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ind w:firstLine="400"/>
              <w:jc w:val="left"/>
              <w:rPr>
                <w:rFonts w:ascii="Arial Narrow" w:hAnsi="Arial Narrow" w:cs="Arial Narrow"/>
                <w:color w:val="000000"/>
                <w:sz w:val="20"/>
                <w:szCs w:val="20"/>
              </w:rPr>
            </w:pPr>
          </w:p>
        </w:tc>
        <w:tc>
          <w:tcPr>
            <w:tcW w:w="132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资金使用率（6）</w:t>
            </w:r>
          </w:p>
        </w:tc>
        <w:tc>
          <w:tcPr>
            <w:tcW w:w="1159"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100%</w:t>
            </w:r>
          </w:p>
        </w:tc>
        <w:tc>
          <w:tcPr>
            <w:tcW w:w="1177"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计划标准</w:t>
            </w:r>
          </w:p>
        </w:tc>
        <w:tc>
          <w:tcPr>
            <w:tcW w:w="3326"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资金使用率达到95%以上计5分，每降低10%，扣1分。</w:t>
            </w:r>
          </w:p>
        </w:tc>
      </w:tr>
      <w:tr>
        <w:tblPrEx>
          <w:tblCellMar>
            <w:top w:w="0" w:type="dxa"/>
            <w:left w:w="0" w:type="dxa"/>
            <w:bottom w:w="0" w:type="dxa"/>
            <w:right w:w="0" w:type="dxa"/>
          </w:tblCellMar>
        </w:tblPrEx>
        <w:trPr>
          <w:trHeight w:val="1680" w:hRule="atLeast"/>
        </w:trPr>
        <w:tc>
          <w:tcPr>
            <w:tcW w:w="95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项目效益</w:t>
            </w:r>
          </w:p>
        </w:tc>
        <w:tc>
          <w:tcPr>
            <w:tcW w:w="13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墙体材料专项基金退付时间（5）</w:t>
            </w:r>
          </w:p>
        </w:tc>
        <w:tc>
          <w:tcPr>
            <w:tcW w:w="1159"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spacing w:line="240" w:lineRule="auto"/>
              <w:ind w:firstLine="0" w:firstLineChars="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100%</w:t>
            </w:r>
          </w:p>
        </w:tc>
        <w:tc>
          <w:tcPr>
            <w:tcW w:w="11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计划标准</w:t>
            </w:r>
          </w:p>
        </w:tc>
        <w:tc>
          <w:tcPr>
            <w:tcW w:w="33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项目单位具有清退审定表，计3分；在清退金额进行审定后，5个工作日内完成相关墙体材料专项基金的退付手续，计2分。</w:t>
            </w:r>
          </w:p>
        </w:tc>
      </w:tr>
      <w:tr>
        <w:tblPrEx>
          <w:tblCellMar>
            <w:top w:w="0" w:type="dxa"/>
            <w:left w:w="0" w:type="dxa"/>
            <w:bottom w:w="0" w:type="dxa"/>
            <w:right w:w="0" w:type="dxa"/>
          </w:tblCellMar>
        </w:tblPrEx>
        <w:trPr>
          <w:trHeight w:val="945" w:hRule="atLeast"/>
        </w:trPr>
        <w:tc>
          <w:tcPr>
            <w:tcW w:w="95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ind w:firstLine="400"/>
              <w:jc w:val="left"/>
              <w:rPr>
                <w:rFonts w:ascii="Arial Narrow" w:hAnsi="Arial Narrow" w:cs="Arial Narrow"/>
                <w:color w:val="000000"/>
                <w:sz w:val="20"/>
                <w:szCs w:val="20"/>
              </w:rPr>
            </w:pPr>
          </w:p>
        </w:tc>
        <w:tc>
          <w:tcPr>
            <w:tcW w:w="13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基金退付投诉次数（5）</w:t>
            </w:r>
          </w:p>
        </w:tc>
        <w:tc>
          <w:tcPr>
            <w:tcW w:w="1159"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spacing w:line="240" w:lineRule="auto"/>
              <w:ind w:firstLine="0" w:firstLineChars="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0次</w:t>
            </w:r>
          </w:p>
        </w:tc>
        <w:tc>
          <w:tcPr>
            <w:tcW w:w="11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计划标准</w:t>
            </w:r>
          </w:p>
        </w:tc>
        <w:tc>
          <w:tcPr>
            <w:tcW w:w="33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全区未发生了墙改基金退付投诉，计5分，发生了1次墙改基金退付投诉，扣2分。</w:t>
            </w:r>
          </w:p>
        </w:tc>
      </w:tr>
      <w:tr>
        <w:tblPrEx>
          <w:tblCellMar>
            <w:top w:w="0" w:type="dxa"/>
            <w:left w:w="0" w:type="dxa"/>
            <w:bottom w:w="0" w:type="dxa"/>
            <w:right w:w="0" w:type="dxa"/>
          </w:tblCellMar>
        </w:tblPrEx>
        <w:trPr>
          <w:trHeight w:val="855" w:hRule="atLeast"/>
        </w:trPr>
        <w:tc>
          <w:tcPr>
            <w:tcW w:w="95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ind w:firstLine="400"/>
              <w:jc w:val="left"/>
              <w:rPr>
                <w:rFonts w:ascii="Arial Narrow" w:hAnsi="Arial Narrow" w:cs="Arial Narrow"/>
                <w:color w:val="000000"/>
                <w:sz w:val="20"/>
                <w:szCs w:val="20"/>
              </w:rPr>
            </w:pPr>
          </w:p>
        </w:tc>
        <w:tc>
          <w:tcPr>
            <w:tcW w:w="13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宣传方式多样性（5）</w:t>
            </w:r>
          </w:p>
        </w:tc>
        <w:tc>
          <w:tcPr>
            <w:tcW w:w="11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3</w:t>
            </w:r>
          </w:p>
        </w:tc>
        <w:tc>
          <w:tcPr>
            <w:tcW w:w="11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计划标准</w:t>
            </w:r>
          </w:p>
        </w:tc>
        <w:tc>
          <w:tcPr>
            <w:tcW w:w="33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全区对新型墙体材料进行宣传，培训达到3种，计5分。有1种，计2分；有2种，计4分；3种以上，计5分。</w:t>
            </w:r>
          </w:p>
        </w:tc>
      </w:tr>
      <w:tr>
        <w:tblPrEx>
          <w:tblCellMar>
            <w:top w:w="0" w:type="dxa"/>
            <w:left w:w="0" w:type="dxa"/>
            <w:bottom w:w="0" w:type="dxa"/>
            <w:right w:w="0" w:type="dxa"/>
          </w:tblCellMar>
        </w:tblPrEx>
        <w:trPr>
          <w:trHeight w:val="1098" w:hRule="atLeast"/>
        </w:trPr>
        <w:tc>
          <w:tcPr>
            <w:tcW w:w="95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ind w:firstLine="400"/>
              <w:jc w:val="left"/>
              <w:rPr>
                <w:rFonts w:ascii="Arial Narrow" w:hAnsi="Arial Narrow" w:cs="Arial Narrow"/>
                <w:color w:val="000000"/>
                <w:sz w:val="20"/>
                <w:szCs w:val="20"/>
              </w:rPr>
            </w:pPr>
          </w:p>
        </w:tc>
        <w:tc>
          <w:tcPr>
            <w:tcW w:w="13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降低能耗损失（5）</w:t>
            </w:r>
          </w:p>
        </w:tc>
        <w:tc>
          <w:tcPr>
            <w:tcW w:w="1159"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spacing w:line="240" w:lineRule="auto"/>
              <w:ind w:firstLine="0" w:firstLineChars="0"/>
              <w:jc w:val="center"/>
              <w:textAlignment w:val="center"/>
              <w:rPr>
                <w:rFonts w:ascii="Arial Narrow" w:hAnsi="Arial Narrow" w:cs="Arial Narrow"/>
                <w:color w:val="000000"/>
                <w:sz w:val="20"/>
                <w:szCs w:val="20"/>
              </w:rPr>
            </w:pPr>
            <w:r>
              <w:rPr>
                <w:rFonts w:ascii="Arial Narrow" w:hAnsi="Arial Narrow" w:cs="Arial Narrow"/>
                <w:color w:val="000000"/>
                <w:sz w:val="20"/>
                <w:szCs w:val="20"/>
              </w:rPr>
              <w:t>100%</w:t>
            </w:r>
          </w:p>
        </w:tc>
        <w:tc>
          <w:tcPr>
            <w:tcW w:w="11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计划标准</w:t>
            </w:r>
          </w:p>
        </w:tc>
        <w:tc>
          <w:tcPr>
            <w:tcW w:w="33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使用新型墙体材料，可以有效地降低能耗损失，增进资源节约，计5分。</w:t>
            </w:r>
          </w:p>
        </w:tc>
      </w:tr>
      <w:tr>
        <w:tblPrEx>
          <w:tblCellMar>
            <w:top w:w="0" w:type="dxa"/>
            <w:left w:w="0" w:type="dxa"/>
            <w:bottom w:w="0" w:type="dxa"/>
            <w:right w:w="0" w:type="dxa"/>
          </w:tblCellMar>
        </w:tblPrEx>
        <w:trPr>
          <w:trHeight w:val="1771" w:hRule="atLeast"/>
        </w:trPr>
        <w:tc>
          <w:tcPr>
            <w:tcW w:w="95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ind w:firstLine="400"/>
              <w:jc w:val="left"/>
              <w:rPr>
                <w:rFonts w:ascii="Arial Narrow" w:hAnsi="Arial Narrow" w:cs="Arial Narrow"/>
                <w:color w:val="000000"/>
                <w:sz w:val="20"/>
                <w:szCs w:val="20"/>
              </w:rPr>
            </w:pPr>
          </w:p>
        </w:tc>
        <w:tc>
          <w:tcPr>
            <w:tcW w:w="13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可持续性影响（6）</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ind w:firstLine="400"/>
              <w:jc w:val="center"/>
              <w:rPr>
                <w:rFonts w:ascii="Arial Narrow" w:hAnsi="Arial Narrow" w:cs="Arial Narrow"/>
                <w:color w:val="000000"/>
                <w:sz w:val="20"/>
                <w:szCs w:val="20"/>
              </w:rPr>
            </w:pPr>
          </w:p>
        </w:tc>
        <w:tc>
          <w:tcPr>
            <w:tcW w:w="117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ind w:firstLine="400"/>
              <w:jc w:val="center"/>
              <w:rPr>
                <w:rFonts w:ascii="Arial Narrow" w:hAnsi="Arial Narrow" w:cs="Arial Narrow"/>
                <w:color w:val="000000"/>
                <w:sz w:val="20"/>
                <w:szCs w:val="20"/>
              </w:rPr>
            </w:pPr>
          </w:p>
        </w:tc>
        <w:tc>
          <w:tcPr>
            <w:tcW w:w="33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项目实施单位支持项目长期运行计3分。</w:t>
            </w:r>
          </w:p>
          <w:p>
            <w:pPr>
              <w:widowControl/>
              <w:spacing w:line="240" w:lineRule="auto"/>
              <w:ind w:firstLine="0" w:firstLineChars="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项目实施单位有机构设置和充足的人员配备支持项目实施的后续运行计3分。</w:t>
            </w:r>
          </w:p>
        </w:tc>
      </w:tr>
      <w:tr>
        <w:tblPrEx>
          <w:tblCellMar>
            <w:top w:w="0" w:type="dxa"/>
            <w:left w:w="0" w:type="dxa"/>
            <w:bottom w:w="0" w:type="dxa"/>
            <w:right w:w="0" w:type="dxa"/>
          </w:tblCellMar>
        </w:tblPrEx>
        <w:trPr>
          <w:trHeight w:val="915" w:hRule="atLeast"/>
        </w:trPr>
        <w:tc>
          <w:tcPr>
            <w:tcW w:w="95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ind w:firstLine="400"/>
              <w:jc w:val="left"/>
              <w:rPr>
                <w:rFonts w:ascii="Arial Narrow" w:hAnsi="Arial Narrow" w:cs="Arial Narrow"/>
                <w:color w:val="000000"/>
                <w:sz w:val="20"/>
                <w:szCs w:val="20"/>
              </w:rPr>
            </w:pPr>
          </w:p>
        </w:tc>
        <w:tc>
          <w:tcPr>
            <w:tcW w:w="13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社会公众满意度（6）</w:t>
            </w:r>
          </w:p>
        </w:tc>
        <w:tc>
          <w:tcPr>
            <w:tcW w:w="11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≥85%</w:t>
            </w:r>
          </w:p>
        </w:tc>
        <w:tc>
          <w:tcPr>
            <w:tcW w:w="11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历史指标</w:t>
            </w:r>
          </w:p>
        </w:tc>
        <w:tc>
          <w:tcPr>
            <w:tcW w:w="33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社会公众满意度满意度达到85%以上，计6分，每降低10%，扣1分。</w:t>
            </w:r>
          </w:p>
        </w:tc>
      </w:tr>
    </w:tbl>
    <w:p>
      <w:pPr>
        <w:ind w:firstLine="480"/>
        <w:rPr>
          <w:rFonts w:ascii="Arial Narrow" w:hAnsi="Arial Narrow" w:cs="Arial Narrow"/>
        </w:rPr>
      </w:pPr>
      <w:r>
        <w:rPr>
          <w:rFonts w:ascii="Arial Narrow" w:hAnsi="Arial Narrow" w:cs="Arial Narrow"/>
        </w:rPr>
        <w:t>2.3绩效评价指标体系补充说明</w:t>
      </w:r>
    </w:p>
    <w:p>
      <w:pPr>
        <w:ind w:firstLine="480"/>
        <w:rPr>
          <w:rFonts w:ascii="Arial Narrow" w:hAnsi="Arial Narrow" w:cs="Arial Narrow"/>
        </w:rPr>
      </w:pPr>
      <w:r>
        <w:rPr>
          <w:rFonts w:ascii="Arial Narrow" w:hAnsi="Arial Narrow" w:cs="Arial Narrow"/>
        </w:rPr>
        <w:t>（1）年初没有设立绩效指标，所有指标都为新设，用来评价考核项目2018年工作产出及效益，新增具体指标如下：“审核手续齐全性”、“申请墙改基金清算时间”、“墙改基金退付比例合理性”、“现场核验完成率”、“专家机构审核合格率”、“资金使用率”、“墙体材料专项基金退付时间”、“基金退付投诉次数”、“宣传方式多样性”、“降低能耗损失”以及“社会公众满意度”。</w:t>
      </w:r>
    </w:p>
    <w:p>
      <w:pPr>
        <w:ind w:firstLine="480"/>
        <w:rPr>
          <w:rFonts w:ascii="Arial Narrow" w:hAnsi="Arial Narrow" w:cs="Arial Narrow"/>
        </w:rPr>
      </w:pPr>
      <w:r>
        <w:rPr>
          <w:rFonts w:ascii="Arial Narrow" w:hAnsi="Arial Narrow" w:cs="Arial Narrow"/>
        </w:rPr>
        <w:t>（2）评价方法</w:t>
      </w:r>
    </w:p>
    <w:p>
      <w:pPr>
        <w:ind w:firstLine="480"/>
        <w:rPr>
          <w:rFonts w:ascii="Arial Narrow" w:hAnsi="Arial Narrow" w:cs="Arial Narrow"/>
        </w:rPr>
      </w:pPr>
      <w:bookmarkStart w:id="44" w:name="_Toc9103"/>
      <w:r>
        <w:rPr>
          <w:rFonts w:ascii="Arial Narrow" w:hAnsi="Arial Narrow" w:cs="Arial Narrow"/>
        </w:rPr>
        <w:t>评价方法主要包括成本效益分析法、比较法、最低成本法、公众评判法、统计计算法等。新型墙体材料专项基金返退项目绩效评价根据其特点和评价工作的要求，选择比较法、公众评判法、统计计算法、实地考察等方法进行绩效评价分析，与此同时，我们将收集大量直接的统计资料进行分析研究。</w:t>
      </w:r>
    </w:p>
    <w:p>
      <w:pPr>
        <w:ind w:firstLine="480"/>
        <w:rPr>
          <w:rFonts w:ascii="Arial Narrow" w:hAnsi="Arial Narrow" w:cs="Arial Narrow"/>
        </w:rPr>
      </w:pPr>
      <w:r>
        <w:rPr>
          <w:rFonts w:ascii="Arial Narrow" w:hAnsi="Arial Narrow" w:cs="Arial Narrow"/>
        </w:rPr>
        <w:t>①比较法。是指通过对绩效目标与实际实施效果的对比，综合分析绩效目标实现程度。项目小组根据收集的资料和实地观察，了解新型墙体材料专项基金返退项目实际情况，与该项目申报时确定的绩效目标进行对比，评价绩效目标的实现程度。</w:t>
      </w:r>
    </w:p>
    <w:p>
      <w:pPr>
        <w:ind w:firstLine="480"/>
        <w:rPr>
          <w:rFonts w:ascii="Arial Narrow" w:hAnsi="Arial Narrow" w:cs="Arial Narrow"/>
        </w:rPr>
      </w:pPr>
      <w:r>
        <w:rPr>
          <w:rFonts w:ascii="Arial Narrow" w:hAnsi="Arial Narrow" w:cs="Arial Narrow"/>
        </w:rPr>
        <w:t>②公众评判法。是指通过专家评估、公众问卷及抽样调查等对财政支出效果进行评判，评价绩效目标实现程度。项目小组将对具体实施单位进行访谈，同时对受服务的对象进行问卷调查，收集新型墙体材料专项基金返退项目具体实施情况和效果的相关证据，为绩效分析结论提供有力支撑。</w:t>
      </w:r>
    </w:p>
    <w:p>
      <w:pPr>
        <w:ind w:firstLine="480"/>
        <w:rPr>
          <w:rFonts w:ascii="Arial Narrow" w:hAnsi="Arial Narrow" w:cs="Arial Narrow"/>
        </w:rPr>
      </w:pPr>
      <w:r>
        <w:rPr>
          <w:rFonts w:ascii="Arial Narrow" w:hAnsi="Arial Narrow" w:cs="Arial Narrow"/>
        </w:rPr>
        <w:t>③统计计算法。是指采用各种专业（或专门）指标的计算方法，通过收集新型墙体材料专项基金返退项目的相关数据，采用统计或核算等方式进行计算实际完成或达到的结果，评价绩效目标实现程度。项目小组根据相关文件依据，设计符合项目特点的评价指标体系，然后采集数据按照计算公式进行计算分析，并根据计算结果分析项目绩效目标实现程度。</w:t>
      </w:r>
    </w:p>
    <w:p>
      <w:pPr>
        <w:ind w:firstLine="480"/>
        <w:rPr>
          <w:rFonts w:ascii="Arial Narrow" w:hAnsi="Arial Narrow" w:cs="Arial Narrow"/>
        </w:rPr>
      </w:pPr>
      <w:r>
        <w:rPr>
          <w:rFonts w:ascii="Arial Narrow" w:hAnsi="Arial Narrow" w:cs="Arial Narrow"/>
        </w:rPr>
        <w:t>④实地考察。是指前往具体实施地进行考察，了解新型墙体材料专项基金返退项目的实际进展情况，评价项目的绩效目标实现程度。项目小组将前往具体实施地，核实项目实际实施情况，与收集的资料进行验证核对，并拍照留痕。</w:t>
      </w:r>
    </w:p>
    <w:p>
      <w:pPr>
        <w:ind w:firstLine="489"/>
        <w:outlineLvl w:val="1"/>
        <w:rPr>
          <w:rFonts w:ascii="Arial Narrow" w:hAnsi="Arial Narrow" w:cs="Arial Narrow"/>
          <w:b/>
          <w:bCs/>
          <w:color w:val="000000"/>
        </w:rPr>
      </w:pPr>
      <w:bookmarkStart w:id="45" w:name="_Toc162"/>
      <w:r>
        <w:rPr>
          <w:rFonts w:ascii="Arial Narrow" w:hAnsi="Arial Narrow" w:cs="Arial Narrow"/>
          <w:b/>
          <w:bCs/>
          <w:color w:val="000000"/>
        </w:rPr>
        <w:t>（三）绩效分析及评价结论</w:t>
      </w:r>
      <w:bookmarkEnd w:id="44"/>
      <w:bookmarkEnd w:id="45"/>
    </w:p>
    <w:p>
      <w:pPr>
        <w:pStyle w:val="4"/>
        <w:spacing w:before="0" w:after="0"/>
        <w:ind w:firstLine="480"/>
        <w:rPr>
          <w:rFonts w:ascii="Arial Narrow" w:hAnsi="Arial Narrow" w:cs="Arial Narrow"/>
          <w:b w:val="0"/>
          <w:bCs w:val="0"/>
          <w:kern w:val="2"/>
          <w:szCs w:val="24"/>
        </w:rPr>
      </w:pPr>
      <w:bookmarkStart w:id="46" w:name="_Toc20234"/>
      <w:bookmarkStart w:id="47" w:name="_Toc21070"/>
      <w:r>
        <w:rPr>
          <w:rFonts w:ascii="Arial Narrow" w:hAnsi="Arial Narrow" w:cs="Arial Narrow"/>
          <w:b w:val="0"/>
          <w:bCs w:val="0"/>
          <w:kern w:val="2"/>
          <w:szCs w:val="24"/>
        </w:rPr>
        <w:t>1、绩效分析</w:t>
      </w:r>
      <w:bookmarkEnd w:id="46"/>
      <w:bookmarkEnd w:id="47"/>
    </w:p>
    <w:p>
      <w:pPr>
        <w:adjustRightInd w:val="0"/>
        <w:spacing w:before="50" w:after="50"/>
        <w:ind w:firstLine="480"/>
        <w:rPr>
          <w:rFonts w:ascii="Arial Narrow" w:hAnsi="Arial Narrow" w:cs="Arial Narrow"/>
        </w:rPr>
      </w:pPr>
      <w:r>
        <w:rPr>
          <w:rFonts w:ascii="Arial Narrow" w:hAnsi="Arial Narrow" w:cs="Arial Narrow"/>
        </w:rPr>
        <w:t>1.1项目投入（16分）</w:t>
      </w:r>
    </w:p>
    <w:p>
      <w:pPr>
        <w:adjustRightInd w:val="0"/>
        <w:spacing w:before="50" w:after="50"/>
        <w:ind w:firstLine="480"/>
        <w:rPr>
          <w:rFonts w:ascii="Arial Narrow" w:hAnsi="Arial Narrow" w:cs="Arial Narrow"/>
        </w:rPr>
      </w:pPr>
      <w:bookmarkStart w:id="48" w:name="_Toc394181009"/>
      <w:bookmarkStart w:id="49" w:name="_Toc394490596"/>
      <w:r>
        <w:rPr>
          <w:rFonts w:ascii="Arial Narrow" w:hAnsi="Arial Narrow" w:cs="Arial Narrow"/>
        </w:rPr>
        <w:t>根据评价原则，项目投入评价得分为13分，评价结果为良。</w:t>
      </w:r>
      <w:bookmarkEnd w:id="48"/>
      <w:bookmarkEnd w:id="49"/>
    </w:p>
    <w:p>
      <w:pPr>
        <w:adjustRightInd w:val="0"/>
        <w:spacing w:before="50" w:after="50"/>
        <w:ind w:firstLine="480"/>
        <w:jc w:val="center"/>
        <w:rPr>
          <w:rFonts w:ascii="Arial Narrow" w:hAnsi="Arial Narrow" w:cs="Arial Narrow"/>
        </w:rPr>
      </w:pPr>
      <w:r>
        <w:rPr>
          <w:rFonts w:ascii="Arial Narrow" w:hAnsi="Arial Narrow" w:cs="Arial Narrow"/>
        </w:rPr>
        <w:drawing>
          <wp:inline distT="0" distB="0" distL="114300" distR="114300">
            <wp:extent cx="3834765" cy="2449195"/>
            <wp:effectExtent l="0" t="0" r="5715" b="4445"/>
            <wp:docPr id="5"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pPr>
        <w:adjustRightInd w:val="0"/>
        <w:ind w:firstLine="480"/>
        <w:rPr>
          <w:rFonts w:ascii="Arial Narrow" w:hAnsi="Arial Narrow" w:cs="Arial Narrow"/>
        </w:rPr>
      </w:pPr>
      <w:r>
        <w:rPr>
          <w:rFonts w:ascii="Arial Narrow" w:hAnsi="Arial Narrow" w:cs="Arial Narrow"/>
        </w:rPr>
        <w:t>投入指标主要评价项目立项及资金落实的实际情况。对于该项的评价，评价小组采用卷宗研究的方式，对资料进行收集、整理和分析，查看了项目立项的相关资料，项目支出明细账，对项目投入涉及的指标进行打分，并逐级加权计算结果。经过综合计分，该指标得分为13分，评价等级为良。</w:t>
      </w:r>
    </w:p>
    <w:p>
      <w:pPr>
        <w:adjustRightInd w:val="0"/>
        <w:spacing w:before="50" w:after="50"/>
        <w:ind w:firstLine="480"/>
        <w:rPr>
          <w:rFonts w:ascii="Arial Narrow" w:hAnsi="Arial Narrow" w:cs="Arial Narrow"/>
        </w:rPr>
      </w:pPr>
      <w:r>
        <w:rPr>
          <w:rFonts w:ascii="Arial Narrow" w:hAnsi="Arial Narrow" w:cs="Arial Narrow"/>
        </w:rPr>
        <w:t>（1）项目立项（8分）</w:t>
      </w:r>
    </w:p>
    <w:p>
      <w:pPr>
        <w:adjustRightInd w:val="0"/>
        <w:ind w:firstLine="480"/>
        <w:rPr>
          <w:rFonts w:ascii="Arial Narrow" w:hAnsi="Arial Narrow" w:cs="Arial Narrow"/>
        </w:rPr>
      </w:pPr>
      <w:r>
        <w:rPr>
          <w:rFonts w:ascii="Arial Narrow" w:hAnsi="Arial Narrow" w:cs="Arial Narrow"/>
        </w:rPr>
        <w:t>该问题主要从项目立项规范性、绩效目标合理性两方面具体评价，用以反映项目立项的规范情况；绩效目标和指标的设定是否符合实际。该项指标评价得分为5分，评价结果为中。</w:t>
      </w:r>
    </w:p>
    <w:p>
      <w:pPr>
        <w:adjustRightInd w:val="0"/>
        <w:ind w:firstLine="480"/>
        <w:rPr>
          <w:rFonts w:ascii="Arial Narrow" w:hAnsi="Arial Narrow" w:cs="Arial Narrow"/>
        </w:rPr>
      </w:pPr>
      <w:r>
        <w:rPr>
          <w:rFonts w:ascii="Arial Narrow" w:hAnsi="Arial Narrow" w:cs="Arial Narrow"/>
        </w:rPr>
        <w:t>①项目立项规范性，是指项目的申请、设立过程是否符合相关要求，用以反映和考核项目立项的规范情况。评价小组通过查看《武汉市城乡建设委员会武汉市财政局关于进一步规范新型墙体材料专项基金退付工作的通知》（武城建[2013]130号）文件了解到，项目设立有符合要求的材料，但年初没有编写项目申请表，扣1分。</w:t>
      </w:r>
    </w:p>
    <w:p>
      <w:pPr>
        <w:adjustRightInd w:val="0"/>
        <w:ind w:firstLine="480"/>
        <w:rPr>
          <w:rFonts w:ascii="Arial Narrow" w:hAnsi="Arial Narrow" w:cs="Arial Narrow"/>
        </w:rPr>
      </w:pPr>
      <w:r>
        <w:rPr>
          <w:rFonts w:ascii="Arial Narrow" w:hAnsi="Arial Narrow" w:cs="Arial Narrow"/>
        </w:rPr>
        <w:t>②绩效目标合理性，是指项目是否设定绩效目标和绩效指标，所设定的绩效目标和指标是否符合实际，用以反映和考核项目绩效目标与项目实施的相符情况。评价小组通过查看省财政厅、省住房和城乡建设厅关于印发《湖北省新型墙体材料专项基金征收使用管理办法实施细则》的通知（鄂财综[2009]6号）了解到，年初没有设计项目申报表，但是有年度指标没有进行目标以及绩效指标的设定，扣2分。</w:t>
      </w:r>
    </w:p>
    <w:p>
      <w:pPr>
        <w:adjustRightInd w:val="0"/>
        <w:ind w:firstLine="480"/>
        <w:rPr>
          <w:rFonts w:ascii="Arial Narrow" w:hAnsi="Arial Narrow" w:cs="Arial Narrow"/>
        </w:rPr>
      </w:pPr>
      <w:r>
        <w:rPr>
          <w:rFonts w:ascii="Arial Narrow" w:hAnsi="Arial Narrow" w:cs="Arial Narrow"/>
        </w:rPr>
        <w:t>（2）资金落实（8分）</w:t>
      </w:r>
    </w:p>
    <w:p>
      <w:pPr>
        <w:adjustRightInd w:val="0"/>
        <w:ind w:firstLine="480"/>
        <w:rPr>
          <w:rFonts w:ascii="Arial Narrow" w:hAnsi="Arial Narrow" w:cs="Arial Narrow"/>
        </w:rPr>
      </w:pPr>
      <w:r>
        <w:rPr>
          <w:rFonts w:ascii="Arial Narrow" w:hAnsi="Arial Narrow" w:cs="Arial Narrow"/>
        </w:rPr>
        <w:t>该问题主要考察资金到位率及到位及时率，反映项目资金落实情况对项目实施的保障程度、资金落实的及时性程度。该项指标评价得分8分，评价结果为优。</w:t>
      </w:r>
    </w:p>
    <w:p>
      <w:pPr>
        <w:adjustRightInd w:val="0"/>
        <w:ind w:firstLine="480"/>
        <w:rPr>
          <w:rFonts w:ascii="Arial Narrow" w:hAnsi="Arial Narrow" w:cs="Arial Narrow"/>
        </w:rPr>
      </w:pPr>
      <w:r>
        <w:rPr>
          <w:rFonts w:ascii="Arial Narrow" w:hAnsi="Arial Narrow" w:cs="Arial Narrow"/>
        </w:rPr>
        <w:t>①资金到位率，是指实际到位资金与计划投入资金的比率，用以反映和考核资金落实情况对项目实施的总体保障程度。评价小组通过查看城乡建设局2018年部门预算调整执行情况表了解到，项目资金由城乡建设局其他项目预算调剂而来，资金全部到位。</w:t>
      </w:r>
    </w:p>
    <w:p>
      <w:pPr>
        <w:adjustRightInd w:val="0"/>
        <w:ind w:firstLine="480"/>
        <w:rPr>
          <w:rFonts w:ascii="Arial Narrow" w:hAnsi="Arial Narrow" w:cs="Arial Narrow"/>
        </w:rPr>
      </w:pPr>
      <w:r>
        <w:rPr>
          <w:rFonts w:ascii="Arial Narrow" w:hAnsi="Arial Narrow" w:cs="Arial Narrow"/>
        </w:rPr>
        <w:t>②到位及时率，是指及时到位资金与应到位资金的比率，用以反映和考核项目资金落实的及时性程度。评价小组通过查看城乡建设局2018年部门预算调整执行情况表和记账凭证了解到，项目资金在2018年12月调拨到位，到位及时。</w:t>
      </w:r>
    </w:p>
    <w:p>
      <w:pPr>
        <w:adjustRightInd w:val="0"/>
        <w:spacing w:before="50" w:after="50"/>
        <w:ind w:firstLine="480"/>
        <w:rPr>
          <w:rFonts w:ascii="Arial Narrow" w:hAnsi="Arial Narrow" w:cs="Arial Narrow"/>
        </w:rPr>
      </w:pPr>
      <w:r>
        <w:rPr>
          <w:rFonts w:ascii="Arial Narrow" w:hAnsi="Arial Narrow" w:cs="Arial Narrow"/>
        </w:rPr>
        <w:t>1.2项目过程（24分）</w:t>
      </w:r>
    </w:p>
    <w:p>
      <w:pPr>
        <w:adjustRightInd w:val="0"/>
        <w:spacing w:before="50" w:after="50"/>
        <w:ind w:firstLine="480"/>
        <w:rPr>
          <w:rFonts w:ascii="Arial Narrow" w:hAnsi="Arial Narrow" w:cs="Arial Narrow"/>
        </w:rPr>
      </w:pPr>
      <w:bookmarkStart w:id="50" w:name="_Toc394181012"/>
      <w:bookmarkStart w:id="51" w:name="_Toc394490599"/>
      <w:r>
        <w:rPr>
          <w:rFonts w:ascii="Arial Narrow" w:hAnsi="Arial Narrow" w:cs="Arial Narrow"/>
        </w:rPr>
        <w:t>根据评价原则，项目过程得分为24分，评价结果为优。</w:t>
      </w:r>
      <w:bookmarkEnd w:id="50"/>
      <w:bookmarkEnd w:id="51"/>
    </w:p>
    <w:p>
      <w:pPr>
        <w:tabs>
          <w:tab w:val="left" w:pos="573"/>
          <w:tab w:val="center" w:pos="4453"/>
        </w:tabs>
        <w:adjustRightInd w:val="0"/>
        <w:spacing w:before="50" w:after="50"/>
        <w:ind w:firstLine="480"/>
        <w:jc w:val="left"/>
        <w:rPr>
          <w:rFonts w:ascii="Arial Narrow" w:hAnsi="Arial Narrow" w:cs="Arial Narrow"/>
          <w:highlight w:val="yellow"/>
        </w:rPr>
      </w:pPr>
      <w:r>
        <w:rPr>
          <w:rFonts w:ascii="Arial Narrow" w:hAnsi="Arial Narrow" w:cs="Arial Narrow"/>
        </w:rPr>
        <w:tab/>
      </w:r>
      <w:r>
        <w:rPr>
          <w:rFonts w:ascii="Arial Narrow" w:hAnsi="Arial Narrow" w:cs="Arial Narrow"/>
        </w:rPr>
        <w:tab/>
      </w:r>
      <w:r>
        <w:rPr>
          <w:rFonts w:ascii="Arial Narrow" w:hAnsi="Arial Narrow" w:cs="Arial Narrow"/>
        </w:rPr>
        <w:drawing>
          <wp:inline distT="0" distB="0" distL="114300" distR="114300">
            <wp:extent cx="3937000" cy="2336800"/>
            <wp:effectExtent l="0" t="0" r="10160" b="10160"/>
            <wp:docPr id="6"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pPr>
        <w:adjustRightInd w:val="0"/>
        <w:ind w:firstLine="480"/>
        <w:rPr>
          <w:rFonts w:ascii="Arial Narrow" w:hAnsi="Arial Narrow" w:cs="Arial Narrow"/>
        </w:rPr>
      </w:pPr>
      <w:r>
        <w:rPr>
          <w:rFonts w:ascii="Arial Narrow" w:hAnsi="Arial Narrow" w:cs="Arial Narrow"/>
        </w:rPr>
        <w:t>过程指标主要从项目管理和财务管理两个方面来具体评价；主要考核项目管理制度的健全性、制度执行的有效性和项目质量的可控性，财务制度的健全性和资金使用的合规性。对于该项的评价，评价小组主要采取了案卷研究的方式进行资料收集、整理、核实和分析，收集了项目实施具体状况的项目管理制度、财务管理制度相关文件；了解项目实施单位采取的项目实施方式和项目工作内容、形式和要求，以及项目实施单位设计的项目管理制度的审批流程。对项目过程涉及的指标进行打分，并逐级加权计算结果。经过综合计分，该指标得分24分，评价等级为优。</w:t>
      </w:r>
    </w:p>
    <w:p>
      <w:pPr>
        <w:adjustRightInd w:val="0"/>
        <w:spacing w:before="50" w:after="50"/>
        <w:ind w:firstLine="480"/>
        <w:rPr>
          <w:rFonts w:ascii="Arial Narrow" w:hAnsi="Arial Narrow" w:cs="Arial Narrow"/>
        </w:rPr>
      </w:pPr>
      <w:r>
        <w:rPr>
          <w:rFonts w:ascii="Arial Narrow" w:hAnsi="Arial Narrow" w:cs="Arial Narrow"/>
        </w:rPr>
        <w:t>（1）项目管理（12分）</w:t>
      </w:r>
    </w:p>
    <w:p>
      <w:pPr>
        <w:adjustRightInd w:val="0"/>
        <w:ind w:firstLine="480"/>
        <w:rPr>
          <w:rFonts w:ascii="Arial Narrow" w:hAnsi="Arial Narrow" w:cs="Arial Narrow"/>
        </w:rPr>
      </w:pPr>
      <w:r>
        <w:rPr>
          <w:rFonts w:ascii="Arial Narrow" w:hAnsi="Arial Narrow" w:cs="Arial Narrow"/>
        </w:rPr>
        <w:t>该问题主要从管理制度健全性、制度执行有效性、项目质量可控性三方面具体评价。用以反映和考核业务管理制度对项目顺利实施的保障情况，业务管理制度的有效执行情况及项目实施单位对项目质量的控制情况。该项指标评价得分为12分，评价结果为优。</w:t>
      </w:r>
    </w:p>
    <w:p>
      <w:pPr>
        <w:adjustRightInd w:val="0"/>
        <w:ind w:firstLine="480"/>
        <w:rPr>
          <w:rFonts w:ascii="Arial Narrow" w:hAnsi="Arial Narrow" w:cs="Arial Narrow"/>
        </w:rPr>
      </w:pPr>
      <w:r>
        <w:rPr>
          <w:rFonts w:ascii="Arial Narrow" w:hAnsi="Arial Narrow" w:cs="Arial Narrow"/>
        </w:rPr>
        <w:t>①管理制度健全性，是指项目管理制度是否健全，用以反映和考核项目业务管理制度对项目顺利实施的保障情况。评价小组通过查看省财政厅、省住房和城乡建设厅关于印发《湖北省新型墙体材料专项基金征收使用管理办法实施细则》的通知（鄂财综</w:t>
      </w:r>
      <w:r>
        <w:rPr>
          <w:rFonts w:hint="eastAsia" w:ascii="Arial Narrow" w:hAnsi="Arial Narrow" w:cs="Arial Narrow"/>
        </w:rPr>
        <w:t>[</w:t>
      </w:r>
      <w:r>
        <w:rPr>
          <w:rFonts w:ascii="Arial Narrow" w:hAnsi="Arial Narrow" w:cs="Arial Narrow"/>
        </w:rPr>
        <w:t>2009</w:t>
      </w:r>
      <w:r>
        <w:rPr>
          <w:rFonts w:hint="eastAsia" w:ascii="Arial Narrow" w:hAnsi="Arial Narrow" w:cs="Arial Narrow"/>
        </w:rPr>
        <w:t>]</w:t>
      </w:r>
      <w:r>
        <w:rPr>
          <w:rFonts w:ascii="Arial Narrow" w:hAnsi="Arial Narrow" w:cs="Arial Narrow"/>
        </w:rPr>
        <w:t>6号）了解到，项目制定了相应的业务管理制度。</w:t>
      </w:r>
    </w:p>
    <w:p>
      <w:pPr>
        <w:adjustRightInd w:val="0"/>
        <w:ind w:firstLine="480"/>
        <w:rPr>
          <w:rFonts w:ascii="Arial Narrow" w:hAnsi="Arial Narrow" w:cs="Arial Narrow"/>
        </w:rPr>
      </w:pPr>
      <w:r>
        <w:rPr>
          <w:rFonts w:ascii="Arial Narrow" w:hAnsi="Arial Narrow" w:cs="Arial Narrow"/>
        </w:rPr>
        <w:t>②制度执行有效性，是指项目实施是否符合相关项目管理规定，用以反映和考核项目管理制度的有效执行情况。评价小组通过查看省财政厅、省住房和城乡建设厅关于印发《湖北省新型墙体材料专项基金征收使用管理办法实施细则》的通知（鄂财综</w:t>
      </w:r>
      <w:r>
        <w:rPr>
          <w:rFonts w:hint="eastAsia" w:ascii="Arial Narrow" w:hAnsi="Arial Narrow" w:cs="Arial Narrow"/>
        </w:rPr>
        <w:t>[</w:t>
      </w:r>
      <w:r>
        <w:rPr>
          <w:rFonts w:ascii="Arial Narrow" w:hAnsi="Arial Narrow" w:cs="Arial Narrow"/>
        </w:rPr>
        <w:t>2009</w:t>
      </w:r>
      <w:r>
        <w:rPr>
          <w:rFonts w:hint="eastAsia" w:ascii="Arial Narrow" w:hAnsi="Arial Narrow" w:cs="Arial Narrow"/>
        </w:rPr>
        <w:t>]</w:t>
      </w:r>
      <w:r>
        <w:rPr>
          <w:rFonts w:ascii="Arial Narrow" w:hAnsi="Arial Narrow" w:cs="Arial Narrow"/>
        </w:rPr>
        <w:t>6号）和区城乡建设局党委会议题申报单、加砌块购销合同了解到，项目程序完备资料齐全。</w:t>
      </w:r>
    </w:p>
    <w:p>
      <w:pPr>
        <w:adjustRightInd w:val="0"/>
        <w:ind w:firstLine="480"/>
        <w:rPr>
          <w:rFonts w:ascii="Arial Narrow" w:hAnsi="Arial Narrow" w:cs="Arial Narrow"/>
        </w:rPr>
      </w:pPr>
      <w:r>
        <w:rPr>
          <w:rFonts w:ascii="Arial Narrow" w:hAnsi="Arial Narrow" w:cs="Arial Narrow"/>
        </w:rPr>
        <w:t>③项目质量可控性，是指项目实施单位是否为达到项目质量要求而采取了必需的措施，用以反映和考核项目实施单位对项目质量的控制情况。评价小组通过查看武汉市建筑节能分部工程竣工验收信息表和墙体基金清退资料及注意事项了解到，项目有相应的质量标准规定，采取了质量检查措施。</w:t>
      </w:r>
    </w:p>
    <w:p>
      <w:pPr>
        <w:adjustRightInd w:val="0"/>
        <w:ind w:firstLine="480"/>
        <w:rPr>
          <w:rFonts w:ascii="Arial Narrow" w:hAnsi="Arial Narrow" w:cs="Arial Narrow"/>
        </w:rPr>
      </w:pPr>
      <w:r>
        <w:rPr>
          <w:rFonts w:ascii="Arial Narrow" w:hAnsi="Arial Narrow" w:cs="Arial Narrow"/>
        </w:rPr>
        <w:t>（2）财务管理（12分）</w:t>
      </w:r>
    </w:p>
    <w:p>
      <w:pPr>
        <w:adjustRightInd w:val="0"/>
        <w:ind w:firstLine="480"/>
        <w:rPr>
          <w:rFonts w:ascii="Arial Narrow" w:hAnsi="Arial Narrow" w:cs="Arial Narrow"/>
        </w:rPr>
      </w:pPr>
      <w:r>
        <w:rPr>
          <w:rFonts w:ascii="Arial Narrow" w:hAnsi="Arial Narrow" w:cs="Arial Narrow"/>
        </w:rPr>
        <w:t>该问题主要从财务制度健全性、资金使用合规性、财务监控有效性三方面具体评价。用以反映和考核财务管理制度对资金规范、安全运行的保障情况，项目资金的规范运行情况及项目实施单位对资金运行的控制情况。该项指标评价得分为12分，评价结果为优。</w:t>
      </w:r>
    </w:p>
    <w:p>
      <w:pPr>
        <w:adjustRightInd w:val="0"/>
        <w:ind w:firstLine="480"/>
        <w:rPr>
          <w:rFonts w:ascii="Arial Narrow" w:hAnsi="Arial Narrow" w:cs="Arial Narrow"/>
        </w:rPr>
      </w:pPr>
      <w:r>
        <w:rPr>
          <w:rFonts w:ascii="Arial Narrow" w:hAnsi="Arial Narrow" w:cs="Arial Narrow"/>
        </w:rPr>
        <w:t>①财务制度健全性，是指项目实施单位的财务制度是否健全，用以反映和考核财务管理制度对资金规范、安全运行的保障情况。评价小组通过查看财务管理制度和省财政厅、省住房和城乡建设厅关于印发《湖北省新型墙体材料专项基金征收使用管理办法实施细则》的通知（鄂财综</w:t>
      </w:r>
      <w:r>
        <w:rPr>
          <w:rFonts w:hint="eastAsia" w:ascii="Arial Narrow" w:hAnsi="Arial Narrow" w:cs="Arial Narrow"/>
        </w:rPr>
        <w:t>[</w:t>
      </w:r>
      <w:r>
        <w:rPr>
          <w:rFonts w:ascii="Arial Narrow" w:hAnsi="Arial Narrow" w:cs="Arial Narrow"/>
        </w:rPr>
        <w:t>2009</w:t>
      </w:r>
      <w:r>
        <w:rPr>
          <w:rFonts w:hint="eastAsia" w:ascii="Arial Narrow" w:hAnsi="Arial Narrow" w:cs="Arial Narrow"/>
        </w:rPr>
        <w:t>]</w:t>
      </w:r>
      <w:r>
        <w:rPr>
          <w:rFonts w:ascii="Arial Narrow" w:hAnsi="Arial Narrow" w:cs="Arial Narrow"/>
        </w:rPr>
        <w:t>6号）、《新型墙体材料专项基金征收使用管理办法》（财综</w:t>
      </w:r>
      <w:r>
        <w:rPr>
          <w:rFonts w:hint="eastAsia" w:ascii="Arial Narrow" w:hAnsi="Arial Narrow" w:cs="Arial Narrow"/>
        </w:rPr>
        <w:t>[</w:t>
      </w:r>
      <w:r>
        <w:rPr>
          <w:rFonts w:ascii="Arial Narrow" w:hAnsi="Arial Narrow" w:cs="Arial Narrow"/>
        </w:rPr>
        <w:t>2007</w:t>
      </w:r>
      <w:r>
        <w:rPr>
          <w:rFonts w:hint="eastAsia" w:ascii="Arial Narrow" w:hAnsi="Arial Narrow" w:cs="Arial Narrow"/>
        </w:rPr>
        <w:t>]</w:t>
      </w:r>
      <w:r>
        <w:rPr>
          <w:rFonts w:ascii="Arial Narrow" w:hAnsi="Arial Narrow" w:cs="Arial Narrow"/>
        </w:rPr>
        <w:t>77 号）了解到，该项目制定了或具有相应的资金管理办法，单位主要依据城乡建设局财务制度进行专项资金的管理；单位资金管理办法符合财务会计制度的规定。</w:t>
      </w:r>
    </w:p>
    <w:p>
      <w:pPr>
        <w:adjustRightInd w:val="0"/>
        <w:ind w:firstLine="480"/>
        <w:rPr>
          <w:rFonts w:ascii="Arial Narrow" w:hAnsi="Arial Narrow" w:cs="Arial Narrow"/>
        </w:rPr>
      </w:pPr>
      <w:r>
        <w:rPr>
          <w:rFonts w:ascii="Arial Narrow" w:hAnsi="Arial Narrow" w:cs="Arial Narrow"/>
        </w:rPr>
        <w:t>②资金使用合规性，是指项目资金使用是否符合相关的财务管理制度规定，用以反映和考核项目资金的规范运行情况。评价小组通过查看财务管理制度和支出明细表了解到，该项目单位财务管理制度符合国家财经法规与财务管理制度；资金拨付需要审核材料，待单位领导审核后拨付；符合项目项目预算批复和合同规定的用途。</w:t>
      </w:r>
    </w:p>
    <w:p>
      <w:pPr>
        <w:adjustRightInd w:val="0"/>
        <w:ind w:firstLine="480"/>
        <w:rPr>
          <w:rFonts w:ascii="Arial Narrow" w:hAnsi="Arial Narrow" w:cs="Arial Narrow"/>
        </w:rPr>
      </w:pPr>
      <w:r>
        <w:rPr>
          <w:rFonts w:ascii="Arial Narrow" w:hAnsi="Arial Narrow" w:cs="Arial Narrow"/>
        </w:rPr>
        <w:t xml:space="preserve">③财务监控有效性，是指项目实施单位是否为保障资金的安全、规范运行而采取了必要的监控措施，用以反映和考核项目实施单位对资金运行的控制情况。评价小组通过查看相关凭证、区城乡建设局党委会议题申报单和财务管理制度了解到，项目单位在支出管理制度中明确了相应的监控机制，如项目支出的报销，必须按规定的程序和权限审核、审批，并有具体经办人、证明人、审批人签字，在执行过程按照资金申请由科室申报，上交领导签字通过后，交由财务审核批款。   </w:t>
      </w:r>
    </w:p>
    <w:p>
      <w:pPr>
        <w:adjustRightInd w:val="0"/>
        <w:ind w:firstLine="480"/>
        <w:rPr>
          <w:rFonts w:ascii="Arial Narrow" w:hAnsi="Arial Narrow" w:cs="Arial Narrow"/>
          <w:highlight w:val="yellow"/>
        </w:rPr>
      </w:pPr>
      <w:r>
        <w:rPr>
          <w:rFonts w:ascii="Arial Narrow" w:hAnsi="Arial Narrow" w:cs="Arial Narrow"/>
        </w:rPr>
        <w:t>1.3项目产出（28分）</w:t>
      </w:r>
    </w:p>
    <w:p>
      <w:pPr>
        <w:adjustRightInd w:val="0"/>
        <w:ind w:firstLine="480"/>
        <w:rPr>
          <w:rFonts w:ascii="Arial Narrow" w:hAnsi="Arial Narrow" w:cs="Arial Narrow"/>
        </w:rPr>
      </w:pPr>
      <w:bookmarkStart w:id="52" w:name="_Toc394490602"/>
      <w:bookmarkStart w:id="53" w:name="_Toc394181015"/>
      <w:r>
        <w:rPr>
          <w:rFonts w:ascii="Arial Narrow" w:hAnsi="Arial Narrow" w:cs="Arial Narrow"/>
        </w:rPr>
        <w:t>根据评价原则，项目产出评价得分为25分，评价结果为良。</w:t>
      </w:r>
      <w:bookmarkEnd w:id="52"/>
      <w:bookmarkEnd w:id="53"/>
    </w:p>
    <w:p>
      <w:pPr>
        <w:adjustRightInd w:val="0"/>
        <w:ind w:firstLine="480"/>
        <w:jc w:val="center"/>
        <w:rPr>
          <w:rFonts w:ascii="Arial Narrow" w:hAnsi="Arial Narrow" w:cs="Arial Narrow"/>
        </w:rPr>
      </w:pPr>
      <w:r>
        <w:drawing>
          <wp:inline distT="0" distB="0" distL="114300" distR="114300">
            <wp:extent cx="4312920" cy="2644140"/>
            <wp:effectExtent l="0" t="0" r="0" b="7620"/>
            <wp:docPr id="10"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pPr>
        <w:adjustRightInd w:val="0"/>
        <w:ind w:firstLine="480"/>
        <w:rPr>
          <w:rFonts w:ascii="Arial Narrow" w:hAnsi="Arial Narrow" w:cs="Arial Narrow"/>
        </w:rPr>
      </w:pPr>
      <w:r>
        <w:rPr>
          <w:rFonts w:ascii="Arial Narrow" w:hAnsi="Arial Narrow" w:cs="Arial Narrow"/>
        </w:rPr>
        <w:t>产出指标主要从审核手续齐全性、申请墙改基金清算时间、墙改基金退付比例合理性、现场核验完成率、专家机构审核合格率、资金使用率这六个方面来进行评价。对于该项的评价，评价小组主要采取了案卷研究方式进行资料收集、整理和分析，收集了武汉市新型墙体材料专项基金清算申请表、省财政厅、省住房和城乡建设厅关于印发《湖北省新型墙体材料专项基金征收使用管理办法实施细则》的通知（鄂财综</w:t>
      </w:r>
      <w:r>
        <w:rPr>
          <w:rFonts w:hint="eastAsia" w:ascii="Arial Narrow" w:hAnsi="Arial Narrow" w:cs="Arial Narrow"/>
        </w:rPr>
        <w:t>[</w:t>
      </w:r>
      <w:r>
        <w:rPr>
          <w:rFonts w:ascii="Arial Narrow" w:hAnsi="Arial Narrow" w:cs="Arial Narrow"/>
        </w:rPr>
        <w:t>2009</w:t>
      </w:r>
      <w:r>
        <w:rPr>
          <w:rFonts w:hint="eastAsia" w:ascii="Arial Narrow" w:hAnsi="Arial Narrow" w:cs="Arial Narrow"/>
        </w:rPr>
        <w:t>]</w:t>
      </w:r>
      <w:r>
        <w:rPr>
          <w:rFonts w:ascii="Arial Narrow" w:hAnsi="Arial Narrow" w:cs="Arial Narrow"/>
        </w:rPr>
        <w:t>6号）、湖北省房屋建筑工程和市政基础设施工程竣工验收备案证明书等资料，了解项目的具体实施情况及成果，对项目产出涉及的指标进行打分和评价。经过综合计分，该指标得分为25分，评价等级为良。</w:t>
      </w:r>
    </w:p>
    <w:p>
      <w:pPr>
        <w:adjustRightInd w:val="0"/>
        <w:ind w:firstLine="480"/>
        <w:rPr>
          <w:rFonts w:ascii="Arial Narrow" w:hAnsi="Arial Narrow" w:cs="Arial Narrow"/>
        </w:rPr>
      </w:pPr>
      <w:r>
        <w:rPr>
          <w:rFonts w:ascii="Arial Narrow" w:hAnsi="Arial Narrow" w:cs="Arial Narrow"/>
        </w:rPr>
        <w:t>①审核手续齐全性，是指项目实施后，项目单位审批基金退付手续是否齐全，用以反映和考核项目实施后的产出数量指标。评价小组通过查看武汉市建筑节能分部工程竣工验收信息表和墙体基金清退资料及注意事项了解到，项目有相应的质量标准规定，采取了质量检查措施。</w:t>
      </w:r>
    </w:p>
    <w:p>
      <w:pPr>
        <w:adjustRightInd w:val="0"/>
        <w:ind w:firstLine="480"/>
        <w:rPr>
          <w:rFonts w:ascii="Arial Narrow" w:hAnsi="Arial Narrow" w:cs="Arial Narrow"/>
        </w:rPr>
      </w:pPr>
      <w:r>
        <w:rPr>
          <w:rFonts w:ascii="Arial Narrow" w:hAnsi="Arial Narrow" w:cs="Arial Narrow"/>
        </w:rPr>
        <w:t>②申请墙改基金清算时间，是指项目实施后，建设单位申请专项基金清算时间的实际情况，用以反映和考核项目实施后的产出数量指标。评价小组通过查看财务管理制度和省财政厅、省住房和城乡建设厅关于印发《湖北省新型墙体材料专项基金征收使用管理办法实施细则》的通知（鄂财综</w:t>
      </w:r>
      <w:r>
        <w:rPr>
          <w:rFonts w:hint="eastAsia" w:ascii="Arial Narrow" w:hAnsi="Arial Narrow" w:cs="Arial Narrow"/>
        </w:rPr>
        <w:t>[</w:t>
      </w:r>
      <w:r>
        <w:rPr>
          <w:rFonts w:ascii="Arial Narrow" w:hAnsi="Arial Narrow" w:cs="Arial Narrow"/>
        </w:rPr>
        <w:t>2009</w:t>
      </w:r>
      <w:r>
        <w:rPr>
          <w:rFonts w:hint="eastAsia" w:ascii="Arial Narrow" w:hAnsi="Arial Narrow" w:cs="Arial Narrow"/>
        </w:rPr>
        <w:t>]</w:t>
      </w:r>
      <w:r>
        <w:rPr>
          <w:rFonts w:ascii="Arial Narrow" w:hAnsi="Arial Narrow" w:cs="Arial Narrow"/>
        </w:rPr>
        <w:t>6号）、《新型墙体材料专项基金征收使用管理办法》（财综</w:t>
      </w:r>
      <w:r>
        <w:rPr>
          <w:rFonts w:hint="eastAsia" w:ascii="Arial Narrow" w:hAnsi="Arial Narrow" w:cs="Arial Narrow"/>
        </w:rPr>
        <w:t>[</w:t>
      </w:r>
      <w:r>
        <w:rPr>
          <w:rFonts w:ascii="Arial Narrow" w:hAnsi="Arial Narrow" w:cs="Arial Narrow"/>
        </w:rPr>
        <w:t>2007</w:t>
      </w:r>
      <w:r>
        <w:rPr>
          <w:rFonts w:hint="eastAsia" w:ascii="Arial Narrow" w:hAnsi="Arial Narrow" w:cs="Arial Narrow"/>
        </w:rPr>
        <w:t>]</w:t>
      </w:r>
      <w:r>
        <w:rPr>
          <w:rFonts w:ascii="Arial Narrow" w:hAnsi="Arial Narrow" w:cs="Arial Narrow"/>
        </w:rPr>
        <w:t>77号）了解到，该项目制定了或具有相应的资金管理办法，单位主要依据城乡建设局财务制度进行专项资金的管理；单位资金管理办法符合财务会计制度的规定。</w:t>
      </w:r>
    </w:p>
    <w:p>
      <w:pPr>
        <w:adjustRightInd w:val="0"/>
        <w:ind w:firstLine="480"/>
        <w:rPr>
          <w:rFonts w:ascii="Arial Narrow" w:hAnsi="Arial Narrow" w:cs="Arial Narrow"/>
        </w:rPr>
      </w:pPr>
      <w:r>
        <w:rPr>
          <w:rFonts w:ascii="Arial Narrow" w:hAnsi="Arial Narrow" w:cs="Arial Narrow"/>
        </w:rPr>
        <w:t>③墙改基金退付比例合理性，是指项目实施后，墙改基金退付比例的实际情况，用以反映和考核项目实施后的产出数量指标。评价小组通过查看武汉市新型墙体材料验收单和湖北省建设工程质量检测专用报告单了解到，墙改基金退付比例是依据湖北省建设工程质量检测专用报告单检测出来的墙改材料的强度大小来判断。</w:t>
      </w:r>
    </w:p>
    <w:p>
      <w:pPr>
        <w:adjustRightInd w:val="0"/>
        <w:ind w:firstLine="480"/>
        <w:rPr>
          <w:rFonts w:ascii="Arial Narrow" w:hAnsi="Arial Narrow" w:cs="Arial Narrow"/>
        </w:rPr>
      </w:pPr>
      <w:r>
        <w:rPr>
          <w:rFonts w:ascii="Arial Narrow" w:hAnsi="Arial Narrow" w:cs="Arial Narrow"/>
        </w:rPr>
        <w:t>④现场核验完成率，是指项目实施后，墙改节能部门接到申请后需在3个工作日内到现场核验，用以反映和考核项目实施后的产出数量指标。评价小组通过查看金色港湾和海伦春天三期项目验收监督抽查记录了解到，建设单位通过电话联系城乡建设局墙革节能办，提出墙体材料使用验收申请，墙革节能办在3个工作日内，派人员到金色港湾双湖林语项目现场进行查看验收，但是未能提供海伦春天三期现场检查记录，扣1分。</w:t>
      </w:r>
    </w:p>
    <w:p>
      <w:pPr>
        <w:adjustRightInd w:val="0"/>
        <w:ind w:firstLine="480"/>
        <w:rPr>
          <w:rFonts w:ascii="Arial Narrow" w:hAnsi="Arial Narrow" w:cs="Arial Narrow"/>
        </w:rPr>
      </w:pPr>
      <w:r>
        <w:rPr>
          <w:rFonts w:ascii="Arial Narrow" w:hAnsi="Arial Narrow" w:cs="Arial Narrow"/>
        </w:rPr>
        <w:t>⑤专家机构审核合格率，是指项目实施后，专家机构对墙体材料检测的实际情况，用以反映和考核项目实施后的产出数量指标。评价小组通过查看加砌块购销合同和湖北省建设工程质量检测专用报告单了解到，项目单位通过扫描湖北省建设工程质量检测专用报告单附着的二维码，可以详细了解墙体材料合格的依据，经抽查均为合格。</w:t>
      </w:r>
    </w:p>
    <w:p>
      <w:pPr>
        <w:adjustRightInd w:val="0"/>
        <w:ind w:firstLine="480"/>
        <w:rPr>
          <w:rFonts w:ascii="Arial Narrow" w:hAnsi="Arial Narrow" w:cs="Arial Narrow"/>
        </w:rPr>
      </w:pPr>
      <w:r>
        <w:rPr>
          <w:rFonts w:ascii="Arial Narrow" w:hAnsi="Arial Narrow" w:cs="Arial Narrow"/>
        </w:rPr>
        <w:t>⑥资金使用率，是指项目实际支出与项目到位资金的比率，用以反映和考核项目资金使用情况。评价小组通过查看城乡建设局2018年部门预算调整执行情况表和支出明细表了解到，项目资金到位2,550,000.00元，2018年实际支出2,465,832.38元，资金使用率为96.70%。</w:t>
      </w:r>
    </w:p>
    <w:p>
      <w:pPr>
        <w:adjustRightInd w:val="0"/>
        <w:ind w:firstLine="480"/>
        <w:rPr>
          <w:rFonts w:ascii="Arial Narrow" w:hAnsi="Arial Narrow" w:cs="Arial Narrow"/>
        </w:rPr>
      </w:pPr>
      <w:r>
        <w:rPr>
          <w:rFonts w:ascii="Arial Narrow" w:hAnsi="Arial Narrow" w:cs="Arial Narrow"/>
        </w:rPr>
        <w:t>1.4项目效果（32分）</w:t>
      </w:r>
    </w:p>
    <w:p>
      <w:pPr>
        <w:adjustRightInd w:val="0"/>
        <w:ind w:firstLine="480"/>
        <w:rPr>
          <w:rFonts w:ascii="Arial Narrow" w:hAnsi="Arial Narrow" w:cs="Arial Narrow"/>
        </w:rPr>
      </w:pPr>
      <w:r>
        <w:rPr>
          <w:rFonts w:ascii="Arial Narrow" w:hAnsi="Arial Narrow" w:cs="Arial Narrow"/>
        </w:rPr>
        <w:t>根据评价原则，项目效果评价得分为29分，评价结果为优。</w:t>
      </w:r>
    </w:p>
    <w:p>
      <w:pPr>
        <w:adjustRightInd w:val="0"/>
        <w:ind w:firstLine="480"/>
        <w:jc w:val="center"/>
        <w:rPr>
          <w:rFonts w:ascii="Arial Narrow" w:hAnsi="Arial Narrow" w:cs="Arial Narrow"/>
          <w:highlight w:val="yellow"/>
        </w:rPr>
      </w:pPr>
      <w:r>
        <w:rPr>
          <w:rFonts w:ascii="Arial Narrow" w:hAnsi="Arial Narrow" w:cs="Arial Narrow"/>
        </w:rPr>
        <w:drawing>
          <wp:inline distT="0" distB="0" distL="114300" distR="114300">
            <wp:extent cx="4572000" cy="2419985"/>
            <wp:effectExtent l="0" t="0" r="0" b="18415"/>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pic:cNvPicPr>
                      <a:picLocks noChangeAspect="1"/>
                    </pic:cNvPicPr>
                  </pic:nvPicPr>
                  <pic:blipFill>
                    <a:blip r:embed="rId20"/>
                    <a:stretch>
                      <a:fillRect/>
                    </a:stretch>
                  </pic:blipFill>
                  <pic:spPr>
                    <a:xfrm>
                      <a:off x="0" y="0"/>
                      <a:ext cx="4572000" cy="2419985"/>
                    </a:xfrm>
                    <a:prstGeom prst="rect">
                      <a:avLst/>
                    </a:prstGeom>
                    <a:noFill/>
                    <a:ln>
                      <a:noFill/>
                    </a:ln>
                  </pic:spPr>
                </pic:pic>
              </a:graphicData>
            </a:graphic>
          </wp:inline>
        </w:drawing>
      </w:r>
    </w:p>
    <w:p>
      <w:pPr>
        <w:adjustRightInd w:val="0"/>
        <w:ind w:firstLine="480"/>
        <w:rPr>
          <w:rFonts w:ascii="Arial Narrow" w:hAnsi="Arial Narrow" w:cs="Arial Narrow"/>
        </w:rPr>
      </w:pPr>
      <w:r>
        <w:rPr>
          <w:rFonts w:ascii="Arial Narrow" w:hAnsi="Arial Narrow" w:cs="Arial Narrow"/>
        </w:rPr>
        <w:t>效果方面主要评价项目实施所产生的经济效益，以及对社会的需求和发展所带来的直接或间接影响，反映项目后续运行及成效发挥的可持续影响情况。主要从墙体材料专项基金退付时间、基金退付投诉次数、宣传方式多样性、降低能耗损失可持续影响、社会公众满意度这六个方面来进行评价，评价小组主要采取了案卷研究、现场访谈等方式进行资料收集、整理和分析，查看了武汉市新型墙体材料专项基金清算申请表、记账凭证、节能宣传册等资料，对项目相关负责人进行访谈，了解项目实施情况并通过调查问卷的方式来采集相关信息，对项目效果涉及的指标进行打分和评价。经过综合计分，该指标得分为29分，评价等级为优。</w:t>
      </w:r>
    </w:p>
    <w:p>
      <w:pPr>
        <w:adjustRightInd w:val="0"/>
        <w:ind w:firstLine="480"/>
        <w:rPr>
          <w:rFonts w:ascii="Arial Narrow" w:hAnsi="Arial Narrow" w:cs="Arial Narrow"/>
        </w:rPr>
      </w:pPr>
      <w:r>
        <w:rPr>
          <w:rFonts w:ascii="Arial Narrow" w:hAnsi="Arial Narrow" w:cs="Arial Narrow"/>
        </w:rPr>
        <w:t>①墙体材料专项基金退付时间，是指项目实施后，建设单位申请专项基金退付时间的实际情况，用以反映和考核项目实施后的效益指标。评价小组通过查看武汉市新型墙体材料专项基金清算申请表和记账凭证了解到，项目有清退审定表；从申请基金清算表到墙革节能办上会批复，均在5个工作日。</w:t>
      </w:r>
    </w:p>
    <w:p>
      <w:pPr>
        <w:adjustRightInd w:val="0"/>
        <w:ind w:firstLine="480"/>
        <w:rPr>
          <w:rFonts w:ascii="Arial Narrow" w:hAnsi="Arial Narrow" w:cs="Arial Narrow"/>
        </w:rPr>
      </w:pPr>
      <w:r>
        <w:rPr>
          <w:rFonts w:ascii="Arial Narrow" w:hAnsi="Arial Narrow" w:cs="Arial Narrow"/>
        </w:rPr>
        <w:t>②基金退付投诉次数，是指项目完成后，墙体基金项目退付投诉的次数，用以反映和考核项目实施后的效益指标。评价小组通过访谈了解到，2018年未收到投诉。</w:t>
      </w:r>
    </w:p>
    <w:p>
      <w:pPr>
        <w:adjustRightInd w:val="0"/>
        <w:ind w:firstLine="480"/>
        <w:rPr>
          <w:rFonts w:ascii="Arial Narrow" w:hAnsi="Arial Narrow" w:cs="Arial Narrow"/>
        </w:rPr>
      </w:pPr>
      <w:r>
        <w:rPr>
          <w:rFonts w:ascii="Arial Narrow" w:hAnsi="Arial Narrow" w:cs="Arial Narrow"/>
        </w:rPr>
        <w:t>③宣传方式多样性，是指项目完成后，新型墙体基金宣传方式的实际情况，用以反映和考核项目实施后的效益指标。评价小组通过访谈和查看节能宣传册了解到，项目通过发宣传册的方式对新墙体材料进行宣传，宣传种类较少，扣3分。</w:t>
      </w:r>
    </w:p>
    <w:p>
      <w:pPr>
        <w:adjustRightInd w:val="0"/>
        <w:ind w:firstLine="480"/>
        <w:rPr>
          <w:rFonts w:ascii="Arial Narrow" w:hAnsi="Arial Narrow" w:cs="Arial Narrow"/>
        </w:rPr>
      </w:pPr>
      <w:r>
        <w:rPr>
          <w:rFonts w:ascii="Arial Narrow" w:hAnsi="Arial Narrow" w:cs="Arial Narrow"/>
        </w:rPr>
        <w:t>④降低能耗损失，是指项目完成后，新型墙体材料的使用，可以降低能耗损失用以反映和考核项目实施后的效益指标。评价小组通过查看湖北省建设工程质量检测专用报告单和访谈了解到，使用新型墙体材料，可以有效地降低能耗损失，促进资源节约。</w:t>
      </w:r>
    </w:p>
    <w:p>
      <w:pPr>
        <w:adjustRightInd w:val="0"/>
        <w:ind w:firstLine="480"/>
        <w:rPr>
          <w:rFonts w:ascii="Arial Narrow" w:hAnsi="Arial Narrow" w:cs="Arial Narrow"/>
        </w:rPr>
      </w:pPr>
      <w:r>
        <w:rPr>
          <w:rFonts w:ascii="Arial Narrow" w:hAnsi="Arial Narrow" w:cs="Arial Narrow"/>
        </w:rPr>
        <w:t>⑤可持续性影响，是指项目实施后是否支持该项目长期运行，是否有相关管理机构及人力资源满足项目的实施要求，用以反映项目的可持续性。评价小组通过访谈了解到，项目实施单位支持项目长期运行，有合理的机构设置，人员充足，职能和分工明确，支持项目长期运行。</w:t>
      </w:r>
    </w:p>
    <w:p>
      <w:pPr>
        <w:adjustRightInd w:val="0"/>
        <w:ind w:firstLine="480"/>
        <w:rPr>
          <w:rFonts w:ascii="Arial Narrow" w:hAnsi="Arial Narrow" w:cs="Arial Narrow"/>
        </w:rPr>
      </w:pPr>
      <w:r>
        <w:rPr>
          <w:rFonts w:ascii="Arial Narrow" w:hAnsi="Arial Narrow" w:cs="Arial Narrow"/>
        </w:rPr>
        <w:t>⑥社会公众满意度，是指通过调查问卷的方式获取，社会公众对项目单位开展建设安全管理专项经费的满意程度。评价小组通过调查问卷了解到，20份有效问卷中，11人对项目非常满意，8人表示满意，1人表示不太满意，社会公众满意度86.25%。</w:t>
      </w:r>
    </w:p>
    <w:p>
      <w:pPr>
        <w:pStyle w:val="4"/>
        <w:spacing w:before="0" w:after="0"/>
        <w:ind w:firstLine="480"/>
        <w:rPr>
          <w:rFonts w:ascii="Arial Narrow" w:hAnsi="Arial Narrow" w:cs="Arial Narrow"/>
          <w:b w:val="0"/>
          <w:bCs w:val="0"/>
          <w:kern w:val="2"/>
          <w:szCs w:val="24"/>
        </w:rPr>
      </w:pPr>
      <w:bookmarkStart w:id="54" w:name="_Toc23517"/>
      <w:bookmarkStart w:id="55" w:name="_Toc28343"/>
      <w:r>
        <w:rPr>
          <w:rFonts w:ascii="Arial Narrow" w:hAnsi="Arial Narrow" w:cs="Arial Narrow"/>
          <w:b w:val="0"/>
          <w:bCs w:val="0"/>
          <w:kern w:val="2"/>
          <w:szCs w:val="24"/>
        </w:rPr>
        <w:t>2、评价结论</w:t>
      </w:r>
      <w:bookmarkEnd w:id="54"/>
      <w:bookmarkEnd w:id="55"/>
    </w:p>
    <w:p>
      <w:pPr>
        <w:adjustRightInd w:val="0"/>
        <w:ind w:firstLine="480"/>
        <w:rPr>
          <w:rFonts w:ascii="Arial Narrow" w:hAnsi="Arial Narrow" w:cs="Arial Narrow"/>
        </w:rPr>
      </w:pPr>
      <w:r>
        <w:rPr>
          <w:rFonts w:ascii="Arial Narrow" w:hAnsi="Arial Narrow" w:cs="Arial Narrow"/>
        </w:rPr>
        <w:t>2.1评分结果</w:t>
      </w:r>
    </w:p>
    <w:p>
      <w:pPr>
        <w:pStyle w:val="5"/>
        <w:ind w:firstLine="480"/>
        <w:rPr>
          <w:rFonts w:ascii="Arial Narrow" w:hAnsi="Arial Narrow" w:cs="Arial Narrow"/>
        </w:rPr>
      </w:pPr>
      <w:r>
        <w:rPr>
          <w:rFonts w:ascii="Arial Narrow" w:hAnsi="Arial Narrow" w:cs="Arial Narrow"/>
        </w:rPr>
        <w:t>项目绩效评价综合得分为91分。其中投入得分13分，过程得分24分，产出得分25分，效果得分29分。</w:t>
      </w:r>
    </w:p>
    <w:p>
      <w:pPr>
        <w:tabs>
          <w:tab w:val="center" w:pos="4153"/>
        </w:tabs>
        <w:adjustRightInd w:val="0"/>
        <w:ind w:firstLine="480"/>
        <w:rPr>
          <w:rFonts w:ascii="Arial Narrow" w:hAnsi="Arial Narrow" w:cs="Arial Narrow"/>
        </w:rPr>
      </w:pPr>
      <w:r>
        <w:rPr>
          <w:rFonts w:ascii="Arial Narrow" w:hAnsi="Arial Narrow" w:cs="Arial Narrow"/>
        </w:rPr>
        <w:t>下图为各指标得分情况：</w:t>
      </w:r>
      <w:r>
        <w:rPr>
          <w:rFonts w:ascii="Arial Narrow" w:hAnsi="Arial Narrow" w:cs="Arial Narrow"/>
        </w:rPr>
        <w:tab/>
      </w:r>
    </w:p>
    <w:p>
      <w:pPr>
        <w:adjustRightInd w:val="0"/>
        <w:ind w:firstLine="480"/>
        <w:rPr>
          <w:rFonts w:ascii="Arial Narrow" w:hAnsi="Arial Narrow" w:cs="Arial Narrow"/>
          <w:highlight w:val="yellow"/>
        </w:rPr>
      </w:pPr>
      <w:r>
        <w:rPr>
          <w:rFonts w:ascii="Arial Narrow" w:hAnsi="Arial Narrow" w:cs="Arial Narrow"/>
        </w:rPr>
        <w:drawing>
          <wp:inline distT="0" distB="0" distL="114300" distR="114300">
            <wp:extent cx="4327525" cy="2550160"/>
            <wp:effectExtent l="0" t="0" r="635" b="1016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5"/>
                    <a:stretch>
                      <a:fillRect/>
                    </a:stretch>
                  </pic:blipFill>
                  <pic:spPr>
                    <a:xfrm>
                      <a:off x="0" y="0"/>
                      <a:ext cx="4327525" cy="2550160"/>
                    </a:xfrm>
                    <a:prstGeom prst="rect">
                      <a:avLst/>
                    </a:prstGeom>
                    <a:noFill/>
                    <a:ln>
                      <a:noFill/>
                    </a:ln>
                  </pic:spPr>
                </pic:pic>
              </a:graphicData>
            </a:graphic>
          </wp:inline>
        </w:drawing>
      </w:r>
    </w:p>
    <w:p>
      <w:pPr>
        <w:adjustRightInd w:val="0"/>
        <w:ind w:firstLine="480"/>
        <w:rPr>
          <w:rFonts w:ascii="Arial Narrow" w:hAnsi="Arial Narrow" w:cs="Arial Narrow"/>
        </w:rPr>
      </w:pPr>
      <w:r>
        <w:rPr>
          <w:rFonts w:ascii="Arial Narrow" w:hAnsi="Arial Narrow" w:cs="Arial Narrow"/>
        </w:rPr>
        <w:t>2.2主要结论</w:t>
      </w:r>
    </w:p>
    <w:p>
      <w:pPr>
        <w:pStyle w:val="5"/>
        <w:ind w:firstLine="480"/>
        <w:rPr>
          <w:rFonts w:ascii="Arial Narrow" w:hAnsi="Arial Narrow" w:cs="Arial Narrow"/>
        </w:rPr>
      </w:pPr>
      <w:bookmarkStart w:id="56" w:name="_Toc26583"/>
      <w:bookmarkStart w:id="57" w:name="_Toc481590364"/>
      <w:bookmarkStart w:id="58" w:name="_Toc27689"/>
      <w:bookmarkStart w:id="59" w:name="_Toc10775"/>
      <w:bookmarkStart w:id="60" w:name="_Toc11205"/>
      <w:r>
        <w:rPr>
          <w:rFonts w:ascii="Arial Narrow" w:hAnsi="Arial Narrow" w:cs="Arial Narrow"/>
        </w:rPr>
        <w:t>（1）投入。评价得分为13分，评价等级为良。项目投入分为项目立项、资金落实两个方面，由于本项目是年中追加项目，未进行年初申报，但项目是根据具体的政策进行开展，项目的申保、批复均符合财务制度的有关规定；项目资金由城乡建设局其他部门项目预算调剂而来，资金全部及时到位。</w:t>
      </w:r>
    </w:p>
    <w:p>
      <w:pPr>
        <w:pStyle w:val="5"/>
        <w:ind w:firstLine="480"/>
        <w:rPr>
          <w:rFonts w:ascii="Arial Narrow" w:hAnsi="Arial Narrow" w:cs="Arial Narrow"/>
        </w:rPr>
      </w:pPr>
      <w:r>
        <w:rPr>
          <w:rFonts w:ascii="Arial Narrow" w:hAnsi="Arial Narrow" w:cs="Arial Narrow"/>
        </w:rPr>
        <w:t>（2）过程。评价得分为24分，评价等级为优。在项目管理方面，项目管理制度较为健全且合规合法，按照市《武汉市城乡建设委员会武汉市财政局关于进一步规范新型墙体材料专项基金退付工作的通知》（武城建[2013]130号）以及省财政厅、省住房和城乡建设厅关于印发《湖北省新型墙体材料专项基金征收使用管理办法实施细则》的通知（鄂财综[2009]6号）等相关管理办法执行，相关档案资料保存完好；在财务管理方面，项目单位财务管理制度符合国家财经法规与财务管理制度；资金拨付需要审核材料，待单位领导审核后拨付；符合项目项目预算批复和合同规定的用途；项目实施单位还在支出管理制度中明确了相应的监控机制，如项目支出的报销，必须按规定的程序和权限审核、审批，并有具体经办人、证明人、审批人签字，在执行过程按照资金申请由科室申报，上交领导签字通过后，交由财务审核批款。</w:t>
      </w:r>
    </w:p>
    <w:p>
      <w:pPr>
        <w:pStyle w:val="5"/>
        <w:ind w:firstLine="480"/>
        <w:rPr>
          <w:rFonts w:ascii="Arial Narrow" w:hAnsi="Arial Narrow" w:cs="Arial Narrow"/>
        </w:rPr>
      </w:pPr>
      <w:r>
        <w:rPr>
          <w:rFonts w:ascii="Arial Narrow" w:hAnsi="Arial Narrow" w:cs="Arial Narrow"/>
        </w:rPr>
        <w:t>（3）产出。评价得分为25分，评价等级为良。项目实施单位对各申报补贴项目审核手续齐全，同时采取了相应的监控手段对审核手续进行验收检查；项目实施单位依据湖北省建设工程质量检测专用报告单检测出来的墙改材料的强度大小来判断墙改基金退付比例，在各建设单位申请基金后，项目实施单位根据专用报告单结果对申报单位进行验收，并根据实际验收情况，发放墙改基金，项目实施单位较好的完成了本次工作，但未提供检查小组到“海伦春天三期”巡视的现场检查记录。</w:t>
      </w:r>
    </w:p>
    <w:p>
      <w:pPr>
        <w:pStyle w:val="5"/>
        <w:ind w:firstLine="480"/>
        <w:rPr>
          <w:rFonts w:ascii="Arial Narrow" w:hAnsi="Arial Narrow" w:cs="Arial Narrow"/>
        </w:rPr>
      </w:pPr>
      <w:r>
        <w:rPr>
          <w:rFonts w:ascii="Arial Narrow" w:hAnsi="Arial Narrow" w:cs="Arial Narrow"/>
        </w:rPr>
        <w:t>（4）效果。评价得分为29分，评价等级为优。项目积极宣传新墙体材料的节能环保作用，告知建筑单位使用新型墙体材料，可以有效地降低能耗损失，促进资源节约；项目实施单位根据检查结果发放墙改基金，为建设单位较好的提供持续发展的基础，保证该项目的长期运行，但由于该项目为年中追加项目，不确定本年度的补贴数额，导致本年基金反退较慢。</w:t>
      </w:r>
    </w:p>
    <w:p>
      <w:pPr>
        <w:ind w:firstLine="489"/>
        <w:outlineLvl w:val="1"/>
        <w:rPr>
          <w:rFonts w:ascii="Arial Narrow" w:hAnsi="Arial Narrow" w:cs="Arial Narrow"/>
          <w:b/>
          <w:bCs/>
          <w:color w:val="000000"/>
        </w:rPr>
      </w:pPr>
      <w:r>
        <w:rPr>
          <w:rFonts w:ascii="Arial Narrow" w:hAnsi="Arial Narrow" w:cs="Arial Narrow"/>
          <w:b/>
          <w:bCs/>
          <w:color w:val="000000"/>
        </w:rPr>
        <w:t>（四）主要经验及做法、存在的问题和建议</w:t>
      </w:r>
      <w:bookmarkEnd w:id="56"/>
      <w:bookmarkEnd w:id="57"/>
      <w:bookmarkEnd w:id="58"/>
      <w:bookmarkEnd w:id="59"/>
    </w:p>
    <w:p>
      <w:pPr>
        <w:pStyle w:val="4"/>
        <w:spacing w:before="0" w:after="0"/>
        <w:ind w:firstLine="480"/>
        <w:rPr>
          <w:rFonts w:ascii="Arial Narrow" w:hAnsi="Arial Narrow" w:cs="Arial Narrow"/>
          <w:b w:val="0"/>
          <w:bCs w:val="0"/>
          <w:kern w:val="2"/>
          <w:szCs w:val="24"/>
        </w:rPr>
      </w:pPr>
      <w:bookmarkStart w:id="61" w:name="_Toc31308"/>
      <w:r>
        <w:rPr>
          <w:rFonts w:ascii="Arial Narrow" w:hAnsi="Arial Narrow" w:cs="Arial Narrow"/>
          <w:b w:val="0"/>
          <w:bCs w:val="0"/>
          <w:kern w:val="2"/>
          <w:szCs w:val="24"/>
        </w:rPr>
        <w:t>1、主要经验及做法</w:t>
      </w:r>
      <w:bookmarkEnd w:id="60"/>
      <w:bookmarkEnd w:id="61"/>
    </w:p>
    <w:p>
      <w:pPr>
        <w:adjustRightInd w:val="0"/>
        <w:ind w:firstLine="480"/>
        <w:rPr>
          <w:rFonts w:ascii="Arial Narrow" w:hAnsi="Arial Narrow" w:cs="Arial Narrow"/>
        </w:rPr>
      </w:pPr>
      <w:bookmarkStart w:id="62" w:name="_Toc481460261"/>
      <w:bookmarkStart w:id="63" w:name="_Toc22791"/>
      <w:bookmarkStart w:id="64" w:name="_Toc257"/>
      <w:r>
        <w:rPr>
          <w:rFonts w:ascii="Arial Narrow" w:hAnsi="Arial Narrow" w:cs="Arial Narrow"/>
          <w:color w:val="000000"/>
        </w:rPr>
        <w:t>（1）顺利</w:t>
      </w:r>
      <w:r>
        <w:rPr>
          <w:rFonts w:ascii="Arial Narrow" w:hAnsi="Arial Narrow" w:cs="Arial Narrow"/>
        </w:rPr>
        <w:t>开展新型墙体材料专项基金返退服务。武汉经济技术开发区本年度首次开展新型墙体材料专项基金反退活动，根据《湖北省新型墙体材料专项基金征收使用管理办法实施细则》对各建设单位申请的新型墙体使用资料进行审核、验收，并根据各建设单位使用的新型墙体材料种类确定基金反退比例，及时发放审核合规的墙补资金，帮助各建设单位较好的完成工程建设，提高建设单位的效率与质量。</w:t>
      </w:r>
    </w:p>
    <w:p>
      <w:pPr>
        <w:adjustRightInd w:val="0"/>
        <w:ind w:firstLine="480"/>
        <w:rPr>
          <w:rFonts w:ascii="Arial Narrow" w:hAnsi="Arial Narrow" w:cs="Arial Narrow"/>
        </w:rPr>
      </w:pPr>
      <w:r>
        <w:rPr>
          <w:rFonts w:ascii="Arial Narrow" w:hAnsi="Arial Narrow" w:cs="Arial Narrow"/>
        </w:rPr>
        <w:t>（2）现场核验及时。建设单位通过电话联系城乡建设局墙革节能办，提出墙体材料使用验收申请，墙革节工作人员均能办在3个工作日内，派人员项目现场进行查看验收。</w:t>
      </w:r>
    </w:p>
    <w:p>
      <w:pPr>
        <w:pStyle w:val="4"/>
        <w:spacing w:before="0" w:after="0"/>
        <w:ind w:firstLine="480"/>
        <w:rPr>
          <w:rFonts w:ascii="Arial Narrow" w:hAnsi="Arial Narrow" w:cs="Arial Narrow"/>
          <w:b w:val="0"/>
          <w:bCs w:val="0"/>
          <w:kern w:val="2"/>
          <w:szCs w:val="24"/>
        </w:rPr>
      </w:pPr>
      <w:r>
        <w:rPr>
          <w:rFonts w:ascii="Arial Narrow" w:hAnsi="Arial Narrow" w:cs="Arial Narrow"/>
          <w:b w:val="0"/>
          <w:bCs w:val="0"/>
          <w:kern w:val="2"/>
          <w:szCs w:val="24"/>
        </w:rPr>
        <w:t>2、存在的问题及原因分析</w:t>
      </w:r>
      <w:bookmarkEnd w:id="62"/>
      <w:bookmarkEnd w:id="63"/>
      <w:bookmarkEnd w:id="64"/>
    </w:p>
    <w:p>
      <w:pPr>
        <w:pStyle w:val="23"/>
        <w:ind w:firstLine="480"/>
        <w:rPr>
          <w:rFonts w:ascii="Arial Narrow" w:hAnsi="Arial Narrow" w:cs="Arial Narrow"/>
          <w:bCs/>
        </w:rPr>
      </w:pPr>
      <w:bookmarkStart w:id="65" w:name="_Toc14828"/>
      <w:bookmarkStart w:id="66" w:name="_Toc20214"/>
      <w:r>
        <w:rPr>
          <w:rFonts w:ascii="Arial Narrow" w:hAnsi="Arial Narrow" w:cs="Arial Narrow"/>
          <w:bCs/>
        </w:rPr>
        <w:t>（1）未提交申报表，绩效指标体系不够完善。由于该项目为年中追加项目，未纳入年初预算，因此项目实施单位未在申报时提交申报文本；且该项目本年第一次在在经济技术开发区实施，项目实施单位未提出具体的工作计划，未确立具体的绩效指标对工作进行考核，项目实施单位主要依靠于各建设单位提出基金反退申请来开展验收补贴工作。</w:t>
      </w:r>
    </w:p>
    <w:p>
      <w:pPr>
        <w:pStyle w:val="23"/>
        <w:ind w:firstLine="480"/>
        <w:rPr>
          <w:rFonts w:ascii="Arial Narrow" w:hAnsi="Arial Narrow" w:cs="Arial Narrow"/>
          <w:bCs/>
        </w:rPr>
      </w:pPr>
      <w:r>
        <w:rPr>
          <w:rFonts w:ascii="Arial Narrow" w:hAnsi="Arial Narrow" w:cs="Arial Narrow"/>
          <w:bCs/>
        </w:rPr>
        <w:t>（2）宣传方式单一。项目实施单位仅通过发放宣传册的方式对新墙体材料进行宣传，宣传种类较少，不能全面的将新型墙体的环保性能宣传给各个建设单位，用以提高各单位的环保意识。</w:t>
      </w:r>
    </w:p>
    <w:p>
      <w:pPr>
        <w:pStyle w:val="23"/>
        <w:ind w:firstLine="480"/>
        <w:rPr>
          <w:rFonts w:ascii="Arial Narrow" w:hAnsi="Arial Narrow" w:cs="Arial Narrow"/>
          <w:color w:val="0000FF"/>
        </w:rPr>
      </w:pPr>
      <w:r>
        <w:rPr>
          <w:rFonts w:ascii="Arial Narrow" w:hAnsi="Arial Narrow" w:cs="Arial Narrow"/>
        </w:rPr>
        <w:t>3、建议</w:t>
      </w:r>
      <w:bookmarkEnd w:id="65"/>
      <w:r>
        <w:rPr>
          <w:rFonts w:ascii="Arial Narrow" w:hAnsi="Arial Narrow" w:cs="Arial Narrow"/>
        </w:rPr>
        <w:t>和改进措施</w:t>
      </w:r>
      <w:bookmarkEnd w:id="66"/>
    </w:p>
    <w:p>
      <w:pPr>
        <w:pStyle w:val="2"/>
        <w:spacing w:before="50" w:after="50" w:line="360" w:lineRule="auto"/>
        <w:ind w:firstLine="480"/>
        <w:rPr>
          <w:rFonts w:ascii="Arial Narrow" w:hAnsi="Arial Narrow" w:cs="Arial Narrow"/>
          <w:b w:val="0"/>
          <w:bCs w:val="0"/>
          <w:sz w:val="24"/>
          <w:szCs w:val="24"/>
        </w:rPr>
      </w:pPr>
      <w:bookmarkStart w:id="67" w:name="_Toc7820"/>
      <w:bookmarkStart w:id="68" w:name="_Toc24299"/>
      <w:bookmarkStart w:id="69" w:name="_Toc481460264"/>
      <w:bookmarkStart w:id="70" w:name="_Toc16557"/>
      <w:r>
        <w:rPr>
          <w:rFonts w:ascii="Arial Narrow" w:hAnsi="Arial Narrow" w:cs="Arial Narrow"/>
          <w:b w:val="0"/>
          <w:bCs w:val="0"/>
          <w:sz w:val="24"/>
          <w:szCs w:val="24"/>
        </w:rPr>
        <w:t>（1）合理编制整体目标，设置合适绩效指标值，健全绩效指标体系。项目单位在年初应考虑多方因素，编制整体绩效目标，充分把握全局的工作计划以及各项工作内容，对全局工作进行整合，凝练出合适完整的整体项目目标，为设计的指标选择合适的指标值，逐步完善绩效指标体系。</w:t>
      </w:r>
    </w:p>
    <w:p>
      <w:pPr>
        <w:ind w:firstLine="480"/>
        <w:rPr>
          <w:rFonts w:ascii="Arial Narrow" w:hAnsi="Arial Narrow" w:cs="Arial Narrow"/>
        </w:rPr>
      </w:pPr>
      <w:r>
        <w:rPr>
          <w:rFonts w:ascii="Arial Narrow" w:hAnsi="Arial Narrow" w:cs="Arial Narrow"/>
        </w:rPr>
        <w:t>（2）多渠道对新型墙体材料进行宣传。为了让社会广泛了解新型墙体材料对于节能环保的作用，项目实施单位可以充分利用资源对新型墙体材料进行大力宣传，如通过报刊、网络等传媒积极宣传新型墙体的作用，促进建筑单位选用环保级别较高的材料进行项目建设。</w:t>
      </w:r>
    </w:p>
    <w:p>
      <w:pPr>
        <w:ind w:firstLine="489"/>
        <w:outlineLvl w:val="1"/>
        <w:rPr>
          <w:rFonts w:ascii="Arial Narrow" w:hAnsi="Arial Narrow" w:cs="Arial Narrow"/>
          <w:b/>
          <w:bCs/>
          <w:color w:val="000000"/>
        </w:rPr>
      </w:pPr>
      <w:r>
        <w:rPr>
          <w:rFonts w:ascii="Arial Narrow" w:hAnsi="Arial Narrow" w:cs="Arial Narrow"/>
          <w:b/>
          <w:bCs/>
          <w:color w:val="000000"/>
        </w:rPr>
        <w:t>（五）其他需说明的问题</w:t>
      </w:r>
      <w:bookmarkEnd w:id="67"/>
      <w:bookmarkEnd w:id="68"/>
    </w:p>
    <w:bookmarkEnd w:id="69"/>
    <w:bookmarkEnd w:id="70"/>
    <w:p>
      <w:pPr>
        <w:pStyle w:val="4"/>
        <w:spacing w:before="0" w:after="0"/>
        <w:ind w:firstLine="480"/>
        <w:rPr>
          <w:rFonts w:ascii="Arial Narrow" w:hAnsi="Arial Narrow" w:cs="Arial Narrow"/>
          <w:b w:val="0"/>
          <w:bCs w:val="0"/>
          <w:kern w:val="2"/>
          <w:szCs w:val="24"/>
        </w:rPr>
      </w:pPr>
      <w:bookmarkStart w:id="71" w:name="_Toc481590369"/>
      <w:bookmarkStart w:id="72" w:name="_Toc9311"/>
      <w:bookmarkStart w:id="73" w:name="_Toc16643"/>
      <w:bookmarkStart w:id="74" w:name="_Toc21802"/>
      <w:r>
        <w:rPr>
          <w:rFonts w:ascii="Arial Narrow" w:hAnsi="Arial Narrow" w:cs="Arial Narrow"/>
          <w:b w:val="0"/>
          <w:bCs w:val="0"/>
          <w:kern w:val="2"/>
          <w:szCs w:val="24"/>
        </w:rPr>
        <w:t>1、关于评价责任的说明</w:t>
      </w:r>
      <w:bookmarkEnd w:id="71"/>
      <w:bookmarkEnd w:id="72"/>
      <w:bookmarkEnd w:id="73"/>
      <w:bookmarkEnd w:id="74"/>
    </w:p>
    <w:p>
      <w:pPr>
        <w:adjustRightInd w:val="0"/>
        <w:ind w:firstLine="480"/>
        <w:rPr>
          <w:rFonts w:ascii="Arial Narrow" w:hAnsi="Arial Narrow" w:cs="Arial Narrow"/>
        </w:rPr>
      </w:pPr>
      <w:r>
        <w:rPr>
          <w:rFonts w:ascii="Arial Narrow" w:hAnsi="Arial Narrow" w:cs="Arial Narrow"/>
        </w:rPr>
        <w:t>本评价结果依据评价客体提供的各项基础资料，运用规定的评价方法，评价工作组保证本次评价工作全过程的公正和公平，各项评价基础资料的真实性与完整性由评价客体负责，未经评价组织机构同意，任何单位和个人不得将本评价结果对外公布。</w:t>
      </w:r>
    </w:p>
    <w:p>
      <w:pPr>
        <w:pStyle w:val="4"/>
        <w:spacing w:before="0" w:after="0"/>
        <w:ind w:firstLine="480"/>
        <w:rPr>
          <w:rFonts w:ascii="Arial Narrow" w:hAnsi="Arial Narrow" w:cs="Arial Narrow"/>
          <w:b w:val="0"/>
          <w:bCs w:val="0"/>
          <w:kern w:val="2"/>
          <w:szCs w:val="24"/>
        </w:rPr>
      </w:pPr>
      <w:bookmarkStart w:id="75" w:name="_Toc4693"/>
      <w:bookmarkStart w:id="76" w:name="_Toc561"/>
      <w:bookmarkStart w:id="77" w:name="_Toc1626"/>
      <w:bookmarkStart w:id="78" w:name="_Toc481590370"/>
      <w:r>
        <w:rPr>
          <w:rFonts w:ascii="Arial Narrow" w:hAnsi="Arial Narrow" w:cs="Arial Narrow"/>
          <w:b w:val="0"/>
          <w:bCs w:val="0"/>
          <w:kern w:val="2"/>
          <w:szCs w:val="24"/>
        </w:rPr>
        <w:t>2、关于本项目评价中局限性的说明</w:t>
      </w:r>
      <w:bookmarkEnd w:id="75"/>
      <w:bookmarkEnd w:id="76"/>
      <w:bookmarkEnd w:id="77"/>
      <w:bookmarkEnd w:id="78"/>
    </w:p>
    <w:p>
      <w:pPr>
        <w:adjustRightInd w:val="0"/>
        <w:ind w:firstLine="480"/>
        <w:rPr>
          <w:rFonts w:ascii="Arial Narrow" w:hAnsi="Arial Narrow" w:cs="Arial Narrow"/>
        </w:rPr>
      </w:pPr>
      <w:r>
        <w:rPr>
          <w:rFonts w:ascii="Arial Narrow" w:hAnsi="Arial Narrow" w:cs="Arial Narrow"/>
        </w:rPr>
        <w:t>（1）评价结论是致同会计师事务所（特殊普通合伙）武汉分所出具的，受具体参加本次项目的评价人员的水平和能力的限制。鉴于这种评价工作存在资料的有限性和调查、分析、判断的局限性，因此，评价结论无法考虑影响资金使用的所有因素，评价结论存在一定的局限性。</w:t>
      </w:r>
    </w:p>
    <w:p>
      <w:pPr>
        <w:adjustRightInd w:val="0"/>
        <w:ind w:firstLine="480"/>
        <w:rPr>
          <w:rFonts w:ascii="Arial Narrow" w:hAnsi="Arial Narrow" w:cs="Arial Narrow"/>
        </w:rPr>
      </w:pPr>
      <w:r>
        <w:rPr>
          <w:rFonts w:ascii="Arial Narrow" w:hAnsi="Arial Narrow" w:cs="Arial Narrow"/>
        </w:rPr>
        <w:t>（2）本项目是专项资金使用项目，受具体参加本次项目的评价人员的专业能力的影响，对专业指标设定和问题、建议提出的全面性可能存在一定的局限性。</w:t>
      </w:r>
    </w:p>
    <w:p>
      <w:pPr>
        <w:adjustRightInd w:val="0"/>
        <w:ind w:firstLine="480"/>
        <w:rPr>
          <w:rFonts w:ascii="Arial Narrow" w:hAnsi="Arial Narrow" w:cs="Arial Narrow"/>
        </w:rPr>
      </w:pPr>
      <w:r>
        <w:rPr>
          <w:rFonts w:ascii="Arial Narrow" w:hAnsi="Arial Narrow" w:cs="Arial Narrow"/>
        </w:rPr>
        <w:t>（3）本次评价专项数据是基于开发区城市建设工程服务中心统计的，涉及范围较广、数据多，无法一一核实其真实性，因此可能对结果的准确性产生一定的影响。</w:t>
      </w:r>
    </w:p>
    <w:p>
      <w:pPr>
        <w:adjustRightInd w:val="0"/>
        <w:ind w:firstLine="480"/>
        <w:rPr>
          <w:rFonts w:ascii="Arial Narrow" w:hAnsi="Arial Narrow" w:cs="Arial Narrow"/>
        </w:rPr>
      </w:pPr>
      <w:r>
        <w:rPr>
          <w:rFonts w:ascii="Arial Narrow" w:hAnsi="Arial Narrow" w:cs="Arial Narrow"/>
        </w:rPr>
        <w:t>（4）对于绩效评价框架中的部分定性指标，无法根据量化的数据评价并得出分数，评议结果主要依据评价人员的职业判断。</w:t>
      </w:r>
    </w:p>
    <w:p>
      <w:pPr>
        <w:adjustRightInd w:val="0"/>
        <w:ind w:firstLine="480"/>
        <w:rPr>
          <w:rFonts w:ascii="Arial Narrow" w:hAnsi="Arial Narrow" w:cs="Arial Narrow"/>
        </w:rPr>
      </w:pPr>
      <w:r>
        <w:rPr>
          <w:rFonts w:ascii="Arial Narrow" w:hAnsi="Arial Narrow" w:cs="Arial Narrow"/>
        </w:rPr>
        <w:t>（5）社会公众满意度我们主要采取对群众进行问卷调查的方式进行，因本次绩效评价调查问卷对象范围太广，但是评价小组时间及人力、精力有限只收集到20份有效问卷，收集的信息存在一定的局限性和片面性，可能会导致统计性偏差，对评价结果产生一定的影响。</w:t>
      </w:r>
    </w:p>
    <w:p>
      <w:pPr>
        <w:snapToGrid w:val="0"/>
        <w:ind w:firstLine="489"/>
        <w:rPr>
          <w:rFonts w:ascii="Arial Narrow" w:hAnsi="Arial Narrow" w:cs="Arial Narrow"/>
          <w:b/>
          <w:bCs/>
          <w:highlight w:val="yellow"/>
        </w:rPr>
      </w:pPr>
      <w:r>
        <w:rPr>
          <w:rFonts w:ascii="Arial Narrow" w:hAnsi="Arial Narrow" w:cs="Arial Narrow"/>
          <w:b/>
          <w:bCs/>
          <w:highlight w:val="yellow"/>
        </w:rPr>
        <w:br w:type="page"/>
      </w:r>
    </w:p>
    <w:p>
      <w:pPr>
        <w:keepNext/>
        <w:keepLines/>
        <w:spacing w:before="260" w:after="260"/>
        <w:ind w:firstLine="489"/>
        <w:outlineLvl w:val="0"/>
        <w:rPr>
          <w:rFonts w:ascii="Arial Narrow" w:hAnsi="Arial Narrow" w:cs="Arial Narrow"/>
          <w:b/>
          <w:bCs/>
          <w:kern w:val="0"/>
          <w:lang w:val="zh-CN"/>
        </w:rPr>
      </w:pPr>
      <w:bookmarkStart w:id="79" w:name="_Toc348"/>
      <w:bookmarkStart w:id="80" w:name="_Toc454310940"/>
      <w:bookmarkStart w:id="81" w:name="_Toc481460266"/>
      <w:bookmarkStart w:id="82" w:name="_Toc29332"/>
      <w:r>
        <w:rPr>
          <w:rFonts w:ascii="Arial Narrow" w:hAnsi="Arial Narrow" w:cs="Arial Narrow"/>
          <w:b/>
          <w:bCs/>
          <w:kern w:val="0"/>
          <w:lang w:val="zh-CN"/>
        </w:rPr>
        <w:t>附件:</w:t>
      </w:r>
      <w:bookmarkEnd w:id="79"/>
      <w:bookmarkEnd w:id="80"/>
      <w:bookmarkEnd w:id="81"/>
      <w:bookmarkEnd w:id="82"/>
    </w:p>
    <w:p>
      <w:pPr>
        <w:ind w:firstLine="480"/>
        <w:rPr>
          <w:rFonts w:ascii="Arial Narrow" w:hAnsi="Arial Narrow" w:cs="Arial Narrow"/>
        </w:rPr>
      </w:pPr>
      <w:r>
        <w:rPr>
          <w:rFonts w:ascii="Arial Narrow" w:hAnsi="Arial Narrow" w:cs="Arial Narrow"/>
        </w:rPr>
        <w:t>附件1：项目绩效评价评分表及说明</w:t>
      </w:r>
    </w:p>
    <w:p>
      <w:pPr>
        <w:ind w:firstLine="480"/>
        <w:rPr>
          <w:rFonts w:ascii="Arial Narrow" w:hAnsi="Arial Narrow" w:cs="Arial Narrow"/>
        </w:rPr>
      </w:pPr>
      <w:r>
        <w:rPr>
          <w:rFonts w:ascii="Arial Narrow" w:hAnsi="Arial Narrow" w:cs="Arial Narrow"/>
        </w:rPr>
        <w:t>附件2：绩效目标完成情况对比表</w:t>
      </w:r>
    </w:p>
    <w:p>
      <w:pPr>
        <w:ind w:firstLine="480"/>
        <w:rPr>
          <w:rFonts w:ascii="Arial Narrow" w:hAnsi="Arial Narrow" w:cs="Arial Narrow"/>
        </w:rPr>
      </w:pPr>
      <w:r>
        <w:rPr>
          <w:rFonts w:ascii="Arial Narrow" w:hAnsi="Arial Narrow" w:cs="Arial Narrow"/>
        </w:rPr>
        <w:t>附件3：基础数据表</w:t>
      </w:r>
    </w:p>
    <w:p>
      <w:pPr>
        <w:ind w:firstLine="480"/>
        <w:rPr>
          <w:rFonts w:ascii="Arial Narrow" w:hAnsi="Arial Narrow" w:cs="Arial Narrow"/>
        </w:rPr>
      </w:pPr>
      <w:r>
        <w:rPr>
          <w:rFonts w:ascii="Arial Narrow" w:hAnsi="Arial Narrow" w:cs="Arial Narrow"/>
        </w:rPr>
        <w:t>附件4：访谈记录</w:t>
      </w:r>
    </w:p>
    <w:p>
      <w:pPr>
        <w:ind w:firstLine="480"/>
        <w:rPr>
          <w:rFonts w:ascii="Arial Narrow" w:hAnsi="Arial Narrow" w:cs="Arial Narrow"/>
        </w:rPr>
      </w:pPr>
      <w:r>
        <w:rPr>
          <w:rFonts w:ascii="Arial Narrow" w:hAnsi="Arial Narrow" w:cs="Arial Narrow"/>
        </w:rPr>
        <w:t>附件5：调查问卷</w:t>
      </w:r>
    </w:p>
    <w:p>
      <w:pPr>
        <w:ind w:firstLine="480"/>
        <w:rPr>
          <w:rFonts w:ascii="Arial Narrow" w:hAnsi="Arial Narrow" w:cs="Arial Narrow"/>
        </w:rPr>
      </w:pPr>
      <w:r>
        <w:rPr>
          <w:rFonts w:ascii="Arial Narrow" w:hAnsi="Arial Narrow" w:cs="Arial Narrow"/>
        </w:rPr>
        <w:t>附件6：调查问卷分析</w:t>
      </w:r>
    </w:p>
    <w:p>
      <w:pPr>
        <w:ind w:firstLine="480"/>
        <w:rPr>
          <w:rFonts w:ascii="Arial Narrow" w:hAnsi="Arial Narrow" w:cs="Arial Narrow"/>
        </w:rPr>
      </w:pPr>
      <w:r>
        <w:rPr>
          <w:rFonts w:ascii="Arial Narrow" w:hAnsi="Arial Narrow" w:cs="Arial Narrow"/>
        </w:rPr>
        <w:t>附件7：评价依据目录</w:t>
      </w:r>
    </w:p>
    <w:p>
      <w:pPr>
        <w:ind w:firstLine="480"/>
        <w:rPr>
          <w:rFonts w:ascii="Arial Narrow" w:hAnsi="Arial Narrow" w:cs="Arial Narrow"/>
        </w:rPr>
      </w:pPr>
      <w:r>
        <w:rPr>
          <w:rFonts w:ascii="Arial Narrow" w:hAnsi="Arial Narrow" w:cs="Arial Narrow"/>
        </w:rPr>
        <w:t>附件8：评价现场照片</w:t>
      </w:r>
    </w:p>
    <w:p>
      <w:pPr>
        <w:ind w:firstLine="480"/>
        <w:rPr>
          <w:rFonts w:ascii="Arial Narrow" w:hAnsi="Arial Narrow" w:cs="Arial Narrow"/>
        </w:rPr>
      </w:pPr>
      <w:r>
        <w:rPr>
          <w:rFonts w:ascii="Arial Narrow" w:hAnsi="Arial Narrow" w:cs="Arial Narrow"/>
        </w:rPr>
        <w:t>附件9：绩效评价实施方案</w:t>
      </w:r>
    </w:p>
    <w:p>
      <w:pPr>
        <w:ind w:firstLine="480"/>
        <w:rPr>
          <w:rFonts w:ascii="Arial Narrow" w:hAnsi="Arial Narrow" w:cs="Arial Narrow"/>
        </w:rPr>
      </w:pPr>
      <w:r>
        <w:rPr>
          <w:rFonts w:ascii="Arial Narrow" w:hAnsi="Arial Narrow" w:cs="Arial Narrow"/>
        </w:rPr>
        <w:t>附件10：评价机构营业执照（复印件）</w:t>
      </w:r>
    </w:p>
    <w:p>
      <w:pPr>
        <w:ind w:firstLine="480"/>
        <w:rPr>
          <w:rFonts w:ascii="Arial Narrow" w:hAnsi="Arial Narrow" w:cs="Arial Narrow"/>
        </w:rPr>
      </w:pPr>
      <w:r>
        <w:rPr>
          <w:rFonts w:ascii="Arial Narrow" w:hAnsi="Arial Narrow" w:cs="Arial Narrow"/>
        </w:rPr>
        <w:t>附件11：相关评价人员职业证明文件（复印件）</w:t>
      </w:r>
    </w:p>
    <w:p>
      <w:pPr>
        <w:ind w:firstLine="480"/>
        <w:rPr>
          <w:rFonts w:ascii="Arial Narrow" w:hAnsi="Arial Narrow" w:cs="Arial Narrow"/>
        </w:rPr>
      </w:pPr>
    </w:p>
    <w:p>
      <w:pPr>
        <w:ind w:firstLine="480"/>
        <w:rPr>
          <w:rFonts w:ascii="Arial Narrow" w:hAnsi="Arial Narrow" w:cs="Arial Narrow"/>
        </w:rPr>
      </w:pPr>
    </w:p>
    <w:p>
      <w:pPr>
        <w:wordWrap w:val="0"/>
        <w:ind w:firstLine="480"/>
        <w:jc w:val="right"/>
        <w:rPr>
          <w:rFonts w:ascii="Arial Narrow" w:hAnsi="Arial Narrow" w:cs="Arial Narrow"/>
        </w:rPr>
      </w:pPr>
      <w:r>
        <w:rPr>
          <w:rFonts w:ascii="Arial Narrow" w:hAnsi="Arial Narrow" w:cs="Arial Narrow"/>
        </w:rPr>
        <w:t>致同会计师事务所（特殊普通合伙）</w:t>
      </w:r>
    </w:p>
    <w:p>
      <w:pPr>
        <w:ind w:firstLine="480"/>
        <w:jc w:val="right"/>
        <w:rPr>
          <w:rFonts w:ascii="Arial Narrow" w:hAnsi="Arial Narrow" w:cs="Arial Narrow"/>
        </w:rPr>
      </w:pPr>
      <w:r>
        <w:rPr>
          <w:rFonts w:ascii="Arial Narrow" w:hAnsi="Arial Narrow" w:cs="Arial Narrow"/>
        </w:rPr>
        <w:t>武汉分所</w:t>
      </w:r>
    </w:p>
    <w:p>
      <w:pPr>
        <w:wordWrap w:val="0"/>
        <w:ind w:firstLine="480"/>
        <w:jc w:val="right"/>
        <w:rPr>
          <w:rFonts w:ascii="Arial Narrow" w:hAnsi="Arial Narrow" w:cs="Arial Narrow"/>
        </w:rPr>
      </w:pPr>
      <w:r>
        <w:rPr>
          <w:rFonts w:ascii="Arial Narrow" w:hAnsi="Arial Narrow" w:cs="Arial Narrow"/>
        </w:rPr>
        <w:t>2019年7月26日</w:t>
      </w:r>
    </w:p>
    <w:sectPr>
      <w:headerReference r:id="rId12" w:type="default"/>
      <w:footerReference r:id="rId13" w:type="default"/>
      <w:pgSz w:w="11906" w:h="16838"/>
      <w:pgMar w:top="2835" w:right="1800" w:bottom="1440" w:left="1800" w:header="851" w:footer="992" w:gutter="0"/>
      <w:pgNumType w:start="1"/>
      <w:cols w:space="0"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1"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10" w:usb3="00000000" w:csb0="00040001" w:csb1="00000000"/>
  </w:font>
  <w:font w:name="Arial Narrow">
    <w:altName w:val="Arial"/>
    <w:panose1 w:val="020B0606020202030204"/>
    <w:charset w:val="00"/>
    <w:family w:val="swiss"/>
    <w:pitch w:val="default"/>
    <w:sig w:usb0="00000000" w:usb1="00000000" w:usb2="00000000" w:usb3="00000000" w:csb0="000000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7"/>
                            <w:ind w:firstLine="360"/>
                            <w:rPr>
                              <w:rFonts w:ascii="Arial Narrow" w:hAnsi="Arial Narrow" w:eastAsia="宋体" w:cs="Arial Narrow"/>
                            </w:rPr>
                          </w:pPr>
                          <w:r>
                            <w:rPr>
                              <w:rFonts w:ascii="Arial Narrow" w:hAnsi="Arial Narrow" w:cs="Arial Narrow"/>
                            </w:rPr>
                            <w:fldChar w:fldCharType="begin"/>
                          </w:r>
                          <w:r>
                            <w:rPr>
                              <w:rFonts w:ascii="Arial Narrow" w:hAnsi="Arial Narrow" w:cs="Arial Narrow"/>
                            </w:rPr>
                            <w:instrText xml:space="preserve"> PAGE  \* MERGEFORMAT </w:instrText>
                          </w:r>
                          <w:r>
                            <w:rPr>
                              <w:rFonts w:ascii="Arial Narrow" w:hAnsi="Arial Narrow" w:cs="Arial Narrow"/>
                            </w:rPr>
                            <w:fldChar w:fldCharType="separate"/>
                          </w:r>
                          <w:r>
                            <w:rPr>
                              <w:rFonts w:ascii="Arial Narrow" w:hAnsi="Arial Narrow" w:cs="Arial Narrow"/>
                            </w:rPr>
                            <w:t>1</w:t>
                          </w:r>
                          <w:r>
                            <w:rPr>
                              <w:rFonts w:ascii="Arial Narrow" w:hAnsi="Arial Narrow" w:cs="Arial Narrow"/>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v9QemMoBAACWAwAADgAAAAAAAAABACAAAAAeAQAAZHJzL2Uyb0Rv&#10;Yy54bWxQSwUGAAAAAAYABgBZAQAAWgUAAAAA&#10;">
              <v:fill on="f" focussize="0,0"/>
              <v:stroke on="f"/>
              <v:imagedata o:title=""/>
              <o:lock v:ext="edit" aspectratio="f"/>
              <v:textbox inset="0mm,0mm,0mm,0mm" style="mso-fit-shape-to-text:t;">
                <w:txbxContent>
                  <w:p>
                    <w:pPr>
                      <w:pStyle w:val="7"/>
                      <w:ind w:firstLine="360"/>
                      <w:rPr>
                        <w:rFonts w:ascii="Arial Narrow" w:hAnsi="Arial Narrow" w:eastAsia="宋体" w:cs="Arial Narrow"/>
                      </w:rPr>
                    </w:pPr>
                    <w:r>
                      <w:rPr>
                        <w:rFonts w:ascii="Arial Narrow" w:hAnsi="Arial Narrow" w:cs="Arial Narrow"/>
                      </w:rPr>
                      <w:fldChar w:fldCharType="begin"/>
                    </w:r>
                    <w:r>
                      <w:rPr>
                        <w:rFonts w:ascii="Arial Narrow" w:hAnsi="Arial Narrow" w:cs="Arial Narrow"/>
                      </w:rPr>
                      <w:instrText xml:space="preserve"> PAGE  \* MERGEFORMAT </w:instrText>
                    </w:r>
                    <w:r>
                      <w:rPr>
                        <w:rFonts w:ascii="Arial Narrow" w:hAnsi="Arial Narrow" w:cs="Arial Narrow"/>
                      </w:rPr>
                      <w:fldChar w:fldCharType="separate"/>
                    </w:r>
                    <w:r>
                      <w:rPr>
                        <w:rFonts w:ascii="Arial Narrow" w:hAnsi="Arial Narrow" w:cs="Arial Narrow"/>
                      </w:rPr>
                      <w:t>1</w:t>
                    </w:r>
                    <w:r>
                      <w:rPr>
                        <w:rFonts w:ascii="Arial Narrow" w:hAnsi="Arial Narrow" w:cs="Arial Narrow"/>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firstLine="480"/>
      </w:pPr>
      <w:r>
        <w:separator/>
      </w:r>
    </w:p>
  </w:footnote>
  <w:footnote w:type="continuationSeparator" w:id="1">
    <w:p>
      <w:pPr>
        <w:spacing w:before="0" w:after="0"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ind w:firstLine="360"/>
    </w:pPr>
    <w:r>
      <w:rPr>
        <w:rFonts w:hint="eastAsia"/>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ind w:firstLine="285"/>
    </w:pPr>
    <w:r>
      <w:rPr>
        <w:rFonts w:ascii="Calibri" w:hAnsi="Calibri" w:eastAsia="黑体" w:cs="黑体"/>
        <w:b/>
        <w:sz w:val="14"/>
        <w:szCs w:val="14"/>
      </w:rPr>
      <mc:AlternateContent>
        <mc:Choice Requires="wps">
          <w:drawing>
            <wp:anchor distT="0" distB="0" distL="114300" distR="114300" simplePos="0" relativeHeight="251660288" behindDoc="0" locked="0" layoutInCell="1" allowOverlap="1">
              <wp:simplePos x="0" y="0"/>
              <wp:positionH relativeFrom="page">
                <wp:posOffset>4572000</wp:posOffset>
              </wp:positionH>
              <wp:positionV relativeFrom="page">
                <wp:posOffset>770255</wp:posOffset>
              </wp:positionV>
              <wp:extent cx="1906905" cy="1024255"/>
              <wp:effectExtent l="0" t="0" r="0" b="0"/>
              <wp:wrapNone/>
              <wp:docPr id="13" name="矩形 13"/>
              <wp:cNvGraphicFramePr/>
              <a:graphic xmlns:a="http://schemas.openxmlformats.org/drawingml/2006/main">
                <a:graphicData uri="http://schemas.microsoft.com/office/word/2010/wordprocessingShape">
                  <wps:wsp>
                    <wps:cNvSpPr>
                      <a:spLocks noChangeArrowheads="1"/>
                    </wps:cNvSpPr>
                    <wps:spPr bwMode="auto">
                      <a:xfrm>
                        <a:off x="0" y="0"/>
                        <a:ext cx="1906905" cy="1024466"/>
                      </a:xfrm>
                      <a:prstGeom prst="rect">
                        <a:avLst/>
                      </a:prstGeom>
                      <a:noFill/>
                      <a:ln>
                        <a:noFill/>
                      </a:ln>
                      <a:effectLst/>
                    </wps:spPr>
                    <wps:txbx>
                      <w:txbxContent>
                        <w:p>
                          <w:pPr>
                            <w:spacing w:after="0" w:line="200" w:lineRule="exact"/>
                            <w:ind w:firstLine="285"/>
                            <w:rPr>
                              <w:rFonts w:ascii="黑体" w:hAnsi="黑体" w:eastAsia="黑体"/>
                              <w:b/>
                              <w:sz w:val="14"/>
                              <w:szCs w:val="14"/>
                            </w:rPr>
                          </w:pPr>
                          <w:r>
                            <w:rPr>
                              <w:rFonts w:hint="eastAsia" w:ascii="黑体" w:hAnsi="黑体" w:eastAsia="黑体"/>
                              <w:b/>
                              <w:sz w:val="14"/>
                              <w:szCs w:val="14"/>
                            </w:rPr>
                            <w:t>致同会计师事务所（特殊普通合伙）</w:t>
                          </w:r>
                        </w:p>
                        <w:p>
                          <w:pPr>
                            <w:spacing w:after="0" w:line="200" w:lineRule="exact"/>
                            <w:ind w:firstLine="285"/>
                            <w:rPr>
                              <w:rFonts w:ascii="黑体" w:hAnsi="黑体" w:eastAsia="黑体"/>
                              <w:b/>
                              <w:sz w:val="14"/>
                              <w:szCs w:val="14"/>
                            </w:rPr>
                          </w:pPr>
                          <w:r>
                            <w:rPr>
                              <w:rFonts w:hint="eastAsia" w:ascii="黑体" w:hAnsi="黑体" w:eastAsia="黑体"/>
                              <w:b/>
                              <w:sz w:val="14"/>
                              <w:szCs w:val="14"/>
                            </w:rPr>
                            <w:t>武汉分所</w:t>
                          </w:r>
                        </w:p>
                        <w:p>
                          <w:pPr>
                            <w:spacing w:after="0" w:line="200" w:lineRule="exact"/>
                            <w:ind w:left="281" w:leftChars="115" w:hanging="5" w:hangingChars="4"/>
                            <w:rPr>
                              <w:rFonts w:ascii="黑体" w:hAnsi="黑体" w:eastAsia="黑体"/>
                              <w:sz w:val="14"/>
                              <w:szCs w:val="14"/>
                            </w:rPr>
                          </w:pPr>
                          <w:r>
                            <w:rPr>
                              <w:rFonts w:hint="eastAsia" w:ascii="黑体" w:hAnsi="黑体" w:eastAsia="黑体"/>
                              <w:sz w:val="14"/>
                              <w:szCs w:val="14"/>
                            </w:rPr>
                            <w:t>中国武汉武昌区中北路58号汉街总部国际E座29层邮编</w:t>
                          </w:r>
                          <w:r>
                            <w:rPr>
                              <w:rFonts w:ascii="黑体" w:hAnsi="黑体" w:eastAsia="黑体"/>
                              <w:sz w:val="14"/>
                              <w:szCs w:val="14"/>
                            </w:rPr>
                            <w:t>430071</w:t>
                          </w:r>
                        </w:p>
                        <w:p>
                          <w:pPr>
                            <w:spacing w:after="0" w:line="200" w:lineRule="exact"/>
                            <w:ind w:firstLine="280"/>
                            <w:rPr>
                              <w:rFonts w:ascii="黑体" w:hAnsi="黑体" w:eastAsia="黑体"/>
                              <w:sz w:val="14"/>
                              <w:szCs w:val="14"/>
                            </w:rPr>
                          </w:pPr>
                          <w:r>
                            <w:rPr>
                              <w:rFonts w:hint="eastAsia" w:ascii="黑体" w:hAnsi="黑体" w:eastAsia="黑体"/>
                              <w:sz w:val="14"/>
                              <w:szCs w:val="14"/>
                            </w:rPr>
                            <w:t>电话</w:t>
                          </w:r>
                          <w:r>
                            <w:rPr>
                              <w:rFonts w:ascii="黑体" w:hAnsi="黑体" w:eastAsia="黑体"/>
                              <w:sz w:val="14"/>
                              <w:szCs w:val="14"/>
                            </w:rPr>
                            <w:t xml:space="preserve"> +86 27 87819677</w:t>
                          </w:r>
                        </w:p>
                        <w:p>
                          <w:pPr>
                            <w:spacing w:after="0" w:line="200" w:lineRule="exact"/>
                            <w:ind w:firstLine="280"/>
                            <w:rPr>
                              <w:rFonts w:eastAsia="黑体"/>
                              <w:sz w:val="14"/>
                              <w:szCs w:val="14"/>
                            </w:rPr>
                          </w:pPr>
                          <w:r>
                            <w:rPr>
                              <w:rFonts w:hint="eastAsia" w:eastAsia="黑体"/>
                              <w:sz w:val="14"/>
                              <w:szCs w:val="14"/>
                            </w:rPr>
                            <w:t>传真</w:t>
                          </w:r>
                          <w:r>
                            <w:rPr>
                              <w:rFonts w:eastAsia="黑体"/>
                              <w:sz w:val="14"/>
                              <w:szCs w:val="14"/>
                            </w:rPr>
                            <w:t xml:space="preserve"> +86 27 87812377</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360pt;margin-top:60.65pt;height:80.65pt;width:150.15pt;mso-position-horizontal-relative:page;mso-position-vertical-relative:page;z-index:251660288;mso-width-relative:page;mso-height-relative:page;" filled="f" stroked="f" coordsize="21600,21600" o:gfxdata="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GZd6J3aAAAADAEAAA8AAAAA&#10;AAAAAQAgAAAAIgAAAGRycy9kb3ducmV2LnhtbFBLAQIUABQAAAAIAIdO4kCF8mbVEgIAABkEAAAO&#10;AAAAAAAAAAEAIAAAACkBAABkcnMvZTJvRG9jLnhtbFBLBQYAAAAABgAGAFkBAACtBQAAAAA=&#10;">
              <v:fill on="f" focussize="0,0"/>
              <v:stroke on="f"/>
              <v:imagedata o:title=""/>
              <o:lock v:ext="edit" aspectratio="f"/>
              <v:textbox>
                <w:txbxContent>
                  <w:p>
                    <w:pPr>
                      <w:spacing w:after="0" w:line="200" w:lineRule="exact"/>
                      <w:ind w:firstLine="285"/>
                      <w:rPr>
                        <w:rFonts w:ascii="黑体" w:hAnsi="黑体" w:eastAsia="黑体"/>
                        <w:b/>
                        <w:sz w:val="14"/>
                        <w:szCs w:val="14"/>
                      </w:rPr>
                    </w:pPr>
                    <w:r>
                      <w:rPr>
                        <w:rFonts w:hint="eastAsia" w:ascii="黑体" w:hAnsi="黑体" w:eastAsia="黑体"/>
                        <w:b/>
                        <w:sz w:val="14"/>
                        <w:szCs w:val="14"/>
                      </w:rPr>
                      <w:t>致同会计师事务所（特殊普通合伙）</w:t>
                    </w:r>
                  </w:p>
                  <w:p>
                    <w:pPr>
                      <w:spacing w:after="0" w:line="200" w:lineRule="exact"/>
                      <w:ind w:firstLine="285"/>
                      <w:rPr>
                        <w:rFonts w:ascii="黑体" w:hAnsi="黑体" w:eastAsia="黑体"/>
                        <w:b/>
                        <w:sz w:val="14"/>
                        <w:szCs w:val="14"/>
                      </w:rPr>
                    </w:pPr>
                    <w:r>
                      <w:rPr>
                        <w:rFonts w:hint="eastAsia" w:ascii="黑体" w:hAnsi="黑体" w:eastAsia="黑体"/>
                        <w:b/>
                        <w:sz w:val="14"/>
                        <w:szCs w:val="14"/>
                      </w:rPr>
                      <w:t>武汉分所</w:t>
                    </w:r>
                  </w:p>
                  <w:p>
                    <w:pPr>
                      <w:spacing w:after="0" w:line="200" w:lineRule="exact"/>
                      <w:ind w:left="281" w:leftChars="115" w:hanging="5" w:hangingChars="4"/>
                      <w:rPr>
                        <w:rFonts w:ascii="黑体" w:hAnsi="黑体" w:eastAsia="黑体"/>
                        <w:sz w:val="14"/>
                        <w:szCs w:val="14"/>
                      </w:rPr>
                    </w:pPr>
                    <w:r>
                      <w:rPr>
                        <w:rFonts w:hint="eastAsia" w:ascii="黑体" w:hAnsi="黑体" w:eastAsia="黑体"/>
                        <w:sz w:val="14"/>
                        <w:szCs w:val="14"/>
                      </w:rPr>
                      <w:t>中国武汉武昌区中北路58号汉街总部国际E座29层邮编</w:t>
                    </w:r>
                    <w:r>
                      <w:rPr>
                        <w:rFonts w:ascii="黑体" w:hAnsi="黑体" w:eastAsia="黑体"/>
                        <w:sz w:val="14"/>
                        <w:szCs w:val="14"/>
                      </w:rPr>
                      <w:t>430071</w:t>
                    </w:r>
                  </w:p>
                  <w:p>
                    <w:pPr>
                      <w:spacing w:after="0" w:line="200" w:lineRule="exact"/>
                      <w:ind w:firstLine="280"/>
                      <w:rPr>
                        <w:rFonts w:ascii="黑体" w:hAnsi="黑体" w:eastAsia="黑体"/>
                        <w:sz w:val="14"/>
                        <w:szCs w:val="14"/>
                      </w:rPr>
                    </w:pPr>
                    <w:r>
                      <w:rPr>
                        <w:rFonts w:hint="eastAsia" w:ascii="黑体" w:hAnsi="黑体" w:eastAsia="黑体"/>
                        <w:sz w:val="14"/>
                        <w:szCs w:val="14"/>
                      </w:rPr>
                      <w:t>电话</w:t>
                    </w:r>
                    <w:r>
                      <w:rPr>
                        <w:rFonts w:ascii="黑体" w:hAnsi="黑体" w:eastAsia="黑体"/>
                        <w:sz w:val="14"/>
                        <w:szCs w:val="14"/>
                      </w:rPr>
                      <w:t xml:space="preserve"> +86 27 87819677</w:t>
                    </w:r>
                  </w:p>
                  <w:p>
                    <w:pPr>
                      <w:spacing w:after="0" w:line="200" w:lineRule="exact"/>
                      <w:ind w:firstLine="280"/>
                      <w:rPr>
                        <w:rFonts w:eastAsia="黑体"/>
                        <w:sz w:val="14"/>
                        <w:szCs w:val="14"/>
                      </w:rPr>
                    </w:pPr>
                    <w:r>
                      <w:rPr>
                        <w:rFonts w:hint="eastAsia" w:eastAsia="黑体"/>
                        <w:sz w:val="14"/>
                        <w:szCs w:val="14"/>
                      </w:rPr>
                      <w:t>传真</w:t>
                    </w:r>
                    <w:r>
                      <w:rPr>
                        <w:rFonts w:eastAsia="黑体"/>
                        <w:sz w:val="14"/>
                        <w:szCs w:val="14"/>
                      </w:rPr>
                      <w:t xml:space="preserve"> +86 27 87812377</w:t>
                    </w:r>
                  </w:p>
                </w:txbxContent>
              </v:textbox>
            </v:rect>
          </w:pict>
        </mc:Fallback>
      </mc:AlternateContent>
    </w:r>
    <w:r>
      <w:rPr>
        <w:rFonts w:ascii="Calibri" w:hAnsi="Calibri" w:eastAsia="黑体" w:cs="黑体"/>
        <w:b/>
        <w:sz w:val="14"/>
        <w:szCs w:val="14"/>
      </w:rPr>
      <w:drawing>
        <wp:anchor distT="0" distB="0" distL="114300" distR="114300" simplePos="0" relativeHeight="251659264" behindDoc="0" locked="0" layoutInCell="1" allowOverlap="1">
          <wp:simplePos x="0" y="0"/>
          <wp:positionH relativeFrom="page">
            <wp:posOffset>1162685</wp:posOffset>
          </wp:positionH>
          <wp:positionV relativeFrom="page">
            <wp:posOffset>497840</wp:posOffset>
          </wp:positionV>
          <wp:extent cx="2203450" cy="636905"/>
          <wp:effectExtent l="0" t="0" r="6350" b="10795"/>
          <wp:wrapNone/>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1"/>
                  <a:stretch>
                    <a:fillRect/>
                  </a:stretch>
                </pic:blipFill>
                <pic:spPr>
                  <a:xfrm>
                    <a:off x="0" y="0"/>
                    <a:ext cx="2203450" cy="636905"/>
                  </a:xfrm>
                  <a:prstGeom prst="rect">
                    <a:avLst/>
                  </a:prstGeom>
                  <a:noFill/>
                  <a:ln w="9525">
                    <a:noFill/>
                  </a:ln>
                </pic:spPr>
              </pic:pic>
            </a:graphicData>
          </a:graphic>
        </wp:anchor>
      </w:drawing>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604E13A"/>
    <w:multiLevelType w:val="singleLevel"/>
    <w:tmpl w:val="6604E13A"/>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attachedTemplate r:id="rId1"/>
  <w:documentProtection w:enforcement="0"/>
  <w:defaultTabStop w:val="420"/>
  <w:drawingGridVerticalSpacing w:val="165"/>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Q4YmI0OTE1YTE2MGJlNjY4YmQ1MTgwYzIxYTM1N2YifQ=="/>
    <w:docVar w:name="KSO_WPS_MARK_KEY" w:val="6605893f-b36b-4b11-9eaa-737fdc6c52a0"/>
  </w:docVars>
  <w:rsids>
    <w:rsidRoot w:val="268A6482"/>
    <w:rsid w:val="002158B8"/>
    <w:rsid w:val="00674B79"/>
    <w:rsid w:val="007F3A20"/>
    <w:rsid w:val="008F4235"/>
    <w:rsid w:val="009C461A"/>
    <w:rsid w:val="00A269D5"/>
    <w:rsid w:val="00BE64AD"/>
    <w:rsid w:val="00F50621"/>
    <w:rsid w:val="01191908"/>
    <w:rsid w:val="024C11B5"/>
    <w:rsid w:val="02DC3DF9"/>
    <w:rsid w:val="02FD2E8B"/>
    <w:rsid w:val="032323AC"/>
    <w:rsid w:val="033E4DE1"/>
    <w:rsid w:val="035A6E9C"/>
    <w:rsid w:val="035E0641"/>
    <w:rsid w:val="036D72EB"/>
    <w:rsid w:val="0376046F"/>
    <w:rsid w:val="03A1352E"/>
    <w:rsid w:val="03AD56E1"/>
    <w:rsid w:val="0432166D"/>
    <w:rsid w:val="048953B6"/>
    <w:rsid w:val="04A667DF"/>
    <w:rsid w:val="057D6779"/>
    <w:rsid w:val="05B65CD0"/>
    <w:rsid w:val="05FC6890"/>
    <w:rsid w:val="069A55D5"/>
    <w:rsid w:val="06A72F0B"/>
    <w:rsid w:val="07487EF1"/>
    <w:rsid w:val="075E2B37"/>
    <w:rsid w:val="07B1526E"/>
    <w:rsid w:val="07E93D33"/>
    <w:rsid w:val="08637F9B"/>
    <w:rsid w:val="08E24619"/>
    <w:rsid w:val="098147B2"/>
    <w:rsid w:val="09E8118D"/>
    <w:rsid w:val="0A1D7B43"/>
    <w:rsid w:val="0A36075C"/>
    <w:rsid w:val="0AC93FDF"/>
    <w:rsid w:val="0B386730"/>
    <w:rsid w:val="0BA753AB"/>
    <w:rsid w:val="0C0E6CD0"/>
    <w:rsid w:val="0C2F39D6"/>
    <w:rsid w:val="0C47392C"/>
    <w:rsid w:val="0C856506"/>
    <w:rsid w:val="0CD16E30"/>
    <w:rsid w:val="0CEA7C61"/>
    <w:rsid w:val="0D310205"/>
    <w:rsid w:val="0D4E1716"/>
    <w:rsid w:val="0D5058F5"/>
    <w:rsid w:val="0D92532C"/>
    <w:rsid w:val="0DA206B9"/>
    <w:rsid w:val="0E2876E3"/>
    <w:rsid w:val="0EEC4C42"/>
    <w:rsid w:val="0F6544D6"/>
    <w:rsid w:val="0F910B4A"/>
    <w:rsid w:val="0F944D25"/>
    <w:rsid w:val="0FA04371"/>
    <w:rsid w:val="0FD801C7"/>
    <w:rsid w:val="0FDC11B5"/>
    <w:rsid w:val="0FFB5727"/>
    <w:rsid w:val="10053DE8"/>
    <w:rsid w:val="104A3077"/>
    <w:rsid w:val="104E4EFF"/>
    <w:rsid w:val="10765872"/>
    <w:rsid w:val="10D81B7D"/>
    <w:rsid w:val="11442233"/>
    <w:rsid w:val="115035FF"/>
    <w:rsid w:val="11AB1943"/>
    <w:rsid w:val="127665A7"/>
    <w:rsid w:val="13BA3AFC"/>
    <w:rsid w:val="1431750B"/>
    <w:rsid w:val="14597FFA"/>
    <w:rsid w:val="14760689"/>
    <w:rsid w:val="14981E44"/>
    <w:rsid w:val="14DA283B"/>
    <w:rsid w:val="15476B65"/>
    <w:rsid w:val="155F6BBF"/>
    <w:rsid w:val="15ED225F"/>
    <w:rsid w:val="16095C9F"/>
    <w:rsid w:val="16294BE4"/>
    <w:rsid w:val="16777725"/>
    <w:rsid w:val="16B348AC"/>
    <w:rsid w:val="16D64646"/>
    <w:rsid w:val="17203355"/>
    <w:rsid w:val="178C4EA7"/>
    <w:rsid w:val="17C460F7"/>
    <w:rsid w:val="17DC4B5D"/>
    <w:rsid w:val="18021601"/>
    <w:rsid w:val="18AF5031"/>
    <w:rsid w:val="197F19B3"/>
    <w:rsid w:val="19881C98"/>
    <w:rsid w:val="1A06688D"/>
    <w:rsid w:val="1A9523D7"/>
    <w:rsid w:val="1AA52523"/>
    <w:rsid w:val="1B1C7546"/>
    <w:rsid w:val="1B330485"/>
    <w:rsid w:val="1B415984"/>
    <w:rsid w:val="1B733814"/>
    <w:rsid w:val="1B77577F"/>
    <w:rsid w:val="1BF0437D"/>
    <w:rsid w:val="1CA7313F"/>
    <w:rsid w:val="1D1628E7"/>
    <w:rsid w:val="1E1507F8"/>
    <w:rsid w:val="1E8B0379"/>
    <w:rsid w:val="1EF07C6A"/>
    <w:rsid w:val="1F253F09"/>
    <w:rsid w:val="1F5C26EB"/>
    <w:rsid w:val="1F8F1AB4"/>
    <w:rsid w:val="1FD36D91"/>
    <w:rsid w:val="20752474"/>
    <w:rsid w:val="20782889"/>
    <w:rsid w:val="21312170"/>
    <w:rsid w:val="218374B4"/>
    <w:rsid w:val="21C0251F"/>
    <w:rsid w:val="227F3366"/>
    <w:rsid w:val="22E12ECF"/>
    <w:rsid w:val="22FF58A7"/>
    <w:rsid w:val="23EC4798"/>
    <w:rsid w:val="241D2C10"/>
    <w:rsid w:val="248E46DB"/>
    <w:rsid w:val="25384EF6"/>
    <w:rsid w:val="254638A1"/>
    <w:rsid w:val="254D58A0"/>
    <w:rsid w:val="254E0461"/>
    <w:rsid w:val="25B94946"/>
    <w:rsid w:val="25C864FC"/>
    <w:rsid w:val="26187A9A"/>
    <w:rsid w:val="26296541"/>
    <w:rsid w:val="26300137"/>
    <w:rsid w:val="26436773"/>
    <w:rsid w:val="268A6482"/>
    <w:rsid w:val="275C5387"/>
    <w:rsid w:val="27D774E3"/>
    <w:rsid w:val="280D2F6C"/>
    <w:rsid w:val="28695FCE"/>
    <w:rsid w:val="286D2DA4"/>
    <w:rsid w:val="287C29CC"/>
    <w:rsid w:val="28AF5B79"/>
    <w:rsid w:val="292C1B5E"/>
    <w:rsid w:val="293B13F7"/>
    <w:rsid w:val="294972EF"/>
    <w:rsid w:val="294B2EE9"/>
    <w:rsid w:val="298E3D5D"/>
    <w:rsid w:val="29E46173"/>
    <w:rsid w:val="2AAF1EF4"/>
    <w:rsid w:val="2B2A1B82"/>
    <w:rsid w:val="2B6D0AB7"/>
    <w:rsid w:val="2BC21C78"/>
    <w:rsid w:val="2CC045CB"/>
    <w:rsid w:val="2CD529F6"/>
    <w:rsid w:val="2CFA7ABE"/>
    <w:rsid w:val="2D5F2A23"/>
    <w:rsid w:val="2DB619BC"/>
    <w:rsid w:val="2E0433F7"/>
    <w:rsid w:val="2EFF7393"/>
    <w:rsid w:val="2F19190C"/>
    <w:rsid w:val="2F6E4074"/>
    <w:rsid w:val="2F7D0A4E"/>
    <w:rsid w:val="2FC14AF1"/>
    <w:rsid w:val="306E461C"/>
    <w:rsid w:val="307F6BAC"/>
    <w:rsid w:val="3092682C"/>
    <w:rsid w:val="30AC7B8C"/>
    <w:rsid w:val="30D03669"/>
    <w:rsid w:val="31A84900"/>
    <w:rsid w:val="31B1354E"/>
    <w:rsid w:val="31D55ECC"/>
    <w:rsid w:val="334647F3"/>
    <w:rsid w:val="33E5658D"/>
    <w:rsid w:val="34333774"/>
    <w:rsid w:val="34C435F5"/>
    <w:rsid w:val="34DB4B69"/>
    <w:rsid w:val="357467DD"/>
    <w:rsid w:val="35965EE5"/>
    <w:rsid w:val="35D462B4"/>
    <w:rsid w:val="35D71D4C"/>
    <w:rsid w:val="364A1FF1"/>
    <w:rsid w:val="368F2951"/>
    <w:rsid w:val="36B519B8"/>
    <w:rsid w:val="36CE6C00"/>
    <w:rsid w:val="37ED0204"/>
    <w:rsid w:val="37F240FF"/>
    <w:rsid w:val="380320DC"/>
    <w:rsid w:val="3839562C"/>
    <w:rsid w:val="38611A0D"/>
    <w:rsid w:val="38B950F5"/>
    <w:rsid w:val="38D35808"/>
    <w:rsid w:val="38EF4B0D"/>
    <w:rsid w:val="38F42A0A"/>
    <w:rsid w:val="392F1FD7"/>
    <w:rsid w:val="39593CED"/>
    <w:rsid w:val="397C3DDD"/>
    <w:rsid w:val="39C65380"/>
    <w:rsid w:val="3A130AC1"/>
    <w:rsid w:val="3A2A5F65"/>
    <w:rsid w:val="3B716E25"/>
    <w:rsid w:val="3B9A264D"/>
    <w:rsid w:val="3C2204A9"/>
    <w:rsid w:val="3C6B072E"/>
    <w:rsid w:val="3CAC33D2"/>
    <w:rsid w:val="3CBB3D8B"/>
    <w:rsid w:val="3D0A5E72"/>
    <w:rsid w:val="3DBA0E9E"/>
    <w:rsid w:val="3DC9115D"/>
    <w:rsid w:val="3DCB5CD1"/>
    <w:rsid w:val="3E4072A8"/>
    <w:rsid w:val="3EAD0AAE"/>
    <w:rsid w:val="3EBF27ED"/>
    <w:rsid w:val="3FB51175"/>
    <w:rsid w:val="3FD823C6"/>
    <w:rsid w:val="402077F2"/>
    <w:rsid w:val="408233FB"/>
    <w:rsid w:val="409D425E"/>
    <w:rsid w:val="413A1EE9"/>
    <w:rsid w:val="414C4327"/>
    <w:rsid w:val="418733F1"/>
    <w:rsid w:val="419B1394"/>
    <w:rsid w:val="42252E61"/>
    <w:rsid w:val="42276CA0"/>
    <w:rsid w:val="428E09C6"/>
    <w:rsid w:val="42DE77D8"/>
    <w:rsid w:val="42E2446A"/>
    <w:rsid w:val="42F04835"/>
    <w:rsid w:val="43262A54"/>
    <w:rsid w:val="43465746"/>
    <w:rsid w:val="436007DE"/>
    <w:rsid w:val="438126D5"/>
    <w:rsid w:val="44571E84"/>
    <w:rsid w:val="44C83D27"/>
    <w:rsid w:val="452D2BE2"/>
    <w:rsid w:val="45416875"/>
    <w:rsid w:val="45686851"/>
    <w:rsid w:val="4610616C"/>
    <w:rsid w:val="462D4E79"/>
    <w:rsid w:val="463C0958"/>
    <w:rsid w:val="46511439"/>
    <w:rsid w:val="465372FD"/>
    <w:rsid w:val="46D76D1F"/>
    <w:rsid w:val="46FF5E9B"/>
    <w:rsid w:val="478115F0"/>
    <w:rsid w:val="486D3976"/>
    <w:rsid w:val="487B5B30"/>
    <w:rsid w:val="48D44AD2"/>
    <w:rsid w:val="49384694"/>
    <w:rsid w:val="493B4FAC"/>
    <w:rsid w:val="496C6E25"/>
    <w:rsid w:val="49A04CFB"/>
    <w:rsid w:val="49BE65C7"/>
    <w:rsid w:val="49F3629B"/>
    <w:rsid w:val="4A346C55"/>
    <w:rsid w:val="4A875949"/>
    <w:rsid w:val="4AA872CC"/>
    <w:rsid w:val="4B375EE9"/>
    <w:rsid w:val="4BFA31A0"/>
    <w:rsid w:val="4D687D44"/>
    <w:rsid w:val="4D731EE4"/>
    <w:rsid w:val="4DC81319"/>
    <w:rsid w:val="4E4F44A2"/>
    <w:rsid w:val="4E8A45E9"/>
    <w:rsid w:val="4EAA5A94"/>
    <w:rsid w:val="4ED34C7F"/>
    <w:rsid w:val="4F0E2A70"/>
    <w:rsid w:val="4F535172"/>
    <w:rsid w:val="4FBE1B42"/>
    <w:rsid w:val="50260106"/>
    <w:rsid w:val="503059FF"/>
    <w:rsid w:val="503B6B1F"/>
    <w:rsid w:val="509C7B54"/>
    <w:rsid w:val="50CF158A"/>
    <w:rsid w:val="50D14D62"/>
    <w:rsid w:val="51CB2B40"/>
    <w:rsid w:val="520F7FF3"/>
    <w:rsid w:val="527623F9"/>
    <w:rsid w:val="53332DBB"/>
    <w:rsid w:val="534A4FA4"/>
    <w:rsid w:val="539055BF"/>
    <w:rsid w:val="54316329"/>
    <w:rsid w:val="543E00AE"/>
    <w:rsid w:val="544818FC"/>
    <w:rsid w:val="54C87618"/>
    <w:rsid w:val="5501278B"/>
    <w:rsid w:val="553B046B"/>
    <w:rsid w:val="55533274"/>
    <w:rsid w:val="55544768"/>
    <w:rsid w:val="556E77CE"/>
    <w:rsid w:val="55E357A5"/>
    <w:rsid w:val="56611456"/>
    <w:rsid w:val="56A60155"/>
    <w:rsid w:val="573C08A0"/>
    <w:rsid w:val="5759527D"/>
    <w:rsid w:val="576571DE"/>
    <w:rsid w:val="57732F15"/>
    <w:rsid w:val="57792D39"/>
    <w:rsid w:val="58135C20"/>
    <w:rsid w:val="582D6B2A"/>
    <w:rsid w:val="585D3239"/>
    <w:rsid w:val="58EB0418"/>
    <w:rsid w:val="595F27D2"/>
    <w:rsid w:val="59CD73D1"/>
    <w:rsid w:val="59D837F0"/>
    <w:rsid w:val="5A3C089C"/>
    <w:rsid w:val="5A6800F0"/>
    <w:rsid w:val="5A864E50"/>
    <w:rsid w:val="5AE93E9C"/>
    <w:rsid w:val="5B2E3C1E"/>
    <w:rsid w:val="5CE871E5"/>
    <w:rsid w:val="5D975F99"/>
    <w:rsid w:val="5E316669"/>
    <w:rsid w:val="5EB50613"/>
    <w:rsid w:val="5F62136B"/>
    <w:rsid w:val="5FA067E0"/>
    <w:rsid w:val="5FA56274"/>
    <w:rsid w:val="5FEB0956"/>
    <w:rsid w:val="6051196B"/>
    <w:rsid w:val="615E4FD4"/>
    <w:rsid w:val="61AE7A48"/>
    <w:rsid w:val="62F9209C"/>
    <w:rsid w:val="638D4422"/>
    <w:rsid w:val="63E36EEE"/>
    <w:rsid w:val="64514BCE"/>
    <w:rsid w:val="647D6F92"/>
    <w:rsid w:val="64870C47"/>
    <w:rsid w:val="64927954"/>
    <w:rsid w:val="64D37A08"/>
    <w:rsid w:val="64F411BA"/>
    <w:rsid w:val="65132E30"/>
    <w:rsid w:val="657F07D3"/>
    <w:rsid w:val="662E74D0"/>
    <w:rsid w:val="66B0591B"/>
    <w:rsid w:val="66C539F6"/>
    <w:rsid w:val="66FB335C"/>
    <w:rsid w:val="66FD054E"/>
    <w:rsid w:val="671230D6"/>
    <w:rsid w:val="671F4CD6"/>
    <w:rsid w:val="679345F4"/>
    <w:rsid w:val="679F0245"/>
    <w:rsid w:val="67B045F1"/>
    <w:rsid w:val="67ED5392"/>
    <w:rsid w:val="67EE1F5B"/>
    <w:rsid w:val="67FE36F8"/>
    <w:rsid w:val="68261FEC"/>
    <w:rsid w:val="695F2D48"/>
    <w:rsid w:val="69776AA7"/>
    <w:rsid w:val="69E1205C"/>
    <w:rsid w:val="69E43732"/>
    <w:rsid w:val="6A6945E3"/>
    <w:rsid w:val="6A781F02"/>
    <w:rsid w:val="6B7D6708"/>
    <w:rsid w:val="6B9D30B4"/>
    <w:rsid w:val="6C0946AC"/>
    <w:rsid w:val="6C857011"/>
    <w:rsid w:val="6CC4770F"/>
    <w:rsid w:val="6CCC5DCB"/>
    <w:rsid w:val="6CE725D6"/>
    <w:rsid w:val="6D4F5576"/>
    <w:rsid w:val="6D535020"/>
    <w:rsid w:val="6EF041FE"/>
    <w:rsid w:val="70146D5F"/>
    <w:rsid w:val="70753805"/>
    <w:rsid w:val="70887E74"/>
    <w:rsid w:val="71510DCE"/>
    <w:rsid w:val="71867055"/>
    <w:rsid w:val="72272206"/>
    <w:rsid w:val="72626BF0"/>
    <w:rsid w:val="72903AEE"/>
    <w:rsid w:val="732803A9"/>
    <w:rsid w:val="73954E9C"/>
    <w:rsid w:val="73E529C7"/>
    <w:rsid w:val="73F44CCF"/>
    <w:rsid w:val="74A15315"/>
    <w:rsid w:val="74D26626"/>
    <w:rsid w:val="74F540D3"/>
    <w:rsid w:val="75446125"/>
    <w:rsid w:val="75C40A55"/>
    <w:rsid w:val="760F68A0"/>
    <w:rsid w:val="76420D60"/>
    <w:rsid w:val="7665684A"/>
    <w:rsid w:val="767B466A"/>
    <w:rsid w:val="76B9147D"/>
    <w:rsid w:val="777778BD"/>
    <w:rsid w:val="77B057F3"/>
    <w:rsid w:val="780821F0"/>
    <w:rsid w:val="78AE004A"/>
    <w:rsid w:val="78C95479"/>
    <w:rsid w:val="78F247CA"/>
    <w:rsid w:val="78F534E4"/>
    <w:rsid w:val="79143261"/>
    <w:rsid w:val="79332003"/>
    <w:rsid w:val="79923664"/>
    <w:rsid w:val="79C078ED"/>
    <w:rsid w:val="7A1B6891"/>
    <w:rsid w:val="7A700E83"/>
    <w:rsid w:val="7A865896"/>
    <w:rsid w:val="7A8A79E5"/>
    <w:rsid w:val="7AE02274"/>
    <w:rsid w:val="7B2E32BE"/>
    <w:rsid w:val="7B575522"/>
    <w:rsid w:val="7B8769D7"/>
    <w:rsid w:val="7C036F58"/>
    <w:rsid w:val="7C6B0D30"/>
    <w:rsid w:val="7CE132D2"/>
    <w:rsid w:val="7D4279DD"/>
    <w:rsid w:val="7D7C460B"/>
    <w:rsid w:val="7D9D52A7"/>
    <w:rsid w:val="7EE977AB"/>
    <w:rsid w:val="7F532272"/>
    <w:rsid w:val="7F6B11D9"/>
    <w:rsid w:val="7FDC3216"/>
    <w:rsid w:val="7FF33E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360" w:lineRule="auto"/>
      <w:ind w:firstLine="200" w:firstLineChars="200"/>
      <w:jc w:val="both"/>
    </w:pPr>
    <w:rPr>
      <w:rFonts w:ascii="Times New Roman" w:hAnsi="Times New Roman" w:eastAsia="仿宋_GB2312" w:cs="Times New Roman"/>
      <w:kern w:val="2"/>
      <w:sz w:val="24"/>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6" w:lineRule="auto"/>
      <w:outlineLvl w:val="1"/>
    </w:pPr>
    <w:rPr>
      <w:rFonts w:ascii="Cambria" w:hAnsi="Cambria" w:eastAsia="宋体"/>
      <w:b/>
      <w:bCs/>
      <w:sz w:val="32"/>
      <w:szCs w:val="32"/>
    </w:rPr>
  </w:style>
  <w:style w:type="paragraph" w:styleId="4">
    <w:name w:val="heading 3"/>
    <w:basedOn w:val="1"/>
    <w:next w:val="1"/>
    <w:qFormat/>
    <w:uiPriority w:val="0"/>
    <w:pPr>
      <w:keepNext/>
      <w:keepLines/>
      <w:spacing w:before="260" w:after="260"/>
      <w:jc w:val="left"/>
      <w:outlineLvl w:val="2"/>
    </w:pPr>
    <w:rPr>
      <w:b/>
      <w:bCs/>
      <w:kern w:val="0"/>
      <w:szCs w:val="32"/>
    </w:rPr>
  </w:style>
  <w:style w:type="character" w:default="1" w:styleId="12">
    <w:name w:val="Default Paragraph Font"/>
    <w:semiHidden/>
    <w:unhideWhenUsed/>
    <w:qFormat/>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toc 3"/>
    <w:basedOn w:val="1"/>
    <w:next w:val="1"/>
    <w:unhideWhenUsed/>
    <w:qFormat/>
    <w:uiPriority w:val="39"/>
    <w:pPr>
      <w:widowControl/>
      <w:spacing w:after="100" w:line="276" w:lineRule="auto"/>
      <w:ind w:left="440"/>
      <w:jc w:val="left"/>
    </w:pPr>
    <w:rPr>
      <w:rFonts w:ascii="Calibri" w:hAnsi="Calibri" w:eastAsia="宋体"/>
      <w:kern w:val="0"/>
      <w:sz w:val="22"/>
      <w:szCs w:val="22"/>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9">
    <w:name w:val="toc 1"/>
    <w:basedOn w:val="1"/>
    <w:next w:val="1"/>
    <w:unhideWhenUsed/>
    <w:qFormat/>
    <w:uiPriority w:val="39"/>
    <w:pPr>
      <w:widowControl/>
      <w:spacing w:after="100" w:line="276" w:lineRule="auto"/>
      <w:jc w:val="left"/>
    </w:pPr>
    <w:rPr>
      <w:rFonts w:ascii="Calibri" w:hAnsi="Calibri" w:eastAsia="宋体"/>
      <w:kern w:val="0"/>
      <w:sz w:val="22"/>
      <w:szCs w:val="22"/>
    </w:rPr>
  </w:style>
  <w:style w:type="paragraph" w:styleId="10">
    <w:name w:val="toc 2"/>
    <w:basedOn w:val="1"/>
    <w:next w:val="1"/>
    <w:unhideWhenUsed/>
    <w:qFormat/>
    <w:uiPriority w:val="39"/>
    <w:pPr>
      <w:widowControl/>
      <w:spacing w:after="100" w:line="276" w:lineRule="auto"/>
      <w:ind w:left="220"/>
      <w:jc w:val="left"/>
    </w:pPr>
    <w:rPr>
      <w:rFonts w:ascii="Calibri" w:hAnsi="Calibri" w:eastAsia="宋体"/>
      <w:kern w:val="0"/>
      <w:sz w:val="22"/>
      <w:szCs w:val="22"/>
    </w:rPr>
  </w:style>
  <w:style w:type="paragraph" w:customStyle="1" w:styleId="13">
    <w:name w:val="_Style 5"/>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character" w:customStyle="1" w:styleId="14">
    <w:name w:val="font21"/>
    <w:basedOn w:val="12"/>
    <w:qFormat/>
    <w:uiPriority w:val="0"/>
    <w:rPr>
      <w:rFonts w:ascii="楷体_GB2312" w:eastAsia="楷体_GB2312" w:cs="楷体_GB2312"/>
      <w:b/>
      <w:color w:val="000000"/>
      <w:sz w:val="20"/>
      <w:szCs w:val="20"/>
      <w:u w:val="none"/>
    </w:rPr>
  </w:style>
  <w:style w:type="character" w:customStyle="1" w:styleId="15">
    <w:name w:val="font51"/>
    <w:basedOn w:val="12"/>
    <w:qFormat/>
    <w:uiPriority w:val="0"/>
    <w:rPr>
      <w:rFonts w:hint="default" w:ascii="楷体_GB2312" w:eastAsia="楷体_GB2312" w:cs="楷体_GB2312"/>
      <w:color w:val="000000"/>
      <w:sz w:val="20"/>
      <w:szCs w:val="20"/>
      <w:u w:val="none"/>
    </w:rPr>
  </w:style>
  <w:style w:type="character" w:customStyle="1" w:styleId="16">
    <w:name w:val="font41"/>
    <w:basedOn w:val="12"/>
    <w:qFormat/>
    <w:uiPriority w:val="0"/>
    <w:rPr>
      <w:rFonts w:hint="default" w:ascii="Times New Roman" w:hAnsi="Times New Roman" w:cs="Times New Roman"/>
      <w:color w:val="000000"/>
      <w:sz w:val="20"/>
      <w:szCs w:val="20"/>
      <w:u w:val="none"/>
    </w:rPr>
  </w:style>
  <w:style w:type="character" w:customStyle="1" w:styleId="17">
    <w:name w:val="font61"/>
    <w:basedOn w:val="12"/>
    <w:qFormat/>
    <w:uiPriority w:val="0"/>
    <w:rPr>
      <w:rFonts w:hint="eastAsia" w:ascii="宋体" w:hAnsi="宋体" w:eastAsia="宋体" w:cs="宋体"/>
      <w:color w:val="000000"/>
      <w:sz w:val="20"/>
      <w:szCs w:val="20"/>
      <w:u w:val="none"/>
    </w:rPr>
  </w:style>
  <w:style w:type="character" w:customStyle="1" w:styleId="18">
    <w:name w:val="font71"/>
    <w:basedOn w:val="12"/>
    <w:qFormat/>
    <w:uiPriority w:val="0"/>
    <w:rPr>
      <w:rFonts w:hint="default" w:ascii="楷体_GB2312" w:eastAsia="楷体_GB2312" w:cs="楷体_GB2312"/>
      <w:b/>
      <w:color w:val="000000"/>
      <w:sz w:val="20"/>
      <w:szCs w:val="20"/>
      <w:u w:val="none"/>
    </w:rPr>
  </w:style>
  <w:style w:type="character" w:customStyle="1" w:styleId="19">
    <w:name w:val="font31"/>
    <w:basedOn w:val="12"/>
    <w:qFormat/>
    <w:uiPriority w:val="0"/>
    <w:rPr>
      <w:rFonts w:hint="default" w:ascii="楷体_GB2312" w:eastAsia="楷体_GB2312" w:cs="楷体_GB2312"/>
      <w:color w:val="000000"/>
      <w:sz w:val="20"/>
      <w:szCs w:val="20"/>
      <w:u w:val="none"/>
    </w:rPr>
  </w:style>
  <w:style w:type="character" w:customStyle="1" w:styleId="20">
    <w:name w:val="font81"/>
    <w:basedOn w:val="12"/>
    <w:qFormat/>
    <w:uiPriority w:val="0"/>
    <w:rPr>
      <w:rFonts w:hint="default" w:ascii="Times New Roman" w:hAnsi="Times New Roman" w:cs="Times New Roman"/>
      <w:color w:val="000000"/>
      <w:sz w:val="24"/>
      <w:szCs w:val="24"/>
      <w:u w:val="none"/>
    </w:rPr>
  </w:style>
  <w:style w:type="character" w:customStyle="1" w:styleId="21">
    <w:name w:val="font11"/>
    <w:basedOn w:val="12"/>
    <w:qFormat/>
    <w:uiPriority w:val="0"/>
    <w:rPr>
      <w:rFonts w:hint="default" w:ascii="楷体_GB2312" w:eastAsia="楷体_GB2312" w:cs="楷体_GB2312"/>
      <w:b/>
      <w:color w:val="000000"/>
      <w:sz w:val="20"/>
      <w:szCs w:val="20"/>
      <w:u w:val="none"/>
    </w:rPr>
  </w:style>
  <w:style w:type="character" w:customStyle="1" w:styleId="22">
    <w:name w:val="font01"/>
    <w:basedOn w:val="12"/>
    <w:qFormat/>
    <w:uiPriority w:val="0"/>
    <w:rPr>
      <w:rFonts w:hint="eastAsia" w:ascii="宋体" w:hAnsi="宋体" w:eastAsia="宋体" w:cs="宋体"/>
      <w:color w:val="000000"/>
      <w:sz w:val="24"/>
      <w:szCs w:val="24"/>
      <w:u w:val="none"/>
    </w:rPr>
  </w:style>
  <w:style w:type="paragraph" w:customStyle="1" w:styleId="23">
    <w:name w:val="列出段落1"/>
    <w:basedOn w:val="1"/>
    <w:qFormat/>
    <w:uiPriority w:val="34"/>
    <w:pPr>
      <w:ind w:firstLine="42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4.png"/><Relationship Id="rId2" Type="http://schemas.openxmlformats.org/officeDocument/2006/relationships/settings" Target="settings.xml"/><Relationship Id="rId19" Type="http://schemas.openxmlformats.org/officeDocument/2006/relationships/chart" Target="charts/chart3.xml"/><Relationship Id="rId18" Type="http://schemas.openxmlformats.org/officeDocument/2006/relationships/chart" Target="charts/chart2.xml"/><Relationship Id="rId17" Type="http://schemas.openxmlformats.org/officeDocument/2006/relationships/chart" Target="charts/chart1.xml"/><Relationship Id="rId16" Type="http://schemas.openxmlformats.org/officeDocument/2006/relationships/image" Target="media/image3.png"/><Relationship Id="rId15" Type="http://schemas.openxmlformats.org/officeDocument/2006/relationships/image" Target="media/image2.png"/><Relationship Id="rId14" Type="http://schemas.openxmlformats.org/officeDocument/2006/relationships/theme" Target="theme/theme1.xml"/><Relationship Id="rId13" Type="http://schemas.openxmlformats.org/officeDocument/2006/relationships/footer" Target="footer5.xml"/><Relationship Id="rId12" Type="http://schemas.openxmlformats.org/officeDocument/2006/relationships/header" Target="header4.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iqin\AppData\Roaming\Kingsoft\wps\addons\pool\win-i386\knewfileruby_1.0.0.10\template\wps\0.docx"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Users\Administrator\Desktop\&#24037;&#20316;\&#32489;&#25928;&#35780;&#20215;&#25351;&#26631;&#24213;&#31295;.xlsx"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C:\Users\Administrator\Desktop\&#24037;&#20316;\&#32489;&#25928;&#35780;&#20215;&#25351;&#26631;&#24213;&#31295;.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21999;&#21756;lyylyy\Desktop\2018&#24180;&#32463;&#24320;&#22478;&#24314;&#23616;&#32489;&#25928;&#29616;&#22330;&#36164;&#26009;\&#32489;&#25928;&#35780;&#20215;&#25351;&#26631;&#24213;&#31295;.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zh-CN" altLang="en-US">
                <a:solidFill>
                  <a:sysClr val="windowText" lastClr="000000"/>
                </a:solidFill>
              </a:rPr>
              <a:t>投入指标评分情况</a:t>
            </a:r>
            <a:endParaRPr lang="zh-CN" altLang="en-US">
              <a:solidFill>
                <a:sysClr val="windowText" lastClr="000000"/>
              </a:solidFill>
            </a:endParaRPr>
          </a:p>
        </c:rich>
      </c:tx>
      <c:layout/>
      <c:overlay val="0"/>
      <c:spPr>
        <a:noFill/>
        <a:ln>
          <a:noFill/>
        </a:ln>
        <a:effectLst/>
      </c:spPr>
    </c:title>
    <c:autoTitleDeleted val="0"/>
    <c:plotArea>
      <c:layout/>
      <c:barChart>
        <c:barDir val="col"/>
        <c:grouping val="clustered"/>
        <c:varyColors val="0"/>
        <c:ser>
          <c:idx val="0"/>
          <c:order val="0"/>
          <c:tx>
            <c:strRef>
              <c:f>[绩效评价指标底稿.xlsx]Sheet9!$B$1</c:f>
              <c:strCache>
                <c:ptCount val="1"/>
                <c:pt idx="0">
                  <c:v>权重</c:v>
                </c:pt>
              </c:strCache>
            </c:strRef>
          </c:tx>
          <c:spPr>
            <a:solidFill>
              <a:schemeClr val="accent1"/>
            </a:solidFill>
            <a:ln>
              <a:noFill/>
            </a:ln>
            <a:effectLst/>
          </c:spPr>
          <c:invertIfNegative val="0"/>
          <c:dLbls>
            <c:delete val="1"/>
          </c:dLbls>
          <c:cat>
            <c:strRef>
              <c:f>[绩效评价指标底稿.xlsx]Sheet9!$A$2:$A$7</c:f>
              <c:strCache>
                <c:ptCount val="4"/>
                <c:pt idx="0">
                  <c:v>项目立项规范性</c:v>
                </c:pt>
                <c:pt idx="1">
                  <c:v>绩效目标合理性</c:v>
                </c:pt>
                <c:pt idx="2">
                  <c:v>资金到位率</c:v>
                </c:pt>
                <c:pt idx="3">
                  <c:v>到位及时率</c:v>
                </c:pt>
              </c:strCache>
            </c:strRef>
          </c:cat>
          <c:val>
            <c:numRef>
              <c:f>Sheet9!$B$2:$B$7</c:f>
              <c:numCache>
                <c:formatCode>General</c:formatCode>
                <c:ptCount val="4"/>
                <c:pt idx="0">
                  <c:v>4</c:v>
                </c:pt>
                <c:pt idx="1">
                  <c:v>4</c:v>
                </c:pt>
                <c:pt idx="2">
                  <c:v>4</c:v>
                </c:pt>
                <c:pt idx="3">
                  <c:v>4</c:v>
                </c:pt>
              </c:numCache>
            </c:numRef>
          </c:val>
        </c:ser>
        <c:dLbls>
          <c:showLegendKey val="0"/>
          <c:showVal val="0"/>
          <c:showCatName val="0"/>
          <c:showSerName val="0"/>
          <c:showPercent val="0"/>
          <c:showBubbleSize val="0"/>
        </c:dLbls>
        <c:gapWidth val="150"/>
        <c:axId val="127242624"/>
        <c:axId val="127244160"/>
      </c:barChart>
      <c:lineChart>
        <c:grouping val="standard"/>
        <c:varyColors val="0"/>
        <c:ser>
          <c:idx val="1"/>
          <c:order val="1"/>
          <c:tx>
            <c:strRef>
              <c:f>[绩效评价指标底稿.xlsx]Sheet9!$C$1</c:f>
              <c:strCache>
                <c:ptCount val="1"/>
                <c:pt idx="0">
                  <c:v>得分</c:v>
                </c:pt>
              </c:strCache>
            </c:strRef>
          </c:tx>
          <c:spPr>
            <a:ln w="28575" cap="rnd" cmpd="sng" algn="ctr">
              <a:solidFill>
                <a:schemeClr val="accent2"/>
              </a:solidFill>
              <a:prstDash val="solid"/>
              <a:round/>
            </a:ln>
            <a:effectLst/>
          </c:spPr>
          <c:marker>
            <c:symbol val="none"/>
          </c:marker>
          <c:dLbls>
            <c:delete val="1"/>
          </c:dLbls>
          <c:cat>
            <c:strRef>
              <c:f>[绩效评价指标底稿.xlsx]Sheet9!$A$2:$A$7</c:f>
              <c:strCache>
                <c:ptCount val="4"/>
                <c:pt idx="0">
                  <c:v>项目立项规范性</c:v>
                </c:pt>
                <c:pt idx="1">
                  <c:v>绩效目标合理性</c:v>
                </c:pt>
                <c:pt idx="2">
                  <c:v>资金到位率</c:v>
                </c:pt>
                <c:pt idx="3">
                  <c:v>到位及时率</c:v>
                </c:pt>
              </c:strCache>
            </c:strRef>
          </c:cat>
          <c:val>
            <c:numRef>
              <c:f>Sheet9!$C$2:$C$7</c:f>
              <c:numCache>
                <c:formatCode>General</c:formatCode>
                <c:ptCount val="4"/>
                <c:pt idx="0">
                  <c:v>3</c:v>
                </c:pt>
                <c:pt idx="1">
                  <c:v>2</c:v>
                </c:pt>
                <c:pt idx="2">
                  <c:v>4</c:v>
                </c:pt>
                <c:pt idx="3">
                  <c:v>4</c:v>
                </c:pt>
              </c:numCache>
            </c:numRef>
          </c:val>
          <c:smooth val="0"/>
        </c:ser>
        <c:dLbls>
          <c:showLegendKey val="0"/>
          <c:showVal val="0"/>
          <c:showCatName val="0"/>
          <c:showSerName val="0"/>
          <c:showPercent val="0"/>
          <c:showBubbleSize val="0"/>
        </c:dLbls>
        <c:marker val="0"/>
        <c:smooth val="0"/>
        <c:axId val="127242624"/>
        <c:axId val="127244160"/>
      </c:lineChart>
      <c:catAx>
        <c:axId val="127242624"/>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27244160"/>
        <c:crosses val="autoZero"/>
        <c:auto val="1"/>
        <c:lblAlgn val="ctr"/>
        <c:lblOffset val="100"/>
        <c:noMultiLvlLbl val="0"/>
      </c:catAx>
      <c:valAx>
        <c:axId val="127244160"/>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27242624"/>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dTable>
      <c:spPr>
        <a:noFill/>
        <a:ln>
          <a:noFill/>
        </a:ln>
        <a:effectLst/>
      </c:spPr>
    </c:plotArea>
    <c:plotVisOnly val="1"/>
    <c:dispBlanksAs val="gap"/>
    <c:showDLblsOverMax val="0"/>
  </c:chart>
  <c:spPr>
    <a:solidFill>
      <a:schemeClr val="bg1"/>
    </a:solidFill>
    <a:ln w="9525" cap="flat" cmpd="sng" algn="ctr">
      <a:noFill/>
      <a:prstDash val="solid"/>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过程指标得分情况</a:t>
            </a:r>
          </a:p>
        </c:rich>
      </c:tx>
      <c:layout/>
      <c:overlay val="0"/>
      <c:spPr>
        <a:noFill/>
        <a:ln>
          <a:noFill/>
        </a:ln>
        <a:effectLst/>
      </c:spPr>
    </c:title>
    <c:autoTitleDeleted val="0"/>
    <c:plotArea>
      <c:layout/>
      <c:barChart>
        <c:barDir val="col"/>
        <c:grouping val="clustered"/>
        <c:varyColors val="0"/>
        <c:ser>
          <c:idx val="0"/>
          <c:order val="0"/>
          <c:tx>
            <c:strRef>
              <c:f>[绩效评价指标底稿.xlsx]Sheet10!$B$1</c:f>
              <c:strCache>
                <c:ptCount val="1"/>
                <c:pt idx="0">
                  <c:v>权重</c:v>
                </c:pt>
              </c:strCache>
            </c:strRef>
          </c:tx>
          <c:spPr>
            <a:solidFill>
              <a:schemeClr val="accent1"/>
            </a:solidFill>
            <a:ln>
              <a:noFill/>
            </a:ln>
            <a:effectLst/>
          </c:spPr>
          <c:invertIfNegative val="0"/>
          <c:dLbls>
            <c:delete val="1"/>
          </c:dLbls>
          <c:cat>
            <c:strRef>
              <c:f>[绩效评价指标底稿.xlsx]Sheet10!$A$2:$A$7</c:f>
              <c:strCache>
                <c:ptCount val="6"/>
                <c:pt idx="0">
                  <c:v>管理制度健全性</c:v>
                </c:pt>
                <c:pt idx="1">
                  <c:v>制度执行有效性</c:v>
                </c:pt>
                <c:pt idx="2">
                  <c:v>项目质量可控性</c:v>
                </c:pt>
                <c:pt idx="3">
                  <c:v>管理制度健全性</c:v>
                </c:pt>
                <c:pt idx="4">
                  <c:v>资金使用合规性</c:v>
                </c:pt>
                <c:pt idx="5">
                  <c:v>财务监控有效性</c:v>
                </c:pt>
              </c:strCache>
            </c:strRef>
          </c:cat>
          <c:val>
            <c:numRef>
              <c:f>[绩效评价指标底稿.xlsx]Sheet10!$B$2:$B$7</c:f>
              <c:numCache>
                <c:formatCode>General</c:formatCode>
                <c:ptCount val="6"/>
                <c:pt idx="0">
                  <c:v>4</c:v>
                </c:pt>
                <c:pt idx="1">
                  <c:v>4</c:v>
                </c:pt>
                <c:pt idx="2">
                  <c:v>4</c:v>
                </c:pt>
                <c:pt idx="3">
                  <c:v>4</c:v>
                </c:pt>
                <c:pt idx="4">
                  <c:v>5</c:v>
                </c:pt>
                <c:pt idx="5">
                  <c:v>3</c:v>
                </c:pt>
              </c:numCache>
            </c:numRef>
          </c:val>
        </c:ser>
        <c:dLbls>
          <c:showLegendKey val="0"/>
          <c:showVal val="0"/>
          <c:showCatName val="0"/>
          <c:showSerName val="0"/>
          <c:showPercent val="0"/>
          <c:showBubbleSize val="0"/>
        </c:dLbls>
        <c:gapWidth val="219"/>
        <c:overlap val="-27"/>
        <c:axId val="96488123"/>
        <c:axId val="370606861"/>
      </c:barChart>
      <c:lineChart>
        <c:grouping val="standard"/>
        <c:varyColors val="0"/>
        <c:ser>
          <c:idx val="1"/>
          <c:order val="1"/>
          <c:tx>
            <c:strRef>
              <c:f>[绩效评价指标底稿.xlsx]Sheet10!$C$1</c:f>
              <c:strCache>
                <c:ptCount val="1"/>
                <c:pt idx="0">
                  <c:v>得分</c:v>
                </c:pt>
              </c:strCache>
            </c:strRef>
          </c:tx>
          <c:spPr>
            <a:ln w="28575" cap="rnd">
              <a:solidFill>
                <a:schemeClr val="accent2"/>
              </a:solidFill>
              <a:round/>
            </a:ln>
            <a:effectLst/>
          </c:spPr>
          <c:marker>
            <c:symbol val="none"/>
          </c:marker>
          <c:dLbls>
            <c:delete val="1"/>
          </c:dLbls>
          <c:cat>
            <c:strRef>
              <c:f>[绩效评价指标底稿.xlsx]Sheet10!$A$2:$A$7</c:f>
              <c:strCache>
                <c:ptCount val="6"/>
                <c:pt idx="0">
                  <c:v>管理制度健全性</c:v>
                </c:pt>
                <c:pt idx="1">
                  <c:v>制度执行有效性</c:v>
                </c:pt>
                <c:pt idx="2">
                  <c:v>项目质量可控性</c:v>
                </c:pt>
                <c:pt idx="3">
                  <c:v>管理制度健全性</c:v>
                </c:pt>
                <c:pt idx="4">
                  <c:v>资金使用合规性</c:v>
                </c:pt>
                <c:pt idx="5">
                  <c:v>财务监控有效性</c:v>
                </c:pt>
              </c:strCache>
            </c:strRef>
          </c:cat>
          <c:val>
            <c:numRef>
              <c:f>[绩效评价指标底稿.xlsx]Sheet10!$C$2:$C$7</c:f>
              <c:numCache>
                <c:formatCode>General</c:formatCode>
                <c:ptCount val="6"/>
                <c:pt idx="0">
                  <c:v>4</c:v>
                </c:pt>
                <c:pt idx="1">
                  <c:v>4</c:v>
                </c:pt>
                <c:pt idx="2">
                  <c:v>4</c:v>
                </c:pt>
                <c:pt idx="3">
                  <c:v>4</c:v>
                </c:pt>
                <c:pt idx="4">
                  <c:v>5</c:v>
                </c:pt>
                <c:pt idx="5">
                  <c:v>3</c:v>
                </c:pt>
              </c:numCache>
            </c:numRef>
          </c:val>
          <c:smooth val="0"/>
        </c:ser>
        <c:dLbls>
          <c:showLegendKey val="0"/>
          <c:showVal val="0"/>
          <c:showCatName val="0"/>
          <c:showSerName val="0"/>
          <c:showPercent val="0"/>
          <c:showBubbleSize val="0"/>
        </c:dLbls>
        <c:marker val="0"/>
        <c:smooth val="0"/>
        <c:axId val="96488123"/>
        <c:axId val="370606861"/>
      </c:lineChart>
      <c:catAx>
        <c:axId val="96488123"/>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70606861"/>
        <c:crosses val="autoZero"/>
        <c:auto val="1"/>
        <c:lblAlgn val="ctr"/>
        <c:lblOffset val="100"/>
        <c:noMultiLvlLbl val="0"/>
      </c:catAx>
      <c:valAx>
        <c:axId val="370606861"/>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6488123"/>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no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ysClr val="windowText" lastClr="000000"/>
                </a:solidFill>
                <a:latin typeface="+mn-lt"/>
                <a:ea typeface="+mn-ea"/>
                <a:cs typeface="+mn-cs"/>
              </a:defRPr>
            </a:pPr>
            <a:r>
              <a:rPr lang="zh-CN" altLang="en-US">
                <a:solidFill>
                  <a:sysClr val="windowText" lastClr="000000"/>
                </a:solidFill>
              </a:rPr>
              <a:t>产出指标得分情况</a:t>
            </a:r>
            <a:endParaRPr lang="zh-CN" altLang="en-US">
              <a:solidFill>
                <a:sysClr val="windowText" lastClr="000000"/>
              </a:solidFill>
            </a:endParaRPr>
          </a:p>
        </c:rich>
      </c:tx>
      <c:layout/>
      <c:overlay val="0"/>
      <c:spPr>
        <a:noFill/>
        <a:ln>
          <a:noFill/>
        </a:ln>
        <a:effectLst/>
      </c:spPr>
    </c:title>
    <c:autoTitleDeleted val="0"/>
    <c:plotArea>
      <c:layout/>
      <c:barChart>
        <c:barDir val="col"/>
        <c:grouping val="clustered"/>
        <c:varyColors val="0"/>
        <c:ser>
          <c:idx val="0"/>
          <c:order val="0"/>
          <c:tx>
            <c:strRef>
              <c:f>[绩效评价指标底稿.xlsx]产出!$B$1</c:f>
              <c:strCache>
                <c:ptCount val="1"/>
                <c:pt idx="0">
                  <c:v>标准分值</c:v>
                </c:pt>
              </c:strCache>
            </c:strRef>
          </c:tx>
          <c:spPr>
            <a:solidFill>
              <a:schemeClr val="accent1"/>
            </a:solidFill>
            <a:ln>
              <a:noFill/>
            </a:ln>
            <a:effectLst/>
          </c:spPr>
          <c:invertIfNegative val="0"/>
          <c:dLbls>
            <c:delete val="1"/>
          </c:dLbls>
          <c:cat>
            <c:strRef>
              <c:f>[绩效评价指标底稿.xlsx]产出!$A$2:$A$7</c:f>
              <c:strCache>
                <c:ptCount val="6"/>
                <c:pt idx="0">
                  <c:v>审核手续合规性</c:v>
                </c:pt>
                <c:pt idx="1">
                  <c:v>申请墙改资金清算时间</c:v>
                </c:pt>
                <c:pt idx="2">
                  <c:v>墙改基金退付比例合理性</c:v>
                </c:pt>
                <c:pt idx="3">
                  <c:v>现场核验完成率</c:v>
                </c:pt>
                <c:pt idx="4">
                  <c:v>专家机构审核合格率</c:v>
                </c:pt>
                <c:pt idx="5">
                  <c:v>资金使用率</c:v>
                </c:pt>
              </c:strCache>
            </c:strRef>
          </c:cat>
          <c:val>
            <c:numRef>
              <c:f>[绩效评价指标底稿.xlsx]产出!$B$2:$B$7</c:f>
              <c:numCache>
                <c:formatCode>General</c:formatCode>
                <c:ptCount val="6"/>
                <c:pt idx="0">
                  <c:v>5</c:v>
                </c:pt>
                <c:pt idx="1">
                  <c:v>4</c:v>
                </c:pt>
                <c:pt idx="2">
                  <c:v>4</c:v>
                </c:pt>
                <c:pt idx="3">
                  <c:v>5</c:v>
                </c:pt>
                <c:pt idx="4">
                  <c:v>4</c:v>
                </c:pt>
                <c:pt idx="5">
                  <c:v>6</c:v>
                </c:pt>
              </c:numCache>
            </c:numRef>
          </c:val>
        </c:ser>
        <c:dLbls>
          <c:showLegendKey val="0"/>
          <c:showVal val="0"/>
          <c:showCatName val="0"/>
          <c:showSerName val="0"/>
          <c:showPercent val="0"/>
          <c:showBubbleSize val="0"/>
        </c:dLbls>
        <c:gapWidth val="150"/>
        <c:axId val="341313792"/>
        <c:axId val="341323776"/>
      </c:barChart>
      <c:lineChart>
        <c:grouping val="standard"/>
        <c:varyColors val="0"/>
        <c:ser>
          <c:idx val="1"/>
          <c:order val="1"/>
          <c:tx>
            <c:strRef>
              <c:f>[绩效评价指标底稿.xlsx]产出!$C$1</c:f>
              <c:strCache>
                <c:ptCount val="1"/>
                <c:pt idx="0">
                  <c:v>得分</c:v>
                </c:pt>
              </c:strCache>
            </c:strRef>
          </c:tx>
          <c:spPr>
            <a:ln w="28575" cap="rnd" cmpd="sng" algn="ctr">
              <a:solidFill>
                <a:schemeClr val="accent2"/>
              </a:solidFill>
              <a:prstDash val="solid"/>
              <a:round/>
            </a:ln>
            <a:effectLst/>
          </c:spPr>
          <c:marker>
            <c:symbol val="none"/>
          </c:marker>
          <c:dLbls>
            <c:delete val="1"/>
          </c:dLbls>
          <c:cat>
            <c:strRef>
              <c:f>[绩效评价指标底稿.xlsx]产出!$A$2:$A$7</c:f>
              <c:strCache>
                <c:ptCount val="6"/>
                <c:pt idx="0">
                  <c:v>审核手续合规性</c:v>
                </c:pt>
                <c:pt idx="1">
                  <c:v>申请墙改资金清算时间</c:v>
                </c:pt>
                <c:pt idx="2">
                  <c:v>墙改基金退付比例合理性</c:v>
                </c:pt>
                <c:pt idx="3">
                  <c:v>现场核验完成率</c:v>
                </c:pt>
                <c:pt idx="4">
                  <c:v>专家机构审核合格率</c:v>
                </c:pt>
                <c:pt idx="5">
                  <c:v>资金使用率</c:v>
                </c:pt>
              </c:strCache>
            </c:strRef>
          </c:cat>
          <c:val>
            <c:numRef>
              <c:f>[绩效评价指标底稿.xlsx]产出!$C$2:$C$7</c:f>
              <c:numCache>
                <c:formatCode>General</c:formatCode>
                <c:ptCount val="6"/>
                <c:pt idx="0">
                  <c:v>5</c:v>
                </c:pt>
                <c:pt idx="1">
                  <c:v>2</c:v>
                </c:pt>
                <c:pt idx="2">
                  <c:v>4</c:v>
                </c:pt>
                <c:pt idx="3">
                  <c:v>4</c:v>
                </c:pt>
                <c:pt idx="4">
                  <c:v>4</c:v>
                </c:pt>
                <c:pt idx="5">
                  <c:v>6</c:v>
                </c:pt>
              </c:numCache>
            </c:numRef>
          </c:val>
          <c:smooth val="0"/>
        </c:ser>
        <c:dLbls>
          <c:showLegendKey val="0"/>
          <c:showVal val="0"/>
          <c:showCatName val="0"/>
          <c:showSerName val="0"/>
          <c:showPercent val="0"/>
          <c:showBubbleSize val="0"/>
        </c:dLbls>
        <c:marker val="0"/>
        <c:smooth val="0"/>
        <c:axId val="341313792"/>
        <c:axId val="341323776"/>
      </c:lineChart>
      <c:catAx>
        <c:axId val="341313792"/>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41323776"/>
        <c:crosses val="autoZero"/>
        <c:auto val="1"/>
        <c:lblAlgn val="ctr"/>
        <c:lblOffset val="100"/>
        <c:noMultiLvlLbl val="0"/>
      </c:catAx>
      <c:valAx>
        <c:axId val="341323776"/>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41313792"/>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dTable>
    </c:plotArea>
    <c:plotVisOnly val="1"/>
    <c:dispBlanksAs val="gap"/>
    <c:showDLblsOverMax val="0"/>
  </c:chart>
  <c:spPr>
    <a:solidFill>
      <a:schemeClr val="bg1"/>
    </a:solidFill>
    <a:ln w="9525" cap="flat" cmpd="sng" algn="ctr">
      <a:noFill/>
      <a:prstDash val="solid"/>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C:\Users\daiqin\AppData\Roaming\Kingsoft\wps\addons\pool\win-i386\knewfileruby_1.0.0.10\template\wps\0.docx</Template>
  <Pages>38</Pages>
  <Words>16905</Words>
  <Characters>17450</Characters>
  <Lines>138</Lines>
  <Paragraphs>38</Paragraphs>
  <TotalTime>3</TotalTime>
  <ScaleCrop>false</ScaleCrop>
  <LinksUpToDate>false</LinksUpToDate>
  <CharactersWithSpaces>17611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2018-07-11T07:02:00Z</dcterms:created>
  <dc:creator>薄樱鬼</dc:creator>
  <cp:lastModifiedBy>徐茫茫</cp:lastModifiedBy>
  <cp:lastPrinted>2019-07-30T16:38:00Z</cp:lastPrinted>
  <dcterms:modified xsi:type="dcterms:W3CDTF">2025-02-14T03:20:20Z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B047DEE0462E41009EA20093F2E31B1F_12</vt:lpwstr>
  </property>
</Properties>
</file>