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ind w:left="3640" w:leftChars="330" w:right="-240" w:rightChars="-80" w:hanging="2650" w:hangingChars="600"/>
        <w:jc w:val="center"/>
        <w:rPr>
          <w:rFonts w:ascii="仿宋_GB2312" w:hAnsi="Arial Narrow"/>
          <w:b/>
          <w:bCs/>
          <w:color w:val="000000" w:themeColor="text1"/>
          <w:kern w:val="32"/>
          <w:sz w:val="44"/>
          <w:szCs w:val="44"/>
          <w:lang w:bidi="he-IL"/>
          <w14:textFill>
            <w14:solidFill>
              <w14:schemeClr w14:val="tx1"/>
            </w14:solidFill>
          </w14:textFill>
        </w:rPr>
      </w:pPr>
    </w:p>
    <w:p>
      <w:pPr>
        <w:spacing w:line="360" w:lineRule="auto"/>
        <w:jc w:val="center"/>
        <w:rPr>
          <w:rFonts w:ascii="仿宋_GB2312" w:hAnsi="Arial Narrow" w:cs="仿宋_GB2312"/>
          <w:b/>
          <w:bCs/>
          <w:color w:val="000000" w:themeColor="text1"/>
          <w:kern w:val="32"/>
          <w:sz w:val="44"/>
          <w:szCs w:val="44"/>
          <w:lang w:bidi="he-IL"/>
          <w14:textFill>
            <w14:solidFill>
              <w14:schemeClr w14:val="tx1"/>
            </w14:solidFill>
          </w14:textFill>
        </w:rPr>
      </w:pPr>
      <w:r>
        <w:rPr>
          <w:rFonts w:hint="eastAsia" w:ascii="仿宋_GB2312" w:hAnsi="Arial Narrow" w:cs="仿宋_GB2312"/>
          <w:b/>
          <w:bCs/>
          <w:color w:val="000000" w:themeColor="text1"/>
          <w:kern w:val="32"/>
          <w:sz w:val="44"/>
          <w:szCs w:val="44"/>
          <w:lang w:bidi="he-IL"/>
          <w14:textFill>
            <w14:solidFill>
              <w14:schemeClr w14:val="tx1"/>
            </w14:solidFill>
          </w14:textFill>
        </w:rPr>
        <w:t>武汉</w:t>
      </w:r>
      <w:r>
        <w:rPr>
          <w:rFonts w:hint="eastAsia" w:ascii="仿宋_GB2312" w:hAnsi="Arial Narrow" w:cs="宋体"/>
          <w:b/>
          <w:bCs/>
          <w:color w:val="000000" w:themeColor="text1"/>
          <w:kern w:val="32"/>
          <w:sz w:val="44"/>
          <w:szCs w:val="44"/>
          <w:lang w:bidi="he-IL"/>
          <w14:textFill>
            <w14:solidFill>
              <w14:schemeClr w14:val="tx1"/>
            </w14:solidFill>
          </w14:textFill>
        </w:rPr>
        <w:t>经济技术</w:t>
      </w:r>
      <w:r>
        <w:rPr>
          <w:rFonts w:hint="eastAsia" w:ascii="仿宋_GB2312" w:hAnsi="Arial Narrow" w:cs="仿宋_GB2312"/>
          <w:b/>
          <w:bCs/>
          <w:color w:val="000000" w:themeColor="text1"/>
          <w:kern w:val="32"/>
          <w:sz w:val="44"/>
          <w:szCs w:val="44"/>
          <w:lang w:bidi="he-IL"/>
          <w14:textFill>
            <w14:solidFill>
              <w14:schemeClr w14:val="tx1"/>
            </w14:solidFill>
          </w14:textFill>
        </w:rPr>
        <w:t>开发区（汉南区）城乡建设局</w:t>
      </w:r>
    </w:p>
    <w:p>
      <w:pPr>
        <w:spacing w:line="360" w:lineRule="auto"/>
        <w:jc w:val="center"/>
        <w:rPr>
          <w:rFonts w:ascii="仿宋_GB2312" w:hAnsi="Arial Narrow" w:cs="仿宋_GB2312"/>
          <w:b/>
          <w:bCs/>
          <w:color w:val="000000" w:themeColor="text1"/>
          <w:kern w:val="32"/>
          <w:sz w:val="44"/>
          <w:szCs w:val="44"/>
          <w:lang w:bidi="he-IL"/>
          <w14:textFill>
            <w14:solidFill>
              <w14:schemeClr w14:val="tx1"/>
            </w14:solidFill>
          </w14:textFill>
        </w:rPr>
      </w:pPr>
      <w:r>
        <w:rPr>
          <w:rFonts w:hint="eastAsia" w:ascii="仿宋_GB2312" w:hAnsi="Arial Narrow" w:cs="仿宋_GB2312"/>
          <w:b/>
          <w:bCs/>
          <w:color w:val="000000" w:themeColor="text1"/>
          <w:kern w:val="32"/>
          <w:sz w:val="44"/>
          <w:szCs w:val="44"/>
          <w:lang w:bidi="he-IL"/>
          <w14:textFill>
            <w14:solidFill>
              <w14:schemeClr w14:val="tx1"/>
            </w14:solidFill>
          </w14:textFill>
        </w:rPr>
        <w:t>交通安全专项经费项目</w:t>
      </w:r>
    </w:p>
    <w:p>
      <w:pPr>
        <w:spacing w:line="360" w:lineRule="auto"/>
        <w:jc w:val="center"/>
        <w:rPr>
          <w:rFonts w:ascii="Arial Narrow" w:hAnsi="Arial Narrow" w:cs="仿宋_GB2312"/>
          <w:b/>
          <w:bCs/>
          <w:color w:val="000000" w:themeColor="text1"/>
          <w:kern w:val="32"/>
          <w:sz w:val="44"/>
          <w:szCs w:val="44"/>
          <w:lang w:bidi="he-IL"/>
          <w14:textFill>
            <w14:solidFill>
              <w14:schemeClr w14:val="tx1"/>
            </w14:solidFill>
          </w14:textFill>
        </w:rPr>
      </w:pPr>
      <w:r>
        <w:rPr>
          <w:rFonts w:ascii="Arial Narrow" w:hAnsi="Arial Narrow" w:cs="仿宋_GB2312"/>
          <w:b/>
          <w:bCs/>
          <w:color w:val="000000" w:themeColor="text1"/>
          <w:kern w:val="32"/>
          <w:sz w:val="44"/>
          <w:szCs w:val="44"/>
          <w:lang w:bidi="he-IL"/>
          <w14:textFill>
            <w14:solidFill>
              <w14:schemeClr w14:val="tx1"/>
            </w14:solidFill>
          </w14:textFill>
        </w:rPr>
        <w:t>2018年度绩效自评报告</w:t>
      </w:r>
    </w:p>
    <w:p>
      <w:pPr>
        <w:widowControl/>
        <w:spacing w:line="360" w:lineRule="auto"/>
        <w:ind w:left="3640" w:leftChars="330" w:right="-240" w:rightChars="-80" w:hanging="2650" w:hangingChars="600"/>
        <w:rPr>
          <w:rFonts w:ascii="Arial Narrow" w:hAnsi="Arial Narrow"/>
          <w:b/>
          <w:bCs/>
          <w:color w:val="000000" w:themeColor="text1"/>
          <w:kern w:val="32"/>
          <w:sz w:val="44"/>
          <w:szCs w:val="44"/>
          <w:lang w:bidi="he-IL"/>
          <w14:textFill>
            <w14:solidFill>
              <w14:schemeClr w14:val="tx1"/>
            </w14:solidFill>
          </w14:textFill>
        </w:rPr>
      </w:pPr>
    </w:p>
    <w:p>
      <w:pPr>
        <w:spacing w:line="360" w:lineRule="auto"/>
        <w:rPr>
          <w:rFonts w:ascii="仿宋_GB2312" w:hAnsi="Arial Narrow"/>
          <w:color w:val="000000" w:themeColor="text1"/>
          <w14:textFill>
            <w14:solidFill>
              <w14:schemeClr w14:val="tx1"/>
            </w14:solidFill>
          </w14:textFill>
        </w:rPr>
      </w:pPr>
    </w:p>
    <w:p>
      <w:pPr>
        <w:spacing w:line="360" w:lineRule="auto"/>
        <w:rPr>
          <w:rFonts w:ascii="仿宋_GB2312" w:hAnsi="Arial Narrow"/>
          <w:color w:val="000000" w:themeColor="text1"/>
          <w14:textFill>
            <w14:solidFill>
              <w14:schemeClr w14:val="tx1"/>
            </w14:solidFill>
          </w14:textFill>
        </w:rPr>
      </w:pPr>
    </w:p>
    <w:p>
      <w:pPr>
        <w:widowControl/>
        <w:spacing w:line="360" w:lineRule="auto"/>
        <w:ind w:right="-240" w:rightChars="-80"/>
        <w:jc w:val="left"/>
        <w:rPr>
          <w:rFonts w:ascii="仿宋_GB2312" w:hAnsi="Arial Narrow" w:cs="黑体"/>
          <w:color w:val="000000" w:themeColor="text1"/>
          <w:kern w:val="32"/>
          <w:sz w:val="32"/>
          <w:lang w:bidi="he-IL"/>
          <w14:textFill>
            <w14:solidFill>
              <w14:schemeClr w14:val="tx1"/>
            </w14:solidFill>
          </w14:textFill>
        </w:rPr>
      </w:pPr>
    </w:p>
    <w:p>
      <w:pPr>
        <w:widowControl/>
        <w:spacing w:line="360" w:lineRule="auto"/>
        <w:ind w:right="-240" w:rightChars="-80" w:firstLine="790" w:firstLineChars="246"/>
        <w:jc w:val="left"/>
        <w:rPr>
          <w:rFonts w:ascii="仿宋_GB2312" w:hAnsi="Arial Narrow" w:cs="仿宋_GB2312"/>
          <w:b/>
          <w:bCs/>
          <w:color w:val="000000" w:themeColor="text1"/>
          <w:kern w:val="32"/>
          <w:sz w:val="32"/>
          <w:lang w:bidi="he-IL"/>
          <w14:textFill>
            <w14:solidFill>
              <w14:schemeClr w14:val="tx1"/>
            </w14:solidFill>
          </w14:textFill>
        </w:rPr>
      </w:pPr>
      <w:r>
        <w:rPr>
          <w:rFonts w:hint="eastAsia" w:ascii="仿宋_GB2312" w:hAnsi="Arial Narrow" w:cs="仿宋_GB2312"/>
          <w:b/>
          <w:bCs/>
          <w:color w:val="000000" w:themeColor="text1"/>
          <w:kern w:val="32"/>
          <w:sz w:val="32"/>
          <w:lang w:bidi="he-IL"/>
          <w14:textFill>
            <w14:solidFill>
              <w14:schemeClr w14:val="tx1"/>
            </w14:solidFill>
          </w14:textFill>
        </w:rPr>
        <w:t xml:space="preserve">项目名称： 交通安全专项经费项目  </w:t>
      </w:r>
    </w:p>
    <w:p>
      <w:pPr>
        <w:widowControl/>
        <w:spacing w:line="360" w:lineRule="auto"/>
        <w:ind w:right="-240" w:rightChars="-80" w:firstLine="790" w:firstLineChars="246"/>
        <w:jc w:val="left"/>
        <w:rPr>
          <w:rFonts w:ascii="仿宋_GB2312" w:hAnsi="Arial Narrow" w:cs="仿宋_GB2312"/>
          <w:b/>
          <w:bCs/>
          <w:color w:val="000000" w:themeColor="text1"/>
          <w:kern w:val="32"/>
          <w:sz w:val="32"/>
          <w:lang w:bidi="he-IL"/>
          <w14:textFill>
            <w14:solidFill>
              <w14:schemeClr w14:val="tx1"/>
            </w14:solidFill>
          </w14:textFill>
        </w:rPr>
      </w:pPr>
      <w:r>
        <w:rPr>
          <w:rFonts w:hint="eastAsia" w:ascii="仿宋_GB2312" w:hAnsi="Arial Narrow" w:cs="仿宋_GB2312"/>
          <w:b/>
          <w:bCs/>
          <w:color w:val="000000" w:themeColor="text1"/>
          <w:kern w:val="32"/>
          <w:sz w:val="32"/>
          <w:lang w:bidi="he-IL"/>
          <w14:textFill>
            <w14:solidFill>
              <w14:schemeClr w14:val="tx1"/>
            </w14:solidFill>
          </w14:textFill>
        </w:rPr>
        <w:t>项目单位： 武汉经济技术开发区（汉南区）城乡建设局</w:t>
      </w:r>
    </w:p>
    <w:p>
      <w:pPr>
        <w:widowControl/>
        <w:spacing w:line="360" w:lineRule="auto"/>
        <w:ind w:right="-240" w:rightChars="-80" w:firstLine="790" w:firstLineChars="246"/>
        <w:jc w:val="left"/>
        <w:rPr>
          <w:rFonts w:ascii="仿宋_GB2312" w:hAnsi="Arial Narrow" w:cs="仿宋_GB2312"/>
          <w:b/>
          <w:bCs/>
          <w:color w:val="000000" w:themeColor="text1"/>
          <w:kern w:val="32"/>
          <w:sz w:val="32"/>
          <w:lang w:bidi="he-IL"/>
          <w14:textFill>
            <w14:solidFill>
              <w14:schemeClr w14:val="tx1"/>
            </w14:solidFill>
          </w14:textFill>
        </w:rPr>
      </w:pPr>
      <w:r>
        <w:rPr>
          <w:rFonts w:hint="eastAsia" w:ascii="仿宋_GB2312" w:hAnsi="Arial Narrow" w:cs="仿宋_GB2312"/>
          <w:b/>
          <w:bCs/>
          <w:color w:val="000000" w:themeColor="text1"/>
          <w:kern w:val="32"/>
          <w:sz w:val="32"/>
          <w:lang w:bidi="he-IL"/>
          <w14:textFill>
            <w14:solidFill>
              <w14:schemeClr w14:val="tx1"/>
            </w14:solidFill>
          </w14:textFill>
        </w:rPr>
        <w:t>主管部门： 武汉经济技术开发</w:t>
      </w:r>
      <w:r>
        <w:rPr>
          <w:rFonts w:hint="eastAsia" w:ascii="仿宋_GB2312" w:hAnsi="Arial Narrow" w:cs="仿宋_GB2312"/>
          <w:b/>
          <w:bCs/>
          <w:color w:val="000000" w:themeColor="text1"/>
          <w:sz w:val="32"/>
          <w:szCs w:val="32"/>
          <w14:textFill>
            <w14:solidFill>
              <w14:schemeClr w14:val="tx1"/>
            </w14:solidFill>
          </w14:textFill>
        </w:rPr>
        <w:t>区（汉南区）城乡建设局</w:t>
      </w:r>
    </w:p>
    <w:p>
      <w:pPr>
        <w:widowControl/>
        <w:spacing w:line="360" w:lineRule="auto"/>
        <w:ind w:firstLine="790" w:firstLineChars="246"/>
        <w:jc w:val="left"/>
        <w:rPr>
          <w:rFonts w:ascii="仿宋_GB2312" w:hAnsi="Arial Narrow" w:cs="仿宋_GB2312"/>
          <w:b/>
          <w:bCs/>
          <w:color w:val="000000" w:themeColor="text1"/>
          <w:sz w:val="32"/>
          <w:szCs w:val="32"/>
          <w14:textFill>
            <w14:solidFill>
              <w14:schemeClr w14:val="tx1"/>
            </w14:solidFill>
          </w14:textFill>
        </w:rPr>
      </w:pPr>
      <w:r>
        <w:rPr>
          <w:rFonts w:hint="eastAsia" w:ascii="仿宋_GB2312" w:hAnsi="Arial Narrow" w:cs="仿宋_GB2312"/>
          <w:b/>
          <w:bCs/>
          <w:color w:val="000000" w:themeColor="text1"/>
          <w:kern w:val="32"/>
          <w:sz w:val="32"/>
          <w:lang w:bidi="he-IL"/>
          <w14:textFill>
            <w14:solidFill>
              <w14:schemeClr w14:val="tx1"/>
            </w14:solidFill>
          </w14:textFill>
        </w:rPr>
        <w:t>评价机构：</w:t>
      </w:r>
      <w:r>
        <w:rPr>
          <w:rFonts w:hint="eastAsia" w:ascii="仿宋_GB2312" w:hAnsi="Arial Narrow" w:cs="仿宋_GB2312"/>
          <w:b/>
          <w:bCs/>
          <w:color w:val="000000" w:themeColor="text1"/>
          <w:sz w:val="32"/>
          <w:szCs w:val="32"/>
          <w14:textFill>
            <w14:solidFill>
              <w14:schemeClr w14:val="tx1"/>
            </w14:solidFill>
          </w14:textFill>
        </w:rPr>
        <w:t xml:space="preserve"> 致同会计师事务所（特殊普通合伙）</w:t>
      </w:r>
    </w:p>
    <w:p>
      <w:pPr>
        <w:widowControl/>
        <w:spacing w:line="360" w:lineRule="auto"/>
        <w:ind w:firstLine="2554" w:firstLineChars="795"/>
        <w:jc w:val="left"/>
        <w:rPr>
          <w:rFonts w:ascii="仿宋_GB2312" w:hAnsi="Arial Narrow" w:cs="仿宋_GB2312"/>
          <w:b/>
          <w:bCs/>
          <w:color w:val="000000" w:themeColor="text1"/>
          <w:sz w:val="32"/>
          <w:szCs w:val="32"/>
          <w14:textFill>
            <w14:solidFill>
              <w14:schemeClr w14:val="tx1"/>
            </w14:solidFill>
          </w14:textFill>
        </w:rPr>
      </w:pPr>
      <w:r>
        <w:rPr>
          <w:rFonts w:hint="eastAsia" w:ascii="仿宋_GB2312" w:hAnsi="Arial Narrow" w:cs="仿宋_GB2312"/>
          <w:b/>
          <w:bCs/>
          <w:color w:val="000000" w:themeColor="text1"/>
          <w:sz w:val="32"/>
          <w:szCs w:val="32"/>
          <w14:textFill>
            <w14:solidFill>
              <w14:schemeClr w14:val="tx1"/>
            </w14:solidFill>
          </w14:textFill>
        </w:rPr>
        <w:t>武汉分所</w:t>
      </w:r>
    </w:p>
    <w:p>
      <w:pPr>
        <w:spacing w:line="360" w:lineRule="auto"/>
        <w:rPr>
          <w:rFonts w:ascii="仿宋_GB2312" w:hAnsi="Arial Narrow"/>
          <w:b/>
          <w:bCs/>
          <w:color w:val="000000" w:themeColor="text1"/>
          <w:sz w:val="32"/>
          <w:szCs w:val="32"/>
          <w14:textFill>
            <w14:solidFill>
              <w14:schemeClr w14:val="tx1"/>
            </w14:solidFill>
          </w14:textFill>
        </w:rPr>
      </w:pPr>
    </w:p>
    <w:p>
      <w:pPr>
        <w:spacing w:line="360" w:lineRule="auto"/>
        <w:rPr>
          <w:rFonts w:ascii="仿宋_GB2312" w:hAnsi="Arial Narrow"/>
          <w:b/>
          <w:bCs/>
          <w:color w:val="000000" w:themeColor="text1"/>
          <w:sz w:val="32"/>
          <w:szCs w:val="32"/>
          <w14:textFill>
            <w14:solidFill>
              <w14:schemeClr w14:val="tx1"/>
            </w14:solidFill>
          </w14:textFill>
        </w:rPr>
      </w:pPr>
    </w:p>
    <w:p>
      <w:pPr>
        <w:spacing w:line="360" w:lineRule="auto"/>
        <w:jc w:val="center"/>
        <w:rPr>
          <w:rFonts w:ascii="仿宋_GB2312" w:hAnsi="Arial Narrow" w:cs="黑体"/>
          <w:color w:val="000000" w:themeColor="text1"/>
          <w:sz w:val="32"/>
          <w:szCs w:val="32"/>
          <w14:textFill>
            <w14:solidFill>
              <w14:schemeClr w14:val="tx1"/>
            </w14:solidFill>
          </w14:textFill>
        </w:rPr>
      </w:pPr>
    </w:p>
    <w:p>
      <w:pPr>
        <w:spacing w:line="360" w:lineRule="auto"/>
        <w:jc w:val="center"/>
        <w:rPr>
          <w:rFonts w:ascii="仿宋_GB2312" w:hAnsi="Arial Narrow" w:cs="黑体"/>
          <w:color w:val="000000" w:themeColor="text1"/>
          <w:sz w:val="44"/>
          <w:szCs w:val="44"/>
          <w14:textFill>
            <w14:solidFill>
              <w14:schemeClr w14:val="tx1"/>
            </w14:solidFill>
          </w14:textFill>
        </w:rPr>
      </w:pPr>
    </w:p>
    <w:p>
      <w:pPr>
        <w:spacing w:line="360" w:lineRule="auto"/>
        <w:jc w:val="center"/>
        <w:rPr>
          <w:rFonts w:ascii="仿宋_GB2312" w:hAnsi="Arial Narrow" w:cs="仿宋_GB2312"/>
          <w:b/>
          <w:bCs/>
          <w:color w:val="000000" w:themeColor="text1"/>
          <w:sz w:val="32"/>
          <w:szCs w:val="32"/>
          <w14:textFill>
            <w14:solidFill>
              <w14:schemeClr w14:val="tx1"/>
            </w14:solidFill>
          </w14:textFill>
        </w:rPr>
        <w:sectPr>
          <w:headerReference r:id="rId5" w:type="default"/>
          <w:footerReference r:id="rId6" w:type="default"/>
          <w:pgSz w:w="11906" w:h="16838"/>
          <w:pgMar w:top="2098" w:right="1531" w:bottom="1985" w:left="1531" w:header="851" w:footer="992" w:gutter="0"/>
          <w:cols w:space="425" w:num="1"/>
          <w:docGrid w:type="lines" w:linePitch="312" w:charSpace="0"/>
        </w:sectPr>
      </w:pPr>
      <w:r>
        <w:rPr>
          <w:rFonts w:hint="eastAsia" w:ascii="仿宋_GB2312" w:hAnsi="Arial Narrow" w:cs="仿宋_GB2312"/>
          <w:b/>
          <w:bCs/>
          <w:color w:val="000000" w:themeColor="text1"/>
          <w:sz w:val="32"/>
          <w:szCs w:val="32"/>
          <w14:textFill>
            <w14:solidFill>
              <w14:schemeClr w14:val="tx1"/>
            </w14:solidFill>
          </w14:textFill>
        </w:rPr>
        <w:t>二</w:t>
      </w:r>
      <w:r>
        <w:rPr>
          <w:rFonts w:hint="eastAsia" w:ascii="宋体" w:hAnsi="宋体" w:eastAsia="宋体" w:cs="微软雅黑"/>
          <w:b/>
          <w:bCs/>
          <w:color w:val="000000" w:themeColor="text1"/>
          <w:sz w:val="32"/>
          <w:szCs w:val="32"/>
          <w14:textFill>
            <w14:solidFill>
              <w14:schemeClr w14:val="tx1"/>
            </w14:solidFill>
          </w14:textFill>
        </w:rPr>
        <w:t>〇</w:t>
      </w:r>
      <w:r>
        <w:rPr>
          <w:rFonts w:hint="eastAsia" w:ascii="仿宋_GB2312" w:hAnsi="Arial Narrow" w:cs="仿宋_GB2312"/>
          <w:b/>
          <w:bCs/>
          <w:color w:val="000000" w:themeColor="text1"/>
          <w:sz w:val="32"/>
          <w:szCs w:val="32"/>
          <w14:textFill>
            <w14:solidFill>
              <w14:schemeClr w14:val="tx1"/>
            </w14:solidFill>
          </w14:textFill>
        </w:rPr>
        <w:t>一</w:t>
      </w:r>
      <w:r>
        <w:rPr>
          <w:rFonts w:hint="eastAsia" w:ascii="仿宋_GB2312" w:hAnsi="Arial Narrow" w:cs="宋体"/>
          <w:b/>
          <w:bCs/>
          <w:color w:val="000000" w:themeColor="text1"/>
          <w:sz w:val="32"/>
          <w:szCs w:val="32"/>
          <w14:textFill>
            <w14:solidFill>
              <w14:schemeClr w14:val="tx1"/>
            </w14:solidFill>
          </w14:textFill>
        </w:rPr>
        <w:t>九</w:t>
      </w:r>
      <w:r>
        <w:rPr>
          <w:rFonts w:hint="eastAsia" w:ascii="仿宋_GB2312" w:hAnsi="Arial Narrow" w:cs="仿宋_GB2312"/>
          <w:b/>
          <w:bCs/>
          <w:color w:val="000000" w:themeColor="text1"/>
          <w:sz w:val="32"/>
          <w:szCs w:val="32"/>
          <w14:textFill>
            <w14:solidFill>
              <w14:schemeClr w14:val="tx1"/>
            </w14:solidFill>
          </w14:textFill>
        </w:rPr>
        <w:t>年</w:t>
      </w:r>
      <w:r>
        <w:rPr>
          <w:rFonts w:hint="eastAsia" w:ascii="仿宋_GB2312" w:hAnsi="Arial Narrow" w:cs="宋体"/>
          <w:b/>
          <w:bCs/>
          <w:color w:val="000000" w:themeColor="text1"/>
          <w:sz w:val="32"/>
          <w:szCs w:val="32"/>
          <w14:textFill>
            <w14:solidFill>
              <w14:schemeClr w14:val="tx1"/>
            </w14:solidFill>
          </w14:textFill>
        </w:rPr>
        <w:t>七</w:t>
      </w:r>
      <w:r>
        <w:rPr>
          <w:rFonts w:hint="eastAsia" w:ascii="仿宋_GB2312" w:hAnsi="Arial Narrow" w:cs="仿宋_GB2312"/>
          <w:b/>
          <w:bCs/>
          <w:color w:val="000000" w:themeColor="text1"/>
          <w:sz w:val="32"/>
          <w:szCs w:val="32"/>
          <w14:textFill>
            <w14:solidFill>
              <w14:schemeClr w14:val="tx1"/>
            </w14:solidFill>
          </w14:textFill>
        </w:rPr>
        <w:t>月</w:t>
      </w:r>
    </w:p>
    <w:p>
      <w:pPr>
        <w:spacing w:line="360" w:lineRule="auto"/>
        <w:jc w:val="center"/>
        <w:rPr>
          <w:rFonts w:ascii="仿宋_GB2312" w:hAnsi="Arial Narrow" w:cs="仿宋_GB2312"/>
          <w:b/>
          <w:bCs/>
          <w:color w:val="000000" w:themeColor="text1"/>
          <w:sz w:val="32"/>
          <w:szCs w:val="32"/>
          <w14:textFill>
            <w14:solidFill>
              <w14:schemeClr w14:val="tx1"/>
            </w14:solidFill>
          </w14:textFill>
        </w:rPr>
        <w:sectPr>
          <w:pgSz w:w="11906" w:h="16838"/>
          <w:pgMar w:top="2098" w:right="1531" w:bottom="1985" w:left="1531" w:header="851" w:footer="992" w:gutter="0"/>
          <w:cols w:space="425" w:num="1"/>
          <w:docGrid w:type="lines" w:linePitch="312" w:charSpace="0"/>
        </w:sectPr>
      </w:pPr>
    </w:p>
    <w:p>
      <w:pPr>
        <w:spacing w:line="360" w:lineRule="auto"/>
        <w:jc w:val="center"/>
        <w:rPr>
          <w:rFonts w:ascii="仿宋_GB2312" w:hAnsi="Arial Narrow" w:cs="Arial Narrow"/>
          <w:b/>
          <w:color w:val="000000" w:themeColor="text1"/>
          <w:sz w:val="32"/>
          <w:szCs w:val="32"/>
          <w14:textFill>
            <w14:solidFill>
              <w14:schemeClr w14:val="tx1"/>
            </w14:solidFill>
          </w14:textFill>
        </w:rPr>
      </w:pPr>
      <w:r>
        <w:rPr>
          <w:rFonts w:hint="eastAsia" w:ascii="仿宋_GB2312" w:hAnsi="Arial Narrow" w:cs="Arial Narrow"/>
          <w:b/>
          <w:color w:val="000000" w:themeColor="text1"/>
          <w:sz w:val="32"/>
          <w:szCs w:val="32"/>
          <w14:textFill>
            <w14:solidFill>
              <w14:schemeClr w14:val="tx1"/>
            </w14:solidFill>
          </w14:textFill>
        </w:rPr>
        <w:t>本次绩效评价结果</w:t>
      </w:r>
    </w:p>
    <w:p>
      <w:pPr>
        <w:spacing w:line="360" w:lineRule="auto"/>
        <w:jc w:val="center"/>
        <w:rPr>
          <w:rFonts w:ascii="仿宋_GB2312" w:hAnsi="Arial Narrow" w:cs="Arial Narrow"/>
          <w:b/>
          <w:color w:val="000000" w:themeColor="text1"/>
          <w:sz w:val="32"/>
          <w:szCs w:val="32"/>
          <w14:textFill>
            <w14:solidFill>
              <w14:schemeClr w14:val="tx1"/>
            </w14:solidFill>
          </w14:textFill>
        </w:rPr>
      </w:pPr>
    </w:p>
    <w:tbl>
      <w:tblPr>
        <w:tblStyle w:val="10"/>
        <w:tblW w:w="87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0"/>
        <w:gridCol w:w="2192"/>
        <w:gridCol w:w="2192"/>
        <w:gridCol w:w="2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50" w:type="dxa"/>
            <w:tcBorders>
              <w:bottom w:val="single" w:color="008000" w:sz="6" w:space="0"/>
            </w:tcBorders>
            <w:vAlign w:val="center"/>
          </w:tcPr>
          <w:p>
            <w:pPr>
              <w:spacing w:line="360" w:lineRule="auto"/>
              <w:ind w:firstLine="560"/>
              <w:rPr>
                <w:rFonts w:ascii="仿宋_GB2312" w:hAnsi="Arial Narrow" w:cs="Arial Narrow"/>
                <w:color w:val="000000" w:themeColor="text1"/>
                <w:sz w:val="28"/>
                <w:szCs w:val="28"/>
                <w14:textFill>
                  <w14:solidFill>
                    <w14:schemeClr w14:val="tx1"/>
                  </w14:solidFill>
                </w14:textFill>
              </w:rPr>
            </w:pPr>
            <w:r>
              <w:rPr>
                <w:rFonts w:hint="eastAsia" w:ascii="仿宋_GB2312" w:hAnsi="Arial Narrow" w:cs="Arial Narrow"/>
                <w:color w:val="000000" w:themeColor="text1"/>
                <w:sz w:val="28"/>
                <w:szCs w:val="28"/>
                <w14:textFill>
                  <w14:solidFill>
                    <w14:schemeClr w14:val="tx1"/>
                  </w14:solidFill>
                </w14:textFill>
              </w:rPr>
              <w:t>评价准则</w:t>
            </w:r>
          </w:p>
        </w:tc>
        <w:tc>
          <w:tcPr>
            <w:tcW w:w="2192" w:type="dxa"/>
            <w:tcBorders>
              <w:bottom w:val="single" w:color="008000" w:sz="6" w:space="0"/>
            </w:tcBorders>
            <w:vAlign w:val="center"/>
          </w:tcPr>
          <w:p>
            <w:pPr>
              <w:spacing w:line="360" w:lineRule="auto"/>
              <w:ind w:firstLine="980" w:firstLineChars="350"/>
              <w:rPr>
                <w:rFonts w:ascii="仿宋_GB2312" w:hAnsi="Arial Narrow" w:cs="Arial Narrow"/>
                <w:color w:val="000000" w:themeColor="text1"/>
                <w:sz w:val="28"/>
                <w:szCs w:val="28"/>
                <w14:textFill>
                  <w14:solidFill>
                    <w14:schemeClr w14:val="tx1"/>
                  </w14:solidFill>
                </w14:textFill>
              </w:rPr>
            </w:pPr>
            <w:r>
              <w:rPr>
                <w:rFonts w:hint="eastAsia" w:ascii="仿宋_GB2312" w:hAnsi="Arial Narrow" w:cs="Arial Narrow"/>
                <w:color w:val="000000" w:themeColor="text1"/>
                <w:sz w:val="28"/>
                <w:szCs w:val="28"/>
                <w14:textFill>
                  <w14:solidFill>
                    <w14:schemeClr w14:val="tx1"/>
                  </w14:solidFill>
                </w14:textFill>
              </w:rPr>
              <w:t>权重</w:t>
            </w:r>
          </w:p>
        </w:tc>
        <w:tc>
          <w:tcPr>
            <w:tcW w:w="2192" w:type="dxa"/>
            <w:tcBorders>
              <w:bottom w:val="single" w:color="008000" w:sz="6" w:space="0"/>
            </w:tcBorders>
            <w:vAlign w:val="center"/>
          </w:tcPr>
          <w:p>
            <w:pPr>
              <w:spacing w:line="360" w:lineRule="auto"/>
              <w:ind w:firstLine="560"/>
              <w:rPr>
                <w:rFonts w:ascii="仿宋_GB2312" w:hAnsi="Arial Narrow" w:cs="Arial Narrow"/>
                <w:color w:val="000000" w:themeColor="text1"/>
                <w:sz w:val="28"/>
                <w:szCs w:val="28"/>
                <w14:textFill>
                  <w14:solidFill>
                    <w14:schemeClr w14:val="tx1"/>
                  </w14:solidFill>
                </w14:textFill>
              </w:rPr>
            </w:pPr>
            <w:r>
              <w:rPr>
                <w:rFonts w:hint="eastAsia" w:ascii="仿宋_GB2312" w:hAnsi="Arial Narrow" w:cs="Arial Narrow"/>
                <w:color w:val="000000" w:themeColor="text1"/>
                <w:sz w:val="28"/>
                <w:szCs w:val="28"/>
                <w14:textFill>
                  <w14:solidFill>
                    <w14:schemeClr w14:val="tx1"/>
                  </w14:solidFill>
                </w14:textFill>
              </w:rPr>
              <w:t>评价得分</w:t>
            </w:r>
          </w:p>
        </w:tc>
        <w:tc>
          <w:tcPr>
            <w:tcW w:w="2197" w:type="dxa"/>
            <w:tcBorders>
              <w:bottom w:val="single" w:color="008000" w:sz="6" w:space="0"/>
            </w:tcBorders>
            <w:vAlign w:val="center"/>
          </w:tcPr>
          <w:p>
            <w:pPr>
              <w:spacing w:line="360" w:lineRule="auto"/>
              <w:ind w:firstLine="560"/>
              <w:rPr>
                <w:rFonts w:ascii="仿宋_GB2312" w:hAnsi="Arial Narrow" w:cs="Arial Narrow"/>
                <w:color w:val="000000" w:themeColor="text1"/>
                <w:sz w:val="28"/>
                <w:szCs w:val="28"/>
                <w14:textFill>
                  <w14:solidFill>
                    <w14:schemeClr w14:val="tx1"/>
                  </w14:solidFill>
                </w14:textFill>
              </w:rPr>
            </w:pPr>
            <w:r>
              <w:rPr>
                <w:rFonts w:hint="eastAsia" w:ascii="仿宋_GB2312" w:hAnsi="Arial Narrow" w:cs="Arial Narrow"/>
                <w:color w:val="000000" w:themeColor="text1"/>
                <w:sz w:val="28"/>
                <w:szCs w:val="28"/>
                <w14:textFill>
                  <w14:solidFill>
                    <w14:schemeClr w14:val="tx1"/>
                  </w14:solidFill>
                </w14:textFill>
              </w:rPr>
              <w:t>评价等级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2150" w:type="dxa"/>
            <w:vAlign w:val="center"/>
          </w:tcPr>
          <w:p>
            <w:pPr>
              <w:spacing w:line="360" w:lineRule="auto"/>
              <w:ind w:firstLine="758" w:firstLineChars="271"/>
              <w:rPr>
                <w:rFonts w:ascii="仿宋_GB2312" w:hAnsi="Arial Narrow" w:cs="Arial Narrow"/>
                <w:color w:val="000000" w:themeColor="text1"/>
                <w:sz w:val="28"/>
                <w:szCs w:val="28"/>
                <w14:textFill>
                  <w14:solidFill>
                    <w14:schemeClr w14:val="tx1"/>
                  </w14:solidFill>
                </w14:textFill>
              </w:rPr>
            </w:pPr>
            <w:r>
              <w:rPr>
                <w:rFonts w:hint="eastAsia" w:ascii="仿宋_GB2312" w:hAnsi="Arial Narrow" w:cs="Arial Narrow"/>
                <w:color w:val="000000" w:themeColor="text1"/>
                <w:sz w:val="28"/>
                <w:szCs w:val="28"/>
                <w14:textFill>
                  <w14:solidFill>
                    <w14:schemeClr w14:val="tx1"/>
                  </w14:solidFill>
                </w14:textFill>
              </w:rPr>
              <w:t>投入</w:t>
            </w:r>
          </w:p>
        </w:tc>
        <w:tc>
          <w:tcPr>
            <w:tcW w:w="2192" w:type="dxa"/>
            <w:vAlign w:val="center"/>
          </w:tcPr>
          <w:p>
            <w:pPr>
              <w:spacing w:line="360" w:lineRule="auto"/>
              <w:jc w:val="center"/>
              <w:rPr>
                <w:rFonts w:ascii="Arial Narrow" w:hAnsi="Arial Narrow" w:cs="Arial Narrow"/>
                <w:color w:val="000000" w:themeColor="text1"/>
                <w:sz w:val="28"/>
                <w:szCs w:val="28"/>
                <w14:textFill>
                  <w14:solidFill>
                    <w14:schemeClr w14:val="tx1"/>
                  </w14:solidFill>
                </w14:textFill>
              </w:rPr>
            </w:pPr>
            <w:r>
              <w:rPr>
                <w:rFonts w:ascii="Arial Narrow" w:hAnsi="Arial Narrow" w:cs="Arial Narrow"/>
                <w:color w:val="000000" w:themeColor="text1"/>
                <w:sz w:val="28"/>
                <w:szCs w:val="28"/>
                <w14:textFill>
                  <w14:solidFill>
                    <w14:schemeClr w14:val="tx1"/>
                  </w14:solidFill>
                </w14:textFill>
              </w:rPr>
              <w:t>16</w:t>
            </w:r>
          </w:p>
        </w:tc>
        <w:tc>
          <w:tcPr>
            <w:tcW w:w="2192" w:type="dxa"/>
            <w:vAlign w:val="center"/>
          </w:tcPr>
          <w:p>
            <w:pPr>
              <w:spacing w:line="360" w:lineRule="auto"/>
              <w:jc w:val="center"/>
              <w:rPr>
                <w:rFonts w:ascii="Arial Narrow" w:hAnsi="Arial Narrow" w:cs="Arial Narrow"/>
                <w:color w:val="000000" w:themeColor="text1"/>
                <w:sz w:val="28"/>
                <w:szCs w:val="28"/>
                <w14:textFill>
                  <w14:solidFill>
                    <w14:schemeClr w14:val="tx1"/>
                  </w14:solidFill>
                </w14:textFill>
              </w:rPr>
            </w:pPr>
            <w:r>
              <w:rPr>
                <w:rFonts w:ascii="Arial Narrow" w:hAnsi="Arial Narrow" w:cs="Arial Narrow"/>
                <w:color w:val="000000" w:themeColor="text1"/>
                <w:sz w:val="28"/>
                <w:szCs w:val="28"/>
                <w14:textFill>
                  <w14:solidFill>
                    <w14:schemeClr w14:val="tx1"/>
                  </w14:solidFill>
                </w14:textFill>
              </w:rPr>
              <w:t>14</w:t>
            </w:r>
          </w:p>
        </w:tc>
        <w:tc>
          <w:tcPr>
            <w:tcW w:w="2197" w:type="dxa"/>
            <w:vAlign w:val="center"/>
          </w:tcPr>
          <w:p>
            <w:pPr>
              <w:spacing w:line="360" w:lineRule="auto"/>
              <w:jc w:val="center"/>
              <w:rPr>
                <w:rFonts w:ascii="Arial Narrow" w:hAnsi="Arial Narrow" w:cs="Arial Narrow"/>
                <w:color w:val="000000" w:themeColor="text1"/>
                <w:sz w:val="28"/>
                <w:szCs w:val="28"/>
                <w14:textFill>
                  <w14:solidFill>
                    <w14:schemeClr w14:val="tx1"/>
                  </w14:solidFill>
                </w14:textFill>
              </w:rPr>
            </w:pPr>
            <w:r>
              <w:rPr>
                <w:rFonts w:ascii="Arial Narrow" w:hAnsi="Arial Narrow" w:cs="宋体"/>
                <w:color w:val="000000" w:themeColor="text1"/>
                <w:sz w:val="28"/>
                <w:szCs w:val="28"/>
                <w14:textFill>
                  <w14:solidFill>
                    <w14:schemeClr w14:val="tx1"/>
                  </w14:solidFill>
                </w14:textFill>
              </w:rPr>
              <w:t>良（B）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50" w:type="dxa"/>
            <w:vAlign w:val="center"/>
          </w:tcPr>
          <w:p>
            <w:pPr>
              <w:spacing w:line="360" w:lineRule="auto"/>
              <w:ind w:firstLine="758" w:firstLineChars="271"/>
              <w:rPr>
                <w:rFonts w:ascii="仿宋_GB2312" w:hAnsi="Arial Narrow" w:cs="Arial Narrow"/>
                <w:color w:val="000000" w:themeColor="text1"/>
                <w:sz w:val="28"/>
                <w:szCs w:val="28"/>
                <w14:textFill>
                  <w14:solidFill>
                    <w14:schemeClr w14:val="tx1"/>
                  </w14:solidFill>
                </w14:textFill>
              </w:rPr>
            </w:pPr>
            <w:r>
              <w:rPr>
                <w:rFonts w:hint="eastAsia" w:ascii="仿宋_GB2312" w:hAnsi="Arial Narrow" w:cs="Arial Narrow"/>
                <w:color w:val="000000" w:themeColor="text1"/>
                <w:sz w:val="28"/>
                <w:szCs w:val="28"/>
                <w14:textFill>
                  <w14:solidFill>
                    <w14:schemeClr w14:val="tx1"/>
                  </w14:solidFill>
                </w14:textFill>
              </w:rPr>
              <w:t>过程</w:t>
            </w:r>
          </w:p>
        </w:tc>
        <w:tc>
          <w:tcPr>
            <w:tcW w:w="2192" w:type="dxa"/>
            <w:vAlign w:val="center"/>
          </w:tcPr>
          <w:p>
            <w:pPr>
              <w:spacing w:line="360" w:lineRule="auto"/>
              <w:jc w:val="center"/>
              <w:rPr>
                <w:rFonts w:ascii="Arial Narrow" w:hAnsi="Arial Narrow" w:cs="Arial Narrow"/>
                <w:color w:val="000000" w:themeColor="text1"/>
                <w:sz w:val="28"/>
                <w:szCs w:val="28"/>
                <w14:textFill>
                  <w14:solidFill>
                    <w14:schemeClr w14:val="tx1"/>
                  </w14:solidFill>
                </w14:textFill>
              </w:rPr>
            </w:pPr>
            <w:r>
              <w:rPr>
                <w:rFonts w:ascii="Arial Narrow" w:hAnsi="Arial Narrow" w:cs="Arial Narrow"/>
                <w:color w:val="000000" w:themeColor="text1"/>
                <w:sz w:val="28"/>
                <w:szCs w:val="28"/>
                <w14:textFill>
                  <w14:solidFill>
                    <w14:schemeClr w14:val="tx1"/>
                  </w14:solidFill>
                </w14:textFill>
              </w:rPr>
              <w:t>24</w:t>
            </w:r>
          </w:p>
        </w:tc>
        <w:tc>
          <w:tcPr>
            <w:tcW w:w="2192" w:type="dxa"/>
            <w:vAlign w:val="center"/>
          </w:tcPr>
          <w:p>
            <w:pPr>
              <w:spacing w:line="360" w:lineRule="auto"/>
              <w:jc w:val="center"/>
              <w:rPr>
                <w:rFonts w:ascii="Arial Narrow" w:hAnsi="Arial Narrow" w:cs="Arial Narrow"/>
                <w:color w:val="000000" w:themeColor="text1"/>
                <w:sz w:val="28"/>
                <w:szCs w:val="28"/>
                <w14:textFill>
                  <w14:solidFill>
                    <w14:schemeClr w14:val="tx1"/>
                  </w14:solidFill>
                </w14:textFill>
              </w:rPr>
            </w:pPr>
            <w:r>
              <w:rPr>
                <w:rFonts w:ascii="Arial Narrow" w:hAnsi="Arial Narrow" w:cs="Arial Narrow"/>
                <w:color w:val="000000" w:themeColor="text1"/>
                <w:sz w:val="28"/>
                <w:szCs w:val="28"/>
                <w14:textFill>
                  <w14:solidFill>
                    <w14:schemeClr w14:val="tx1"/>
                  </w14:solidFill>
                </w14:textFill>
              </w:rPr>
              <w:t>24</w:t>
            </w:r>
          </w:p>
        </w:tc>
        <w:tc>
          <w:tcPr>
            <w:tcW w:w="2197" w:type="dxa"/>
            <w:vAlign w:val="center"/>
          </w:tcPr>
          <w:p>
            <w:pPr>
              <w:spacing w:line="360" w:lineRule="auto"/>
              <w:jc w:val="center"/>
              <w:rPr>
                <w:rFonts w:ascii="Arial Narrow" w:hAnsi="Arial Narrow" w:cs="Arial Narrow"/>
                <w:color w:val="000000" w:themeColor="text1"/>
                <w:sz w:val="28"/>
                <w:szCs w:val="28"/>
                <w14:textFill>
                  <w14:solidFill>
                    <w14:schemeClr w14:val="tx1"/>
                  </w14:solidFill>
                </w14:textFill>
              </w:rPr>
            </w:pPr>
            <w:r>
              <w:rPr>
                <w:rFonts w:ascii="Arial Narrow" w:hAnsi="Arial Narrow" w:cs="Arial Narrow"/>
                <w:color w:val="000000" w:themeColor="text1"/>
                <w:sz w:val="28"/>
                <w:szCs w:val="28"/>
                <w14:textFill>
                  <w14:solidFill>
                    <w14:schemeClr w14:val="tx1"/>
                  </w14:solidFill>
                </w14:textFill>
              </w:rPr>
              <w:t>优</w:t>
            </w:r>
            <w:r>
              <w:rPr>
                <w:rFonts w:ascii="Arial Narrow" w:hAnsi="Arial Narrow" w:cs="宋体"/>
                <w:color w:val="000000" w:themeColor="text1"/>
                <w:sz w:val="28"/>
                <w:szCs w:val="28"/>
                <w14:textFill>
                  <w14:solidFill>
                    <w14:schemeClr w14:val="tx1"/>
                  </w14:solidFill>
                </w14:textFill>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50" w:type="dxa"/>
            <w:vAlign w:val="center"/>
          </w:tcPr>
          <w:p>
            <w:pPr>
              <w:spacing w:line="360" w:lineRule="auto"/>
              <w:ind w:firstLine="758" w:firstLineChars="271"/>
              <w:rPr>
                <w:rFonts w:ascii="仿宋_GB2312" w:hAnsi="Arial Narrow" w:cs="Arial Narrow"/>
                <w:color w:val="000000" w:themeColor="text1"/>
                <w:sz w:val="28"/>
                <w:szCs w:val="28"/>
                <w14:textFill>
                  <w14:solidFill>
                    <w14:schemeClr w14:val="tx1"/>
                  </w14:solidFill>
                </w14:textFill>
              </w:rPr>
            </w:pPr>
            <w:r>
              <w:rPr>
                <w:rFonts w:hint="eastAsia" w:ascii="仿宋_GB2312" w:hAnsi="Arial Narrow" w:cs="Arial Narrow"/>
                <w:color w:val="000000" w:themeColor="text1"/>
                <w:sz w:val="28"/>
                <w:szCs w:val="28"/>
                <w14:textFill>
                  <w14:solidFill>
                    <w14:schemeClr w14:val="tx1"/>
                  </w14:solidFill>
                </w14:textFill>
              </w:rPr>
              <w:t>产出</w:t>
            </w:r>
          </w:p>
        </w:tc>
        <w:tc>
          <w:tcPr>
            <w:tcW w:w="2192" w:type="dxa"/>
            <w:vAlign w:val="center"/>
          </w:tcPr>
          <w:p>
            <w:pPr>
              <w:spacing w:line="360" w:lineRule="auto"/>
              <w:jc w:val="center"/>
              <w:rPr>
                <w:rFonts w:ascii="Arial Narrow" w:hAnsi="Arial Narrow" w:cs="Arial Narrow"/>
                <w:color w:val="000000" w:themeColor="text1"/>
                <w:sz w:val="28"/>
                <w:szCs w:val="28"/>
                <w14:textFill>
                  <w14:solidFill>
                    <w14:schemeClr w14:val="tx1"/>
                  </w14:solidFill>
                </w14:textFill>
              </w:rPr>
            </w:pPr>
            <w:r>
              <w:rPr>
                <w:rFonts w:ascii="Arial Narrow" w:hAnsi="Arial Narrow" w:cs="Arial Narrow"/>
                <w:color w:val="000000" w:themeColor="text1"/>
                <w:sz w:val="28"/>
                <w:szCs w:val="28"/>
                <w14:textFill>
                  <w14:solidFill>
                    <w14:schemeClr w14:val="tx1"/>
                  </w14:solidFill>
                </w14:textFill>
              </w:rPr>
              <w:t>30</w:t>
            </w:r>
          </w:p>
        </w:tc>
        <w:tc>
          <w:tcPr>
            <w:tcW w:w="2192" w:type="dxa"/>
            <w:vAlign w:val="center"/>
          </w:tcPr>
          <w:p>
            <w:pPr>
              <w:spacing w:line="360" w:lineRule="auto"/>
              <w:jc w:val="center"/>
              <w:textAlignment w:val="top"/>
              <w:rPr>
                <w:rFonts w:ascii="Arial Narrow" w:hAnsi="Arial Narrow" w:cs="Arial Narrow"/>
                <w:color w:val="000000" w:themeColor="text1"/>
                <w:sz w:val="28"/>
                <w:szCs w:val="28"/>
                <w14:textFill>
                  <w14:solidFill>
                    <w14:schemeClr w14:val="tx1"/>
                  </w14:solidFill>
                </w14:textFill>
              </w:rPr>
            </w:pPr>
            <w:r>
              <w:rPr>
                <w:rFonts w:ascii="Arial Narrow" w:hAnsi="Arial Narrow" w:cs="Arial Narrow"/>
                <w:color w:val="000000" w:themeColor="text1"/>
                <w:sz w:val="28"/>
                <w:szCs w:val="28"/>
                <w14:textFill>
                  <w14:solidFill>
                    <w14:schemeClr w14:val="tx1"/>
                  </w14:solidFill>
                </w14:textFill>
              </w:rPr>
              <w:t>2</w:t>
            </w:r>
            <w:r>
              <w:rPr>
                <w:rFonts w:hint="eastAsia" w:ascii="Arial Narrow" w:hAnsi="Arial Narrow" w:cs="Arial Narrow"/>
                <w:color w:val="000000" w:themeColor="text1"/>
                <w:sz w:val="28"/>
                <w:szCs w:val="28"/>
                <w14:textFill>
                  <w14:solidFill>
                    <w14:schemeClr w14:val="tx1"/>
                  </w14:solidFill>
                </w14:textFill>
              </w:rPr>
              <w:t>6</w:t>
            </w:r>
          </w:p>
        </w:tc>
        <w:tc>
          <w:tcPr>
            <w:tcW w:w="2197" w:type="dxa"/>
            <w:vAlign w:val="center"/>
          </w:tcPr>
          <w:p>
            <w:pPr>
              <w:spacing w:line="360" w:lineRule="auto"/>
              <w:jc w:val="center"/>
              <w:textAlignment w:val="top"/>
              <w:rPr>
                <w:rFonts w:ascii="Arial Narrow" w:hAnsi="Arial Narrow" w:cs="Arial Narrow"/>
                <w:color w:val="000000" w:themeColor="text1"/>
                <w:sz w:val="28"/>
                <w:szCs w:val="28"/>
                <w14:textFill>
                  <w14:solidFill>
                    <w14:schemeClr w14:val="tx1"/>
                  </w14:solidFill>
                </w14:textFill>
              </w:rPr>
            </w:pPr>
            <w:r>
              <w:rPr>
                <w:rFonts w:ascii="Arial Narrow" w:hAnsi="Arial Narrow" w:cs="宋体"/>
                <w:color w:val="000000" w:themeColor="text1"/>
                <w:sz w:val="28"/>
                <w:szCs w:val="28"/>
                <w14:textFill>
                  <w14:solidFill>
                    <w14:schemeClr w14:val="tx1"/>
                  </w14:solidFill>
                </w14:textFill>
              </w:rPr>
              <w:t>良（B）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50" w:type="dxa"/>
            <w:vAlign w:val="center"/>
          </w:tcPr>
          <w:p>
            <w:pPr>
              <w:spacing w:line="360" w:lineRule="auto"/>
              <w:ind w:firstLine="758" w:firstLineChars="271"/>
              <w:rPr>
                <w:rFonts w:ascii="仿宋_GB2312" w:hAnsi="Arial Narrow" w:cs="Arial Narrow"/>
                <w:color w:val="000000" w:themeColor="text1"/>
                <w:sz w:val="28"/>
                <w:szCs w:val="28"/>
                <w14:textFill>
                  <w14:solidFill>
                    <w14:schemeClr w14:val="tx1"/>
                  </w14:solidFill>
                </w14:textFill>
              </w:rPr>
            </w:pPr>
            <w:r>
              <w:rPr>
                <w:rFonts w:hint="eastAsia" w:ascii="仿宋_GB2312" w:hAnsi="Arial Narrow" w:cs="Arial Narrow"/>
                <w:color w:val="000000" w:themeColor="text1"/>
                <w:sz w:val="28"/>
                <w:szCs w:val="28"/>
                <w14:textFill>
                  <w14:solidFill>
                    <w14:schemeClr w14:val="tx1"/>
                  </w14:solidFill>
                </w14:textFill>
              </w:rPr>
              <w:t>效果</w:t>
            </w:r>
          </w:p>
        </w:tc>
        <w:tc>
          <w:tcPr>
            <w:tcW w:w="2192" w:type="dxa"/>
            <w:vAlign w:val="center"/>
          </w:tcPr>
          <w:p>
            <w:pPr>
              <w:spacing w:line="360" w:lineRule="auto"/>
              <w:jc w:val="center"/>
              <w:textAlignment w:val="top"/>
              <w:rPr>
                <w:rFonts w:ascii="Arial Narrow" w:hAnsi="Arial Narrow" w:cs="Arial Narrow"/>
                <w:color w:val="000000" w:themeColor="text1"/>
                <w:sz w:val="28"/>
                <w:szCs w:val="28"/>
                <w14:textFill>
                  <w14:solidFill>
                    <w14:schemeClr w14:val="tx1"/>
                  </w14:solidFill>
                </w14:textFill>
              </w:rPr>
            </w:pPr>
            <w:r>
              <w:rPr>
                <w:rFonts w:ascii="Arial Narrow" w:hAnsi="Arial Narrow" w:cs="Arial Narrow"/>
                <w:color w:val="000000" w:themeColor="text1"/>
                <w:sz w:val="28"/>
                <w:szCs w:val="28"/>
                <w14:textFill>
                  <w14:solidFill>
                    <w14:schemeClr w14:val="tx1"/>
                  </w14:solidFill>
                </w14:textFill>
              </w:rPr>
              <w:t>30</w:t>
            </w:r>
          </w:p>
        </w:tc>
        <w:tc>
          <w:tcPr>
            <w:tcW w:w="2192" w:type="dxa"/>
            <w:vAlign w:val="center"/>
          </w:tcPr>
          <w:p>
            <w:pPr>
              <w:spacing w:line="360" w:lineRule="auto"/>
              <w:jc w:val="center"/>
              <w:textAlignment w:val="top"/>
              <w:rPr>
                <w:rFonts w:ascii="Arial Narrow" w:hAnsi="Arial Narrow" w:cs="Arial Narrow"/>
                <w:color w:val="000000" w:themeColor="text1"/>
                <w:sz w:val="28"/>
                <w:szCs w:val="28"/>
                <w14:textFill>
                  <w14:solidFill>
                    <w14:schemeClr w14:val="tx1"/>
                  </w14:solidFill>
                </w14:textFill>
              </w:rPr>
            </w:pPr>
            <w:r>
              <w:rPr>
                <w:rFonts w:ascii="Arial Narrow" w:hAnsi="Arial Narrow" w:cs="Arial Narrow"/>
                <w:color w:val="000000" w:themeColor="text1"/>
                <w:sz w:val="28"/>
                <w:szCs w:val="28"/>
                <w14:textFill>
                  <w14:solidFill>
                    <w14:schemeClr w14:val="tx1"/>
                  </w14:solidFill>
                </w14:textFill>
              </w:rPr>
              <w:t>28</w:t>
            </w:r>
          </w:p>
        </w:tc>
        <w:tc>
          <w:tcPr>
            <w:tcW w:w="2197" w:type="dxa"/>
            <w:vAlign w:val="center"/>
          </w:tcPr>
          <w:p>
            <w:pPr>
              <w:spacing w:line="360" w:lineRule="auto"/>
              <w:jc w:val="center"/>
              <w:textAlignment w:val="top"/>
              <w:rPr>
                <w:rFonts w:ascii="Arial Narrow" w:hAnsi="Arial Narrow" w:cs="Arial Narrow"/>
                <w:color w:val="000000" w:themeColor="text1"/>
                <w:sz w:val="28"/>
                <w:szCs w:val="28"/>
                <w14:textFill>
                  <w14:solidFill>
                    <w14:schemeClr w14:val="tx1"/>
                  </w14:solidFill>
                </w14:textFill>
              </w:rPr>
            </w:pPr>
            <w:r>
              <w:rPr>
                <w:rFonts w:ascii="Arial Narrow" w:hAnsi="Arial Narrow" w:cs="Arial Narrow"/>
                <w:color w:val="000000" w:themeColor="text1"/>
                <w:sz w:val="28"/>
                <w:szCs w:val="28"/>
                <w14:textFill>
                  <w14:solidFill>
                    <w14:schemeClr w14:val="tx1"/>
                  </w14:solidFill>
                </w14:textFill>
              </w:rPr>
              <w:t>优</w:t>
            </w:r>
            <w:r>
              <w:rPr>
                <w:rFonts w:ascii="Arial Narrow" w:hAnsi="Arial Narrow" w:cs="宋体"/>
                <w:color w:val="000000" w:themeColor="text1"/>
                <w:sz w:val="28"/>
                <w:szCs w:val="28"/>
                <w14:textFill>
                  <w14:solidFill>
                    <w14:schemeClr w14:val="tx1"/>
                  </w14:solidFill>
                </w14:textFill>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50" w:type="dxa"/>
            <w:tcBorders>
              <w:top w:val="single" w:color="008000" w:sz="6" w:space="0"/>
            </w:tcBorders>
            <w:vAlign w:val="center"/>
          </w:tcPr>
          <w:p>
            <w:pPr>
              <w:spacing w:line="360" w:lineRule="auto"/>
              <w:ind w:firstLine="560"/>
              <w:rPr>
                <w:rFonts w:ascii="仿宋_GB2312" w:hAnsi="Arial Narrow" w:cs="Arial Narrow"/>
                <w:color w:val="000000" w:themeColor="text1"/>
                <w:sz w:val="28"/>
                <w:szCs w:val="28"/>
                <w14:textFill>
                  <w14:solidFill>
                    <w14:schemeClr w14:val="tx1"/>
                  </w14:solidFill>
                </w14:textFill>
              </w:rPr>
            </w:pPr>
            <w:r>
              <w:rPr>
                <w:rFonts w:hint="eastAsia" w:ascii="仿宋_GB2312" w:hAnsi="Arial Narrow" w:cs="Arial Narrow"/>
                <w:color w:val="000000" w:themeColor="text1"/>
                <w:sz w:val="28"/>
                <w:szCs w:val="28"/>
                <w14:textFill>
                  <w14:solidFill>
                    <w14:schemeClr w14:val="tx1"/>
                  </w14:solidFill>
                </w14:textFill>
              </w:rPr>
              <w:t>综合绩效</w:t>
            </w:r>
          </w:p>
        </w:tc>
        <w:tc>
          <w:tcPr>
            <w:tcW w:w="2192" w:type="dxa"/>
            <w:tcBorders>
              <w:top w:val="single" w:color="008000" w:sz="6" w:space="0"/>
            </w:tcBorders>
            <w:vAlign w:val="center"/>
          </w:tcPr>
          <w:p>
            <w:pPr>
              <w:spacing w:line="360" w:lineRule="auto"/>
              <w:jc w:val="center"/>
              <w:textAlignment w:val="top"/>
              <w:rPr>
                <w:rFonts w:ascii="Arial Narrow" w:hAnsi="Arial Narrow" w:cs="Arial Narrow"/>
                <w:color w:val="000000" w:themeColor="text1"/>
                <w:sz w:val="28"/>
                <w:szCs w:val="28"/>
                <w14:textFill>
                  <w14:solidFill>
                    <w14:schemeClr w14:val="tx1"/>
                  </w14:solidFill>
                </w14:textFill>
              </w:rPr>
            </w:pPr>
            <w:r>
              <w:rPr>
                <w:rFonts w:ascii="Arial Narrow" w:hAnsi="Arial Narrow" w:cs="Arial Narrow"/>
                <w:color w:val="000000" w:themeColor="text1"/>
                <w:sz w:val="28"/>
                <w:szCs w:val="28"/>
                <w14:textFill>
                  <w14:solidFill>
                    <w14:schemeClr w14:val="tx1"/>
                  </w14:solidFill>
                </w14:textFill>
              </w:rPr>
              <w:t>100</w:t>
            </w:r>
          </w:p>
        </w:tc>
        <w:tc>
          <w:tcPr>
            <w:tcW w:w="2192" w:type="dxa"/>
            <w:tcBorders>
              <w:top w:val="single" w:color="008000" w:sz="6" w:space="0"/>
            </w:tcBorders>
            <w:vAlign w:val="center"/>
          </w:tcPr>
          <w:p>
            <w:pPr>
              <w:spacing w:line="360" w:lineRule="auto"/>
              <w:jc w:val="center"/>
              <w:textAlignment w:val="top"/>
              <w:rPr>
                <w:rFonts w:ascii="Arial Narrow" w:hAnsi="Arial Narrow" w:cs="Arial Narrow"/>
                <w:color w:val="000000" w:themeColor="text1"/>
                <w:sz w:val="28"/>
                <w:szCs w:val="28"/>
                <w14:textFill>
                  <w14:solidFill>
                    <w14:schemeClr w14:val="tx1"/>
                  </w14:solidFill>
                </w14:textFill>
              </w:rPr>
            </w:pPr>
            <w:r>
              <w:rPr>
                <w:rFonts w:ascii="Arial Narrow" w:hAnsi="Arial Narrow" w:cs="Arial Narrow"/>
                <w:color w:val="000000" w:themeColor="text1"/>
                <w:sz w:val="28"/>
                <w:szCs w:val="28"/>
                <w14:textFill>
                  <w14:solidFill>
                    <w14:schemeClr w14:val="tx1"/>
                  </w14:solidFill>
                </w14:textFill>
              </w:rPr>
              <w:t>9</w:t>
            </w:r>
            <w:r>
              <w:rPr>
                <w:rFonts w:hint="eastAsia" w:ascii="Arial Narrow" w:hAnsi="Arial Narrow" w:cs="Arial Narrow"/>
                <w:color w:val="000000" w:themeColor="text1"/>
                <w:sz w:val="28"/>
                <w:szCs w:val="28"/>
                <w14:textFill>
                  <w14:solidFill>
                    <w14:schemeClr w14:val="tx1"/>
                  </w14:solidFill>
                </w14:textFill>
              </w:rPr>
              <w:t>2</w:t>
            </w:r>
          </w:p>
        </w:tc>
        <w:tc>
          <w:tcPr>
            <w:tcW w:w="2197" w:type="dxa"/>
            <w:tcBorders>
              <w:top w:val="single" w:color="008000" w:sz="6" w:space="0"/>
            </w:tcBorders>
            <w:vAlign w:val="center"/>
          </w:tcPr>
          <w:p>
            <w:pPr>
              <w:tabs>
                <w:tab w:val="left" w:pos="1099"/>
                <w:tab w:val="center" w:pos="1863"/>
              </w:tabs>
              <w:spacing w:line="360" w:lineRule="auto"/>
              <w:jc w:val="center"/>
              <w:rPr>
                <w:rFonts w:ascii="Arial Narrow" w:hAnsi="Arial Narrow" w:cs="Arial Narrow"/>
                <w:color w:val="000000" w:themeColor="text1"/>
                <w:sz w:val="28"/>
                <w:szCs w:val="28"/>
                <w14:textFill>
                  <w14:solidFill>
                    <w14:schemeClr w14:val="tx1"/>
                  </w14:solidFill>
                </w14:textFill>
              </w:rPr>
            </w:pPr>
            <w:r>
              <w:rPr>
                <w:rFonts w:ascii="Arial Narrow" w:hAnsi="Arial Narrow" w:cs="Arial Narrow"/>
                <w:color w:val="000000" w:themeColor="text1"/>
                <w:sz w:val="28"/>
                <w:szCs w:val="28"/>
                <w14:textFill>
                  <w14:solidFill>
                    <w14:schemeClr w14:val="tx1"/>
                  </w14:solidFill>
                </w14:textFill>
              </w:rPr>
              <w:t>优</w:t>
            </w:r>
            <w:r>
              <w:rPr>
                <w:rFonts w:ascii="Arial Narrow" w:hAnsi="Arial Narrow" w:cs="宋体"/>
                <w:color w:val="000000" w:themeColor="text1"/>
                <w:sz w:val="28"/>
                <w:szCs w:val="28"/>
                <w14:textFill>
                  <w14:solidFill>
                    <w14:schemeClr w14:val="tx1"/>
                  </w14:solidFill>
                </w14:textFill>
              </w:rPr>
              <w:t>（A）</w:t>
            </w:r>
          </w:p>
        </w:tc>
      </w:tr>
    </w:tbl>
    <w:p>
      <w:pPr>
        <w:spacing w:line="360" w:lineRule="auto"/>
        <w:ind w:firstLine="480"/>
        <w:rPr>
          <w:rFonts w:ascii="仿宋_GB2312" w:hAnsi="Arial Narrow" w:cs="Arial Narrow"/>
          <w:color w:val="000000" w:themeColor="text1"/>
          <w:sz w:val="28"/>
          <w:szCs w:val="28"/>
          <w14:textFill>
            <w14:solidFill>
              <w14:schemeClr w14:val="tx1"/>
            </w14:solidFill>
          </w14:textFill>
        </w:rPr>
      </w:pPr>
    </w:p>
    <w:tbl>
      <w:tblPr>
        <w:tblStyle w:val="10"/>
        <w:tblW w:w="8339" w:type="dxa"/>
        <w:tblInd w:w="1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8339" w:type="dxa"/>
            <w:vAlign w:val="center"/>
          </w:tcPr>
          <w:p>
            <w:pPr>
              <w:spacing w:line="360" w:lineRule="auto"/>
              <w:jc w:val="center"/>
              <w:rPr>
                <w:rFonts w:ascii="仿宋_GB2312" w:hAnsi="Arial Narrow" w:cs="Arial Narrow"/>
                <w:color w:val="000000" w:themeColor="text1"/>
                <w:sz w:val="28"/>
                <w:szCs w:val="28"/>
                <w14:textFill>
                  <w14:solidFill>
                    <w14:schemeClr w14:val="tx1"/>
                  </w14:solidFill>
                </w14:textFill>
              </w:rPr>
            </w:pPr>
            <w:r>
              <w:rPr>
                <w:rFonts w:hint="eastAsia" w:ascii="仿宋_GB2312" w:hAnsi="Arial Narrow" w:cs="Arial Narrow"/>
                <w:color w:val="000000" w:themeColor="text1"/>
                <w:w w:val="90"/>
                <w:kern w:val="0"/>
                <w:sz w:val="28"/>
                <w:szCs w:val="28"/>
                <w14:textFill>
                  <w14:solidFill>
                    <w14:schemeClr w14:val="tx1"/>
                  </w14:solidFill>
                </w14:textFill>
              </w:rPr>
              <w:t>绩效评价工作组与项目实施无直接利益冲</w:t>
            </w:r>
            <w:r>
              <w:rPr>
                <w:rFonts w:hint="eastAsia" w:ascii="仿宋_GB2312" w:hAnsi="Arial Narrow" w:cs="Arial Narrow"/>
                <w:color w:val="000000" w:themeColor="text1"/>
                <w:spacing w:val="10"/>
                <w:w w:val="90"/>
                <w:kern w:val="0"/>
                <w:sz w:val="28"/>
                <w:szCs w:val="28"/>
                <w14:textFill>
                  <w14:solidFill>
                    <w14:schemeClr w14:val="tx1"/>
                  </w14:solidFill>
                </w14:textFill>
              </w:rPr>
              <w:t>突</w:t>
            </w:r>
          </w:p>
        </w:tc>
      </w:tr>
    </w:tbl>
    <w:p>
      <w:pPr>
        <w:spacing w:line="360" w:lineRule="auto"/>
        <w:ind w:firstLine="482"/>
        <w:jc w:val="center"/>
        <w:rPr>
          <w:rFonts w:ascii="仿宋_GB2312" w:hAnsi="Arial Narrow" w:cs="Arial Narrow"/>
          <w:b/>
          <w:color w:val="000000" w:themeColor="text1"/>
          <w:sz w:val="28"/>
          <w:szCs w:val="28"/>
          <w14:textFill>
            <w14:solidFill>
              <w14:schemeClr w14:val="tx1"/>
            </w14:solidFill>
          </w14:textFill>
        </w:rPr>
      </w:pPr>
    </w:p>
    <w:p>
      <w:pPr>
        <w:spacing w:line="360" w:lineRule="auto"/>
        <w:ind w:firstLine="482"/>
        <w:jc w:val="center"/>
        <w:rPr>
          <w:rFonts w:ascii="仿宋_GB2312" w:hAnsi="Arial Narrow" w:cs="Arial Narrow"/>
          <w:b/>
          <w:color w:val="000000" w:themeColor="text1"/>
          <w:sz w:val="28"/>
          <w:szCs w:val="28"/>
          <w14:textFill>
            <w14:solidFill>
              <w14:schemeClr w14:val="tx1"/>
            </w14:solidFill>
          </w14:textFill>
        </w:rPr>
      </w:pPr>
    </w:p>
    <w:p>
      <w:pPr>
        <w:spacing w:line="360" w:lineRule="auto"/>
        <w:ind w:firstLine="482"/>
        <w:rPr>
          <w:rFonts w:ascii="仿宋_GB2312" w:hAnsi="Arial Narrow" w:cs="Arial Narrow"/>
          <w:b/>
          <w:color w:val="000000" w:themeColor="text1"/>
          <w:sz w:val="32"/>
          <w:szCs w:val="32"/>
          <w14:textFill>
            <w14:solidFill>
              <w14:schemeClr w14:val="tx1"/>
            </w14:solidFill>
          </w14:textFill>
        </w:rPr>
      </w:pPr>
      <w:r>
        <w:rPr>
          <w:rFonts w:hint="eastAsia" w:ascii="仿宋_GB2312" w:hAnsi="Arial Narrow" w:cs="Arial Narrow"/>
          <w:b/>
          <w:color w:val="000000" w:themeColor="text1"/>
          <w:sz w:val="32"/>
          <w:szCs w:val="32"/>
          <w14:textFill>
            <w14:solidFill>
              <w14:schemeClr w14:val="tx1"/>
            </w14:solidFill>
          </w14:textFill>
        </w:rPr>
        <w:t>评价工作组</w:t>
      </w:r>
    </w:p>
    <w:p>
      <w:pPr>
        <w:spacing w:line="360" w:lineRule="auto"/>
        <w:ind w:firstLine="480"/>
        <w:rPr>
          <w:rFonts w:ascii="仿宋_GB2312" w:hAnsi="Arial Narrow" w:cs="Arial Narrow"/>
          <w:color w:val="000000" w:themeColor="text1"/>
          <w:sz w:val="28"/>
          <w:szCs w:val="28"/>
          <w14:textFill>
            <w14:solidFill>
              <w14:schemeClr w14:val="tx1"/>
            </w14:solidFill>
          </w14:textFill>
        </w:rPr>
      </w:pPr>
      <w:r>
        <w:rPr>
          <w:rFonts w:hint="eastAsia" w:ascii="仿宋_GB2312" w:hAnsi="Arial Narrow" w:cs="Arial Narrow"/>
          <w:color w:val="000000" w:themeColor="text1"/>
          <w:sz w:val="28"/>
          <w:szCs w:val="28"/>
          <w14:textFill>
            <w14:solidFill>
              <w14:schemeClr w14:val="tx1"/>
            </w14:solidFill>
          </w14:textFill>
        </w:rPr>
        <w:t>组长：蒋中友、</w:t>
      </w:r>
      <w:r>
        <w:rPr>
          <w:rFonts w:hint="eastAsia" w:ascii="仿宋_GB2312" w:hAnsi="宋体" w:cs="宋体"/>
          <w:color w:val="000000" w:themeColor="text1"/>
          <w:sz w:val="28"/>
          <w:szCs w:val="28"/>
          <w14:textFill>
            <w14:solidFill>
              <w14:schemeClr w14:val="tx1"/>
            </w14:solidFill>
          </w14:textFill>
        </w:rPr>
        <w:t>吴孟魁</w:t>
      </w:r>
    </w:p>
    <w:p>
      <w:pPr>
        <w:spacing w:line="360" w:lineRule="auto"/>
        <w:ind w:firstLine="480"/>
        <w:rPr>
          <w:rFonts w:ascii="仿宋_GB2312" w:hAnsi="Arial Narrow" w:cs="Arial Narrow"/>
          <w:color w:val="000000" w:themeColor="text1"/>
          <w:sz w:val="28"/>
          <w:szCs w:val="28"/>
          <w14:textFill>
            <w14:solidFill>
              <w14:schemeClr w14:val="tx1"/>
            </w14:solidFill>
          </w14:textFill>
        </w:rPr>
      </w:pPr>
      <w:r>
        <w:rPr>
          <w:rFonts w:hint="eastAsia" w:ascii="仿宋_GB2312" w:hAnsi="Arial Narrow" w:cs="Arial Narrow"/>
          <w:color w:val="000000" w:themeColor="text1"/>
          <w:sz w:val="28"/>
          <w:szCs w:val="28"/>
          <w14:textFill>
            <w14:solidFill>
              <w14:schemeClr w14:val="tx1"/>
            </w14:solidFill>
          </w14:textFill>
        </w:rPr>
        <w:t>绩效评价专家：李海京</w:t>
      </w:r>
    </w:p>
    <w:p>
      <w:pPr>
        <w:spacing w:line="360" w:lineRule="auto"/>
        <w:ind w:firstLine="480"/>
        <w:rPr>
          <w:rFonts w:ascii="仿宋_GB2312" w:hAnsi="Arial Narrow" w:cs="Arial Narrow"/>
          <w:color w:val="000000" w:themeColor="text1"/>
          <w:sz w:val="28"/>
          <w:szCs w:val="28"/>
          <w14:textFill>
            <w14:solidFill>
              <w14:schemeClr w14:val="tx1"/>
            </w14:solidFill>
          </w14:textFill>
        </w:rPr>
      </w:pPr>
      <w:r>
        <w:rPr>
          <w:rFonts w:hint="eastAsia" w:ascii="仿宋_GB2312" w:hAnsi="Arial Narrow" w:cs="Arial Narrow"/>
          <w:color w:val="000000" w:themeColor="text1"/>
          <w:sz w:val="28"/>
          <w:szCs w:val="28"/>
          <w14:textFill>
            <w14:solidFill>
              <w14:schemeClr w14:val="tx1"/>
            </w14:solidFill>
          </w14:textFill>
        </w:rPr>
        <w:t>绩效评价现场负责人：</w:t>
      </w:r>
      <w:r>
        <w:rPr>
          <w:rFonts w:hint="eastAsia" w:ascii="仿宋_GB2312" w:hAnsi="Arial Narrow" w:cs="宋体"/>
          <w:color w:val="000000" w:themeColor="text1"/>
          <w:sz w:val="28"/>
          <w:szCs w:val="28"/>
          <w14:textFill>
            <w14:solidFill>
              <w14:schemeClr w14:val="tx1"/>
            </w14:solidFill>
          </w14:textFill>
        </w:rPr>
        <w:t>陈卓</w:t>
      </w:r>
    </w:p>
    <w:p>
      <w:pPr>
        <w:spacing w:line="360" w:lineRule="auto"/>
        <w:ind w:firstLine="480"/>
        <w:rPr>
          <w:rFonts w:ascii="仿宋_GB2312" w:hAnsi="Arial Narrow" w:cs="Arial Narrow"/>
          <w:color w:val="000000" w:themeColor="text1"/>
          <w:sz w:val="28"/>
          <w:szCs w:val="28"/>
          <w14:textFill>
            <w14:solidFill>
              <w14:schemeClr w14:val="tx1"/>
            </w14:solidFill>
          </w14:textFill>
        </w:rPr>
      </w:pPr>
      <w:r>
        <w:rPr>
          <w:rFonts w:hint="eastAsia" w:ascii="仿宋_GB2312" w:hAnsi="Arial Narrow" w:cs="Arial Narrow"/>
          <w:color w:val="000000" w:themeColor="text1"/>
          <w:sz w:val="28"/>
          <w:szCs w:val="28"/>
          <w14:textFill>
            <w14:solidFill>
              <w14:schemeClr w14:val="tx1"/>
            </w14:solidFill>
          </w14:textFill>
        </w:rPr>
        <w:t>绩效评价小组成员：</w:t>
      </w:r>
      <w:r>
        <w:rPr>
          <w:rFonts w:hint="eastAsia" w:ascii="仿宋_GB2312" w:hAnsi="Arial Narrow" w:cs="宋体"/>
          <w:color w:val="000000" w:themeColor="text1"/>
          <w:sz w:val="28"/>
          <w:szCs w:val="28"/>
          <w14:textFill>
            <w14:solidFill>
              <w14:schemeClr w14:val="tx1"/>
            </w14:solidFill>
          </w14:textFill>
        </w:rPr>
        <w:t>黄海盈、肖培瑞、翁怀俊</w:t>
      </w:r>
    </w:p>
    <w:p>
      <w:pPr>
        <w:spacing w:line="360" w:lineRule="auto"/>
        <w:ind w:firstLine="480"/>
        <w:rPr>
          <w:rFonts w:ascii="仿宋_GB2312" w:hAnsi="Arial Narrow" w:cs="Arial Narrow"/>
          <w:color w:val="000000" w:themeColor="text1"/>
          <w:sz w:val="28"/>
          <w:szCs w:val="28"/>
          <w14:textFill>
            <w14:solidFill>
              <w14:schemeClr w14:val="tx1"/>
            </w14:solidFill>
          </w14:textFill>
        </w:rPr>
      </w:pPr>
    </w:p>
    <w:p>
      <w:pPr>
        <w:spacing w:line="360" w:lineRule="auto"/>
        <w:ind w:firstLine="480"/>
        <w:rPr>
          <w:rFonts w:ascii="仿宋_GB2312" w:hAnsi="Arial Narrow" w:cs="Arial Narrow"/>
          <w:color w:val="000000" w:themeColor="text1"/>
          <w:sz w:val="28"/>
          <w:szCs w:val="28"/>
          <w14:textFill>
            <w14:solidFill>
              <w14:schemeClr w14:val="tx1"/>
            </w14:solidFill>
          </w14:textFill>
        </w:rPr>
        <w:sectPr>
          <w:pgSz w:w="11906" w:h="16838"/>
          <w:pgMar w:top="2098" w:right="1531" w:bottom="1985" w:left="1531" w:header="851" w:footer="992" w:gutter="0"/>
          <w:pgNumType w:start="1"/>
          <w:cols w:space="425" w:num="1"/>
          <w:docGrid w:type="lines" w:linePitch="312" w:charSpace="0"/>
        </w:sectPr>
      </w:pPr>
    </w:p>
    <w:p>
      <w:pPr>
        <w:spacing w:line="360" w:lineRule="auto"/>
        <w:ind w:firstLine="480"/>
        <w:rPr>
          <w:rFonts w:ascii="仿宋_GB2312" w:hAnsi="Arial Narrow" w:cs="Arial Narrow"/>
          <w:color w:val="000000" w:themeColor="text1"/>
          <w:sz w:val="28"/>
          <w:szCs w:val="28"/>
          <w14:textFill>
            <w14:solidFill>
              <w14:schemeClr w14:val="tx1"/>
            </w14:solidFill>
          </w14:textFill>
        </w:rPr>
        <w:sectPr>
          <w:pgSz w:w="11906" w:h="16838"/>
          <w:pgMar w:top="2098" w:right="1531" w:bottom="1985" w:left="1531" w:header="851" w:footer="992" w:gutter="0"/>
          <w:pgNumType w:start="1"/>
          <w:cols w:space="425" w:num="1"/>
          <w:docGrid w:type="lines" w:linePitch="312" w:charSpace="0"/>
        </w:sectPr>
      </w:pPr>
    </w:p>
    <w:p>
      <w:pPr>
        <w:spacing w:line="360" w:lineRule="auto"/>
        <w:rPr>
          <w:rFonts w:ascii="仿宋_GB2312" w:hAnsi="Arial Narrow" w:cs="Arial Narrow"/>
          <w:color w:val="000000" w:themeColor="text1"/>
          <w:sz w:val="28"/>
          <w:szCs w:val="28"/>
          <w14:textFill>
            <w14:solidFill>
              <w14:schemeClr w14:val="tx1"/>
            </w14:solidFill>
          </w14:textFill>
        </w:rPr>
      </w:pPr>
    </w:p>
    <w:p>
      <w:pPr>
        <w:keepNext/>
        <w:spacing w:line="360" w:lineRule="auto"/>
        <w:jc w:val="center"/>
        <w:outlineLvl w:val="0"/>
        <w:rPr>
          <w:rFonts w:ascii="仿宋_GB2312" w:hAnsi="Arial Narrow" w:cs="Arial Narrow"/>
          <w:b/>
          <w:color w:val="000000" w:themeColor="text1"/>
          <w:sz w:val="24"/>
          <w14:textFill>
            <w14:solidFill>
              <w14:schemeClr w14:val="tx1"/>
            </w14:solidFill>
          </w14:textFill>
        </w:rPr>
      </w:pPr>
      <w:r>
        <w:rPr>
          <w:rFonts w:hint="eastAsia" w:ascii="仿宋_GB2312" w:hAnsi="Arial Narrow" w:cs="Arial Narrow"/>
          <w:b/>
          <w:color w:val="000000" w:themeColor="text1"/>
          <w:sz w:val="24"/>
          <w14:textFill>
            <w14:solidFill>
              <w14:schemeClr w14:val="tx1"/>
            </w14:solidFill>
          </w14:textFill>
        </w:rPr>
        <w:t>目录</w:t>
      </w:r>
    </w:p>
    <w:p>
      <w:pPr>
        <w:pStyle w:val="8"/>
        <w:tabs>
          <w:tab w:val="right" w:leader="dot" w:pos="8844"/>
        </w:tabs>
        <w:spacing w:line="360" w:lineRule="auto"/>
        <w:rPr>
          <w:rFonts w:ascii="Arial Narrow" w:hAnsi="Arial Narrow" w:cs="Arial Narrow"/>
          <w:sz w:val="24"/>
        </w:rPr>
      </w:pPr>
      <w:r>
        <w:rPr>
          <w:rFonts w:ascii="Arial Narrow" w:hAnsi="Arial Narrow" w:cs="Arial Narrow"/>
          <w:b/>
          <w:color w:val="000000" w:themeColor="text1"/>
          <w:sz w:val="24"/>
          <w14:textFill>
            <w14:solidFill>
              <w14:schemeClr w14:val="tx1"/>
            </w14:solidFill>
          </w14:textFill>
        </w:rPr>
        <w:fldChar w:fldCharType="begin"/>
      </w:r>
      <w:r>
        <w:rPr>
          <w:rFonts w:ascii="Arial Narrow" w:hAnsi="Arial Narrow" w:cs="Arial Narrow"/>
          <w:b/>
          <w:color w:val="000000" w:themeColor="text1"/>
          <w:sz w:val="24"/>
          <w14:textFill>
            <w14:solidFill>
              <w14:schemeClr w14:val="tx1"/>
            </w14:solidFill>
          </w14:textFill>
        </w:rPr>
        <w:instrText xml:space="preserve">TOC \o "1-3" \h \u </w:instrText>
      </w:r>
      <w:r>
        <w:rPr>
          <w:rFonts w:ascii="Arial Narrow" w:hAnsi="Arial Narrow" w:cs="Arial Narrow"/>
          <w:b/>
          <w:color w:val="000000" w:themeColor="text1"/>
          <w:sz w:val="24"/>
          <w14:textFill>
            <w14:solidFill>
              <w14:schemeClr w14:val="tx1"/>
            </w14:solidFill>
          </w14:textFill>
        </w:rPr>
        <w:fldChar w:fldCharType="separate"/>
      </w:r>
      <w:r>
        <w:fldChar w:fldCharType="begin"/>
      </w:r>
      <w:r>
        <w:instrText xml:space="preserve"> HYPERLINK \l "_Toc18954" </w:instrText>
      </w:r>
      <w:r>
        <w:fldChar w:fldCharType="separate"/>
      </w:r>
      <w:r>
        <w:rPr>
          <w:rFonts w:ascii="Arial Narrow" w:hAnsi="Arial Narrow" w:cs="Arial Narrow"/>
          <w:sz w:val="24"/>
        </w:rPr>
        <w:t>一、摘要</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_Toc18954 </w:instrText>
      </w:r>
      <w:r>
        <w:rPr>
          <w:rFonts w:ascii="Arial Narrow" w:hAnsi="Arial Narrow" w:cs="Arial Narrow"/>
          <w:sz w:val="24"/>
        </w:rPr>
        <w:fldChar w:fldCharType="separate"/>
      </w:r>
      <w:r>
        <w:rPr>
          <w:rFonts w:ascii="Arial Narrow" w:hAnsi="Arial Narrow" w:cs="Arial Narrow"/>
          <w:sz w:val="24"/>
        </w:rPr>
        <w:t>1</w:t>
      </w:r>
      <w:r>
        <w:rPr>
          <w:rFonts w:ascii="Arial Narrow" w:hAnsi="Arial Narrow" w:cs="Arial Narrow"/>
          <w:sz w:val="24"/>
        </w:rPr>
        <w:fldChar w:fldCharType="end"/>
      </w:r>
      <w:r>
        <w:rPr>
          <w:rFonts w:ascii="Arial Narrow" w:hAnsi="Arial Narrow" w:cs="Arial Narrow"/>
          <w:sz w:val="24"/>
        </w:rPr>
        <w:fldChar w:fldCharType="end"/>
      </w:r>
    </w:p>
    <w:p>
      <w:pPr>
        <w:pStyle w:val="9"/>
        <w:tabs>
          <w:tab w:val="right" w:leader="dot" w:pos="8844"/>
        </w:tabs>
        <w:snapToGrid w:val="0"/>
        <w:spacing w:line="360" w:lineRule="auto"/>
        <w:ind w:left="600"/>
        <w:rPr>
          <w:rFonts w:ascii="Arial Narrow" w:hAnsi="Arial Narrow" w:cs="Arial Narrow"/>
          <w:sz w:val="24"/>
        </w:rPr>
      </w:pPr>
      <w:r>
        <w:fldChar w:fldCharType="begin"/>
      </w:r>
      <w:r>
        <w:instrText xml:space="preserve"> HYPERLINK \l "_Toc6428" </w:instrText>
      </w:r>
      <w:r>
        <w:fldChar w:fldCharType="separate"/>
      </w:r>
      <w:r>
        <w:rPr>
          <w:rFonts w:ascii="Arial Narrow" w:hAnsi="Arial Narrow" w:cs="Arial Narrow"/>
          <w:sz w:val="24"/>
        </w:rPr>
        <w:t>（一）基本情况</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_Toc6428 </w:instrText>
      </w:r>
      <w:r>
        <w:rPr>
          <w:rFonts w:ascii="Arial Narrow" w:hAnsi="Arial Narrow" w:cs="Arial Narrow"/>
          <w:sz w:val="24"/>
        </w:rPr>
        <w:fldChar w:fldCharType="separate"/>
      </w:r>
      <w:r>
        <w:rPr>
          <w:rFonts w:ascii="Arial Narrow" w:hAnsi="Arial Narrow" w:cs="Arial Narrow"/>
          <w:sz w:val="24"/>
        </w:rPr>
        <w:t>1</w:t>
      </w:r>
      <w:r>
        <w:rPr>
          <w:rFonts w:ascii="Arial Narrow" w:hAnsi="Arial Narrow" w:cs="Arial Narrow"/>
          <w:sz w:val="24"/>
        </w:rPr>
        <w:fldChar w:fldCharType="end"/>
      </w:r>
      <w:r>
        <w:rPr>
          <w:rFonts w:ascii="Arial Narrow" w:hAnsi="Arial Narrow" w:cs="Arial Narrow"/>
          <w:sz w:val="24"/>
        </w:rPr>
        <w:fldChar w:fldCharType="end"/>
      </w:r>
    </w:p>
    <w:p>
      <w:pPr>
        <w:pStyle w:val="9"/>
        <w:tabs>
          <w:tab w:val="right" w:leader="dot" w:pos="8844"/>
        </w:tabs>
        <w:snapToGrid w:val="0"/>
        <w:spacing w:line="360" w:lineRule="auto"/>
        <w:ind w:left="600"/>
        <w:rPr>
          <w:rFonts w:ascii="Arial Narrow" w:hAnsi="Arial Narrow" w:cs="Arial Narrow"/>
          <w:sz w:val="24"/>
        </w:rPr>
      </w:pPr>
      <w:r>
        <w:fldChar w:fldCharType="begin"/>
      </w:r>
      <w:r>
        <w:instrText xml:space="preserve"> HYPERLINK \l "_Toc3890" </w:instrText>
      </w:r>
      <w:r>
        <w:fldChar w:fldCharType="separate"/>
      </w:r>
      <w:r>
        <w:rPr>
          <w:rFonts w:ascii="Arial Narrow" w:hAnsi="Arial Narrow" w:cs="Arial Narrow"/>
          <w:sz w:val="24"/>
        </w:rPr>
        <w:t>（二）绩效评价结论</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_Toc3890 </w:instrText>
      </w:r>
      <w:r>
        <w:rPr>
          <w:rFonts w:ascii="Arial Narrow" w:hAnsi="Arial Narrow" w:cs="Arial Narrow"/>
          <w:sz w:val="24"/>
        </w:rPr>
        <w:fldChar w:fldCharType="separate"/>
      </w:r>
      <w:r>
        <w:rPr>
          <w:rFonts w:ascii="Arial Narrow" w:hAnsi="Arial Narrow" w:cs="Arial Narrow"/>
          <w:sz w:val="24"/>
        </w:rPr>
        <w:t>1</w:t>
      </w:r>
      <w:r>
        <w:rPr>
          <w:rFonts w:ascii="Arial Narrow" w:hAnsi="Arial Narrow" w:cs="Arial Narrow"/>
          <w:sz w:val="24"/>
        </w:rPr>
        <w:fldChar w:fldCharType="end"/>
      </w:r>
      <w:r>
        <w:rPr>
          <w:rFonts w:ascii="Arial Narrow" w:hAnsi="Arial Narrow" w:cs="Arial Narrow"/>
          <w:sz w:val="24"/>
        </w:rPr>
        <w:fldChar w:fldCharType="end"/>
      </w:r>
    </w:p>
    <w:p>
      <w:pPr>
        <w:pStyle w:val="9"/>
        <w:tabs>
          <w:tab w:val="right" w:leader="dot" w:pos="8844"/>
        </w:tabs>
        <w:adjustRightInd w:val="0"/>
        <w:snapToGrid w:val="0"/>
        <w:spacing w:line="360" w:lineRule="auto"/>
        <w:ind w:left="600"/>
        <w:rPr>
          <w:rFonts w:ascii="仿宋_GB2312" w:hAnsi="仿宋_GB2312" w:cs="仿宋_GB2312"/>
          <w:sz w:val="24"/>
        </w:rPr>
      </w:pPr>
      <w:r>
        <w:fldChar w:fldCharType="begin"/>
      </w:r>
      <w:r>
        <w:instrText xml:space="preserve"> HYPERLINK \l "_Toc10369" </w:instrText>
      </w:r>
      <w:r>
        <w:fldChar w:fldCharType="separate"/>
      </w:r>
      <w:r>
        <w:rPr>
          <w:rFonts w:hint="eastAsia" w:ascii="仿宋_GB2312" w:hAnsi="仿宋_GB2312" w:cs="仿宋_GB2312"/>
          <w:sz w:val="24"/>
        </w:rPr>
        <w:t>（三）项目的经验与问题</w:t>
      </w:r>
      <w:r>
        <w:rPr>
          <w:rFonts w:hint="eastAsia" w:ascii="仿宋_GB2312" w:hAnsi="仿宋_GB2312" w:cs="仿宋_GB2312"/>
          <w:sz w:val="24"/>
        </w:rPr>
        <w:tab/>
      </w:r>
      <w:r>
        <w:rPr>
          <w:rFonts w:hint="eastAsia" w:ascii="仿宋_GB2312" w:hAnsi="仿宋_GB2312" w:cs="仿宋_GB2312"/>
          <w:sz w:val="24"/>
        </w:rPr>
        <w:fldChar w:fldCharType="begin"/>
      </w:r>
      <w:r>
        <w:rPr>
          <w:rFonts w:hint="eastAsia" w:ascii="仿宋_GB2312" w:hAnsi="仿宋_GB2312" w:cs="仿宋_GB2312"/>
          <w:sz w:val="24"/>
        </w:rPr>
        <w:instrText xml:space="preserve"> PAGEREF _Toc10369 </w:instrText>
      </w:r>
      <w:r>
        <w:rPr>
          <w:rFonts w:hint="eastAsia" w:ascii="仿宋_GB2312" w:hAnsi="仿宋_GB2312" w:cs="仿宋_GB2312"/>
          <w:sz w:val="24"/>
        </w:rPr>
        <w:fldChar w:fldCharType="separate"/>
      </w:r>
      <w:r>
        <w:rPr>
          <w:rFonts w:hint="eastAsia" w:ascii="仿宋_GB2312" w:hAnsi="仿宋_GB2312" w:cs="仿宋_GB2312"/>
          <w:sz w:val="24"/>
        </w:rPr>
        <w:t>3</w:t>
      </w:r>
      <w:r>
        <w:rPr>
          <w:rFonts w:hint="eastAsia" w:ascii="仿宋_GB2312" w:hAnsi="仿宋_GB2312" w:cs="仿宋_GB2312"/>
          <w:sz w:val="24"/>
        </w:rPr>
        <w:fldChar w:fldCharType="end"/>
      </w:r>
      <w:r>
        <w:rPr>
          <w:rFonts w:hint="eastAsia" w:ascii="仿宋_GB2312" w:hAnsi="仿宋_GB2312" w:cs="仿宋_GB2312"/>
          <w:sz w:val="24"/>
        </w:rPr>
        <w:fldChar w:fldCharType="end"/>
      </w:r>
    </w:p>
    <w:p>
      <w:pPr>
        <w:pStyle w:val="9"/>
        <w:tabs>
          <w:tab w:val="right" w:leader="dot" w:pos="8844"/>
        </w:tabs>
        <w:snapToGrid w:val="0"/>
        <w:spacing w:line="360" w:lineRule="auto"/>
        <w:ind w:left="600" w:leftChars="0"/>
        <w:rPr>
          <w:rFonts w:ascii="Arial Narrow" w:hAnsi="Arial Narrow" w:cs="Arial Narrow"/>
          <w:sz w:val="24"/>
        </w:rPr>
      </w:pPr>
      <w:r>
        <w:rPr>
          <w:rFonts w:hint="eastAsia" w:ascii="仿宋_GB2312" w:hAnsi="仿宋_GB2312" w:cs="仿宋_GB2312"/>
          <w:sz w:val="24"/>
        </w:rPr>
        <w:t>（</w:t>
      </w:r>
      <w:r>
        <w:fldChar w:fldCharType="begin"/>
      </w:r>
      <w:r>
        <w:instrText xml:space="preserve"> HYPERLINK \l "_Toc14737" </w:instrText>
      </w:r>
      <w:r>
        <w:fldChar w:fldCharType="separate"/>
      </w:r>
      <w:r>
        <w:rPr>
          <w:rFonts w:ascii="Arial Narrow" w:hAnsi="Arial Narrow" w:cs="Arial Narrow"/>
          <w:sz w:val="24"/>
        </w:rPr>
        <w:t>四）</w:t>
      </w:r>
      <w:r>
        <w:rPr>
          <w:rFonts w:hint="eastAsia" w:ascii="仿宋_GB2312" w:hAnsi="仿宋_GB2312" w:cs="仿宋_GB2312"/>
          <w:sz w:val="24"/>
        </w:rPr>
        <w:t>建议</w:t>
      </w:r>
      <w:r>
        <w:rPr>
          <w:rFonts w:hint="eastAsia" w:ascii="仿宋_GB2312" w:hAnsi="仿宋_GB2312" w:cs="仿宋_GB2312"/>
          <w:sz w:val="24"/>
        </w:rPr>
        <w:tab/>
      </w:r>
      <w:r>
        <w:rPr>
          <w:rFonts w:hint="eastAsia" w:ascii="仿宋_GB2312" w:hAnsi="仿宋_GB2312" w:cs="仿宋_GB2312"/>
          <w:sz w:val="24"/>
        </w:rPr>
        <w:fldChar w:fldCharType="begin"/>
      </w:r>
      <w:r>
        <w:rPr>
          <w:rFonts w:hint="eastAsia" w:ascii="仿宋_GB2312" w:hAnsi="仿宋_GB2312" w:cs="仿宋_GB2312"/>
          <w:sz w:val="24"/>
        </w:rPr>
        <w:instrText xml:space="preserve"> PAGEREF _Toc14737 </w:instrText>
      </w:r>
      <w:r>
        <w:rPr>
          <w:rFonts w:hint="eastAsia" w:ascii="仿宋_GB2312" w:hAnsi="仿宋_GB2312" w:cs="仿宋_GB2312"/>
          <w:sz w:val="24"/>
        </w:rPr>
        <w:fldChar w:fldCharType="separate"/>
      </w:r>
      <w:r>
        <w:rPr>
          <w:rFonts w:hint="eastAsia" w:ascii="仿宋_GB2312" w:hAnsi="仿宋_GB2312" w:cs="仿宋_GB2312"/>
          <w:sz w:val="24"/>
        </w:rPr>
        <w:t>4</w:t>
      </w:r>
      <w:r>
        <w:rPr>
          <w:rFonts w:hint="eastAsia" w:ascii="仿宋_GB2312" w:hAnsi="仿宋_GB2312" w:cs="仿宋_GB2312"/>
          <w:sz w:val="24"/>
        </w:rPr>
        <w:fldChar w:fldCharType="end"/>
      </w:r>
      <w:r>
        <w:rPr>
          <w:rFonts w:hint="eastAsia" w:ascii="仿宋_GB2312" w:hAnsi="仿宋_GB2312" w:cs="仿宋_GB2312"/>
          <w:sz w:val="24"/>
        </w:rPr>
        <w:fldChar w:fldCharType="end"/>
      </w:r>
    </w:p>
    <w:p>
      <w:pPr>
        <w:pStyle w:val="8"/>
        <w:tabs>
          <w:tab w:val="right" w:leader="dot" w:pos="8844"/>
        </w:tabs>
        <w:spacing w:line="360" w:lineRule="auto"/>
        <w:rPr>
          <w:rFonts w:ascii="Arial Narrow" w:hAnsi="Arial Narrow" w:cs="Arial Narrow"/>
          <w:sz w:val="24"/>
        </w:rPr>
      </w:pPr>
      <w:r>
        <w:fldChar w:fldCharType="begin"/>
      </w:r>
      <w:r>
        <w:instrText xml:space="preserve"> HYPERLINK \l "_Toc16467" </w:instrText>
      </w:r>
      <w:r>
        <w:fldChar w:fldCharType="separate"/>
      </w:r>
      <w:r>
        <w:rPr>
          <w:rFonts w:ascii="Arial Narrow" w:hAnsi="Arial Narrow" w:cs="Arial Narrow"/>
          <w:sz w:val="24"/>
        </w:rPr>
        <w:t>二、正文</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_Toc16467 </w:instrText>
      </w:r>
      <w:r>
        <w:rPr>
          <w:rFonts w:ascii="Arial Narrow" w:hAnsi="Arial Narrow" w:cs="Arial Narrow"/>
          <w:sz w:val="24"/>
        </w:rPr>
        <w:fldChar w:fldCharType="separate"/>
      </w:r>
      <w:r>
        <w:rPr>
          <w:rFonts w:ascii="Arial Narrow" w:hAnsi="Arial Narrow" w:cs="Arial Narrow"/>
          <w:sz w:val="24"/>
        </w:rPr>
        <w:t>5</w:t>
      </w:r>
      <w:r>
        <w:rPr>
          <w:rFonts w:ascii="Arial Narrow" w:hAnsi="Arial Narrow" w:cs="Arial Narrow"/>
          <w:sz w:val="24"/>
        </w:rPr>
        <w:fldChar w:fldCharType="end"/>
      </w:r>
      <w:r>
        <w:rPr>
          <w:rFonts w:ascii="Arial Narrow" w:hAnsi="Arial Narrow" w:cs="Arial Narrow"/>
          <w:sz w:val="24"/>
        </w:rPr>
        <w:fldChar w:fldCharType="end"/>
      </w:r>
    </w:p>
    <w:p>
      <w:pPr>
        <w:pStyle w:val="9"/>
        <w:tabs>
          <w:tab w:val="right" w:leader="dot" w:pos="8844"/>
        </w:tabs>
        <w:spacing w:line="360" w:lineRule="auto"/>
        <w:ind w:left="600"/>
        <w:rPr>
          <w:rFonts w:ascii="Arial Narrow" w:hAnsi="Arial Narrow" w:cs="Arial Narrow"/>
          <w:sz w:val="24"/>
        </w:rPr>
      </w:pPr>
      <w:r>
        <w:fldChar w:fldCharType="begin"/>
      </w:r>
      <w:r>
        <w:instrText xml:space="preserve"> HYPERLINK \l "_Toc19305" </w:instrText>
      </w:r>
      <w:r>
        <w:fldChar w:fldCharType="separate"/>
      </w:r>
      <w:r>
        <w:rPr>
          <w:rFonts w:ascii="Arial Narrow" w:hAnsi="Arial Narrow" w:cs="Arial Narrow"/>
          <w:sz w:val="24"/>
        </w:rPr>
        <w:t>（一）项目基本情况</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_Toc19305 </w:instrText>
      </w:r>
      <w:r>
        <w:rPr>
          <w:rFonts w:ascii="Arial Narrow" w:hAnsi="Arial Narrow" w:cs="Arial Narrow"/>
          <w:sz w:val="24"/>
        </w:rPr>
        <w:fldChar w:fldCharType="separate"/>
      </w:r>
      <w:r>
        <w:rPr>
          <w:rFonts w:ascii="Arial Narrow" w:hAnsi="Arial Narrow" w:cs="Arial Narrow"/>
          <w:sz w:val="24"/>
        </w:rPr>
        <w:t>5</w:t>
      </w:r>
      <w:r>
        <w:rPr>
          <w:rFonts w:ascii="Arial Narrow" w:hAnsi="Arial Narrow" w:cs="Arial Narrow"/>
          <w:sz w:val="24"/>
        </w:rPr>
        <w:fldChar w:fldCharType="end"/>
      </w:r>
      <w:r>
        <w:rPr>
          <w:rFonts w:ascii="Arial Narrow" w:hAnsi="Arial Narrow" w:cs="Arial Narrow"/>
          <w:sz w:val="24"/>
        </w:rPr>
        <w:fldChar w:fldCharType="end"/>
      </w:r>
    </w:p>
    <w:p>
      <w:pPr>
        <w:pStyle w:val="4"/>
        <w:tabs>
          <w:tab w:val="right" w:leader="dot" w:pos="8844"/>
        </w:tabs>
        <w:spacing w:line="360" w:lineRule="auto"/>
        <w:ind w:left="0" w:leftChars="0" w:firstLine="900" w:firstLineChars="300"/>
        <w:rPr>
          <w:rFonts w:ascii="Arial Narrow" w:hAnsi="Arial Narrow" w:cs="Arial Narrow"/>
          <w:sz w:val="24"/>
        </w:rPr>
      </w:pPr>
      <w:r>
        <w:fldChar w:fldCharType="begin"/>
      </w:r>
      <w:r>
        <w:instrText xml:space="preserve"> HYPERLINK \l "_Toc9351" </w:instrText>
      </w:r>
      <w:r>
        <w:fldChar w:fldCharType="separate"/>
      </w:r>
      <w:r>
        <w:rPr>
          <w:rFonts w:ascii="Arial Narrow" w:hAnsi="Arial Narrow" w:cs="Arial Narrow"/>
          <w:bCs/>
          <w:sz w:val="24"/>
        </w:rPr>
        <w:t>1、项目立项背景和依据</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_Toc9351 </w:instrText>
      </w:r>
      <w:r>
        <w:rPr>
          <w:rFonts w:ascii="Arial Narrow" w:hAnsi="Arial Narrow" w:cs="Arial Narrow"/>
          <w:sz w:val="24"/>
        </w:rPr>
        <w:fldChar w:fldCharType="separate"/>
      </w:r>
      <w:r>
        <w:rPr>
          <w:rFonts w:ascii="Arial Narrow" w:hAnsi="Arial Narrow" w:cs="Arial Narrow"/>
          <w:sz w:val="24"/>
        </w:rPr>
        <w:t>5</w:t>
      </w:r>
      <w:r>
        <w:rPr>
          <w:rFonts w:ascii="Arial Narrow" w:hAnsi="Arial Narrow" w:cs="Arial Narrow"/>
          <w:sz w:val="24"/>
        </w:rPr>
        <w:fldChar w:fldCharType="end"/>
      </w:r>
      <w:r>
        <w:rPr>
          <w:rFonts w:ascii="Arial Narrow" w:hAnsi="Arial Narrow" w:cs="Arial Narrow"/>
          <w:sz w:val="24"/>
        </w:rPr>
        <w:fldChar w:fldCharType="end"/>
      </w:r>
    </w:p>
    <w:p>
      <w:pPr>
        <w:pStyle w:val="4"/>
        <w:tabs>
          <w:tab w:val="right" w:leader="dot" w:pos="8844"/>
        </w:tabs>
        <w:spacing w:line="360" w:lineRule="auto"/>
        <w:ind w:left="0" w:leftChars="0" w:firstLine="900" w:firstLineChars="300"/>
        <w:rPr>
          <w:rFonts w:ascii="Arial Narrow" w:hAnsi="Arial Narrow" w:cs="Arial Narrow"/>
          <w:sz w:val="24"/>
        </w:rPr>
      </w:pPr>
      <w:r>
        <w:fldChar w:fldCharType="begin"/>
      </w:r>
      <w:r>
        <w:instrText xml:space="preserve"> HYPERLINK \l "_Toc24771" </w:instrText>
      </w:r>
      <w:r>
        <w:fldChar w:fldCharType="separate"/>
      </w:r>
      <w:r>
        <w:rPr>
          <w:rFonts w:ascii="Arial Narrow" w:hAnsi="Arial Narrow" w:cs="Arial Narrow"/>
          <w:sz w:val="24"/>
        </w:rPr>
        <w:t>2、项目绩效目标</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_Toc24771 </w:instrText>
      </w:r>
      <w:r>
        <w:rPr>
          <w:rFonts w:ascii="Arial Narrow" w:hAnsi="Arial Narrow" w:cs="Arial Narrow"/>
          <w:sz w:val="24"/>
        </w:rPr>
        <w:fldChar w:fldCharType="separate"/>
      </w:r>
      <w:r>
        <w:rPr>
          <w:rFonts w:ascii="Arial Narrow" w:hAnsi="Arial Narrow" w:cs="Arial Narrow"/>
          <w:sz w:val="24"/>
        </w:rPr>
        <w:t>6</w:t>
      </w:r>
      <w:r>
        <w:rPr>
          <w:rFonts w:ascii="Arial Narrow" w:hAnsi="Arial Narrow" w:cs="Arial Narrow"/>
          <w:sz w:val="24"/>
        </w:rPr>
        <w:fldChar w:fldCharType="end"/>
      </w:r>
      <w:r>
        <w:rPr>
          <w:rFonts w:ascii="Arial Narrow" w:hAnsi="Arial Narrow" w:cs="Arial Narrow"/>
          <w:sz w:val="24"/>
        </w:rPr>
        <w:fldChar w:fldCharType="end"/>
      </w:r>
    </w:p>
    <w:p>
      <w:pPr>
        <w:pStyle w:val="4"/>
        <w:tabs>
          <w:tab w:val="right" w:leader="dot" w:pos="8844"/>
        </w:tabs>
        <w:spacing w:line="360" w:lineRule="auto"/>
        <w:ind w:left="0" w:leftChars="0" w:firstLine="900" w:firstLineChars="300"/>
        <w:rPr>
          <w:rFonts w:ascii="Arial Narrow" w:hAnsi="Arial Narrow" w:cs="Arial Narrow"/>
          <w:sz w:val="24"/>
        </w:rPr>
      </w:pPr>
      <w:r>
        <w:fldChar w:fldCharType="begin"/>
      </w:r>
      <w:r>
        <w:instrText xml:space="preserve"> HYPERLINK \l "_Toc28988" </w:instrText>
      </w:r>
      <w:r>
        <w:fldChar w:fldCharType="separate"/>
      </w:r>
      <w:r>
        <w:rPr>
          <w:rFonts w:ascii="Arial Narrow" w:hAnsi="Arial Narrow" w:cs="Arial Narrow"/>
          <w:sz w:val="24"/>
        </w:rPr>
        <w:t>3、项目经费来源和使用情况</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_Toc28988 </w:instrText>
      </w:r>
      <w:r>
        <w:rPr>
          <w:rFonts w:ascii="Arial Narrow" w:hAnsi="Arial Narrow" w:cs="Arial Narrow"/>
          <w:sz w:val="24"/>
        </w:rPr>
        <w:fldChar w:fldCharType="separate"/>
      </w:r>
      <w:r>
        <w:rPr>
          <w:rFonts w:ascii="Arial Narrow" w:hAnsi="Arial Narrow" w:cs="Arial Narrow"/>
          <w:sz w:val="24"/>
        </w:rPr>
        <w:t>6</w:t>
      </w:r>
      <w:r>
        <w:rPr>
          <w:rFonts w:ascii="Arial Narrow" w:hAnsi="Arial Narrow" w:cs="Arial Narrow"/>
          <w:sz w:val="24"/>
        </w:rPr>
        <w:fldChar w:fldCharType="end"/>
      </w:r>
      <w:r>
        <w:rPr>
          <w:rFonts w:ascii="Arial Narrow" w:hAnsi="Arial Narrow" w:cs="Arial Narrow"/>
          <w:sz w:val="24"/>
        </w:rPr>
        <w:fldChar w:fldCharType="end"/>
      </w:r>
    </w:p>
    <w:p>
      <w:pPr>
        <w:pStyle w:val="4"/>
        <w:tabs>
          <w:tab w:val="right" w:leader="dot" w:pos="8844"/>
        </w:tabs>
        <w:spacing w:line="360" w:lineRule="auto"/>
        <w:ind w:left="0" w:leftChars="0" w:firstLine="900" w:firstLineChars="300"/>
        <w:rPr>
          <w:rFonts w:ascii="Arial Narrow" w:hAnsi="Arial Narrow" w:cs="Arial Narrow"/>
          <w:sz w:val="24"/>
        </w:rPr>
      </w:pPr>
      <w:r>
        <w:fldChar w:fldCharType="begin"/>
      </w:r>
      <w:r>
        <w:instrText xml:space="preserve"> HYPERLINK \l "_Toc23672" </w:instrText>
      </w:r>
      <w:r>
        <w:fldChar w:fldCharType="separate"/>
      </w:r>
      <w:r>
        <w:rPr>
          <w:rFonts w:ascii="Arial Narrow" w:hAnsi="Arial Narrow" w:cs="Arial Narrow"/>
          <w:sz w:val="24"/>
        </w:rPr>
        <w:t>4、项目实施情况</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_Toc23672 </w:instrText>
      </w:r>
      <w:r>
        <w:rPr>
          <w:rFonts w:ascii="Arial Narrow" w:hAnsi="Arial Narrow" w:cs="Arial Narrow"/>
          <w:sz w:val="24"/>
        </w:rPr>
        <w:fldChar w:fldCharType="separate"/>
      </w:r>
      <w:r>
        <w:rPr>
          <w:rFonts w:ascii="Arial Narrow" w:hAnsi="Arial Narrow" w:cs="Arial Narrow"/>
          <w:sz w:val="24"/>
        </w:rPr>
        <w:t>7</w:t>
      </w:r>
      <w:r>
        <w:rPr>
          <w:rFonts w:ascii="Arial Narrow" w:hAnsi="Arial Narrow" w:cs="Arial Narrow"/>
          <w:sz w:val="24"/>
        </w:rPr>
        <w:fldChar w:fldCharType="end"/>
      </w:r>
      <w:r>
        <w:rPr>
          <w:rFonts w:ascii="Arial Narrow" w:hAnsi="Arial Narrow" w:cs="Arial Narrow"/>
          <w:sz w:val="24"/>
        </w:rPr>
        <w:fldChar w:fldCharType="end"/>
      </w:r>
    </w:p>
    <w:p>
      <w:pPr>
        <w:pStyle w:val="9"/>
        <w:tabs>
          <w:tab w:val="right" w:leader="dot" w:pos="8844"/>
        </w:tabs>
        <w:spacing w:line="360" w:lineRule="auto"/>
        <w:ind w:left="600"/>
        <w:rPr>
          <w:rFonts w:ascii="Arial Narrow" w:hAnsi="Arial Narrow" w:cs="Arial Narrow"/>
          <w:sz w:val="24"/>
        </w:rPr>
      </w:pPr>
      <w:r>
        <w:fldChar w:fldCharType="begin"/>
      </w:r>
      <w:r>
        <w:instrText xml:space="preserve"> HYPERLINK \l "_Toc16444" </w:instrText>
      </w:r>
      <w:r>
        <w:fldChar w:fldCharType="separate"/>
      </w:r>
      <w:r>
        <w:rPr>
          <w:rFonts w:ascii="Arial Narrow" w:hAnsi="Arial Narrow" w:cs="Arial Narrow"/>
          <w:bCs/>
          <w:sz w:val="24"/>
        </w:rPr>
        <w:t>（二）绩效评价工作情况</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_Toc16444 </w:instrText>
      </w:r>
      <w:r>
        <w:rPr>
          <w:rFonts w:ascii="Arial Narrow" w:hAnsi="Arial Narrow" w:cs="Arial Narrow"/>
          <w:sz w:val="24"/>
        </w:rPr>
        <w:fldChar w:fldCharType="separate"/>
      </w:r>
      <w:r>
        <w:rPr>
          <w:rFonts w:ascii="Arial Narrow" w:hAnsi="Arial Narrow" w:cs="Arial Narrow"/>
          <w:sz w:val="24"/>
        </w:rPr>
        <w:t>8</w:t>
      </w:r>
      <w:r>
        <w:rPr>
          <w:rFonts w:ascii="Arial Narrow" w:hAnsi="Arial Narrow" w:cs="Arial Narrow"/>
          <w:sz w:val="24"/>
        </w:rPr>
        <w:fldChar w:fldCharType="end"/>
      </w:r>
      <w:r>
        <w:rPr>
          <w:rFonts w:ascii="Arial Narrow" w:hAnsi="Arial Narrow" w:cs="Arial Narrow"/>
          <w:sz w:val="24"/>
        </w:rPr>
        <w:fldChar w:fldCharType="end"/>
      </w:r>
    </w:p>
    <w:p>
      <w:pPr>
        <w:pStyle w:val="4"/>
        <w:tabs>
          <w:tab w:val="right" w:leader="dot" w:pos="8844"/>
        </w:tabs>
        <w:spacing w:line="360" w:lineRule="auto"/>
        <w:ind w:left="0" w:leftChars="0" w:firstLine="900" w:firstLineChars="300"/>
        <w:rPr>
          <w:rFonts w:ascii="Arial Narrow" w:hAnsi="Arial Narrow" w:cs="Arial Narrow"/>
          <w:sz w:val="24"/>
        </w:rPr>
      </w:pPr>
      <w:r>
        <w:fldChar w:fldCharType="begin"/>
      </w:r>
      <w:r>
        <w:instrText xml:space="preserve"> HYPERLINK \l "_Toc29240" </w:instrText>
      </w:r>
      <w:r>
        <w:fldChar w:fldCharType="separate"/>
      </w:r>
      <w:r>
        <w:rPr>
          <w:rFonts w:ascii="Arial Narrow" w:hAnsi="Arial Narrow" w:cs="Arial Narrow"/>
          <w:sz w:val="24"/>
        </w:rPr>
        <w:t>1、绩效评价目的</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_Toc29240 </w:instrText>
      </w:r>
      <w:r>
        <w:rPr>
          <w:rFonts w:ascii="Arial Narrow" w:hAnsi="Arial Narrow" w:cs="Arial Narrow"/>
          <w:sz w:val="24"/>
        </w:rPr>
        <w:fldChar w:fldCharType="separate"/>
      </w:r>
      <w:r>
        <w:rPr>
          <w:rFonts w:ascii="Arial Narrow" w:hAnsi="Arial Narrow" w:cs="Arial Narrow"/>
          <w:sz w:val="24"/>
        </w:rPr>
        <w:t>8</w:t>
      </w:r>
      <w:r>
        <w:rPr>
          <w:rFonts w:ascii="Arial Narrow" w:hAnsi="Arial Narrow" w:cs="Arial Narrow"/>
          <w:sz w:val="24"/>
        </w:rPr>
        <w:fldChar w:fldCharType="end"/>
      </w:r>
      <w:r>
        <w:rPr>
          <w:rFonts w:ascii="Arial Narrow" w:hAnsi="Arial Narrow" w:cs="Arial Narrow"/>
          <w:sz w:val="24"/>
        </w:rPr>
        <w:fldChar w:fldCharType="end"/>
      </w:r>
    </w:p>
    <w:p>
      <w:pPr>
        <w:pStyle w:val="4"/>
        <w:tabs>
          <w:tab w:val="right" w:leader="dot" w:pos="8844"/>
        </w:tabs>
        <w:spacing w:line="360" w:lineRule="auto"/>
        <w:ind w:left="0" w:leftChars="0" w:firstLine="900" w:firstLineChars="300"/>
        <w:rPr>
          <w:rFonts w:ascii="Arial Narrow" w:hAnsi="Arial Narrow" w:cs="Arial Narrow"/>
          <w:sz w:val="24"/>
        </w:rPr>
      </w:pPr>
      <w:r>
        <w:fldChar w:fldCharType="begin"/>
      </w:r>
      <w:r>
        <w:instrText xml:space="preserve"> HYPERLINK \l "_Toc7002" </w:instrText>
      </w:r>
      <w:r>
        <w:fldChar w:fldCharType="separate"/>
      </w:r>
      <w:r>
        <w:rPr>
          <w:rFonts w:ascii="Arial Narrow" w:hAnsi="Arial Narrow" w:cs="Arial Narrow"/>
          <w:sz w:val="24"/>
        </w:rPr>
        <w:t>2、绩效评价框架</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_Toc7002 </w:instrText>
      </w:r>
      <w:r>
        <w:rPr>
          <w:rFonts w:ascii="Arial Narrow" w:hAnsi="Arial Narrow" w:cs="Arial Narrow"/>
          <w:sz w:val="24"/>
        </w:rPr>
        <w:fldChar w:fldCharType="separate"/>
      </w:r>
      <w:r>
        <w:rPr>
          <w:rFonts w:ascii="Arial Narrow" w:hAnsi="Arial Narrow" w:cs="Arial Narrow"/>
          <w:sz w:val="24"/>
        </w:rPr>
        <w:t>8</w:t>
      </w:r>
      <w:r>
        <w:rPr>
          <w:rFonts w:ascii="Arial Narrow" w:hAnsi="Arial Narrow" w:cs="Arial Narrow"/>
          <w:sz w:val="24"/>
        </w:rPr>
        <w:fldChar w:fldCharType="end"/>
      </w:r>
      <w:r>
        <w:rPr>
          <w:rFonts w:ascii="Arial Narrow" w:hAnsi="Arial Narrow" w:cs="Arial Narrow"/>
          <w:sz w:val="24"/>
        </w:rPr>
        <w:fldChar w:fldCharType="end"/>
      </w:r>
    </w:p>
    <w:p>
      <w:pPr>
        <w:pStyle w:val="9"/>
        <w:tabs>
          <w:tab w:val="right" w:leader="dot" w:pos="8844"/>
        </w:tabs>
        <w:spacing w:line="360" w:lineRule="auto"/>
        <w:ind w:left="600"/>
        <w:rPr>
          <w:rFonts w:ascii="Arial Narrow" w:hAnsi="Arial Narrow" w:cs="Arial Narrow"/>
          <w:sz w:val="24"/>
        </w:rPr>
      </w:pPr>
      <w:r>
        <w:fldChar w:fldCharType="begin"/>
      </w:r>
      <w:r>
        <w:instrText xml:space="preserve"> HYPERLINK \l "_Toc7653" </w:instrText>
      </w:r>
      <w:r>
        <w:fldChar w:fldCharType="separate"/>
      </w:r>
      <w:r>
        <w:rPr>
          <w:rFonts w:ascii="Arial Narrow" w:hAnsi="Arial Narrow" w:cs="Arial Narrow"/>
          <w:bCs/>
          <w:sz w:val="24"/>
        </w:rPr>
        <w:t>（三）绩效分析及评价结论</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_Toc7653 </w:instrText>
      </w:r>
      <w:r>
        <w:rPr>
          <w:rFonts w:ascii="Arial Narrow" w:hAnsi="Arial Narrow" w:cs="Arial Narrow"/>
          <w:sz w:val="24"/>
        </w:rPr>
        <w:fldChar w:fldCharType="separate"/>
      </w:r>
      <w:r>
        <w:rPr>
          <w:rFonts w:ascii="Arial Narrow" w:hAnsi="Arial Narrow" w:cs="Arial Narrow"/>
          <w:sz w:val="24"/>
        </w:rPr>
        <w:t>17</w:t>
      </w:r>
      <w:r>
        <w:rPr>
          <w:rFonts w:ascii="Arial Narrow" w:hAnsi="Arial Narrow" w:cs="Arial Narrow"/>
          <w:sz w:val="24"/>
        </w:rPr>
        <w:fldChar w:fldCharType="end"/>
      </w:r>
      <w:r>
        <w:rPr>
          <w:rFonts w:ascii="Arial Narrow" w:hAnsi="Arial Narrow" w:cs="Arial Narrow"/>
          <w:sz w:val="24"/>
        </w:rPr>
        <w:fldChar w:fldCharType="end"/>
      </w:r>
    </w:p>
    <w:p>
      <w:pPr>
        <w:pStyle w:val="4"/>
        <w:tabs>
          <w:tab w:val="right" w:leader="dot" w:pos="8844"/>
        </w:tabs>
        <w:spacing w:line="360" w:lineRule="auto"/>
        <w:ind w:left="0" w:leftChars="0" w:firstLine="900" w:firstLineChars="300"/>
        <w:rPr>
          <w:rFonts w:ascii="Arial Narrow" w:hAnsi="Arial Narrow" w:cs="Arial Narrow"/>
          <w:sz w:val="24"/>
        </w:rPr>
      </w:pPr>
      <w:r>
        <w:fldChar w:fldCharType="begin"/>
      </w:r>
      <w:r>
        <w:instrText xml:space="preserve"> HYPERLINK \l "_Toc10975" </w:instrText>
      </w:r>
      <w:r>
        <w:fldChar w:fldCharType="separate"/>
      </w:r>
      <w:r>
        <w:rPr>
          <w:rFonts w:ascii="Arial Narrow" w:hAnsi="Arial Narrow" w:cs="Arial Narrow"/>
          <w:sz w:val="24"/>
        </w:rPr>
        <w:t>1、绩效分析</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_Toc10975 </w:instrText>
      </w:r>
      <w:r>
        <w:rPr>
          <w:rFonts w:ascii="Arial Narrow" w:hAnsi="Arial Narrow" w:cs="Arial Narrow"/>
          <w:sz w:val="24"/>
        </w:rPr>
        <w:fldChar w:fldCharType="separate"/>
      </w:r>
      <w:r>
        <w:rPr>
          <w:rFonts w:ascii="Arial Narrow" w:hAnsi="Arial Narrow" w:cs="Arial Narrow"/>
          <w:sz w:val="24"/>
        </w:rPr>
        <w:t>17</w:t>
      </w:r>
      <w:r>
        <w:rPr>
          <w:rFonts w:ascii="Arial Narrow" w:hAnsi="Arial Narrow" w:cs="Arial Narrow"/>
          <w:sz w:val="24"/>
        </w:rPr>
        <w:fldChar w:fldCharType="end"/>
      </w:r>
      <w:r>
        <w:rPr>
          <w:rFonts w:ascii="Arial Narrow" w:hAnsi="Arial Narrow" w:cs="Arial Narrow"/>
          <w:sz w:val="24"/>
        </w:rPr>
        <w:fldChar w:fldCharType="end"/>
      </w:r>
    </w:p>
    <w:p>
      <w:pPr>
        <w:pStyle w:val="4"/>
        <w:tabs>
          <w:tab w:val="right" w:leader="dot" w:pos="8844"/>
        </w:tabs>
        <w:spacing w:line="360" w:lineRule="auto"/>
        <w:ind w:left="0" w:leftChars="0" w:firstLine="900" w:firstLineChars="300"/>
        <w:rPr>
          <w:rFonts w:ascii="Arial Narrow" w:hAnsi="Arial Narrow" w:cs="Arial Narrow"/>
          <w:sz w:val="24"/>
        </w:rPr>
      </w:pPr>
      <w:r>
        <w:fldChar w:fldCharType="begin"/>
      </w:r>
      <w:r>
        <w:instrText xml:space="preserve"> HYPERLINK \l "_Toc23241" </w:instrText>
      </w:r>
      <w:r>
        <w:fldChar w:fldCharType="separate"/>
      </w:r>
      <w:r>
        <w:rPr>
          <w:rFonts w:ascii="Arial Narrow" w:hAnsi="Arial Narrow" w:cs="Arial Narrow"/>
          <w:bCs/>
          <w:sz w:val="24"/>
        </w:rPr>
        <w:t>2、评价结论</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_Toc23241 </w:instrText>
      </w:r>
      <w:r>
        <w:rPr>
          <w:rFonts w:ascii="Arial Narrow" w:hAnsi="Arial Narrow" w:cs="Arial Narrow"/>
          <w:sz w:val="24"/>
        </w:rPr>
        <w:fldChar w:fldCharType="separate"/>
      </w:r>
      <w:r>
        <w:rPr>
          <w:rFonts w:ascii="Arial Narrow" w:hAnsi="Arial Narrow" w:cs="Arial Narrow"/>
          <w:sz w:val="24"/>
        </w:rPr>
        <w:t>24</w:t>
      </w:r>
      <w:r>
        <w:rPr>
          <w:rFonts w:ascii="Arial Narrow" w:hAnsi="Arial Narrow" w:cs="Arial Narrow"/>
          <w:sz w:val="24"/>
        </w:rPr>
        <w:fldChar w:fldCharType="end"/>
      </w:r>
      <w:r>
        <w:rPr>
          <w:rFonts w:ascii="Arial Narrow" w:hAnsi="Arial Narrow" w:cs="Arial Narrow"/>
          <w:sz w:val="24"/>
        </w:rPr>
        <w:fldChar w:fldCharType="end"/>
      </w:r>
    </w:p>
    <w:p>
      <w:pPr>
        <w:pStyle w:val="9"/>
        <w:tabs>
          <w:tab w:val="right" w:leader="dot" w:pos="8844"/>
        </w:tabs>
        <w:spacing w:line="360" w:lineRule="auto"/>
        <w:ind w:left="600"/>
        <w:rPr>
          <w:rFonts w:ascii="Arial Narrow" w:hAnsi="Arial Narrow" w:cs="Arial Narrow"/>
          <w:sz w:val="24"/>
        </w:rPr>
      </w:pPr>
      <w:r>
        <w:fldChar w:fldCharType="begin"/>
      </w:r>
      <w:r>
        <w:instrText xml:space="preserve"> HYPERLINK \l "_Toc18549" </w:instrText>
      </w:r>
      <w:r>
        <w:fldChar w:fldCharType="separate"/>
      </w:r>
      <w:r>
        <w:rPr>
          <w:rFonts w:ascii="Arial Narrow" w:hAnsi="Arial Narrow" w:cs="Arial Narrow"/>
          <w:sz w:val="24"/>
        </w:rPr>
        <w:t>（四）主要经验及做法、存在的问题和建议</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_Toc18549 </w:instrText>
      </w:r>
      <w:r>
        <w:rPr>
          <w:rFonts w:ascii="Arial Narrow" w:hAnsi="Arial Narrow" w:cs="Arial Narrow"/>
          <w:sz w:val="24"/>
        </w:rPr>
        <w:fldChar w:fldCharType="separate"/>
      </w:r>
      <w:r>
        <w:rPr>
          <w:rFonts w:ascii="Arial Narrow" w:hAnsi="Arial Narrow" w:cs="Arial Narrow"/>
          <w:sz w:val="24"/>
        </w:rPr>
        <w:t>25</w:t>
      </w:r>
      <w:r>
        <w:rPr>
          <w:rFonts w:ascii="Arial Narrow" w:hAnsi="Arial Narrow" w:cs="Arial Narrow"/>
          <w:sz w:val="24"/>
        </w:rPr>
        <w:fldChar w:fldCharType="end"/>
      </w:r>
      <w:r>
        <w:rPr>
          <w:rFonts w:ascii="Arial Narrow" w:hAnsi="Arial Narrow" w:cs="Arial Narrow"/>
          <w:sz w:val="24"/>
        </w:rPr>
        <w:fldChar w:fldCharType="end"/>
      </w:r>
    </w:p>
    <w:p>
      <w:pPr>
        <w:pStyle w:val="4"/>
        <w:tabs>
          <w:tab w:val="right" w:leader="dot" w:pos="8844"/>
        </w:tabs>
        <w:spacing w:line="360" w:lineRule="auto"/>
        <w:ind w:left="0" w:leftChars="0" w:firstLine="900" w:firstLineChars="300"/>
        <w:rPr>
          <w:rFonts w:ascii="Arial Narrow" w:hAnsi="Arial Narrow" w:cs="Arial Narrow"/>
          <w:sz w:val="24"/>
        </w:rPr>
      </w:pPr>
      <w:r>
        <w:fldChar w:fldCharType="begin"/>
      </w:r>
      <w:r>
        <w:instrText xml:space="preserve"> HYPERLINK \l "_Toc16744" </w:instrText>
      </w:r>
      <w:r>
        <w:fldChar w:fldCharType="separate"/>
      </w:r>
      <w:r>
        <w:rPr>
          <w:rFonts w:ascii="Arial Narrow" w:hAnsi="Arial Narrow" w:cs="Arial Narrow"/>
          <w:bCs/>
          <w:sz w:val="24"/>
        </w:rPr>
        <w:t>1、主要经验及做法</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_Toc16744 </w:instrText>
      </w:r>
      <w:r>
        <w:rPr>
          <w:rFonts w:ascii="Arial Narrow" w:hAnsi="Arial Narrow" w:cs="Arial Narrow"/>
          <w:sz w:val="24"/>
        </w:rPr>
        <w:fldChar w:fldCharType="separate"/>
      </w:r>
      <w:r>
        <w:rPr>
          <w:rFonts w:ascii="Arial Narrow" w:hAnsi="Arial Narrow" w:cs="Arial Narrow"/>
          <w:sz w:val="24"/>
        </w:rPr>
        <w:t>26</w:t>
      </w:r>
      <w:r>
        <w:rPr>
          <w:rFonts w:ascii="Arial Narrow" w:hAnsi="Arial Narrow" w:cs="Arial Narrow"/>
          <w:sz w:val="24"/>
        </w:rPr>
        <w:fldChar w:fldCharType="end"/>
      </w:r>
      <w:r>
        <w:rPr>
          <w:rFonts w:ascii="Arial Narrow" w:hAnsi="Arial Narrow" w:cs="Arial Narrow"/>
          <w:sz w:val="24"/>
        </w:rPr>
        <w:fldChar w:fldCharType="end"/>
      </w:r>
    </w:p>
    <w:p>
      <w:pPr>
        <w:pStyle w:val="4"/>
        <w:tabs>
          <w:tab w:val="right" w:leader="dot" w:pos="8844"/>
        </w:tabs>
        <w:spacing w:line="360" w:lineRule="auto"/>
        <w:ind w:left="0" w:leftChars="0" w:firstLine="900" w:firstLineChars="300"/>
        <w:rPr>
          <w:rFonts w:ascii="Arial Narrow" w:hAnsi="Arial Narrow" w:cs="Arial Narrow"/>
          <w:sz w:val="24"/>
        </w:rPr>
      </w:pPr>
      <w:r>
        <w:fldChar w:fldCharType="begin"/>
      </w:r>
      <w:r>
        <w:instrText xml:space="preserve"> HYPERLINK \l "_Toc8733" </w:instrText>
      </w:r>
      <w:r>
        <w:fldChar w:fldCharType="separate"/>
      </w:r>
      <w:r>
        <w:rPr>
          <w:rFonts w:ascii="Arial Narrow" w:hAnsi="Arial Narrow" w:cs="Arial Narrow"/>
          <w:bCs/>
          <w:sz w:val="24"/>
        </w:rPr>
        <w:t>2、存在的问题及原因分析</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_Toc8733 </w:instrText>
      </w:r>
      <w:r>
        <w:rPr>
          <w:rFonts w:ascii="Arial Narrow" w:hAnsi="Arial Narrow" w:cs="Arial Narrow"/>
          <w:sz w:val="24"/>
        </w:rPr>
        <w:fldChar w:fldCharType="separate"/>
      </w:r>
      <w:r>
        <w:rPr>
          <w:rFonts w:ascii="Arial Narrow" w:hAnsi="Arial Narrow" w:cs="Arial Narrow"/>
          <w:sz w:val="24"/>
        </w:rPr>
        <w:t>26</w:t>
      </w:r>
      <w:r>
        <w:rPr>
          <w:rFonts w:ascii="Arial Narrow" w:hAnsi="Arial Narrow" w:cs="Arial Narrow"/>
          <w:sz w:val="24"/>
        </w:rPr>
        <w:fldChar w:fldCharType="end"/>
      </w:r>
      <w:r>
        <w:rPr>
          <w:rFonts w:ascii="Arial Narrow" w:hAnsi="Arial Narrow" w:cs="Arial Narrow"/>
          <w:sz w:val="24"/>
        </w:rPr>
        <w:fldChar w:fldCharType="end"/>
      </w:r>
    </w:p>
    <w:p>
      <w:pPr>
        <w:pStyle w:val="4"/>
        <w:tabs>
          <w:tab w:val="right" w:leader="dot" w:pos="8844"/>
        </w:tabs>
        <w:spacing w:line="360" w:lineRule="auto"/>
        <w:ind w:left="0" w:leftChars="0" w:firstLine="900" w:firstLineChars="300"/>
        <w:rPr>
          <w:rFonts w:ascii="Arial Narrow" w:hAnsi="Arial Narrow" w:cs="Arial Narrow"/>
          <w:sz w:val="24"/>
        </w:rPr>
      </w:pPr>
      <w:r>
        <w:fldChar w:fldCharType="begin"/>
      </w:r>
      <w:r>
        <w:instrText xml:space="preserve"> HYPERLINK \l "_Toc10496" </w:instrText>
      </w:r>
      <w:r>
        <w:fldChar w:fldCharType="separate"/>
      </w:r>
      <w:r>
        <w:rPr>
          <w:rFonts w:ascii="Arial Narrow" w:hAnsi="Arial Narrow" w:cs="Arial Narrow"/>
          <w:bCs/>
          <w:sz w:val="24"/>
        </w:rPr>
        <w:t>3、建议</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_Toc10496 </w:instrText>
      </w:r>
      <w:r>
        <w:rPr>
          <w:rFonts w:ascii="Arial Narrow" w:hAnsi="Arial Narrow" w:cs="Arial Narrow"/>
          <w:sz w:val="24"/>
        </w:rPr>
        <w:fldChar w:fldCharType="separate"/>
      </w:r>
      <w:r>
        <w:rPr>
          <w:rFonts w:ascii="Arial Narrow" w:hAnsi="Arial Narrow" w:cs="Arial Narrow"/>
          <w:sz w:val="24"/>
        </w:rPr>
        <w:t>26</w:t>
      </w:r>
      <w:r>
        <w:rPr>
          <w:rFonts w:ascii="Arial Narrow" w:hAnsi="Arial Narrow" w:cs="Arial Narrow"/>
          <w:sz w:val="24"/>
        </w:rPr>
        <w:fldChar w:fldCharType="end"/>
      </w:r>
      <w:r>
        <w:rPr>
          <w:rFonts w:ascii="Arial Narrow" w:hAnsi="Arial Narrow" w:cs="Arial Narrow"/>
          <w:sz w:val="24"/>
        </w:rPr>
        <w:fldChar w:fldCharType="end"/>
      </w:r>
    </w:p>
    <w:p>
      <w:pPr>
        <w:pStyle w:val="9"/>
        <w:tabs>
          <w:tab w:val="right" w:leader="dot" w:pos="8844"/>
        </w:tabs>
        <w:spacing w:line="360" w:lineRule="auto"/>
        <w:ind w:left="600"/>
        <w:rPr>
          <w:rFonts w:ascii="Arial Narrow" w:hAnsi="Arial Narrow" w:cs="Arial Narrow"/>
          <w:sz w:val="24"/>
        </w:rPr>
      </w:pPr>
      <w:r>
        <w:fldChar w:fldCharType="begin"/>
      </w:r>
      <w:r>
        <w:instrText xml:space="preserve"> HYPERLINK \l "_Toc13887" </w:instrText>
      </w:r>
      <w:r>
        <w:fldChar w:fldCharType="separate"/>
      </w:r>
      <w:r>
        <w:rPr>
          <w:rFonts w:ascii="Arial Narrow" w:hAnsi="Arial Narrow" w:cs="Arial Narrow"/>
          <w:sz w:val="24"/>
        </w:rPr>
        <w:t>（五）其他需说明的问题</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_Toc13887 </w:instrText>
      </w:r>
      <w:r>
        <w:rPr>
          <w:rFonts w:ascii="Arial Narrow" w:hAnsi="Arial Narrow" w:cs="Arial Narrow"/>
          <w:sz w:val="24"/>
        </w:rPr>
        <w:fldChar w:fldCharType="separate"/>
      </w:r>
      <w:r>
        <w:rPr>
          <w:rFonts w:ascii="Arial Narrow" w:hAnsi="Arial Narrow" w:cs="Arial Narrow"/>
          <w:sz w:val="24"/>
        </w:rPr>
        <w:t>27</w:t>
      </w:r>
      <w:r>
        <w:rPr>
          <w:rFonts w:ascii="Arial Narrow" w:hAnsi="Arial Narrow" w:cs="Arial Narrow"/>
          <w:sz w:val="24"/>
        </w:rPr>
        <w:fldChar w:fldCharType="end"/>
      </w:r>
      <w:r>
        <w:rPr>
          <w:rFonts w:ascii="Arial Narrow" w:hAnsi="Arial Narrow" w:cs="Arial Narrow"/>
          <w:sz w:val="24"/>
        </w:rPr>
        <w:fldChar w:fldCharType="end"/>
      </w:r>
    </w:p>
    <w:p>
      <w:pPr>
        <w:pStyle w:val="4"/>
        <w:tabs>
          <w:tab w:val="right" w:leader="dot" w:pos="8844"/>
        </w:tabs>
        <w:spacing w:line="360" w:lineRule="auto"/>
        <w:ind w:left="0" w:leftChars="0" w:firstLine="900" w:firstLineChars="300"/>
        <w:rPr>
          <w:rFonts w:ascii="Arial Narrow" w:hAnsi="Arial Narrow" w:cs="Arial Narrow"/>
          <w:sz w:val="24"/>
        </w:rPr>
      </w:pPr>
      <w:r>
        <w:fldChar w:fldCharType="begin"/>
      </w:r>
      <w:r>
        <w:instrText xml:space="preserve"> HYPERLINK \l "_Toc4602" </w:instrText>
      </w:r>
      <w:r>
        <w:fldChar w:fldCharType="separate"/>
      </w:r>
      <w:r>
        <w:rPr>
          <w:rFonts w:ascii="Arial Narrow" w:hAnsi="Arial Narrow" w:cs="Arial Narrow"/>
          <w:sz w:val="24"/>
        </w:rPr>
        <w:t>1、关于评价责任的说明</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_Toc4602 </w:instrText>
      </w:r>
      <w:r>
        <w:rPr>
          <w:rFonts w:ascii="Arial Narrow" w:hAnsi="Arial Narrow" w:cs="Arial Narrow"/>
          <w:sz w:val="24"/>
        </w:rPr>
        <w:fldChar w:fldCharType="separate"/>
      </w:r>
      <w:r>
        <w:rPr>
          <w:rFonts w:ascii="Arial Narrow" w:hAnsi="Arial Narrow" w:cs="Arial Narrow"/>
          <w:sz w:val="24"/>
        </w:rPr>
        <w:t>27</w:t>
      </w:r>
      <w:r>
        <w:rPr>
          <w:rFonts w:ascii="Arial Narrow" w:hAnsi="Arial Narrow" w:cs="Arial Narrow"/>
          <w:sz w:val="24"/>
        </w:rPr>
        <w:fldChar w:fldCharType="end"/>
      </w:r>
      <w:r>
        <w:rPr>
          <w:rFonts w:ascii="Arial Narrow" w:hAnsi="Arial Narrow" w:cs="Arial Narrow"/>
          <w:sz w:val="24"/>
        </w:rPr>
        <w:fldChar w:fldCharType="end"/>
      </w:r>
    </w:p>
    <w:p>
      <w:pPr>
        <w:pStyle w:val="4"/>
        <w:tabs>
          <w:tab w:val="right" w:leader="dot" w:pos="8844"/>
        </w:tabs>
        <w:spacing w:line="360" w:lineRule="auto"/>
        <w:ind w:left="0" w:leftChars="0" w:firstLine="900" w:firstLineChars="300"/>
        <w:rPr>
          <w:rFonts w:ascii="Arial Narrow" w:hAnsi="Arial Narrow" w:cs="Arial Narrow"/>
          <w:sz w:val="24"/>
        </w:rPr>
      </w:pPr>
      <w:r>
        <w:fldChar w:fldCharType="begin"/>
      </w:r>
      <w:r>
        <w:instrText xml:space="preserve"> HYPERLINK \l "_Toc30933" </w:instrText>
      </w:r>
      <w:r>
        <w:fldChar w:fldCharType="separate"/>
      </w:r>
      <w:r>
        <w:rPr>
          <w:rFonts w:ascii="Arial Narrow" w:hAnsi="Arial Narrow" w:cs="Arial Narrow"/>
          <w:sz w:val="24"/>
        </w:rPr>
        <w:t>2、关于本项目评价中局限性的说明</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_Toc30933 </w:instrText>
      </w:r>
      <w:r>
        <w:rPr>
          <w:rFonts w:ascii="Arial Narrow" w:hAnsi="Arial Narrow" w:cs="Arial Narrow"/>
          <w:sz w:val="24"/>
        </w:rPr>
        <w:fldChar w:fldCharType="separate"/>
      </w:r>
      <w:r>
        <w:rPr>
          <w:rFonts w:ascii="Arial Narrow" w:hAnsi="Arial Narrow" w:cs="Arial Narrow"/>
          <w:sz w:val="24"/>
        </w:rPr>
        <w:t>27</w:t>
      </w:r>
      <w:r>
        <w:rPr>
          <w:rFonts w:ascii="Arial Narrow" w:hAnsi="Arial Narrow" w:cs="Arial Narrow"/>
          <w:sz w:val="24"/>
        </w:rPr>
        <w:fldChar w:fldCharType="end"/>
      </w:r>
      <w:r>
        <w:rPr>
          <w:rFonts w:ascii="Arial Narrow" w:hAnsi="Arial Narrow" w:cs="Arial Narrow"/>
          <w:sz w:val="24"/>
        </w:rPr>
        <w:fldChar w:fldCharType="end"/>
      </w:r>
    </w:p>
    <w:p>
      <w:pPr>
        <w:pStyle w:val="9"/>
        <w:tabs>
          <w:tab w:val="right" w:leader="dot" w:pos="8844"/>
        </w:tabs>
        <w:spacing w:line="360" w:lineRule="auto"/>
        <w:ind w:left="600"/>
        <w:rPr>
          <w:rFonts w:ascii="Arial Narrow" w:hAnsi="Arial Narrow" w:cs="Arial Narrow"/>
        </w:rPr>
      </w:pPr>
      <w:r>
        <w:fldChar w:fldCharType="begin"/>
      </w:r>
      <w:r>
        <w:instrText xml:space="preserve"> HYPERLINK \l "_Toc2254" </w:instrText>
      </w:r>
      <w:r>
        <w:fldChar w:fldCharType="separate"/>
      </w:r>
      <w:r>
        <w:rPr>
          <w:rFonts w:ascii="Arial Narrow" w:hAnsi="Arial Narrow" w:cs="Arial Narrow"/>
          <w:sz w:val="24"/>
        </w:rPr>
        <w:t>附件</w:t>
      </w:r>
      <w:r>
        <w:rPr>
          <w:rFonts w:ascii="Arial Narrow" w:hAnsi="Arial Narrow" w:cs="Arial Narrow"/>
          <w:sz w:val="24"/>
        </w:rPr>
        <w:fldChar w:fldCharType="end"/>
      </w:r>
    </w:p>
    <w:p>
      <w:pPr>
        <w:keepNext/>
        <w:spacing w:line="360" w:lineRule="auto"/>
        <w:outlineLvl w:val="0"/>
        <w:rPr>
          <w:rFonts w:ascii="Arial Narrow" w:hAnsi="Arial Narrow" w:cs="Arial Narrow"/>
          <w:color w:val="000000" w:themeColor="text1"/>
          <w14:textFill>
            <w14:solidFill>
              <w14:schemeClr w14:val="tx1"/>
            </w14:solidFill>
          </w14:textFill>
        </w:rPr>
        <w:sectPr>
          <w:pgSz w:w="11906" w:h="16838"/>
          <w:pgMar w:top="2098" w:right="1531" w:bottom="1985" w:left="1531" w:header="851" w:footer="992" w:gutter="0"/>
          <w:pgNumType w:start="1"/>
          <w:cols w:space="425" w:num="1"/>
          <w:docGrid w:type="lines" w:linePitch="312" w:charSpace="0"/>
        </w:sectPr>
      </w:pPr>
    </w:p>
    <w:p>
      <w:pPr>
        <w:keepNext/>
        <w:spacing w:line="360" w:lineRule="auto"/>
        <w:outlineLvl w:val="0"/>
        <w:rPr>
          <w:rFonts w:ascii="Arial Narrow" w:hAnsi="Arial Narrow" w:cs="Arial Narrow"/>
          <w:color w:val="000000" w:themeColor="text1"/>
          <w14:textFill>
            <w14:solidFill>
              <w14:schemeClr w14:val="tx1"/>
            </w14:solidFill>
          </w14:textFill>
        </w:rPr>
        <w:sectPr>
          <w:pgSz w:w="11906" w:h="16838"/>
          <w:pgMar w:top="2098" w:right="1531" w:bottom="1985" w:left="1531" w:header="851" w:footer="992" w:gutter="0"/>
          <w:pgNumType w:start="1"/>
          <w:cols w:space="425" w:num="1"/>
          <w:docGrid w:type="lines" w:linePitch="312" w:charSpace="0"/>
        </w:sectPr>
      </w:pPr>
    </w:p>
    <w:p>
      <w:pPr>
        <w:keepNext/>
        <w:spacing w:line="360" w:lineRule="auto"/>
        <w:outlineLvl w:val="0"/>
        <w:rPr>
          <w:rFonts w:ascii="Arial Narrow" w:hAnsi="Arial Narrow" w:cs="Arial Narrow"/>
          <w:b/>
          <w:color w:val="000000" w:themeColor="text1"/>
          <w:sz w:val="24"/>
          <w14:textFill>
            <w14:solidFill>
              <w14:schemeClr w14:val="tx1"/>
            </w14:solidFill>
          </w14:textFill>
        </w:rPr>
      </w:pPr>
      <w:r>
        <w:rPr>
          <w:rFonts w:ascii="Arial Narrow" w:hAnsi="Arial Narrow" w:cs="Arial Narrow"/>
          <w:color w:val="000000" w:themeColor="text1"/>
          <w14:textFill>
            <w14:solidFill>
              <w14:schemeClr w14:val="tx1"/>
            </w14:solidFill>
          </w14:textFill>
        </w:rPr>
        <w:fldChar w:fldCharType="end"/>
      </w:r>
      <w:bookmarkStart w:id="0" w:name="_Toc18954"/>
      <w:r>
        <w:rPr>
          <w:rFonts w:ascii="Arial Narrow" w:hAnsi="Arial Narrow" w:cs="Arial Narrow"/>
          <w:b/>
          <w:color w:val="000000" w:themeColor="text1"/>
          <w:sz w:val="24"/>
          <w14:textFill>
            <w14:solidFill>
              <w14:schemeClr w14:val="tx1"/>
            </w14:solidFill>
          </w14:textFill>
        </w:rPr>
        <w:t>一、摘要</w:t>
      </w:r>
      <w:bookmarkEnd w:id="0"/>
    </w:p>
    <w:p>
      <w:pPr>
        <w:keepNext/>
        <w:spacing w:line="360" w:lineRule="auto"/>
        <w:ind w:firstLine="482" w:firstLineChars="200"/>
        <w:outlineLvl w:val="1"/>
        <w:rPr>
          <w:rFonts w:ascii="仿宋_GB2312" w:hAnsi="Arial Narrow"/>
          <w:sz w:val="32"/>
          <w:szCs w:val="32"/>
        </w:rPr>
      </w:pPr>
      <w:bookmarkStart w:id="1" w:name="_Toc22341"/>
      <w:bookmarkStart w:id="2" w:name="_Toc6428"/>
      <w:r>
        <w:rPr>
          <w:rFonts w:hint="eastAsia" w:ascii="仿宋_GB2312" w:hAnsi="Arial Narrow" w:cs="Arial Narrow"/>
          <w:b/>
          <w:color w:val="000000" w:themeColor="text1"/>
          <w:sz w:val="24"/>
          <w14:textFill>
            <w14:solidFill>
              <w14:schemeClr w14:val="tx1"/>
            </w14:solidFill>
          </w14:textFill>
        </w:rPr>
        <w:t>（一）基本情况</w:t>
      </w:r>
      <w:bookmarkEnd w:id="1"/>
      <w:bookmarkEnd w:id="2"/>
    </w:p>
    <w:p>
      <w:pPr>
        <w:spacing w:line="360" w:lineRule="auto"/>
        <w:ind w:firstLine="480" w:firstLineChars="200"/>
        <w:rPr>
          <w:rFonts w:ascii="仿宋_GB2312" w:hAnsi="Arial Narrow" w:cs="Arial Narrow"/>
          <w:color w:val="000000" w:themeColor="text1"/>
          <w:sz w:val="24"/>
          <w14:textFill>
            <w14:solidFill>
              <w14:schemeClr w14:val="tx1"/>
            </w14:solidFill>
          </w14:textFill>
        </w:rPr>
      </w:pPr>
      <w:bookmarkStart w:id="3" w:name="_Toc22832"/>
      <w:bookmarkStart w:id="4" w:name="_Toc26201"/>
      <w:r>
        <w:rPr>
          <w:rFonts w:ascii="Arial Narrow" w:hAnsi="Arial Narrow" w:cs="Arial Narrow"/>
          <w:color w:val="000000" w:themeColor="text1"/>
          <w:sz w:val="24"/>
          <w14:textFill>
            <w14:solidFill>
              <w14:schemeClr w14:val="tx1"/>
            </w14:solidFill>
          </w14:textFill>
        </w:rPr>
        <w:t>1、项</w:t>
      </w:r>
      <w:r>
        <w:rPr>
          <w:rFonts w:hint="eastAsia" w:ascii="仿宋_GB2312" w:hAnsi="Arial Narrow" w:cs="Arial Narrow"/>
          <w:color w:val="000000" w:themeColor="text1"/>
          <w:sz w:val="24"/>
          <w14:textFill>
            <w14:solidFill>
              <w14:schemeClr w14:val="tx1"/>
            </w14:solidFill>
          </w14:textFill>
        </w:rPr>
        <w:t>目基本情况。</w:t>
      </w:r>
      <w:bookmarkEnd w:id="3"/>
      <w:bookmarkEnd w:id="4"/>
    </w:p>
    <w:p>
      <w:pPr>
        <w:spacing w:line="360" w:lineRule="auto"/>
        <w:ind w:firstLine="482"/>
        <w:rPr>
          <w:rFonts w:ascii="仿宋_GB2312" w:hAnsi="Arial Narrow"/>
          <w:color w:val="000000" w:themeColor="text1"/>
          <w:sz w:val="24"/>
          <w14:textFill>
            <w14:solidFill>
              <w14:schemeClr w14:val="tx1"/>
            </w14:solidFill>
          </w14:textFill>
        </w:rPr>
      </w:pPr>
      <w:r>
        <w:rPr>
          <w:rFonts w:hint="eastAsia" w:ascii="仿宋_GB2312" w:hAnsi="Arial Narrow" w:cs="Arial Narrow"/>
          <w:sz w:val="24"/>
          <w:szCs w:val="21"/>
        </w:rPr>
        <w:t>根据《中华人民共和国安全生产法》、《中共中央国务院关于推进安全生产领域改革发展的意见》、《中华人民共和国道路运输管理条例》、《</w:t>
      </w:r>
      <w:r>
        <w:rPr>
          <w:rFonts w:hint="eastAsia" w:ascii="仿宋_GB2312" w:hAnsi="Arial Narrow" w:cs="宋体"/>
          <w:sz w:val="24"/>
          <w:szCs w:val="21"/>
        </w:rPr>
        <w:t>中华人民共和国突发事件应对法</w:t>
      </w:r>
      <w:r>
        <w:rPr>
          <w:rFonts w:hint="eastAsia" w:ascii="仿宋_GB2312" w:hAnsi="Arial Narrow" w:cs="Arial Narrow"/>
          <w:sz w:val="24"/>
          <w:szCs w:val="21"/>
        </w:rPr>
        <w:t>》等文件的要求，</w:t>
      </w:r>
      <w:r>
        <w:rPr>
          <w:rFonts w:hint="eastAsia" w:ascii="仿宋_GB2312" w:hAnsi="Arial Narrow" w:cs="宋体"/>
          <w:sz w:val="24"/>
          <w:szCs w:val="21"/>
        </w:rPr>
        <w:t>通过事故应急预案演练，提高突发事故的应急处理和抢救救援的快速反应能力，</w:t>
      </w:r>
      <w:r>
        <w:rPr>
          <w:rFonts w:hint="eastAsia" w:ascii="仿宋_GB2312" w:hAnsi="Arial Narrow" w:cs="Arial Narrow"/>
          <w:sz w:val="24"/>
          <w:szCs w:val="21"/>
        </w:rPr>
        <w:t>加强各行业安全宣传资料、桥梁安全、消防安全、基础设施、设备维护的投入与维护，有效消除安全隐患，防范事故的发生，</w:t>
      </w:r>
      <w:r>
        <w:rPr>
          <w:rFonts w:hint="eastAsia" w:ascii="仿宋_GB2312" w:hAnsi="Arial Narrow"/>
          <w:color w:val="000000" w:themeColor="text1"/>
          <w:sz w:val="24"/>
          <w14:textFill>
            <w14:solidFill>
              <w14:schemeClr w14:val="tx1"/>
            </w14:solidFill>
          </w14:textFill>
        </w:rPr>
        <w:t>完成区安委会、市交通运输委安监处、区城乡建设局及区政府办桥梁安全管理的安全监督管理责任目标。</w:t>
      </w:r>
    </w:p>
    <w:p>
      <w:pPr>
        <w:spacing w:line="360" w:lineRule="auto"/>
        <w:ind w:firstLine="482"/>
        <w:rPr>
          <w:rFonts w:ascii="Arial Narrow" w:hAnsi="Arial Narrow" w:cs="Arial Narrow"/>
          <w:sz w:val="24"/>
          <w:szCs w:val="21"/>
        </w:rPr>
      </w:pPr>
      <w:r>
        <w:rPr>
          <w:rFonts w:hint="eastAsia" w:ascii="仿宋_GB2312" w:hAnsi="Arial Narrow"/>
          <w:color w:val="000000" w:themeColor="text1"/>
          <w:sz w:val="24"/>
          <w14:textFill>
            <w14:solidFill>
              <w14:schemeClr w14:val="tx1"/>
            </w14:solidFill>
          </w14:textFill>
        </w:rPr>
        <w:t>项目预算资金是经武汉经济技术开发区（汉南区）财政局批复的</w:t>
      </w:r>
      <w:r>
        <w:rPr>
          <w:rFonts w:ascii="Arial Narrow" w:hAnsi="Arial Narrow"/>
          <w:color w:val="000000" w:themeColor="text1"/>
          <w:sz w:val="24"/>
          <w14:textFill>
            <w14:solidFill>
              <w14:schemeClr w14:val="tx1"/>
            </w14:solidFill>
          </w14:textFill>
        </w:rPr>
        <w:t>38.00</w:t>
      </w:r>
      <w:r>
        <w:rPr>
          <w:rFonts w:hint="eastAsia" w:ascii="仿宋_GB2312" w:hAnsi="Arial Narrow"/>
          <w:color w:val="000000" w:themeColor="text1"/>
          <w:sz w:val="24"/>
          <w14:textFill>
            <w14:solidFill>
              <w14:schemeClr w14:val="tx1"/>
            </w14:solidFill>
          </w14:textFill>
        </w:rPr>
        <w:t>万元，截止至</w:t>
      </w:r>
      <w:r>
        <w:rPr>
          <w:rFonts w:ascii="Arial Narrow" w:hAnsi="Arial Narrow"/>
          <w:color w:val="000000" w:themeColor="text1"/>
          <w:sz w:val="24"/>
          <w14:textFill>
            <w14:solidFill>
              <w14:schemeClr w14:val="tx1"/>
            </w14:solidFill>
          </w14:textFill>
        </w:rPr>
        <w:t>2018年12月31日，实际支出25.32万元，资金使用率为66.63%。</w:t>
      </w:r>
    </w:p>
    <w:p>
      <w:pPr>
        <w:tabs>
          <w:tab w:val="left" w:pos="6128"/>
        </w:tabs>
        <w:spacing w:line="360" w:lineRule="auto"/>
        <w:ind w:firstLine="240" w:firstLineChars="100"/>
        <w:rPr>
          <w:rFonts w:ascii="仿宋_GB2312" w:hAnsi="Arial Narrow" w:cs="Arial Narrow"/>
          <w:color w:val="000000" w:themeColor="text1"/>
          <w:sz w:val="24"/>
          <w14:textFill>
            <w14:solidFill>
              <w14:schemeClr w14:val="tx1"/>
            </w14:solidFill>
          </w14:textFill>
        </w:rPr>
      </w:pPr>
      <w:bookmarkStart w:id="5" w:name="_Toc28157"/>
      <w:bookmarkStart w:id="6" w:name="_Toc22475"/>
      <w:r>
        <w:rPr>
          <w:rFonts w:ascii="Arial Narrow" w:hAnsi="Arial Narrow" w:cs="Arial Narrow"/>
          <w:color w:val="000000" w:themeColor="text1"/>
          <w:sz w:val="24"/>
          <w14:textFill>
            <w14:solidFill>
              <w14:schemeClr w14:val="tx1"/>
            </w14:solidFill>
          </w14:textFill>
        </w:rPr>
        <w:t>2、绩</w:t>
      </w:r>
      <w:r>
        <w:rPr>
          <w:rFonts w:hint="eastAsia" w:ascii="仿宋_GB2312" w:hAnsi="Arial Narrow" w:cs="Arial Narrow"/>
          <w:color w:val="000000" w:themeColor="text1"/>
          <w:sz w:val="24"/>
          <w14:textFill>
            <w14:solidFill>
              <w14:schemeClr w14:val="tx1"/>
            </w14:solidFill>
          </w14:textFill>
        </w:rPr>
        <w:t>效评价工作情况</w:t>
      </w:r>
      <w:bookmarkEnd w:id="5"/>
      <w:bookmarkEnd w:id="6"/>
      <w:r>
        <w:rPr>
          <w:rFonts w:hint="eastAsia" w:ascii="仿宋_GB2312" w:hAnsi="Arial Narrow" w:cs="Arial Narrow"/>
          <w:color w:val="000000" w:themeColor="text1"/>
          <w:sz w:val="24"/>
          <w14:textFill>
            <w14:solidFill>
              <w14:schemeClr w14:val="tx1"/>
            </w14:solidFill>
          </w14:textFill>
        </w:rPr>
        <w:tab/>
      </w:r>
    </w:p>
    <w:p>
      <w:pPr>
        <w:tabs>
          <w:tab w:val="left" w:pos="6128"/>
        </w:tabs>
        <w:spacing w:line="360" w:lineRule="auto"/>
        <w:ind w:firstLine="480" w:firstLineChars="200"/>
        <w:rPr>
          <w:rFonts w:ascii="仿宋_GB2312" w:hAnsi="Arial Narrow" w:cs="Arial Narrow"/>
          <w:color w:val="000000" w:themeColor="text1"/>
          <w:sz w:val="24"/>
          <w14:textFill>
            <w14:solidFill>
              <w14:schemeClr w14:val="tx1"/>
            </w14:solidFill>
          </w14:textFill>
        </w:rPr>
      </w:pPr>
      <w:r>
        <w:rPr>
          <w:rFonts w:hint="eastAsia" w:ascii="仿宋_GB2312" w:hAnsi="Arial Narrow" w:cs="Arial Narrow"/>
          <w:color w:val="000000" w:themeColor="text1"/>
          <w:sz w:val="24"/>
          <w14:textFill>
            <w14:solidFill>
              <w14:schemeClr w14:val="tx1"/>
            </w14:solidFill>
          </w14:textFill>
        </w:rPr>
        <w:t>致同会计师事务所（特殊普通合伙）武汉分所接受武汉经济技术开发区（汉南区）城乡建设局</w:t>
      </w:r>
      <w:r>
        <w:rPr>
          <w:rFonts w:hint="eastAsia" w:ascii="仿宋_GB2312" w:hAnsi="Arial Narrow" w:cs="Arial Narrow"/>
          <w:sz w:val="24"/>
        </w:rPr>
        <w:t>委托，</w:t>
      </w:r>
      <w:r>
        <w:rPr>
          <w:rFonts w:ascii="Arial Narrow" w:hAnsi="Arial Narrow" w:cs="Arial Narrow"/>
          <w:sz w:val="24"/>
        </w:rPr>
        <w:t>从7月10日—7月2</w:t>
      </w:r>
      <w:r>
        <w:rPr>
          <w:rFonts w:hint="eastAsia" w:ascii="Arial Narrow" w:hAnsi="Arial Narrow" w:cs="Arial Narrow"/>
          <w:sz w:val="24"/>
        </w:rPr>
        <w:t>6</w:t>
      </w:r>
      <w:r>
        <w:rPr>
          <w:rFonts w:ascii="Arial Narrow" w:hAnsi="Arial Narrow" w:cs="Arial Narrow"/>
          <w:sz w:val="24"/>
        </w:rPr>
        <w:t>日，历时</w:t>
      </w:r>
      <w:r>
        <w:rPr>
          <w:rFonts w:hint="eastAsia" w:ascii="Arial Narrow" w:hAnsi="Arial Narrow" w:cs="Arial Narrow"/>
          <w:sz w:val="24"/>
        </w:rPr>
        <w:t>17</w:t>
      </w:r>
      <w:r>
        <w:rPr>
          <w:rFonts w:ascii="Arial Narrow" w:hAnsi="Arial Narrow" w:cs="Arial Narrow"/>
          <w:sz w:val="24"/>
        </w:rPr>
        <w:t>天，投入7人，根据《区财政局关于2019年开展预算绩效评价工作的通知》（武经开财〔2019〕29号）开</w:t>
      </w:r>
      <w:r>
        <w:rPr>
          <w:rFonts w:hint="eastAsia" w:ascii="仿宋_GB2312" w:hAnsi="Arial Narrow" w:cs="Arial Narrow"/>
          <w:color w:val="000000" w:themeColor="text1"/>
          <w:sz w:val="24"/>
          <w14:textFill>
            <w14:solidFill>
              <w14:schemeClr w14:val="tx1"/>
            </w14:solidFill>
          </w14:textFill>
        </w:rPr>
        <w:t>展现场评价工作，项目由省财政厅专家库成员李海京提供指导。</w:t>
      </w:r>
    </w:p>
    <w:p>
      <w:pPr>
        <w:spacing w:line="360" w:lineRule="auto"/>
        <w:ind w:firstLine="482" w:firstLineChars="200"/>
        <w:outlineLvl w:val="1"/>
        <w:rPr>
          <w:rFonts w:ascii="仿宋_GB2312" w:hAnsi="Arial Narrow" w:cs="Arial Narrow"/>
          <w:b/>
          <w:color w:val="000000" w:themeColor="text1"/>
          <w:sz w:val="24"/>
          <w14:textFill>
            <w14:solidFill>
              <w14:schemeClr w14:val="tx1"/>
            </w14:solidFill>
          </w14:textFill>
        </w:rPr>
      </w:pPr>
      <w:bookmarkStart w:id="7" w:name="_Toc481590349"/>
      <w:bookmarkStart w:id="8" w:name="_Toc20883"/>
      <w:bookmarkStart w:id="9" w:name="_Toc3890"/>
      <w:bookmarkStart w:id="10" w:name="_Toc31832"/>
      <w:r>
        <w:rPr>
          <w:rFonts w:hint="eastAsia" w:ascii="仿宋_GB2312" w:hAnsi="Arial Narrow" w:cs="Arial Narrow"/>
          <w:b/>
          <w:color w:val="000000" w:themeColor="text1"/>
          <w:sz w:val="24"/>
          <w14:textFill>
            <w14:solidFill>
              <w14:schemeClr w14:val="tx1"/>
            </w14:solidFill>
          </w14:textFill>
        </w:rPr>
        <w:t>（二）绩效评价结论</w:t>
      </w:r>
      <w:bookmarkEnd w:id="7"/>
      <w:bookmarkEnd w:id="8"/>
      <w:bookmarkEnd w:id="9"/>
      <w:bookmarkEnd w:id="10"/>
    </w:p>
    <w:p>
      <w:pPr>
        <w:spacing w:line="360" w:lineRule="auto"/>
        <w:ind w:firstLine="480" w:firstLineChars="200"/>
        <w:rPr>
          <w:rFonts w:ascii="Arial Narrow" w:hAnsi="Arial Narrow" w:cs="Arial Narrow"/>
          <w:bCs/>
          <w:color w:val="000000" w:themeColor="text1"/>
          <w:sz w:val="24"/>
          <w14:textFill>
            <w14:solidFill>
              <w14:schemeClr w14:val="tx1"/>
            </w14:solidFill>
          </w14:textFill>
        </w:rPr>
      </w:pPr>
      <w:bookmarkStart w:id="11" w:name="_Toc28448"/>
      <w:r>
        <w:rPr>
          <w:rFonts w:ascii="Arial Narrow" w:hAnsi="Arial Narrow" w:cs="Arial Narrow"/>
          <w:bCs/>
          <w:color w:val="000000" w:themeColor="text1"/>
          <w:sz w:val="24"/>
          <w14:textFill>
            <w14:solidFill>
              <w14:schemeClr w14:val="tx1"/>
            </w14:solidFill>
          </w14:textFill>
        </w:rPr>
        <w:t>1、评分结果</w:t>
      </w:r>
    </w:p>
    <w:p>
      <w:pPr>
        <w:spacing w:line="360" w:lineRule="auto"/>
        <w:ind w:firstLine="480" w:firstLineChars="200"/>
        <w:rPr>
          <w:rFonts w:ascii="Arial Narrow" w:hAnsi="Arial Narrow" w:cs="Arial Narrow"/>
          <w:bCs/>
          <w:sz w:val="24"/>
        </w:rPr>
      </w:pPr>
      <w:r>
        <w:rPr>
          <w:rFonts w:hint="eastAsia" w:ascii="Arial Narrow" w:hAnsi="Arial Narrow" w:cs="Arial Narrow"/>
          <w:bCs/>
          <w:color w:val="000000" w:themeColor="text1"/>
          <w:sz w:val="24"/>
          <w14:textFill>
            <w14:solidFill>
              <w14:schemeClr w14:val="tx1"/>
            </w14:solidFill>
          </w14:textFill>
        </w:rPr>
        <w:t>“</w:t>
      </w:r>
      <w:r>
        <w:rPr>
          <w:rFonts w:ascii="Arial Narrow" w:hAnsi="Arial Narrow" w:cs="Arial Narrow"/>
          <w:bCs/>
          <w:color w:val="000000" w:themeColor="text1"/>
          <w:sz w:val="24"/>
          <w14:textFill>
            <w14:solidFill>
              <w14:schemeClr w14:val="tx1"/>
            </w14:solidFill>
          </w14:textFill>
        </w:rPr>
        <w:t>交通安全专项经费</w:t>
      </w:r>
      <w:r>
        <w:rPr>
          <w:rFonts w:hint="eastAsia" w:ascii="Arial Narrow" w:hAnsi="Arial Narrow" w:cs="Arial Narrow"/>
          <w:bCs/>
          <w:color w:val="000000" w:themeColor="text1"/>
          <w:sz w:val="24"/>
          <w14:textFill>
            <w14:solidFill>
              <w14:schemeClr w14:val="tx1"/>
            </w14:solidFill>
          </w14:textFill>
        </w:rPr>
        <w:t>”</w:t>
      </w:r>
      <w:r>
        <w:rPr>
          <w:rFonts w:ascii="Arial Narrow" w:hAnsi="Arial Narrow" w:cs="Arial Narrow"/>
          <w:bCs/>
          <w:color w:val="000000" w:themeColor="text1"/>
          <w:sz w:val="24"/>
          <w14:textFill>
            <w14:solidFill>
              <w14:schemeClr w14:val="tx1"/>
            </w14:solidFill>
          </w14:textFill>
        </w:rPr>
        <w:t>项目绩效评价</w:t>
      </w:r>
      <w:r>
        <w:rPr>
          <w:rFonts w:ascii="Arial Narrow" w:hAnsi="Arial Narrow" w:cs="Arial Narrow"/>
          <w:bCs/>
          <w:sz w:val="24"/>
        </w:rPr>
        <w:t>得分为9</w:t>
      </w:r>
      <w:r>
        <w:rPr>
          <w:rFonts w:hint="eastAsia" w:ascii="Arial Narrow" w:hAnsi="Arial Narrow" w:cs="Arial Narrow"/>
          <w:bCs/>
          <w:sz w:val="24"/>
        </w:rPr>
        <w:t>2</w:t>
      </w:r>
      <w:r>
        <w:rPr>
          <w:rFonts w:ascii="Arial Narrow" w:hAnsi="Arial Narrow" w:cs="Arial Narrow"/>
          <w:bCs/>
          <w:sz w:val="24"/>
        </w:rPr>
        <w:t>分，评价结果为优。</w:t>
      </w:r>
      <w:bookmarkEnd w:id="11"/>
      <w:r>
        <w:rPr>
          <w:rFonts w:ascii="Arial Narrow" w:hAnsi="Arial Narrow" w:cs="Arial Narrow"/>
          <w:bCs/>
          <w:sz w:val="24"/>
        </w:rPr>
        <w:t>其中投入</w:t>
      </w:r>
      <w:r>
        <w:rPr>
          <w:rFonts w:ascii="Arial Narrow" w:hAnsi="Arial Narrow" w:cs="Arial Narrow"/>
          <w:sz w:val="24"/>
        </w:rPr>
        <w:t>得分14分，过程得分24分，产出得分2</w:t>
      </w:r>
      <w:r>
        <w:rPr>
          <w:rFonts w:hint="eastAsia" w:ascii="Arial Narrow" w:hAnsi="Arial Narrow" w:cs="Arial Narrow"/>
          <w:sz w:val="24"/>
        </w:rPr>
        <w:t>6</w:t>
      </w:r>
      <w:r>
        <w:rPr>
          <w:rFonts w:ascii="Arial Narrow" w:hAnsi="Arial Narrow" w:cs="Arial Narrow"/>
          <w:sz w:val="24"/>
        </w:rPr>
        <w:t>分，效果得分28分。</w:t>
      </w:r>
    </w:p>
    <w:p>
      <w:pPr>
        <w:spacing w:line="360" w:lineRule="auto"/>
        <w:ind w:firstLine="480" w:firstLineChars="200"/>
        <w:rPr>
          <w:rFonts w:ascii="仿宋_GB2312" w:hAnsi="Arial Narrow" w:cs="Arial Narrow"/>
          <w:color w:val="000000" w:themeColor="text1"/>
          <w14:textFill>
            <w14:solidFill>
              <w14:schemeClr w14:val="tx1"/>
            </w14:solidFill>
          </w14:textFill>
        </w:rPr>
      </w:pPr>
      <w:bookmarkStart w:id="12" w:name="_Toc24893"/>
      <w:r>
        <w:rPr>
          <w:rFonts w:hint="eastAsia" w:ascii="仿宋_GB2312" w:hAnsi="Arial Narrow" w:cs="Arial Narrow"/>
          <w:bCs/>
          <w:color w:val="000000" w:themeColor="text1"/>
          <w:sz w:val="24"/>
          <w14:textFill>
            <w14:solidFill>
              <w14:schemeClr w14:val="tx1"/>
            </w14:solidFill>
          </w14:textFill>
        </w:rPr>
        <w:t>下图为各指标得分情况：</w:t>
      </w:r>
      <w:bookmarkEnd w:id="12"/>
    </w:p>
    <w:p>
      <w:pPr>
        <w:widowControl/>
        <w:spacing w:line="360" w:lineRule="auto"/>
        <w:jc w:val="center"/>
        <w:rPr>
          <w:rFonts w:ascii="仿宋_GB2312" w:hAnsi="Arial Narrow" w:cs="Arial Narrow"/>
          <w:color w:val="000000" w:themeColor="text1"/>
          <w14:textFill>
            <w14:solidFill>
              <w14:schemeClr w14:val="tx1"/>
            </w14:solidFill>
          </w14:textFill>
        </w:rPr>
      </w:pPr>
      <w:r>
        <w:drawing>
          <wp:inline distT="0" distB="0" distL="114300" distR="114300">
            <wp:extent cx="3829050" cy="2387600"/>
            <wp:effectExtent l="4445" t="4445" r="14605" b="8255"/>
            <wp:docPr id="4"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rFonts w:hint="eastAsia" w:ascii="仿宋_GB2312" w:hAnsi="Arial Narrow" w:cs="Arial Narrow"/>
          <w:color w:val="000000" w:themeColor="text1"/>
          <w14:textFill>
            <w14:solidFill>
              <w14:schemeClr w14:val="tx1"/>
            </w14:solidFill>
          </w14:textFill>
        </w:rPr>
        <w:tab/>
      </w:r>
    </w:p>
    <w:p>
      <w:pPr>
        <w:spacing w:line="360" w:lineRule="auto"/>
        <w:ind w:firstLine="482"/>
        <w:rPr>
          <w:rFonts w:ascii="仿宋_GB2312" w:hAnsi="Arial Narrow" w:cs="Arial Narrow"/>
          <w:color w:val="000000" w:themeColor="text1"/>
          <w:sz w:val="24"/>
          <w14:textFill>
            <w14:solidFill>
              <w14:schemeClr w14:val="tx1"/>
            </w14:solidFill>
          </w14:textFill>
        </w:rPr>
      </w:pPr>
      <w:bookmarkStart w:id="13" w:name="_Toc5555"/>
      <w:r>
        <w:rPr>
          <w:rFonts w:hint="eastAsia" w:ascii="仿宋_GB2312" w:hAnsi="Arial Narrow" w:cs="Arial Narrow"/>
          <w:color w:val="000000" w:themeColor="text1"/>
          <w:sz w:val="24"/>
          <w14:textFill>
            <w14:solidFill>
              <w14:schemeClr w14:val="tx1"/>
            </w14:solidFill>
          </w14:textFill>
        </w:rPr>
        <w:t>2、主要结论</w:t>
      </w:r>
    </w:p>
    <w:p>
      <w:pPr>
        <w:spacing w:line="360" w:lineRule="auto"/>
        <w:ind w:firstLine="482"/>
        <w:rPr>
          <w:rFonts w:ascii="仿宋_GB2312" w:hAnsi="Arial Narrow" w:cs="Arial Narrow"/>
          <w:color w:val="000000" w:themeColor="text1"/>
          <w:sz w:val="24"/>
          <w14:textFill>
            <w14:solidFill>
              <w14:schemeClr w14:val="tx1"/>
            </w14:solidFill>
          </w14:textFill>
        </w:rPr>
      </w:pPr>
      <w:r>
        <w:rPr>
          <w:rFonts w:hint="eastAsia" w:ascii="仿宋_GB2312" w:hAnsi="Arial Narrow" w:cs="Arial Narrow"/>
          <w:color w:val="000000" w:themeColor="text1"/>
          <w:sz w:val="24"/>
          <w14:textFill>
            <w14:solidFill>
              <w14:schemeClr w14:val="tx1"/>
            </w14:solidFill>
          </w14:textFill>
        </w:rPr>
        <w:t>（1</w:t>
      </w:r>
      <w:r>
        <w:rPr>
          <w:rFonts w:hint="eastAsia" w:ascii="仿宋_GB2312" w:hAnsi="宋体" w:cs="宋体"/>
          <w:color w:val="000000" w:themeColor="text1"/>
          <w:sz w:val="24"/>
          <w14:textFill>
            <w14:solidFill>
              <w14:schemeClr w14:val="tx1"/>
            </w14:solidFill>
          </w14:textFill>
        </w:rPr>
        <w:t>）</w:t>
      </w:r>
      <w:r>
        <w:rPr>
          <w:rFonts w:hint="eastAsia" w:ascii="仿宋_GB2312" w:hAnsi="Arial Narrow" w:cs="Arial Narrow"/>
          <w:color w:val="000000" w:themeColor="text1"/>
          <w:sz w:val="24"/>
          <w14:textFill>
            <w14:solidFill>
              <w14:schemeClr w14:val="tx1"/>
            </w14:solidFill>
          </w14:textFill>
        </w:rPr>
        <w:t>投入。项目投入评价得分</w:t>
      </w:r>
      <w:r>
        <w:rPr>
          <w:rFonts w:ascii="Arial Narrow" w:hAnsi="Arial Narrow" w:cs="Arial Narrow"/>
          <w:color w:val="000000" w:themeColor="text1"/>
          <w:sz w:val="24"/>
          <w14:textFill>
            <w14:solidFill>
              <w14:schemeClr w14:val="tx1"/>
            </w14:solidFill>
          </w14:textFill>
        </w:rPr>
        <w:t>为</w:t>
      </w:r>
      <w:r>
        <w:rPr>
          <w:rFonts w:ascii="Arial Narrow" w:hAnsi="Arial Narrow" w:cs="Arial Narrow"/>
          <w:sz w:val="24"/>
        </w:rPr>
        <w:t>14分</w:t>
      </w:r>
      <w:r>
        <w:rPr>
          <w:rFonts w:hint="eastAsia" w:ascii="仿宋_GB2312" w:hAnsi="Arial Narrow" w:cs="Arial Narrow"/>
          <w:sz w:val="24"/>
        </w:rPr>
        <w:t>，评价等级为</w:t>
      </w:r>
      <w:bookmarkEnd w:id="13"/>
      <w:bookmarkStart w:id="14" w:name="_Toc1724"/>
      <w:r>
        <w:rPr>
          <w:rFonts w:hint="eastAsia" w:ascii="仿宋_GB2312" w:hAnsi="Arial Narrow" w:cs="Arial Narrow"/>
          <w:sz w:val="24"/>
        </w:rPr>
        <w:t>良</w:t>
      </w:r>
      <w:r>
        <w:rPr>
          <w:rFonts w:hint="eastAsia" w:ascii="仿宋_GB2312" w:hAnsi="Arial Narrow" w:cs="Arial Narrow"/>
          <w:color w:val="000000" w:themeColor="text1"/>
          <w:sz w:val="24"/>
          <w14:textFill>
            <w14:solidFill>
              <w14:schemeClr w14:val="tx1"/>
            </w14:solidFill>
          </w14:textFill>
        </w:rPr>
        <w:t>。项目立项规范，申报资料较为齐全，资金及时落实到位；项目设立了项目绩效总目标，但未设立年度绩效目标</w:t>
      </w:r>
      <w:r>
        <w:rPr>
          <w:rFonts w:hint="eastAsia" w:ascii="仿宋_GB2312" w:hAnsi="Arial Narrow" w:cs="宋体"/>
          <w:color w:val="000000" w:themeColor="text1"/>
          <w:sz w:val="24"/>
          <w14:textFill>
            <w14:solidFill>
              <w14:schemeClr w14:val="tx1"/>
            </w14:solidFill>
          </w14:textFill>
        </w:rPr>
        <w:t>和长期目标</w:t>
      </w:r>
      <w:r>
        <w:rPr>
          <w:rFonts w:hint="eastAsia" w:ascii="仿宋_GB2312" w:hAnsi="Arial Narrow" w:cs="Arial Narrow"/>
          <w:color w:val="000000" w:themeColor="text1"/>
          <w:sz w:val="24"/>
          <w14:textFill>
            <w14:solidFill>
              <w14:schemeClr w14:val="tx1"/>
            </w14:solidFill>
          </w14:textFill>
        </w:rPr>
        <w:t>，且绩效指标不够清晰、全面，</w:t>
      </w:r>
      <w:r>
        <w:rPr>
          <w:rFonts w:hint="eastAsia" w:ascii="仿宋_GB2312" w:hAnsi="宋体" w:cs="宋体"/>
          <w:color w:val="000000" w:themeColor="text1"/>
          <w:sz w:val="24"/>
          <w14:textFill>
            <w14:solidFill>
              <w14:schemeClr w14:val="tx1"/>
            </w14:solidFill>
          </w14:textFill>
        </w:rPr>
        <w:t>部分</w:t>
      </w:r>
      <w:r>
        <w:rPr>
          <w:rFonts w:hint="eastAsia" w:ascii="仿宋_GB2312" w:hAnsi="Arial Narrow" w:cs="Arial Narrow"/>
          <w:color w:val="000000" w:themeColor="text1"/>
          <w:sz w:val="24"/>
          <w14:textFill>
            <w14:solidFill>
              <w14:schemeClr w14:val="tx1"/>
            </w14:solidFill>
          </w14:textFill>
        </w:rPr>
        <w:t>指标可测性不高。</w:t>
      </w:r>
    </w:p>
    <w:p>
      <w:pPr>
        <w:spacing w:line="360" w:lineRule="auto"/>
        <w:ind w:firstLine="482"/>
        <w:rPr>
          <w:rFonts w:ascii="仿宋_GB2312" w:hAnsi="Arial Narrow" w:cs="Arial Narrow"/>
          <w:sz w:val="24"/>
          <w:szCs w:val="21"/>
        </w:rPr>
      </w:pPr>
      <w:r>
        <w:rPr>
          <w:rFonts w:hint="eastAsia" w:ascii="仿宋_GB2312" w:hAnsi="Arial Narrow" w:cs="Arial Narrow"/>
          <w:color w:val="000000" w:themeColor="text1"/>
          <w:sz w:val="24"/>
          <w14:textFill>
            <w14:solidFill>
              <w14:schemeClr w14:val="tx1"/>
            </w14:solidFill>
          </w14:textFill>
        </w:rPr>
        <w:t>（2</w:t>
      </w:r>
      <w:r>
        <w:rPr>
          <w:rFonts w:hint="eastAsia" w:ascii="仿宋_GB2312" w:hAnsi="宋体" w:cs="宋体"/>
          <w:color w:val="000000" w:themeColor="text1"/>
          <w:sz w:val="24"/>
          <w14:textFill>
            <w14:solidFill>
              <w14:schemeClr w14:val="tx1"/>
            </w14:solidFill>
          </w14:textFill>
        </w:rPr>
        <w:t>）</w:t>
      </w:r>
      <w:r>
        <w:rPr>
          <w:rFonts w:hint="eastAsia" w:ascii="仿宋_GB2312" w:hAnsi="Arial Narrow" w:cs="Arial Narrow"/>
          <w:color w:val="000000" w:themeColor="text1"/>
          <w:sz w:val="24"/>
          <w14:textFill>
            <w14:solidFill>
              <w14:schemeClr w14:val="tx1"/>
            </w14:solidFill>
          </w14:textFill>
        </w:rPr>
        <w:t>过程。项目过程评价得</w:t>
      </w:r>
      <w:r>
        <w:rPr>
          <w:rFonts w:ascii="Arial Narrow" w:hAnsi="Arial Narrow" w:cs="Arial Narrow"/>
          <w:color w:val="000000" w:themeColor="text1"/>
          <w:sz w:val="24"/>
          <w14:textFill>
            <w14:solidFill>
              <w14:schemeClr w14:val="tx1"/>
            </w14:solidFill>
          </w14:textFill>
        </w:rPr>
        <w:t>分为24分，评</w:t>
      </w:r>
      <w:r>
        <w:rPr>
          <w:rFonts w:hint="eastAsia" w:ascii="仿宋_GB2312" w:hAnsi="Arial Narrow" w:cs="Arial Narrow"/>
          <w:color w:val="000000" w:themeColor="text1"/>
          <w:sz w:val="24"/>
          <w14:textFill>
            <w14:solidFill>
              <w14:schemeClr w14:val="tx1"/>
            </w14:solidFill>
          </w14:textFill>
        </w:rPr>
        <w:t>价等级为优</w:t>
      </w:r>
      <w:bookmarkEnd w:id="14"/>
      <w:r>
        <w:rPr>
          <w:rFonts w:hint="eastAsia" w:ascii="仿宋_GB2312" w:hAnsi="Arial Narrow" w:cs="Arial Narrow"/>
          <w:color w:val="000000" w:themeColor="text1"/>
          <w:sz w:val="24"/>
          <w14:textFill>
            <w14:solidFill>
              <w14:schemeClr w14:val="tx1"/>
            </w14:solidFill>
          </w14:textFill>
        </w:rPr>
        <w:t>。</w:t>
      </w:r>
      <w:r>
        <w:rPr>
          <w:rFonts w:hint="eastAsia" w:ascii="仿宋_GB2312" w:hAnsi="Arial Narrow" w:cs="Arial Narrow"/>
          <w:sz w:val="24"/>
          <w:szCs w:val="21"/>
        </w:rPr>
        <w:t>项目</w:t>
      </w:r>
      <w:r>
        <w:rPr>
          <w:rFonts w:hint="eastAsia" w:ascii="仿宋_GB2312" w:hAnsi="宋体" w:cs="宋体"/>
          <w:sz w:val="24"/>
          <w:szCs w:val="21"/>
        </w:rPr>
        <w:t>实施</w:t>
      </w:r>
      <w:r>
        <w:rPr>
          <w:rFonts w:hint="eastAsia" w:ascii="仿宋_GB2312" w:hAnsi="Arial Narrow" w:cs="Arial Narrow"/>
          <w:sz w:val="24"/>
          <w:szCs w:val="21"/>
        </w:rPr>
        <w:t>单位制定了工作计划与实施方案、质量标准，所制定的业务方案合法、合规、完整；项目实施过程中按照各活动工作方案与工作计划实施执行，未发生调整，遵守相关法律法规，采取了相应的项目质量检查措施，项目实施过程中的活动场地设备与信息落实到位，项目计划、流程、总结等相关资料齐全并及时归档。财务管理方面，</w:t>
      </w:r>
      <w:r>
        <w:rPr>
          <w:rFonts w:hint="eastAsia" w:ascii="仿宋_GB2312" w:hAnsi="Arial Narrow" w:cs="Arial Narrow"/>
          <w:sz w:val="24"/>
          <w:szCs w:val="28"/>
        </w:rPr>
        <w:t>财务制度健全且符合规定，项目重要支出事前均经过申请审批，资金的拨付有完整的审批程序和手续，资金使用符合合同规定的用途，并采取了必要的监控手段。</w:t>
      </w:r>
    </w:p>
    <w:p>
      <w:pPr>
        <w:spacing w:line="360" w:lineRule="auto"/>
        <w:ind w:firstLine="480" w:firstLineChars="200"/>
        <w:rPr>
          <w:rFonts w:ascii="仿宋_GB2312" w:hAnsi="Arial Narrow" w:cs="Arial Narrow"/>
          <w:sz w:val="24"/>
          <w:szCs w:val="21"/>
        </w:rPr>
      </w:pPr>
      <w:bookmarkStart w:id="15" w:name="_Toc7473"/>
      <w:r>
        <w:rPr>
          <w:rFonts w:hint="eastAsia" w:ascii="仿宋_GB2312" w:hAnsi="Arial Narrow" w:cs="Arial Narrow"/>
          <w:color w:val="000000" w:themeColor="text1"/>
          <w:sz w:val="24"/>
          <w14:textFill>
            <w14:solidFill>
              <w14:schemeClr w14:val="tx1"/>
            </w14:solidFill>
          </w14:textFill>
        </w:rPr>
        <w:t>（3</w:t>
      </w:r>
      <w:r>
        <w:rPr>
          <w:rFonts w:hint="eastAsia" w:ascii="仿宋_GB2312" w:hAnsi="宋体" w:cs="宋体"/>
          <w:color w:val="000000" w:themeColor="text1"/>
          <w:sz w:val="24"/>
          <w14:textFill>
            <w14:solidFill>
              <w14:schemeClr w14:val="tx1"/>
            </w14:solidFill>
          </w14:textFill>
        </w:rPr>
        <w:t>）</w:t>
      </w:r>
      <w:r>
        <w:rPr>
          <w:rFonts w:hint="eastAsia" w:ascii="仿宋_GB2312" w:hAnsi="Arial Narrow" w:cs="Arial Narrow"/>
          <w:color w:val="000000" w:themeColor="text1"/>
          <w:sz w:val="24"/>
          <w14:textFill>
            <w14:solidFill>
              <w14:schemeClr w14:val="tx1"/>
            </w14:solidFill>
          </w14:textFill>
        </w:rPr>
        <w:t>产出。项目产出评价得分为</w:t>
      </w:r>
      <w:r>
        <w:rPr>
          <w:rFonts w:ascii="Arial Narrow" w:hAnsi="Arial Narrow" w:cs="Arial Narrow"/>
          <w:color w:val="000000" w:themeColor="text1"/>
          <w:sz w:val="24"/>
          <w14:textFill>
            <w14:solidFill>
              <w14:schemeClr w14:val="tx1"/>
            </w14:solidFill>
          </w14:textFill>
        </w:rPr>
        <w:t>2</w:t>
      </w:r>
      <w:r>
        <w:rPr>
          <w:rFonts w:hint="eastAsia" w:ascii="Arial Narrow" w:hAnsi="Arial Narrow" w:cs="Arial Narrow"/>
          <w:color w:val="000000" w:themeColor="text1"/>
          <w:sz w:val="24"/>
          <w14:textFill>
            <w14:solidFill>
              <w14:schemeClr w14:val="tx1"/>
            </w14:solidFill>
          </w14:textFill>
        </w:rPr>
        <w:t>6</w:t>
      </w:r>
      <w:r>
        <w:rPr>
          <w:rFonts w:ascii="Arial Narrow" w:hAnsi="Arial Narrow" w:cs="Arial Narrow"/>
          <w:color w:val="000000" w:themeColor="text1"/>
          <w:sz w:val="24"/>
          <w14:textFill>
            <w14:solidFill>
              <w14:schemeClr w14:val="tx1"/>
            </w14:solidFill>
          </w14:textFill>
        </w:rPr>
        <w:t>分，评价等级为</w:t>
      </w:r>
      <w:r>
        <w:rPr>
          <w:rFonts w:hint="eastAsia" w:ascii="Arial Narrow" w:hAnsi="Arial Narrow" w:cs="Arial Narrow"/>
          <w:color w:val="000000" w:themeColor="text1"/>
          <w:sz w:val="24"/>
          <w14:textFill>
            <w14:solidFill>
              <w14:schemeClr w14:val="tx1"/>
            </w14:solidFill>
          </w14:textFill>
        </w:rPr>
        <w:t>良</w:t>
      </w:r>
      <w:bookmarkEnd w:id="15"/>
      <w:bookmarkStart w:id="16" w:name="_Toc24529"/>
      <w:r>
        <w:rPr>
          <w:rFonts w:hint="eastAsia" w:ascii="Arial Narrow" w:hAnsi="Arial Narrow" w:cs="Arial Narrow"/>
          <w:color w:val="000000" w:themeColor="text1"/>
          <w:sz w:val="24"/>
          <w14:textFill>
            <w14:solidFill>
              <w14:schemeClr w14:val="tx1"/>
            </w14:solidFill>
          </w14:textFill>
        </w:rPr>
        <w:t>。</w:t>
      </w:r>
      <w:r>
        <w:rPr>
          <w:rFonts w:ascii="Arial Narrow" w:hAnsi="Arial Narrow" w:cs="Arial Narrow"/>
          <w:sz w:val="24"/>
          <w:szCs w:val="21"/>
        </w:rPr>
        <w:t>项目实施单位</w:t>
      </w:r>
      <w:r>
        <w:rPr>
          <w:rFonts w:ascii="Arial Narrow" w:hAnsi="Arial Narrow" w:cs="宋体"/>
          <w:sz w:val="24"/>
          <w:szCs w:val="21"/>
        </w:rPr>
        <w:t>实际</w:t>
      </w:r>
      <w:r>
        <w:rPr>
          <w:rFonts w:ascii="Arial Narrow" w:hAnsi="Arial Narrow" w:cs="Arial Narrow"/>
          <w:sz w:val="24"/>
          <w:szCs w:val="21"/>
        </w:rPr>
        <w:t>开展交通安全检查</w:t>
      </w:r>
      <w:r>
        <w:rPr>
          <w:rFonts w:ascii="Arial Narrow" w:hAnsi="Arial Narrow" w:cs="宋体"/>
          <w:sz w:val="24"/>
          <w:szCs w:val="21"/>
        </w:rPr>
        <w:t>大于</w:t>
      </w:r>
      <w:r>
        <w:rPr>
          <w:rFonts w:ascii="Arial Narrow" w:hAnsi="Arial Narrow" w:cs="Arial Narrow"/>
          <w:sz w:val="24"/>
          <w:szCs w:val="21"/>
        </w:rPr>
        <w:t>12次，于2017年12月前编制完成</w:t>
      </w:r>
      <w:r>
        <w:rPr>
          <w:rFonts w:hint="eastAsia" w:ascii="仿宋_GB2312" w:hAnsi="Arial Narrow" w:cs="Arial Narrow"/>
          <w:sz w:val="24"/>
          <w:szCs w:val="21"/>
        </w:rPr>
        <w:t>了全区建设、交通系统应急预案</w:t>
      </w:r>
      <w:r>
        <w:rPr>
          <w:rFonts w:hint="eastAsia" w:ascii="仿宋_GB2312" w:hAnsi="Arial Narrow" w:cs="宋体"/>
          <w:sz w:val="24"/>
          <w:szCs w:val="21"/>
        </w:rPr>
        <w:t>，该预案按规定可</w:t>
      </w:r>
      <w:r>
        <w:rPr>
          <w:rFonts w:ascii="Arial Narrow" w:hAnsi="Arial Narrow" w:cs="宋体"/>
          <w:sz w:val="24"/>
          <w:szCs w:val="21"/>
        </w:rPr>
        <w:t>沿用至2018年</w:t>
      </w:r>
      <w:r>
        <w:rPr>
          <w:rFonts w:ascii="Arial Narrow" w:hAnsi="Arial Narrow" w:cs="Arial Narrow"/>
          <w:sz w:val="24"/>
          <w:szCs w:val="21"/>
        </w:rPr>
        <w:t>；开展</w:t>
      </w:r>
      <w:r>
        <w:rPr>
          <w:rFonts w:hint="eastAsia" w:ascii="仿宋_GB2312" w:hAnsi="Arial Narrow" w:cs="Arial Narrow"/>
          <w:sz w:val="24"/>
          <w:szCs w:val="21"/>
        </w:rPr>
        <w:t>“两客一危”应急</w:t>
      </w:r>
      <w:r>
        <w:rPr>
          <w:rFonts w:ascii="Arial Narrow" w:hAnsi="Arial Narrow" w:cs="Arial Narrow"/>
          <w:sz w:val="24"/>
          <w:szCs w:val="21"/>
        </w:rPr>
        <w:t>预案演习1次；</w:t>
      </w:r>
      <w:r>
        <w:rPr>
          <w:rFonts w:hint="eastAsia" w:ascii="仿宋_GB2312" w:hAnsi="Arial Narrow" w:cs="Arial Narrow"/>
          <w:sz w:val="24"/>
          <w:szCs w:val="21"/>
        </w:rPr>
        <w:t>对</w:t>
      </w:r>
      <w:r>
        <w:rPr>
          <w:rFonts w:hint="eastAsia" w:ascii="仿宋_GB2312" w:hAnsi="Arial Narrow" w:cs="宋体"/>
          <w:sz w:val="24"/>
          <w:szCs w:val="21"/>
        </w:rPr>
        <w:t>危货</w:t>
      </w:r>
      <w:r>
        <w:rPr>
          <w:rFonts w:hint="eastAsia" w:ascii="仿宋_GB2312" w:hAnsi="Arial Narrow" w:cs="Arial Narrow"/>
          <w:sz w:val="24"/>
          <w:szCs w:val="21"/>
        </w:rPr>
        <w:t>码头</w:t>
      </w:r>
      <w:r>
        <w:rPr>
          <w:rFonts w:hint="eastAsia" w:ascii="仿宋_GB2312" w:hAnsi="Arial Narrow" w:cs="宋体"/>
          <w:sz w:val="24"/>
          <w:szCs w:val="21"/>
        </w:rPr>
        <w:t>定期</w:t>
      </w:r>
      <w:r>
        <w:rPr>
          <w:rFonts w:hint="eastAsia" w:ascii="仿宋_GB2312" w:hAnsi="Arial Narrow" w:cs="Arial Narrow"/>
          <w:sz w:val="24"/>
          <w:szCs w:val="21"/>
        </w:rPr>
        <w:t>进行检查；彻查安全隐患，大部分</w:t>
      </w:r>
      <w:r>
        <w:rPr>
          <w:rFonts w:hint="eastAsia" w:ascii="仿宋_GB2312" w:hAnsi="Arial Narrow" w:cs="宋体"/>
          <w:sz w:val="24"/>
          <w:szCs w:val="21"/>
        </w:rPr>
        <w:t>发现的</w:t>
      </w:r>
      <w:r>
        <w:rPr>
          <w:rFonts w:hint="eastAsia" w:ascii="仿宋_GB2312" w:hAnsi="Arial Narrow" w:cs="Arial Narrow"/>
          <w:sz w:val="24"/>
          <w:szCs w:val="21"/>
        </w:rPr>
        <w:t>隐患能够及时整治，但是</w:t>
      </w:r>
      <w:r>
        <w:rPr>
          <w:rFonts w:hint="eastAsia" w:ascii="仿宋_GB2312" w:hAnsi="Arial Narrow" w:cs="宋体"/>
          <w:sz w:val="24"/>
          <w:szCs w:val="21"/>
        </w:rPr>
        <w:t>由于受专业水平的制约</w:t>
      </w:r>
      <w:r>
        <w:rPr>
          <w:rFonts w:hint="eastAsia" w:ascii="仿宋_GB2312" w:hAnsi="Arial Narrow" w:cs="Arial Narrow"/>
          <w:sz w:val="24"/>
          <w:szCs w:val="21"/>
        </w:rPr>
        <w:t>，</w:t>
      </w:r>
      <w:r>
        <w:rPr>
          <w:rFonts w:hint="eastAsia" w:ascii="仿宋_GB2312" w:hAnsi="Arial Narrow" w:cs="宋体"/>
          <w:sz w:val="24"/>
          <w:szCs w:val="21"/>
        </w:rPr>
        <w:t>导致一些问题和隐患得不到及时发现和治理，</w:t>
      </w:r>
      <w:r>
        <w:rPr>
          <w:rFonts w:hint="eastAsia" w:ascii="仿宋_GB2312" w:hAnsi="Arial Narrow" w:cs="Arial Narrow"/>
          <w:sz w:val="24"/>
          <w:szCs w:val="21"/>
        </w:rPr>
        <w:t>日常安全隐患排查体系没有真正建立起来。</w:t>
      </w:r>
    </w:p>
    <w:p>
      <w:pPr>
        <w:spacing w:line="360" w:lineRule="auto"/>
        <w:ind w:firstLine="482"/>
        <w:rPr>
          <w:rFonts w:ascii="仿宋_GB2312" w:hAnsi="Arial Narrow" w:cs="Arial Narrow"/>
          <w:bCs/>
          <w:color w:val="000000" w:themeColor="text1"/>
          <w:sz w:val="24"/>
          <w14:textFill>
            <w14:solidFill>
              <w14:schemeClr w14:val="tx1"/>
            </w14:solidFill>
          </w14:textFill>
        </w:rPr>
      </w:pPr>
      <w:r>
        <w:rPr>
          <w:rFonts w:ascii="Arial Narrow" w:hAnsi="Arial Narrow" w:cs="Arial Narrow"/>
          <w:color w:val="000000" w:themeColor="text1"/>
          <w:sz w:val="24"/>
          <w14:textFill>
            <w14:solidFill>
              <w14:schemeClr w14:val="tx1"/>
            </w14:solidFill>
          </w14:textFill>
        </w:rPr>
        <w:t>（4</w:t>
      </w:r>
      <w:r>
        <w:rPr>
          <w:rFonts w:ascii="Arial Narrow" w:hAnsi="Arial Narrow" w:cs="Arial Narrow"/>
          <w:bCs/>
          <w:color w:val="000000" w:themeColor="text1"/>
          <w:sz w:val="24"/>
          <w14:textFill>
            <w14:solidFill>
              <w14:schemeClr w14:val="tx1"/>
            </w14:solidFill>
          </w14:textFill>
        </w:rPr>
        <w:t>）效果。项目效果评价得分为28分，评价等级为优。</w:t>
      </w:r>
      <w:bookmarkEnd w:id="16"/>
      <w:r>
        <w:rPr>
          <w:rFonts w:ascii="Arial Narrow" w:hAnsi="Arial Narrow" w:cs="Arial Narrow"/>
          <w:bCs/>
          <w:color w:val="000000" w:themeColor="text1"/>
          <w:sz w:val="24"/>
          <w14:textFill>
            <w14:solidFill>
              <w14:schemeClr w14:val="tx1"/>
            </w14:solidFill>
          </w14:textFill>
        </w:rPr>
        <w:t>项目实施单位于2018</w:t>
      </w:r>
      <w:r>
        <w:rPr>
          <w:rFonts w:hint="eastAsia" w:ascii="仿宋_GB2312" w:hAnsi="Arial Narrow" w:cs="Arial Narrow"/>
          <w:bCs/>
          <w:color w:val="000000" w:themeColor="text1"/>
          <w:sz w:val="24"/>
          <w14:textFill>
            <w14:solidFill>
              <w14:schemeClr w14:val="tx1"/>
            </w14:solidFill>
          </w14:textFill>
        </w:rPr>
        <w:t>年</w:t>
      </w:r>
      <w:r>
        <w:rPr>
          <w:rFonts w:ascii="Arial Narrow" w:hAnsi="Arial Narrow" w:cs="Arial Narrow"/>
          <w:bCs/>
          <w:color w:val="000000" w:themeColor="text1"/>
          <w:sz w:val="24"/>
          <w14:textFill>
            <w14:solidFill>
              <w14:schemeClr w14:val="tx1"/>
            </w14:solidFill>
          </w14:textFill>
        </w:rPr>
        <w:t>6</w:t>
      </w:r>
      <w:r>
        <w:rPr>
          <w:rFonts w:ascii="Arial Narrow" w:hAnsi="Arial Narrow" w:cs="宋体"/>
          <w:bCs/>
          <w:color w:val="000000" w:themeColor="text1"/>
          <w:sz w:val="24"/>
          <w14:textFill>
            <w14:solidFill>
              <w14:schemeClr w14:val="tx1"/>
            </w14:solidFill>
          </w14:textFill>
        </w:rPr>
        <w:t>月和8月集中组织</w:t>
      </w:r>
      <w:r>
        <w:rPr>
          <w:rFonts w:hint="eastAsia" w:ascii="仿宋_GB2312" w:hAnsi="Arial Narrow" w:cs="Arial Narrow"/>
          <w:bCs/>
          <w:color w:val="000000" w:themeColor="text1"/>
          <w:sz w:val="24"/>
          <w14:textFill>
            <w14:solidFill>
              <w14:schemeClr w14:val="tx1"/>
            </w14:solidFill>
          </w14:textFill>
        </w:rPr>
        <w:t>建管、运管、港航、公路、物流部门及各下属企业，进行安全生产培训，各行业基本覆盖，通过悬挂横幅、张贴各类海报、</w:t>
      </w:r>
      <w:r>
        <w:rPr>
          <w:rFonts w:hint="eastAsia" w:ascii="仿宋_GB2312" w:hAnsi="Arial Narrow" w:cs="宋体"/>
          <w:bCs/>
          <w:color w:val="000000" w:themeColor="text1"/>
          <w:sz w:val="24"/>
          <w14:textFill>
            <w14:solidFill>
              <w14:schemeClr w14:val="tx1"/>
            </w14:solidFill>
          </w14:textFill>
        </w:rPr>
        <w:t>安全标语、</w:t>
      </w:r>
      <w:r>
        <w:rPr>
          <w:rFonts w:hint="eastAsia" w:ascii="仿宋_GB2312" w:hAnsi="Arial Narrow" w:cs="Arial Narrow"/>
          <w:bCs/>
          <w:color w:val="000000" w:themeColor="text1"/>
          <w:sz w:val="24"/>
          <w14:textFill>
            <w14:solidFill>
              <w14:schemeClr w14:val="tx1"/>
            </w14:solidFill>
          </w14:textFill>
        </w:rPr>
        <w:t>赠送</w:t>
      </w:r>
      <w:r>
        <w:rPr>
          <w:rFonts w:hint="eastAsia" w:ascii="仿宋_GB2312" w:hAnsi="Arial Narrow" w:cs="宋体"/>
          <w:bCs/>
          <w:color w:val="000000" w:themeColor="text1"/>
          <w:sz w:val="24"/>
          <w14:textFill>
            <w14:solidFill>
              <w14:schemeClr w14:val="tx1"/>
            </w14:solidFill>
          </w14:textFill>
        </w:rPr>
        <w:t>各类安全小画册、口袋书</w:t>
      </w:r>
      <w:r>
        <w:rPr>
          <w:rFonts w:hint="eastAsia" w:ascii="仿宋_GB2312" w:hAnsi="Arial Narrow" w:cs="Arial Narrow"/>
          <w:bCs/>
          <w:color w:val="000000" w:themeColor="text1"/>
          <w:sz w:val="24"/>
          <w14:textFill>
            <w14:solidFill>
              <w14:schemeClr w14:val="tx1"/>
            </w14:solidFill>
          </w14:textFill>
        </w:rPr>
        <w:t>、配送安全生产月标识的环保袋等方式，对企业员工、广大市民宣传日常安全知识，宣传方式多样，宣传范围广，并通过加强培训教育、深化打非治违、开展多次专项整治检查工作，</w:t>
      </w:r>
      <w:r>
        <w:rPr>
          <w:rFonts w:hint="eastAsia" w:ascii="仿宋_GB2312" w:hAnsi="Arial Narrow" w:cs="宋体"/>
          <w:bCs/>
          <w:color w:val="000000" w:themeColor="text1"/>
          <w:sz w:val="24"/>
          <w14:textFill>
            <w14:solidFill>
              <w14:schemeClr w14:val="tx1"/>
            </w14:solidFill>
          </w14:textFill>
        </w:rPr>
        <w:t>减少</w:t>
      </w:r>
      <w:r>
        <w:rPr>
          <w:rFonts w:hint="eastAsia" w:ascii="仿宋_GB2312" w:hAnsi="Arial Narrow" w:cs="Arial Narrow"/>
          <w:bCs/>
          <w:color w:val="000000" w:themeColor="text1"/>
          <w:sz w:val="24"/>
          <w14:textFill>
            <w14:solidFill>
              <w14:schemeClr w14:val="tx1"/>
            </w14:solidFill>
          </w14:textFill>
        </w:rPr>
        <w:t>道路安全隐患，道路安全畅通得到有效保障，</w:t>
      </w:r>
      <w:r>
        <w:rPr>
          <w:rFonts w:hint="eastAsia" w:ascii="仿宋_GB2312" w:hAnsi="Arial Narrow" w:cs="宋体"/>
          <w:bCs/>
          <w:color w:val="000000" w:themeColor="text1"/>
          <w:sz w:val="24"/>
          <w14:textFill>
            <w14:solidFill>
              <w14:schemeClr w14:val="tx1"/>
            </w14:solidFill>
          </w14:textFill>
        </w:rPr>
        <w:t>全年未发生较大及以上安全生产事故，</w:t>
      </w:r>
      <w:r>
        <w:rPr>
          <w:rFonts w:hint="eastAsia" w:ascii="仿宋_GB2312" w:hAnsi="Arial Narrow" w:cs="Arial Narrow"/>
          <w:bCs/>
          <w:color w:val="000000" w:themeColor="text1"/>
          <w:sz w:val="24"/>
          <w14:textFill>
            <w14:solidFill>
              <w14:schemeClr w14:val="tx1"/>
            </w14:solidFill>
          </w14:textFill>
        </w:rPr>
        <w:t>生产安全形势较为稳定，项目由武汉开发区（汉南区）城乡建设局主管，由</w:t>
      </w:r>
      <w:r>
        <w:rPr>
          <w:rFonts w:hint="eastAsia" w:ascii="仿宋_GB2312" w:hAnsi="Arial Narrow" w:cs="宋体"/>
          <w:bCs/>
          <w:color w:val="000000" w:themeColor="text1"/>
          <w:sz w:val="24"/>
          <w14:textFill>
            <w14:solidFill>
              <w14:schemeClr w14:val="tx1"/>
            </w14:solidFill>
          </w14:textFill>
        </w:rPr>
        <w:t>局</w:t>
      </w:r>
      <w:r>
        <w:rPr>
          <w:rFonts w:hint="eastAsia" w:ascii="仿宋_GB2312" w:hAnsi="Arial Narrow" w:cs="Arial Narrow"/>
          <w:bCs/>
          <w:color w:val="000000" w:themeColor="text1"/>
          <w:sz w:val="24"/>
          <w14:textFill>
            <w14:solidFill>
              <w14:schemeClr w14:val="tx1"/>
            </w14:solidFill>
          </w14:textFill>
        </w:rPr>
        <w:t>安全科、汉南区港航管理处实施执行，人员配备充足，且分工较为明确，保障了项目实施的后续运行。</w:t>
      </w:r>
    </w:p>
    <w:p>
      <w:pPr>
        <w:spacing w:line="360" w:lineRule="auto"/>
        <w:ind w:firstLine="482" w:firstLineChars="200"/>
        <w:outlineLvl w:val="1"/>
        <w:rPr>
          <w:rFonts w:ascii="仿宋_GB2312" w:hAnsi="Arial Narrow" w:cs="Arial Narrow"/>
          <w:b/>
          <w:color w:val="000000" w:themeColor="text1"/>
          <w:sz w:val="24"/>
          <w14:textFill>
            <w14:solidFill>
              <w14:schemeClr w14:val="tx1"/>
            </w14:solidFill>
          </w14:textFill>
        </w:rPr>
      </w:pPr>
      <w:bookmarkStart w:id="17" w:name="_Toc448"/>
      <w:bookmarkStart w:id="18" w:name="_Toc10313"/>
      <w:bookmarkStart w:id="19" w:name="_Toc481590350"/>
      <w:bookmarkStart w:id="20" w:name="_Toc10369"/>
      <w:r>
        <w:rPr>
          <w:rFonts w:hint="eastAsia" w:ascii="仿宋_GB2312" w:hAnsi="Arial Narrow" w:cs="Arial Narrow"/>
          <w:b/>
          <w:color w:val="000000" w:themeColor="text1"/>
          <w:sz w:val="24"/>
          <w14:textFill>
            <w14:solidFill>
              <w14:schemeClr w14:val="tx1"/>
            </w14:solidFill>
          </w14:textFill>
        </w:rPr>
        <w:t>（三）项目的经验与问题</w:t>
      </w:r>
      <w:bookmarkEnd w:id="17"/>
      <w:bookmarkEnd w:id="18"/>
      <w:bookmarkEnd w:id="19"/>
      <w:bookmarkEnd w:id="20"/>
    </w:p>
    <w:p>
      <w:pPr>
        <w:spacing w:line="360" w:lineRule="auto"/>
        <w:ind w:firstLine="720" w:firstLineChars="300"/>
        <w:rPr>
          <w:rFonts w:ascii="Arial Narrow" w:hAnsi="Arial Narrow" w:cs="Arial Narrow"/>
          <w:bCs/>
          <w:color w:val="000000" w:themeColor="text1"/>
          <w:sz w:val="24"/>
          <w14:textFill>
            <w14:solidFill>
              <w14:schemeClr w14:val="tx1"/>
            </w14:solidFill>
          </w14:textFill>
        </w:rPr>
      </w:pPr>
      <w:bookmarkStart w:id="21" w:name="_Toc16871"/>
      <w:bookmarkStart w:id="22" w:name="_Toc18917"/>
      <w:r>
        <w:rPr>
          <w:rFonts w:ascii="Arial Narrow" w:hAnsi="Arial Narrow" w:cs="Arial Narrow"/>
          <w:bCs/>
          <w:color w:val="000000" w:themeColor="text1"/>
          <w:sz w:val="24"/>
          <w14:textFill>
            <w14:solidFill>
              <w14:schemeClr w14:val="tx1"/>
            </w14:solidFill>
          </w14:textFill>
        </w:rPr>
        <w:t>1、经验</w:t>
      </w:r>
      <w:bookmarkEnd w:id="21"/>
      <w:bookmarkEnd w:id="22"/>
    </w:p>
    <w:p>
      <w:pPr>
        <w:snapToGrid w:val="0"/>
        <w:spacing w:line="360" w:lineRule="auto"/>
        <w:ind w:firstLine="480" w:firstLineChars="200"/>
        <w:rPr>
          <w:rFonts w:ascii="仿宋_GB2312" w:hAnsi="Arial Narrow" w:cs="Arial Narrow"/>
          <w:bCs/>
          <w:color w:val="000000" w:themeColor="text1"/>
          <w:sz w:val="24"/>
          <w14:textFill>
            <w14:solidFill>
              <w14:schemeClr w14:val="tx1"/>
            </w14:solidFill>
          </w14:textFill>
        </w:rPr>
      </w:pPr>
      <w:r>
        <w:rPr>
          <w:rFonts w:ascii="Arial Narrow" w:hAnsi="Arial Narrow" w:cs="宋体"/>
          <w:bCs/>
          <w:color w:val="000000" w:themeColor="text1"/>
          <w:sz w:val="24"/>
          <w14:textFill>
            <w14:solidFill>
              <w14:schemeClr w14:val="tx1"/>
            </w14:solidFill>
          </w14:textFill>
        </w:rPr>
        <w:t>（</w:t>
      </w:r>
      <w:r>
        <w:rPr>
          <w:rFonts w:ascii="Arial Narrow" w:hAnsi="Arial Narrow" w:cs="Arial Narrow"/>
          <w:bCs/>
          <w:color w:val="000000" w:themeColor="text1"/>
          <w:sz w:val="24"/>
          <w14:textFill>
            <w14:solidFill>
              <w14:schemeClr w14:val="tx1"/>
            </w14:solidFill>
          </w14:textFill>
        </w:rPr>
        <w:t>1</w:t>
      </w:r>
      <w:r>
        <w:rPr>
          <w:rFonts w:ascii="Arial Narrow" w:hAnsi="Arial Narrow" w:cs="宋体"/>
          <w:bCs/>
          <w:color w:val="000000" w:themeColor="text1"/>
          <w:sz w:val="24"/>
          <w14:textFill>
            <w14:solidFill>
              <w14:schemeClr w14:val="tx1"/>
            </w14:solidFill>
          </w14:textFill>
        </w:rPr>
        <w:t>）加强组织领</w:t>
      </w:r>
      <w:r>
        <w:rPr>
          <w:rFonts w:hint="eastAsia" w:ascii="仿宋_GB2312" w:hAnsi="Arial Narrow" w:cs="宋体"/>
          <w:bCs/>
          <w:color w:val="000000" w:themeColor="text1"/>
          <w:sz w:val="24"/>
          <w14:textFill>
            <w14:solidFill>
              <w14:schemeClr w14:val="tx1"/>
            </w14:solidFill>
          </w14:textFill>
        </w:rPr>
        <w:t>导，强化责任落实。</w:t>
      </w:r>
      <w:r>
        <w:rPr>
          <w:rFonts w:hint="eastAsia" w:ascii="仿宋_GB2312" w:hAnsi="Arial Narrow" w:cs="Arial Narrow"/>
          <w:bCs/>
          <w:color w:val="000000" w:themeColor="text1"/>
          <w:sz w:val="24"/>
          <w14:textFill>
            <w14:solidFill>
              <w14:schemeClr w14:val="tx1"/>
            </w14:solidFill>
          </w14:textFill>
        </w:rPr>
        <w:t>认真贯彻落实党中央、国务院以及省、市、区关于加强安全生产工作的一系列决策部署。严格落实“党政同责、一岗双责、齐抓共管、失职追责”和“三管三必须”的工作要求，切实增强“红线意识”，全面落实安全生产目标管理责任制，强化企业落实主体责任，完善安全生产监管体制，夯实基层监管基础。全局广泛深入开展安全专项整治，强化安全隐患排查整改，有效遏制较大以上事故，确保安全生产形势，以“全面落实企业安全生产主体责任”主题，强化红线意识，普及安全知识，弘扬安全文化，落实安全责任，在全局各行业范围</w:t>
      </w:r>
      <w:r>
        <w:rPr>
          <w:rFonts w:hint="eastAsia" w:ascii="仿宋_GB2312" w:hAnsi="Arial Narrow" w:cs="宋体"/>
          <w:bCs/>
          <w:color w:val="000000" w:themeColor="text1"/>
          <w:sz w:val="24"/>
          <w14:textFill>
            <w14:solidFill>
              <w14:schemeClr w14:val="tx1"/>
            </w14:solidFill>
          </w14:textFill>
        </w:rPr>
        <w:t>积极</w:t>
      </w:r>
      <w:r>
        <w:rPr>
          <w:rFonts w:hint="eastAsia" w:ascii="仿宋_GB2312" w:hAnsi="Arial Narrow" w:cs="Arial Narrow"/>
          <w:bCs/>
          <w:color w:val="000000" w:themeColor="text1"/>
          <w:sz w:val="24"/>
          <w14:textFill>
            <w14:solidFill>
              <w14:schemeClr w14:val="tx1"/>
            </w14:solidFill>
          </w14:textFill>
        </w:rPr>
        <w:t>开展了安全生产月活动。</w:t>
      </w:r>
    </w:p>
    <w:p>
      <w:pPr>
        <w:spacing w:line="360" w:lineRule="auto"/>
        <w:ind w:firstLine="480" w:firstLineChars="200"/>
        <w:rPr>
          <w:rFonts w:ascii="仿宋_GB2312" w:hAnsi="Arial Narrow" w:cs="宋体"/>
          <w:bCs/>
          <w:color w:val="000000" w:themeColor="text1"/>
          <w:sz w:val="24"/>
          <w14:textFill>
            <w14:solidFill>
              <w14:schemeClr w14:val="tx1"/>
            </w14:solidFill>
          </w14:textFill>
        </w:rPr>
      </w:pPr>
      <w:r>
        <w:rPr>
          <w:rFonts w:ascii="Arial Narrow" w:hAnsi="Arial Narrow" w:cs="宋体"/>
          <w:bCs/>
          <w:color w:val="000000" w:themeColor="text1"/>
          <w:sz w:val="24"/>
          <w14:textFill>
            <w14:solidFill>
              <w14:schemeClr w14:val="tx1"/>
            </w14:solidFill>
          </w14:textFill>
        </w:rPr>
        <w:t>（</w:t>
      </w:r>
      <w:r>
        <w:rPr>
          <w:rFonts w:ascii="Arial Narrow" w:hAnsi="Arial Narrow" w:cs="Arial Narrow"/>
          <w:bCs/>
          <w:color w:val="000000" w:themeColor="text1"/>
          <w:sz w:val="24"/>
          <w14:textFill>
            <w14:solidFill>
              <w14:schemeClr w14:val="tx1"/>
            </w14:solidFill>
          </w14:textFill>
        </w:rPr>
        <w:t>2</w:t>
      </w:r>
      <w:r>
        <w:rPr>
          <w:rFonts w:ascii="Arial Narrow" w:hAnsi="Arial Narrow" w:cs="宋体"/>
          <w:bCs/>
          <w:color w:val="000000" w:themeColor="text1"/>
          <w:sz w:val="24"/>
          <w14:textFill>
            <w14:solidFill>
              <w14:schemeClr w14:val="tx1"/>
            </w14:solidFill>
          </w14:textFill>
        </w:rPr>
        <w:t>）</w:t>
      </w:r>
      <w:r>
        <w:rPr>
          <w:rFonts w:hint="eastAsia" w:ascii="仿宋_GB2312" w:hAnsi="Arial Narrow" w:cs="宋体"/>
          <w:bCs/>
          <w:color w:val="000000" w:themeColor="text1"/>
          <w:sz w:val="24"/>
          <w14:textFill>
            <w14:solidFill>
              <w14:schemeClr w14:val="tx1"/>
            </w14:solidFill>
          </w14:textFill>
        </w:rPr>
        <w:t>强化源头治理。</w:t>
      </w:r>
      <w:r>
        <w:rPr>
          <w:rFonts w:hint="eastAsia" w:ascii="仿宋_GB2312" w:hAnsi="Arial Narrow" w:cs="Arial Narrow"/>
          <w:bCs/>
          <w:color w:val="000000" w:themeColor="text1"/>
          <w:sz w:val="24"/>
          <w14:textFill>
            <w14:solidFill>
              <w14:schemeClr w14:val="tx1"/>
            </w14:solidFill>
          </w14:textFill>
        </w:rPr>
        <w:t>围绕“全面落实企业安全生产主体责任”主题，开展宣传活动，强化红线意识，加强安全法治，落实安全责任，普及安全知识，提升全民安全素质，深入到水运企业、港口</w:t>
      </w:r>
      <w:r>
        <w:rPr>
          <w:rFonts w:hint="eastAsia" w:ascii="仿宋_GB2312" w:hAnsi="Arial Narrow" w:cs="宋体"/>
          <w:bCs/>
          <w:color w:val="000000" w:themeColor="text1"/>
          <w:sz w:val="24"/>
          <w14:textFill>
            <w14:solidFill>
              <w14:schemeClr w14:val="tx1"/>
            </w14:solidFill>
          </w14:textFill>
        </w:rPr>
        <w:t>危货</w:t>
      </w:r>
      <w:r>
        <w:rPr>
          <w:rFonts w:hint="eastAsia" w:ascii="仿宋_GB2312" w:hAnsi="Arial Narrow" w:cs="Arial Narrow"/>
          <w:bCs/>
          <w:color w:val="000000" w:themeColor="text1"/>
          <w:sz w:val="24"/>
          <w14:textFill>
            <w14:solidFill>
              <w14:schemeClr w14:val="tx1"/>
            </w14:solidFill>
          </w14:textFill>
        </w:rPr>
        <w:t>码头进一步宣传水运安全法规，倡导水运安全管理理念</w:t>
      </w:r>
      <w:r>
        <w:rPr>
          <w:rFonts w:hint="eastAsia" w:ascii="仿宋_GB2312" w:hAnsi="Arial Narrow" w:cs="宋体"/>
          <w:bCs/>
          <w:color w:val="000000" w:themeColor="text1"/>
          <w:sz w:val="24"/>
          <w14:textFill>
            <w14:solidFill>
              <w14:schemeClr w14:val="tx1"/>
            </w14:solidFill>
          </w14:textFill>
        </w:rPr>
        <w:t>，同时围绕重点行业、重点企业、重点部位、重点时段加强安全生产监管，彻查安全隐患，堵塞管理漏洞。</w:t>
      </w:r>
    </w:p>
    <w:p>
      <w:pPr>
        <w:spacing w:line="360" w:lineRule="auto"/>
        <w:ind w:firstLine="480" w:firstLineChars="200"/>
        <w:rPr>
          <w:rFonts w:ascii="仿宋_GB2312" w:hAnsi="Arial Narrow" w:cs="宋体"/>
          <w:bCs/>
          <w:color w:val="000000" w:themeColor="text1"/>
          <w:sz w:val="24"/>
          <w14:textFill>
            <w14:solidFill>
              <w14:schemeClr w14:val="tx1"/>
            </w14:solidFill>
          </w14:textFill>
        </w:rPr>
      </w:pPr>
      <w:r>
        <w:rPr>
          <w:rFonts w:ascii="Arial Narrow" w:hAnsi="Arial Narrow" w:cs="宋体"/>
          <w:bCs/>
          <w:color w:val="000000" w:themeColor="text1"/>
          <w:sz w:val="24"/>
          <w14:textFill>
            <w14:solidFill>
              <w14:schemeClr w14:val="tx1"/>
            </w14:solidFill>
          </w14:textFill>
        </w:rPr>
        <w:t>（3）</w:t>
      </w:r>
      <w:r>
        <w:rPr>
          <w:rFonts w:hint="eastAsia" w:ascii="仿宋_GB2312" w:hAnsi="Arial Narrow" w:cs="宋体"/>
          <w:bCs/>
          <w:color w:val="000000" w:themeColor="text1"/>
          <w:sz w:val="24"/>
          <w14:textFill>
            <w14:solidFill>
              <w14:schemeClr w14:val="tx1"/>
            </w14:solidFill>
          </w14:textFill>
        </w:rPr>
        <w:t>深化打非治违，严格监管执法。始终坚持问题向导，采取定点检查与流动检查，定时检查与随时抽查，部门联动与分组检查相结合的方式，开展重点行业领域安全专项整治。</w:t>
      </w:r>
    </w:p>
    <w:p>
      <w:pPr>
        <w:spacing w:line="360" w:lineRule="auto"/>
        <w:ind w:firstLine="480" w:firstLineChars="200"/>
        <w:rPr>
          <w:rFonts w:ascii="仿宋_GB2312" w:hAnsi="Arial Narrow" w:cs="宋体"/>
          <w:bCs/>
          <w:color w:val="000000" w:themeColor="text1"/>
          <w:sz w:val="24"/>
          <w14:textFill>
            <w14:solidFill>
              <w14:schemeClr w14:val="tx1"/>
            </w14:solidFill>
          </w14:textFill>
        </w:rPr>
      </w:pPr>
    </w:p>
    <w:p>
      <w:pPr>
        <w:spacing w:line="360" w:lineRule="auto"/>
        <w:ind w:firstLine="720" w:firstLineChars="300"/>
        <w:rPr>
          <w:rFonts w:ascii="Arial Narrow" w:hAnsi="Arial Narrow" w:cs="Arial Narrow"/>
          <w:bCs/>
          <w:color w:val="000000" w:themeColor="text1"/>
          <w:sz w:val="24"/>
          <w14:textFill>
            <w14:solidFill>
              <w14:schemeClr w14:val="tx1"/>
            </w14:solidFill>
          </w14:textFill>
        </w:rPr>
      </w:pPr>
      <w:bookmarkStart w:id="23" w:name="_Toc10894"/>
      <w:bookmarkStart w:id="24" w:name="_Toc6475"/>
      <w:r>
        <w:rPr>
          <w:rFonts w:ascii="Arial Narrow" w:hAnsi="Arial Narrow" w:cs="Arial Narrow"/>
          <w:bCs/>
          <w:color w:val="000000" w:themeColor="text1"/>
          <w:sz w:val="24"/>
          <w14:textFill>
            <w14:solidFill>
              <w14:schemeClr w14:val="tx1"/>
            </w14:solidFill>
          </w14:textFill>
        </w:rPr>
        <w:t>2、问题</w:t>
      </w:r>
      <w:bookmarkEnd w:id="23"/>
      <w:bookmarkEnd w:id="24"/>
    </w:p>
    <w:p>
      <w:pPr>
        <w:numPr>
          <w:ilvl w:val="0"/>
          <w:numId w:val="1"/>
        </w:numPr>
        <w:snapToGrid w:val="0"/>
        <w:spacing w:line="360" w:lineRule="auto"/>
        <w:ind w:left="240" w:leftChars="80" w:firstLine="480" w:firstLineChars="200"/>
        <w:rPr>
          <w:rFonts w:ascii="仿宋_GB2312" w:hAnsi="Arial Narrow" w:cs="Arial Narrow"/>
          <w:bCs/>
          <w:color w:val="000000" w:themeColor="text1"/>
          <w:sz w:val="24"/>
          <w14:textFill>
            <w14:solidFill>
              <w14:schemeClr w14:val="tx1"/>
            </w14:solidFill>
          </w14:textFill>
        </w:rPr>
      </w:pPr>
      <w:bookmarkStart w:id="25" w:name="_Toc7198"/>
      <w:bookmarkStart w:id="26" w:name="_Toc481590351"/>
      <w:r>
        <w:rPr>
          <w:rFonts w:ascii="Arial Narrow" w:hAnsi="Arial Narrow" w:cs="Arial Narrow"/>
          <w:bCs/>
          <w:color w:val="000000" w:themeColor="text1"/>
          <w:sz w:val="24"/>
          <w14:textFill>
            <w14:solidFill>
              <w14:schemeClr w14:val="tx1"/>
            </w14:solidFill>
          </w14:textFill>
        </w:rPr>
        <w:t>隐患排查整治不够彻底。项目实施单位</w:t>
      </w:r>
      <w:r>
        <w:rPr>
          <w:rFonts w:ascii="Arial Narrow" w:hAnsi="Arial Narrow" w:cs="宋体"/>
          <w:bCs/>
          <w:color w:val="000000" w:themeColor="text1"/>
          <w:sz w:val="24"/>
          <w14:textFill>
            <w14:solidFill>
              <w14:schemeClr w14:val="tx1"/>
            </w14:solidFill>
          </w14:textFill>
        </w:rPr>
        <w:t>按建管、运管、港航、房屋、公路、民防、物流</w:t>
      </w:r>
      <w:r>
        <w:rPr>
          <w:rFonts w:hint="eastAsia" w:ascii="仿宋_GB2312" w:hAnsi="Arial Narrow" w:cs="宋体"/>
          <w:bCs/>
          <w:color w:val="000000" w:themeColor="text1"/>
          <w:sz w:val="24"/>
          <w14:textFill>
            <w14:solidFill>
              <w14:schemeClr w14:val="tx1"/>
            </w14:solidFill>
          </w14:textFill>
        </w:rPr>
        <w:t>、重点办和基础设施指挥部各行业部门共分</w:t>
      </w:r>
      <w:r>
        <w:rPr>
          <w:rFonts w:ascii="Arial Narrow" w:hAnsi="Arial Narrow" w:cs="宋体"/>
          <w:bCs/>
          <w:color w:val="000000" w:themeColor="text1"/>
          <w:sz w:val="24"/>
          <w14:textFill>
            <w14:solidFill>
              <w14:schemeClr w14:val="tx1"/>
            </w14:solidFill>
          </w14:textFill>
        </w:rPr>
        <w:t>7个检</w:t>
      </w:r>
      <w:r>
        <w:rPr>
          <w:rFonts w:hint="eastAsia" w:ascii="仿宋_GB2312" w:hAnsi="Arial Narrow" w:cs="宋体"/>
          <w:bCs/>
          <w:color w:val="000000" w:themeColor="text1"/>
          <w:sz w:val="24"/>
          <w14:textFill>
            <w14:solidFill>
              <w14:schemeClr w14:val="tx1"/>
            </w14:solidFill>
          </w14:textFill>
        </w:rPr>
        <w:t>查组，</w:t>
      </w:r>
      <w:r>
        <w:rPr>
          <w:rFonts w:hint="eastAsia" w:ascii="仿宋_GB2312" w:hAnsi="Arial Narrow" w:cs="Arial Narrow"/>
          <w:bCs/>
          <w:color w:val="000000" w:themeColor="text1"/>
          <w:sz w:val="24"/>
          <w14:textFill>
            <w14:solidFill>
              <w14:schemeClr w14:val="tx1"/>
            </w14:solidFill>
          </w14:textFill>
        </w:rPr>
        <w:t>围绕重点行业、重点企业、重点部位、重点时段，加强安全生产监管，强化源头治理，彻查安全隐患，大部分隐患能够及时整治，但是</w:t>
      </w:r>
      <w:r>
        <w:rPr>
          <w:rFonts w:hint="eastAsia" w:ascii="仿宋_GB2312" w:hAnsi="Arial Narrow" w:cs="宋体"/>
          <w:bCs/>
          <w:color w:val="000000" w:themeColor="text1"/>
          <w:sz w:val="24"/>
          <w14:textFill>
            <w14:solidFill>
              <w14:schemeClr w14:val="tx1"/>
            </w14:solidFill>
          </w14:textFill>
        </w:rPr>
        <w:t>由于受专业水平的制约，导致一些问题和隐患不能得到及时发现和治理，执法能力亟待加强</w:t>
      </w:r>
      <w:r>
        <w:rPr>
          <w:rFonts w:hint="eastAsia" w:ascii="仿宋_GB2312" w:hAnsi="Arial Narrow" w:cs="Arial Narrow"/>
          <w:bCs/>
          <w:color w:val="000000" w:themeColor="text1"/>
          <w:sz w:val="24"/>
          <w14:textFill>
            <w14:solidFill>
              <w14:schemeClr w14:val="tx1"/>
            </w14:solidFill>
          </w14:textFill>
        </w:rPr>
        <w:t>。</w:t>
      </w:r>
    </w:p>
    <w:p>
      <w:pPr>
        <w:numPr>
          <w:ilvl w:val="0"/>
          <w:numId w:val="1"/>
        </w:numPr>
        <w:snapToGrid w:val="0"/>
        <w:spacing w:line="360" w:lineRule="auto"/>
        <w:ind w:left="240" w:leftChars="80" w:firstLine="480" w:firstLineChars="200"/>
        <w:rPr>
          <w:rFonts w:ascii="仿宋_GB2312" w:hAnsi="Arial Narrow" w:cs="Arial Narrow"/>
          <w:bCs/>
          <w:color w:val="000000" w:themeColor="text1"/>
          <w:sz w:val="24"/>
          <w14:textFill>
            <w14:solidFill>
              <w14:schemeClr w14:val="tx1"/>
            </w14:solidFill>
          </w14:textFill>
        </w:rPr>
      </w:pPr>
      <w:r>
        <w:rPr>
          <w:rFonts w:hint="eastAsia" w:ascii="仿宋_GB2312" w:hAnsi="Arial Narrow" w:cs="Arial Narrow"/>
          <w:bCs/>
          <w:color w:val="000000" w:themeColor="text1"/>
          <w:sz w:val="24"/>
          <w14:textFill>
            <w14:solidFill>
              <w14:schemeClr w14:val="tx1"/>
            </w14:solidFill>
          </w14:textFill>
        </w:rPr>
        <w:t>安全生产培训</w:t>
      </w:r>
      <w:r>
        <w:rPr>
          <w:rFonts w:hint="eastAsia" w:ascii="仿宋_GB2312" w:hAnsi="Arial Narrow" w:cs="宋体"/>
          <w:bCs/>
          <w:color w:val="000000" w:themeColor="text1"/>
          <w:sz w:val="24"/>
          <w14:textFill>
            <w14:solidFill>
              <w14:schemeClr w14:val="tx1"/>
            </w14:solidFill>
          </w14:textFill>
        </w:rPr>
        <w:t>效果不佳</w:t>
      </w:r>
      <w:r>
        <w:rPr>
          <w:rFonts w:hint="eastAsia" w:ascii="仿宋_GB2312" w:hAnsi="Arial Narrow" w:cs="Arial Narrow"/>
          <w:bCs/>
          <w:color w:val="000000" w:themeColor="text1"/>
          <w:sz w:val="24"/>
          <w14:textFill>
            <w14:solidFill>
              <w14:schemeClr w14:val="tx1"/>
            </w14:solidFill>
          </w14:textFill>
        </w:rPr>
        <w:t>。项目实施单位于</w:t>
      </w:r>
      <w:r>
        <w:rPr>
          <w:rFonts w:ascii="Arial Narrow" w:hAnsi="Arial Narrow" w:cs="Arial Narrow"/>
          <w:bCs/>
          <w:color w:val="000000" w:themeColor="text1"/>
          <w:sz w:val="24"/>
          <w14:textFill>
            <w14:solidFill>
              <w14:schemeClr w14:val="tx1"/>
            </w14:solidFill>
          </w14:textFill>
        </w:rPr>
        <w:t>2018年6月</w:t>
      </w:r>
      <w:r>
        <w:rPr>
          <w:rFonts w:ascii="Arial Narrow" w:hAnsi="Arial Narrow" w:cs="宋体"/>
          <w:bCs/>
          <w:color w:val="000000" w:themeColor="text1"/>
          <w:sz w:val="24"/>
          <w14:textFill>
            <w14:solidFill>
              <w14:schemeClr w14:val="tx1"/>
            </w14:solidFill>
          </w14:textFill>
        </w:rPr>
        <w:t>及8月</w:t>
      </w:r>
      <w:r>
        <w:rPr>
          <w:rFonts w:ascii="Arial Narrow" w:hAnsi="Arial Narrow" w:cs="Arial Narrow"/>
          <w:bCs/>
          <w:color w:val="000000" w:themeColor="text1"/>
          <w:sz w:val="24"/>
          <w14:textFill>
            <w14:solidFill>
              <w14:schemeClr w14:val="tx1"/>
            </w14:solidFill>
          </w14:textFill>
        </w:rPr>
        <w:t>组织建管、运管、港航、公路、物流部门及各下属企业，进行安全生产培训，各行业</w:t>
      </w:r>
      <w:r>
        <w:rPr>
          <w:rFonts w:hint="eastAsia" w:ascii="仿宋_GB2312" w:hAnsi="Arial Narrow" w:cs="Arial Narrow"/>
          <w:bCs/>
          <w:color w:val="000000" w:themeColor="text1"/>
          <w:sz w:val="24"/>
          <w14:textFill>
            <w14:solidFill>
              <w14:schemeClr w14:val="tx1"/>
            </w14:solidFill>
          </w14:textFill>
        </w:rPr>
        <w:t>基本覆盖，</w:t>
      </w:r>
      <w:r>
        <w:rPr>
          <w:rFonts w:hint="eastAsia" w:ascii="仿宋_GB2312" w:hAnsi="Arial Narrow" w:cs="宋体"/>
          <w:bCs/>
          <w:color w:val="000000" w:themeColor="text1"/>
          <w:sz w:val="24"/>
          <w14:textFill>
            <w14:solidFill>
              <w14:schemeClr w14:val="tx1"/>
            </w14:solidFill>
          </w14:textFill>
        </w:rPr>
        <w:t>安全生产覆盖率良好，</w:t>
      </w:r>
      <w:r>
        <w:rPr>
          <w:rFonts w:hint="eastAsia" w:ascii="仿宋_GB2312" w:hAnsi="Arial Narrow" w:cs="Arial Narrow"/>
          <w:bCs/>
          <w:color w:val="000000" w:themeColor="text1"/>
          <w:sz w:val="24"/>
          <w14:textFill>
            <w14:solidFill>
              <w14:schemeClr w14:val="tx1"/>
            </w14:solidFill>
          </w14:textFill>
        </w:rPr>
        <w:t>但是个别企业存在“重效益，轻安全”、麻痹大意的思想，对安全教育培训投入不足，</w:t>
      </w:r>
      <w:r>
        <w:rPr>
          <w:rFonts w:hint="eastAsia" w:ascii="仿宋_GB2312" w:hAnsi="Arial Narrow" w:cs="宋体"/>
          <w:bCs/>
          <w:color w:val="000000" w:themeColor="text1"/>
          <w:sz w:val="24"/>
          <w14:textFill>
            <w14:solidFill>
              <w14:schemeClr w14:val="tx1"/>
            </w14:solidFill>
          </w14:textFill>
        </w:rPr>
        <w:t>未达到开展培训活动的效果</w:t>
      </w:r>
      <w:r>
        <w:rPr>
          <w:rFonts w:hint="eastAsia" w:ascii="仿宋_GB2312" w:hAnsi="Arial Narrow" w:cs="Arial Narrow"/>
          <w:bCs/>
          <w:color w:val="000000" w:themeColor="text1"/>
          <w:sz w:val="24"/>
          <w14:textFill>
            <w14:solidFill>
              <w14:schemeClr w14:val="tx1"/>
            </w14:solidFill>
          </w14:textFill>
        </w:rPr>
        <w:t>。</w:t>
      </w:r>
    </w:p>
    <w:p>
      <w:pPr>
        <w:numPr>
          <w:ilvl w:val="0"/>
          <w:numId w:val="1"/>
        </w:numPr>
        <w:snapToGrid w:val="0"/>
        <w:spacing w:line="360" w:lineRule="auto"/>
        <w:ind w:left="240" w:leftChars="80" w:firstLine="480" w:firstLineChars="200"/>
        <w:rPr>
          <w:rFonts w:ascii="仿宋_GB2312" w:hAnsi="Arial Narrow" w:cs="Arial Narrow"/>
          <w:bCs/>
          <w:color w:val="000000" w:themeColor="text1"/>
          <w:sz w:val="24"/>
          <w14:textFill>
            <w14:solidFill>
              <w14:schemeClr w14:val="tx1"/>
            </w14:solidFill>
          </w14:textFill>
        </w:rPr>
      </w:pPr>
      <w:r>
        <w:rPr>
          <w:rFonts w:hint="eastAsia" w:ascii="仿宋_GB2312" w:hAnsi="Arial Narrow" w:cs="Arial Narrow"/>
          <w:bCs/>
          <w:color w:val="000000" w:themeColor="text1"/>
          <w:sz w:val="24"/>
          <w14:textFill>
            <w14:solidFill>
              <w14:schemeClr w14:val="tx1"/>
            </w14:solidFill>
          </w14:textFill>
        </w:rPr>
        <w:t>目标设置不够明确。项目实施单位虽设立了项目绩效总目标，但未设立年度绩效目标</w:t>
      </w:r>
      <w:r>
        <w:rPr>
          <w:rFonts w:hint="eastAsia" w:ascii="仿宋_GB2312" w:hAnsi="Arial Narrow" w:cs="宋体"/>
          <w:bCs/>
          <w:color w:val="000000" w:themeColor="text1"/>
          <w:sz w:val="24"/>
          <w14:textFill>
            <w14:solidFill>
              <w14:schemeClr w14:val="tx1"/>
            </w14:solidFill>
          </w14:textFill>
        </w:rPr>
        <w:t>和长期目标</w:t>
      </w:r>
      <w:r>
        <w:rPr>
          <w:rFonts w:hint="eastAsia" w:ascii="仿宋_GB2312" w:hAnsi="Arial Narrow" w:cs="Arial Narrow"/>
          <w:bCs/>
          <w:color w:val="000000" w:themeColor="text1"/>
          <w:sz w:val="24"/>
          <w14:textFill>
            <w14:solidFill>
              <w14:schemeClr w14:val="tx1"/>
            </w14:solidFill>
          </w14:textFill>
        </w:rPr>
        <w:t xml:space="preserve">，且绩效指标不够清晰、全面，指标可测性不高。 </w:t>
      </w:r>
    </w:p>
    <w:bookmarkEnd w:id="25"/>
    <w:p>
      <w:pPr>
        <w:spacing w:line="360" w:lineRule="auto"/>
        <w:ind w:firstLine="482" w:firstLineChars="200"/>
        <w:outlineLvl w:val="1"/>
        <w:rPr>
          <w:rFonts w:ascii="仿宋_GB2312" w:hAnsi="Arial Narrow" w:cs="Arial Narrow"/>
          <w:b/>
          <w:color w:val="000000" w:themeColor="text1"/>
          <w:sz w:val="24"/>
          <w14:textFill>
            <w14:solidFill>
              <w14:schemeClr w14:val="tx1"/>
            </w14:solidFill>
          </w14:textFill>
        </w:rPr>
      </w:pPr>
      <w:bookmarkStart w:id="27" w:name="_Toc18445"/>
      <w:bookmarkStart w:id="28" w:name="_Toc14737"/>
      <w:bookmarkStart w:id="29" w:name="_Toc20433"/>
      <w:r>
        <w:rPr>
          <w:rFonts w:hint="eastAsia" w:ascii="仿宋_GB2312" w:hAnsi="Arial Narrow" w:cs="Arial Narrow"/>
          <w:b/>
          <w:color w:val="000000" w:themeColor="text1"/>
          <w:sz w:val="24"/>
          <w14:textFill>
            <w14:solidFill>
              <w14:schemeClr w14:val="tx1"/>
            </w14:solidFill>
          </w14:textFill>
        </w:rPr>
        <w:t>（四）建议</w:t>
      </w:r>
      <w:bookmarkEnd w:id="26"/>
      <w:bookmarkEnd w:id="27"/>
      <w:bookmarkEnd w:id="28"/>
      <w:bookmarkEnd w:id="29"/>
      <w:bookmarkStart w:id="30" w:name="_Toc8652"/>
    </w:p>
    <w:p>
      <w:pPr>
        <w:spacing w:line="360" w:lineRule="auto"/>
        <w:ind w:firstLine="720" w:firstLineChars="300"/>
        <w:rPr>
          <w:rFonts w:ascii="仿宋_GB2312" w:hAnsi="Arial Narrow" w:cs="Arial Narrow"/>
          <w:bCs/>
          <w:color w:val="000000" w:themeColor="text1"/>
          <w:sz w:val="24"/>
          <w14:textFill>
            <w14:solidFill>
              <w14:schemeClr w14:val="tx1"/>
            </w14:solidFill>
          </w14:textFill>
        </w:rPr>
      </w:pPr>
      <w:r>
        <w:rPr>
          <w:rFonts w:ascii="Arial Narrow" w:hAnsi="Arial Narrow" w:cs="Arial Narrow"/>
          <w:bCs/>
          <w:color w:val="000000" w:themeColor="text1"/>
          <w:sz w:val="24"/>
          <w14:textFill>
            <w14:solidFill>
              <w14:schemeClr w14:val="tx1"/>
            </w14:solidFill>
          </w14:textFill>
        </w:rPr>
        <w:t>1、深入推进隐</w:t>
      </w:r>
      <w:r>
        <w:rPr>
          <w:rFonts w:hint="eastAsia" w:ascii="仿宋_GB2312" w:hAnsi="Arial Narrow" w:cs="Arial Narrow"/>
          <w:bCs/>
          <w:color w:val="000000" w:themeColor="text1"/>
          <w:sz w:val="24"/>
          <w14:textFill>
            <w14:solidFill>
              <w14:schemeClr w14:val="tx1"/>
            </w14:solidFill>
          </w14:textFill>
        </w:rPr>
        <w:t>患排查整治。建议年度</w:t>
      </w:r>
      <w:r>
        <w:rPr>
          <w:rFonts w:ascii="Arial Narrow" w:hAnsi="Arial Narrow" w:cs="Arial Narrow"/>
          <w:bCs/>
          <w:color w:val="000000" w:themeColor="text1"/>
          <w:sz w:val="24"/>
          <w14:textFill>
            <w14:solidFill>
              <w14:schemeClr w14:val="tx1"/>
            </w14:solidFill>
          </w14:textFill>
        </w:rPr>
        <w:t>安排1-2次专项</w:t>
      </w:r>
      <w:r>
        <w:rPr>
          <w:rFonts w:hint="eastAsia" w:ascii="仿宋_GB2312" w:hAnsi="Arial Narrow" w:cs="Arial Narrow"/>
          <w:bCs/>
          <w:color w:val="000000" w:themeColor="text1"/>
          <w:sz w:val="24"/>
          <w14:textFill>
            <w14:solidFill>
              <w14:schemeClr w14:val="tx1"/>
            </w14:solidFill>
          </w14:textFill>
        </w:rPr>
        <w:t>排查，深入开展隐患排查治理建立，健全隐患排查治理长效机制，与街道社区建立联动机制完善日常安全隐患排查体系</w:t>
      </w:r>
      <w:r>
        <w:rPr>
          <w:rFonts w:hint="eastAsia" w:ascii="仿宋_GB2312" w:hAnsi="Arial Narrow" w:cs="宋体"/>
          <w:bCs/>
          <w:color w:val="000000" w:themeColor="text1"/>
          <w:sz w:val="24"/>
          <w14:textFill>
            <w14:solidFill>
              <w14:schemeClr w14:val="tx1"/>
            </w14:solidFill>
          </w14:textFill>
        </w:rPr>
        <w:t>；定期组织执法人员学习、培训，使执法人员详细了解执法行业、企业等可能存在的隐患点及相应解决方法。</w:t>
      </w:r>
    </w:p>
    <w:p>
      <w:pPr>
        <w:adjustRightInd w:val="0"/>
        <w:snapToGrid w:val="0"/>
        <w:spacing w:line="360" w:lineRule="auto"/>
        <w:ind w:firstLine="720" w:firstLineChars="300"/>
        <w:rPr>
          <w:rFonts w:ascii="仿宋_GB2312" w:hAnsi="Arial Narrow" w:cs="Arial Narrow"/>
          <w:bCs/>
          <w:color w:val="000000" w:themeColor="text1"/>
          <w:sz w:val="24"/>
          <w14:textFill>
            <w14:solidFill>
              <w14:schemeClr w14:val="tx1"/>
            </w14:solidFill>
          </w14:textFill>
        </w:rPr>
      </w:pPr>
      <w:r>
        <w:rPr>
          <w:rFonts w:ascii="Arial Narrow" w:hAnsi="Arial Narrow" w:cs="Arial Narrow"/>
          <w:bCs/>
          <w:color w:val="000000" w:themeColor="text1"/>
          <w:sz w:val="24"/>
          <w14:textFill>
            <w14:solidFill>
              <w14:schemeClr w14:val="tx1"/>
            </w14:solidFill>
          </w14:textFill>
        </w:rPr>
        <w:t>2、</w:t>
      </w:r>
      <w:r>
        <w:rPr>
          <w:rFonts w:ascii="Arial Narrow" w:hAnsi="Arial Narrow" w:cs="宋体"/>
          <w:bCs/>
          <w:color w:val="000000" w:themeColor="text1"/>
          <w:sz w:val="24"/>
          <w14:textFill>
            <w14:solidFill>
              <w14:schemeClr w14:val="tx1"/>
            </w14:solidFill>
          </w14:textFill>
        </w:rPr>
        <w:t>强化</w:t>
      </w:r>
      <w:r>
        <w:rPr>
          <w:rFonts w:hint="eastAsia" w:ascii="仿宋_GB2312" w:hAnsi="Arial Narrow" w:cs="Arial Narrow"/>
          <w:bCs/>
          <w:color w:val="000000" w:themeColor="text1"/>
          <w:sz w:val="24"/>
          <w14:textFill>
            <w14:solidFill>
              <w14:schemeClr w14:val="tx1"/>
            </w14:solidFill>
          </w14:textFill>
        </w:rPr>
        <w:t>安全生产培训</w:t>
      </w:r>
      <w:r>
        <w:rPr>
          <w:rFonts w:hint="eastAsia" w:ascii="仿宋_GB2312" w:hAnsi="Arial Narrow" w:cs="宋体"/>
          <w:bCs/>
          <w:color w:val="000000" w:themeColor="text1"/>
          <w:sz w:val="24"/>
          <w14:textFill>
            <w14:solidFill>
              <w14:schemeClr w14:val="tx1"/>
            </w14:solidFill>
          </w14:textFill>
        </w:rPr>
        <w:t>效果</w:t>
      </w:r>
      <w:r>
        <w:rPr>
          <w:rFonts w:hint="eastAsia" w:ascii="仿宋_GB2312" w:hAnsi="Arial Narrow" w:cs="Arial Narrow"/>
          <w:bCs/>
          <w:color w:val="000000" w:themeColor="text1"/>
          <w:sz w:val="24"/>
          <w14:textFill>
            <w14:solidFill>
              <w14:schemeClr w14:val="tx1"/>
            </w14:solidFill>
          </w14:textFill>
        </w:rPr>
        <w:t>。在辖区各行业企业中积极营造氛围，持续开展安全生产知识宣传，安全事故警示教育活动，通过报刊、网络等进行安全教育讨论活动普及相关安全法制理念，</w:t>
      </w:r>
      <w:r>
        <w:rPr>
          <w:rFonts w:hint="eastAsia" w:ascii="仿宋_GB2312" w:hAnsi="宋体" w:cs="宋体"/>
          <w:bCs/>
          <w:color w:val="000000" w:themeColor="text1"/>
          <w:sz w:val="24"/>
          <w14:textFill>
            <w14:solidFill>
              <w14:schemeClr w14:val="tx1"/>
            </w14:solidFill>
          </w14:textFill>
        </w:rPr>
        <w:t>也可以采取适当的考核机制，</w:t>
      </w:r>
      <w:r>
        <w:rPr>
          <w:rFonts w:hint="eastAsia" w:ascii="仿宋_GB2312" w:hAnsi="Arial Narrow" w:cs="Arial Narrow"/>
          <w:bCs/>
          <w:color w:val="000000" w:themeColor="text1"/>
          <w:sz w:val="24"/>
          <w14:textFill>
            <w14:solidFill>
              <w14:schemeClr w14:val="tx1"/>
            </w14:solidFill>
          </w14:textFill>
        </w:rPr>
        <w:t>使企业员工克服麻痹思想和松懈情绪，增强紧迫感和责任感。</w:t>
      </w:r>
    </w:p>
    <w:p>
      <w:pPr>
        <w:spacing w:line="360" w:lineRule="auto"/>
        <w:ind w:firstLine="720" w:firstLineChars="300"/>
        <w:rPr>
          <w:rFonts w:ascii="仿宋_GB2312" w:hAnsi="Arial Narrow" w:cs="Arial Narrow"/>
          <w:bCs/>
          <w:color w:val="000000" w:themeColor="text1"/>
          <w:sz w:val="24"/>
          <w14:textFill>
            <w14:solidFill>
              <w14:schemeClr w14:val="tx1"/>
            </w14:solidFill>
          </w14:textFill>
        </w:rPr>
      </w:pPr>
      <w:r>
        <w:rPr>
          <w:rFonts w:ascii="Arial Narrow" w:hAnsi="Arial Narrow" w:cs="Arial Narrow"/>
          <w:bCs/>
          <w:color w:val="000000" w:themeColor="text1"/>
          <w:sz w:val="24"/>
          <w14:textFill>
            <w14:solidFill>
              <w14:schemeClr w14:val="tx1"/>
            </w14:solidFill>
          </w14:textFill>
        </w:rPr>
        <w:t>3、健全绩效指标体系，</w:t>
      </w:r>
      <w:r>
        <w:rPr>
          <w:rFonts w:hint="eastAsia" w:ascii="Arial Narrow" w:hAnsi="Arial Narrow" w:cs="Arial Narrow"/>
          <w:bCs/>
          <w:color w:val="000000" w:themeColor="text1"/>
          <w:sz w:val="24"/>
          <w14:textFill>
            <w14:solidFill>
              <w14:schemeClr w14:val="tx1"/>
            </w14:solidFill>
          </w14:textFill>
        </w:rPr>
        <w:t>设置明确绩效目标。</w:t>
      </w:r>
      <w:r>
        <w:rPr>
          <w:rFonts w:ascii="Arial Narrow" w:hAnsi="Arial Narrow" w:cs="Arial Narrow"/>
          <w:bCs/>
          <w:color w:val="000000" w:themeColor="text1"/>
          <w:sz w:val="24"/>
          <w14:textFill>
            <w14:solidFill>
              <w14:schemeClr w14:val="tx1"/>
            </w14:solidFill>
          </w14:textFill>
        </w:rPr>
        <w:t>根据绩效目标设置个性化的绩效指标。如设置安全检查</w:t>
      </w:r>
      <w:r>
        <w:rPr>
          <w:rFonts w:hint="eastAsia" w:ascii="仿宋_GB2312" w:hAnsi="Arial Narrow" w:cs="Arial Narrow"/>
          <w:bCs/>
          <w:color w:val="000000" w:themeColor="text1"/>
          <w:sz w:val="24"/>
          <w14:textFill>
            <w14:solidFill>
              <w14:schemeClr w14:val="tx1"/>
            </w14:solidFill>
          </w14:textFill>
        </w:rPr>
        <w:t>活动举办完成率、交通运输应急预案编制完成率、“两客一危”应急预案演习完成率等指标来反映项目的产出情况，设置安全生产培训覆盖率、安全生产宣传多样化等反应项目社会效益的具体指标，同时根据历史完成数据或预算支出明细制定符合客观、实际的指标值，以规范绩效考核工作。</w:t>
      </w:r>
    </w:p>
    <w:p>
      <w:pPr>
        <w:adjustRightInd w:val="0"/>
        <w:snapToGrid w:val="0"/>
        <w:spacing w:line="360" w:lineRule="auto"/>
        <w:ind w:firstLine="480" w:firstLineChars="200"/>
        <w:rPr>
          <w:rFonts w:ascii="仿宋_GB2312" w:hAnsi="Arial Narrow" w:cs="Arial Narrow"/>
          <w:bCs/>
          <w:color w:val="000000" w:themeColor="text1"/>
          <w:sz w:val="24"/>
          <w14:textFill>
            <w14:solidFill>
              <w14:schemeClr w14:val="tx1"/>
            </w14:solidFill>
          </w14:textFill>
        </w:rPr>
      </w:pPr>
    </w:p>
    <w:p>
      <w:pPr>
        <w:keepNext/>
        <w:spacing w:line="360" w:lineRule="auto"/>
        <w:outlineLvl w:val="0"/>
        <w:rPr>
          <w:rFonts w:ascii="仿宋_GB2312" w:hAnsi="Arial Narrow" w:cs="Arial Narrow"/>
          <w:b/>
          <w:color w:val="000000" w:themeColor="text1"/>
          <w:sz w:val="24"/>
          <w14:textFill>
            <w14:solidFill>
              <w14:schemeClr w14:val="tx1"/>
            </w14:solidFill>
          </w14:textFill>
        </w:rPr>
      </w:pPr>
      <w:bookmarkStart w:id="31" w:name="_Toc16467"/>
      <w:r>
        <w:rPr>
          <w:rFonts w:hint="eastAsia" w:ascii="仿宋_GB2312" w:hAnsi="Arial Narrow" w:cs="Arial Narrow"/>
          <w:b/>
          <w:color w:val="000000" w:themeColor="text1"/>
          <w:sz w:val="24"/>
          <w14:textFill>
            <w14:solidFill>
              <w14:schemeClr w14:val="tx1"/>
            </w14:solidFill>
          </w14:textFill>
        </w:rPr>
        <w:t>二、正文</w:t>
      </w:r>
      <w:bookmarkEnd w:id="30"/>
      <w:bookmarkEnd w:id="31"/>
    </w:p>
    <w:p>
      <w:pPr>
        <w:spacing w:line="360" w:lineRule="auto"/>
        <w:ind w:firstLine="482" w:firstLineChars="200"/>
        <w:outlineLvl w:val="1"/>
        <w:rPr>
          <w:rFonts w:ascii="仿宋_GB2312" w:hAnsi="Arial Narrow" w:cs="仿宋_GB2312"/>
          <w:b/>
          <w:color w:val="000000" w:themeColor="text1"/>
          <w:sz w:val="24"/>
          <w14:textFill>
            <w14:solidFill>
              <w14:schemeClr w14:val="tx1"/>
            </w14:solidFill>
          </w14:textFill>
        </w:rPr>
      </w:pPr>
      <w:bookmarkStart w:id="32" w:name="_Toc19305"/>
      <w:bookmarkStart w:id="33" w:name="_Toc29894"/>
      <w:r>
        <w:rPr>
          <w:rFonts w:hint="eastAsia" w:ascii="仿宋_GB2312" w:hAnsi="Arial Narrow" w:cs="仿宋_GB2312"/>
          <w:b/>
          <w:color w:val="000000" w:themeColor="text1"/>
          <w:sz w:val="24"/>
          <w14:textFill>
            <w14:solidFill>
              <w14:schemeClr w14:val="tx1"/>
            </w14:solidFill>
          </w14:textFill>
        </w:rPr>
        <w:t>（一）项目基本情况</w:t>
      </w:r>
      <w:bookmarkEnd w:id="32"/>
      <w:bookmarkEnd w:id="33"/>
    </w:p>
    <w:p>
      <w:pPr>
        <w:spacing w:line="360" w:lineRule="auto"/>
        <w:ind w:firstLine="480" w:firstLineChars="200"/>
        <w:outlineLvl w:val="2"/>
        <w:rPr>
          <w:rFonts w:ascii="Arial Narrow" w:hAnsi="Arial Narrow" w:cs="仿宋_GB2312"/>
          <w:bCs/>
          <w:color w:val="000000" w:themeColor="text1"/>
          <w:sz w:val="24"/>
          <w14:textFill>
            <w14:solidFill>
              <w14:schemeClr w14:val="tx1"/>
            </w14:solidFill>
          </w14:textFill>
        </w:rPr>
      </w:pPr>
      <w:bookmarkStart w:id="34" w:name="_Toc10993"/>
      <w:bookmarkStart w:id="35" w:name="_Toc9351"/>
      <w:r>
        <w:rPr>
          <w:rFonts w:ascii="Arial Narrow" w:hAnsi="Arial Narrow" w:cs="仿宋_GB2312"/>
          <w:bCs/>
          <w:color w:val="000000" w:themeColor="text1"/>
          <w:sz w:val="24"/>
          <w14:textFill>
            <w14:solidFill>
              <w14:schemeClr w14:val="tx1"/>
            </w14:solidFill>
          </w14:textFill>
        </w:rPr>
        <w:t>1、项目立项背景和依据</w:t>
      </w:r>
      <w:bookmarkEnd w:id="34"/>
      <w:bookmarkEnd w:id="35"/>
    </w:p>
    <w:p>
      <w:pPr>
        <w:spacing w:line="360" w:lineRule="auto"/>
        <w:ind w:firstLine="480" w:firstLineChars="200"/>
        <w:rPr>
          <w:rFonts w:ascii="Arial Narrow" w:hAnsi="Arial Narrow" w:cs="仿宋_GB2312"/>
          <w:b/>
          <w:color w:val="000000" w:themeColor="text1"/>
          <w:sz w:val="24"/>
          <w14:textFill>
            <w14:solidFill>
              <w14:schemeClr w14:val="tx1"/>
            </w14:solidFill>
          </w14:textFill>
        </w:rPr>
      </w:pPr>
      <w:bookmarkStart w:id="36" w:name="_Toc602"/>
      <w:r>
        <w:rPr>
          <w:rFonts w:ascii="Arial Narrow" w:hAnsi="Arial Narrow" w:cs="Arial Narrow"/>
          <w:color w:val="000000" w:themeColor="text1"/>
          <w:sz w:val="24"/>
          <w14:textFill>
            <w14:solidFill>
              <w14:schemeClr w14:val="tx1"/>
            </w14:solidFill>
          </w14:textFill>
        </w:rPr>
        <w:t>1.1 项目立项背景及依据</w:t>
      </w:r>
      <w:bookmarkEnd w:id="36"/>
    </w:p>
    <w:p>
      <w:pPr>
        <w:spacing w:line="360" w:lineRule="auto"/>
        <w:ind w:firstLine="482"/>
        <w:rPr>
          <w:rFonts w:ascii="仿宋_GB2312" w:hAnsi="Arial Narrow" w:cs="Arial Narrow"/>
          <w:sz w:val="24"/>
          <w:szCs w:val="21"/>
        </w:rPr>
      </w:pPr>
      <w:r>
        <w:rPr>
          <w:rFonts w:ascii="Arial Narrow" w:hAnsi="Arial Narrow" w:cs="Arial Narrow"/>
          <w:sz w:val="24"/>
          <w:szCs w:val="21"/>
        </w:rPr>
        <w:t>根据《中</w:t>
      </w:r>
      <w:r>
        <w:rPr>
          <w:rFonts w:hint="eastAsia" w:ascii="仿宋_GB2312" w:hAnsi="Arial Narrow" w:cs="Arial Narrow"/>
          <w:sz w:val="24"/>
          <w:szCs w:val="21"/>
        </w:rPr>
        <w:t>华人民共和国安全生产法》、《中共中央国务院关于推进安全生产领域改革发展的意见》、《中华人民共和国道路运输管理条例》、《</w:t>
      </w:r>
      <w:r>
        <w:rPr>
          <w:rFonts w:hint="eastAsia" w:ascii="仿宋_GB2312" w:hAnsi="Arial Narrow" w:cs="宋体"/>
          <w:sz w:val="24"/>
          <w:szCs w:val="21"/>
        </w:rPr>
        <w:t>中华人民共和国突发事件应对法</w:t>
      </w:r>
      <w:r>
        <w:rPr>
          <w:rFonts w:hint="eastAsia" w:ascii="仿宋_GB2312" w:hAnsi="Arial Narrow" w:cs="Arial Narrow"/>
          <w:sz w:val="24"/>
          <w:szCs w:val="21"/>
        </w:rPr>
        <w:t>》等文件的要求，</w:t>
      </w:r>
      <w:r>
        <w:rPr>
          <w:rFonts w:hint="eastAsia" w:ascii="仿宋_GB2312" w:hAnsi="Arial Narrow" w:cs="宋体"/>
          <w:sz w:val="24"/>
          <w:szCs w:val="21"/>
        </w:rPr>
        <w:t>通过事故应急预案演练，提高突发事故的应急处理和抢救救援的快速反应能力，</w:t>
      </w:r>
      <w:r>
        <w:rPr>
          <w:rFonts w:hint="eastAsia" w:ascii="仿宋_GB2312" w:hAnsi="Arial Narrow" w:cs="Arial Narrow"/>
          <w:sz w:val="24"/>
          <w:szCs w:val="21"/>
        </w:rPr>
        <w:t>加强各行业安全宣传资料、桥梁安全、消防安全、基础设施、设备维护的投入与维护，有效消除安全隐患，防范事故的发生，</w:t>
      </w:r>
      <w:r>
        <w:rPr>
          <w:rFonts w:hint="eastAsia" w:ascii="仿宋_GB2312" w:hAnsi="Arial Narrow"/>
          <w:color w:val="000000" w:themeColor="text1"/>
          <w:sz w:val="24"/>
          <w14:textFill>
            <w14:solidFill>
              <w14:schemeClr w14:val="tx1"/>
            </w14:solidFill>
          </w14:textFill>
        </w:rPr>
        <w:t>完成区安委会、市交通运输委安监处、区城乡建设局及区政府办桥梁安全管理的安全监督管理责任目标</w:t>
      </w:r>
      <w:r>
        <w:rPr>
          <w:rFonts w:hint="eastAsia" w:ascii="仿宋_GB2312" w:hAnsi="Arial Narrow" w:cs="Arial Narrow"/>
          <w:sz w:val="24"/>
          <w:szCs w:val="21"/>
        </w:rPr>
        <w:t>。</w:t>
      </w:r>
    </w:p>
    <w:p>
      <w:pPr>
        <w:snapToGrid w:val="0"/>
        <w:spacing w:line="360" w:lineRule="auto"/>
        <w:ind w:firstLine="480" w:firstLineChars="200"/>
        <w:rPr>
          <w:rFonts w:ascii="Arial Narrow" w:hAnsi="Arial Narrow" w:cs="Arial Narrow"/>
          <w:color w:val="000000" w:themeColor="text1"/>
          <w:sz w:val="24"/>
          <w14:textFill>
            <w14:solidFill>
              <w14:schemeClr w14:val="tx1"/>
            </w14:solidFill>
          </w14:textFill>
        </w:rPr>
      </w:pPr>
      <w:r>
        <w:rPr>
          <w:rFonts w:ascii="Arial Narrow" w:hAnsi="Arial Narrow" w:cs="Arial Narrow"/>
          <w:color w:val="000000" w:themeColor="text1"/>
          <w:sz w:val="24"/>
          <w14:textFill>
            <w14:solidFill>
              <w14:schemeClr w14:val="tx1"/>
            </w14:solidFill>
          </w14:textFill>
        </w:rPr>
        <w:t>1.2 项目所属领域</w:t>
      </w:r>
    </w:p>
    <w:p>
      <w:pPr>
        <w:snapToGrid w:val="0"/>
        <w:spacing w:line="360" w:lineRule="auto"/>
        <w:ind w:firstLine="480" w:firstLineChars="200"/>
        <w:rPr>
          <w:rFonts w:ascii="仿宋_GB2312" w:hAnsi="Arial Narrow" w:cs="Arial Narrow"/>
          <w:color w:val="FF0000"/>
          <w:sz w:val="24"/>
        </w:rPr>
      </w:pPr>
      <w:r>
        <w:rPr>
          <w:rFonts w:hint="eastAsia" w:ascii="Arial Narrow" w:hAnsi="Arial Narrow" w:cs="Arial Narrow"/>
          <w:color w:val="000000" w:themeColor="text1"/>
          <w:sz w:val="24"/>
          <w14:textFill>
            <w14:solidFill>
              <w14:schemeClr w14:val="tx1"/>
            </w14:solidFill>
          </w14:textFill>
        </w:rPr>
        <w:t>“</w:t>
      </w:r>
      <w:r>
        <w:rPr>
          <w:rFonts w:ascii="Arial Narrow" w:hAnsi="Arial Narrow" w:cs="Arial Narrow"/>
          <w:color w:val="000000" w:themeColor="text1"/>
          <w:sz w:val="24"/>
          <w14:textFill>
            <w14:solidFill>
              <w14:schemeClr w14:val="tx1"/>
            </w14:solidFill>
          </w14:textFill>
        </w:rPr>
        <w:t>交通安全</w:t>
      </w:r>
      <w:r>
        <w:rPr>
          <w:rFonts w:hint="eastAsia" w:ascii="仿宋_GB2312" w:hAnsi="Arial Narrow" w:cs="Arial Narrow"/>
          <w:color w:val="000000" w:themeColor="text1"/>
          <w:sz w:val="24"/>
          <w14:textFill>
            <w14:solidFill>
              <w14:schemeClr w14:val="tx1"/>
            </w14:solidFill>
          </w14:textFill>
        </w:rPr>
        <w:t>专项经费”项目是为履行交通行业安全管理，加强对安全生产监督管理和桥梁安全管理工作。加强区内河交通安全管理，为航运畅通提供港航管理保障；维护内核交通秩序，保障人民群众生命、财产安全</w:t>
      </w:r>
      <w:r>
        <w:rPr>
          <w:rFonts w:hint="eastAsia" w:ascii="仿宋_GB2312" w:hAnsi="Arial Narrow" w:cs="Arial Narrow"/>
          <w:sz w:val="24"/>
        </w:rPr>
        <w:t>。</w:t>
      </w:r>
    </w:p>
    <w:p>
      <w:pPr>
        <w:snapToGrid w:val="0"/>
        <w:spacing w:line="360" w:lineRule="auto"/>
        <w:ind w:firstLine="480" w:firstLineChars="200"/>
        <w:rPr>
          <w:rFonts w:ascii="Arial Narrow" w:hAnsi="Arial Narrow" w:cs="Arial Narrow"/>
          <w:color w:val="000000" w:themeColor="text1"/>
          <w:sz w:val="24"/>
          <w14:textFill>
            <w14:solidFill>
              <w14:schemeClr w14:val="tx1"/>
            </w14:solidFill>
          </w14:textFill>
        </w:rPr>
      </w:pPr>
      <w:r>
        <w:rPr>
          <w:rFonts w:ascii="Arial Narrow" w:hAnsi="Arial Narrow" w:cs="Arial Narrow"/>
          <w:color w:val="000000" w:themeColor="text1"/>
          <w:sz w:val="24"/>
          <w14:textFill>
            <w14:solidFill>
              <w14:schemeClr w14:val="tx1"/>
            </w14:solidFill>
          </w14:textFill>
        </w:rPr>
        <w:t>1.3 项目性质与特点</w:t>
      </w:r>
    </w:p>
    <w:p>
      <w:pPr>
        <w:snapToGrid w:val="0"/>
        <w:spacing w:line="360" w:lineRule="auto"/>
        <w:ind w:firstLine="480" w:firstLineChars="200"/>
        <w:rPr>
          <w:rFonts w:ascii="仿宋_GB2312" w:hAnsi="Arial Narrow" w:cs="Arial Narrow"/>
          <w:sz w:val="24"/>
          <w:szCs w:val="21"/>
        </w:rPr>
      </w:pPr>
      <w:r>
        <w:rPr>
          <w:rFonts w:hint="eastAsia" w:ascii="仿宋_GB2312" w:hAnsi="Arial Narrow" w:cs="Arial Narrow"/>
          <w:sz w:val="24"/>
          <w:szCs w:val="21"/>
        </w:rPr>
        <w:t>项目主要用于加强武汉经济技术开发区（汉南区）交通安全监督管理工作，有效防范与科学应对各类突发事件，保障公众的生命财产安全，维护社会和谐稳定，主要是着重于保障社会公共安全，加强社会效益，具有强烈的公共性。</w:t>
      </w:r>
    </w:p>
    <w:p>
      <w:pPr>
        <w:snapToGrid w:val="0"/>
        <w:spacing w:line="360" w:lineRule="auto"/>
        <w:ind w:firstLine="480" w:firstLineChars="200"/>
        <w:rPr>
          <w:rFonts w:ascii="仿宋_GB2312" w:hAnsi="Arial Narrow" w:cs="Arial Narrow"/>
          <w:color w:val="000000" w:themeColor="text1"/>
          <w:sz w:val="24"/>
          <w14:textFill>
            <w14:solidFill>
              <w14:schemeClr w14:val="tx1"/>
            </w14:solidFill>
          </w14:textFill>
        </w:rPr>
      </w:pPr>
      <w:r>
        <w:rPr>
          <w:rFonts w:ascii="Arial Narrow" w:hAnsi="Arial Narrow" w:cs="Arial Narrow"/>
          <w:color w:val="000000" w:themeColor="text1"/>
          <w:sz w:val="24"/>
          <w14:textFill>
            <w14:solidFill>
              <w14:schemeClr w14:val="tx1"/>
            </w14:solidFill>
          </w14:textFill>
        </w:rPr>
        <w:t>1.4 项目</w:t>
      </w:r>
      <w:r>
        <w:rPr>
          <w:rFonts w:hint="eastAsia" w:ascii="仿宋_GB2312" w:hAnsi="Arial Narrow" w:cs="Arial Narrow"/>
          <w:color w:val="000000" w:themeColor="text1"/>
          <w:sz w:val="24"/>
          <w14:textFill>
            <w14:solidFill>
              <w14:schemeClr w14:val="tx1"/>
            </w14:solidFill>
          </w14:textFill>
        </w:rPr>
        <w:t>立项时所属领域状况</w:t>
      </w:r>
    </w:p>
    <w:p>
      <w:pPr>
        <w:snapToGrid w:val="0"/>
        <w:spacing w:line="360" w:lineRule="auto"/>
        <w:ind w:firstLine="480" w:firstLineChars="200"/>
        <w:rPr>
          <w:rFonts w:ascii="仿宋_GB2312" w:hAnsi="Arial Narrow" w:cs="Arial Narrow"/>
          <w:color w:val="000000" w:themeColor="text1"/>
          <w:sz w:val="24"/>
          <w14:textFill>
            <w14:solidFill>
              <w14:schemeClr w14:val="tx1"/>
            </w14:solidFill>
          </w14:textFill>
        </w:rPr>
      </w:pPr>
      <w:r>
        <w:rPr>
          <w:rFonts w:hint="eastAsia" w:ascii="仿宋_GB2312" w:hAnsi="Arial Narrow" w:cs="Arial Narrow"/>
          <w:sz w:val="24"/>
          <w:szCs w:val="21"/>
        </w:rPr>
        <w:t>近几年来，国家进一步健全完善了安全生产方针政策和法律法规，并从体制、机制、规划、投入等方面，采取了一系列举措加强安全生产。各级党委政府高度重视，加强领导、落实责任；各重点企业和广大生产经营单位依法依规、履行职责；社会各界关注支持、参与监督。经过努力，安全生产的理论、法律、政策体系得到建立和形成，安全监管体制机制不断健全完善，安全生产状况趋于稳定好转。但是，由于受生产力发展水平较低、基础薄弱、从业人员素质参差不齐等因素的影响，加上一些地方和单位重视不够，监管和防范不到位，造成目前我国安全生产形势依然严峻，突出表现在重特大事故多发势头没有得到有效遏制。因此，做好交通安全监管，防范事故发生，具有十分重要的意义。</w:t>
      </w:r>
    </w:p>
    <w:p>
      <w:pPr>
        <w:snapToGrid w:val="0"/>
        <w:spacing w:line="360" w:lineRule="auto"/>
        <w:ind w:firstLine="480" w:firstLineChars="200"/>
        <w:outlineLvl w:val="2"/>
        <w:rPr>
          <w:rFonts w:ascii="Arial Narrow" w:hAnsi="Arial Narrow"/>
          <w:color w:val="000000" w:themeColor="text1"/>
          <w:sz w:val="24"/>
          <w14:textFill>
            <w14:solidFill>
              <w14:schemeClr w14:val="tx1"/>
            </w14:solidFill>
          </w14:textFill>
        </w:rPr>
      </w:pPr>
      <w:bookmarkStart w:id="37" w:name="_Toc14551"/>
      <w:bookmarkStart w:id="38" w:name="_Toc24771"/>
      <w:r>
        <w:rPr>
          <w:rFonts w:ascii="Arial Narrow" w:hAnsi="Arial Narrow"/>
          <w:color w:val="000000" w:themeColor="text1"/>
          <w:sz w:val="24"/>
          <w14:textFill>
            <w14:solidFill>
              <w14:schemeClr w14:val="tx1"/>
            </w14:solidFill>
          </w14:textFill>
        </w:rPr>
        <w:t>2、项目绩效目标</w:t>
      </w:r>
      <w:bookmarkEnd w:id="37"/>
      <w:bookmarkEnd w:id="38"/>
    </w:p>
    <w:p>
      <w:pPr>
        <w:spacing w:line="360" w:lineRule="auto"/>
        <w:ind w:firstLine="439" w:firstLineChars="183"/>
        <w:rPr>
          <w:rFonts w:ascii="Arial Narrow" w:hAnsi="Arial Narrow"/>
          <w:color w:val="000000" w:themeColor="text1"/>
          <w:sz w:val="24"/>
          <w14:textFill>
            <w14:solidFill>
              <w14:schemeClr w14:val="tx1"/>
            </w14:solidFill>
          </w14:textFill>
        </w:rPr>
      </w:pPr>
      <w:bookmarkStart w:id="39" w:name="_Toc8166"/>
      <w:r>
        <w:rPr>
          <w:rFonts w:ascii="Arial Narrow" w:hAnsi="Arial Narrow"/>
          <w:color w:val="000000" w:themeColor="text1"/>
          <w:sz w:val="24"/>
          <w14:textFill>
            <w14:solidFill>
              <w14:schemeClr w14:val="tx1"/>
            </w14:solidFill>
          </w14:textFill>
        </w:rPr>
        <w:t>（1）项目立项设定绩效目标</w:t>
      </w:r>
      <w:bookmarkEnd w:id="39"/>
    </w:p>
    <w:p>
      <w:pPr>
        <w:spacing w:line="360" w:lineRule="auto"/>
        <w:ind w:firstLine="439" w:firstLineChars="183"/>
        <w:rPr>
          <w:rFonts w:ascii="仿宋_GB2312" w:hAnsi="Arial Narrow"/>
          <w:color w:val="000000" w:themeColor="text1"/>
          <w:sz w:val="24"/>
          <w14:textFill>
            <w14:solidFill>
              <w14:schemeClr w14:val="tx1"/>
            </w14:solidFill>
          </w14:textFill>
        </w:rPr>
      </w:pPr>
      <w:r>
        <w:rPr>
          <w:rFonts w:ascii="Arial Narrow" w:hAnsi="Arial Narrow"/>
          <w:color w:val="000000" w:themeColor="text1"/>
          <w:sz w:val="24"/>
          <w14:textFill>
            <w14:solidFill>
              <w14:schemeClr w14:val="tx1"/>
            </w14:solidFill>
          </w14:textFill>
        </w:rPr>
        <w:t>完成区</w:t>
      </w:r>
      <w:r>
        <w:rPr>
          <w:rFonts w:hint="eastAsia" w:ascii="仿宋_GB2312" w:hAnsi="Arial Narrow"/>
          <w:color w:val="000000" w:themeColor="text1"/>
          <w:sz w:val="24"/>
          <w14:textFill>
            <w14:solidFill>
              <w14:schemeClr w14:val="tx1"/>
            </w14:solidFill>
          </w14:textFill>
        </w:rPr>
        <w:t>安委会、市交通运输委安监处、区城乡建设局及区政府办桥梁安全管理的安全监督管理责任目标</w:t>
      </w:r>
      <w:r>
        <w:rPr>
          <w:rFonts w:hint="eastAsia" w:ascii="仿宋_GB2312" w:hAnsi="Arial Narrow" w:cs="宋体"/>
          <w:color w:val="000000" w:themeColor="text1"/>
          <w:sz w:val="24"/>
          <w14:textFill>
            <w14:solidFill>
              <w14:schemeClr w14:val="tx1"/>
            </w14:solidFill>
          </w14:textFill>
        </w:rPr>
        <w:t>。实现“一无两降”</w:t>
      </w:r>
      <w:r>
        <w:rPr>
          <w:rFonts w:hint="eastAsia" w:ascii="仿宋_GB2312" w:hAnsi="Arial Narrow"/>
          <w:color w:val="000000" w:themeColor="text1"/>
          <w:sz w:val="24"/>
          <w14:textFill>
            <w14:solidFill>
              <w14:schemeClr w14:val="tx1"/>
            </w14:solidFill>
          </w14:textFill>
        </w:rPr>
        <w:t>无</w:t>
      </w:r>
      <w:r>
        <w:rPr>
          <w:rFonts w:hint="eastAsia" w:ascii="仿宋_GB2312" w:hAnsi="Arial Narrow" w:cs="宋体"/>
          <w:color w:val="000000" w:themeColor="text1"/>
          <w:sz w:val="24"/>
          <w14:textFill>
            <w14:solidFill>
              <w14:schemeClr w14:val="tx1"/>
            </w14:solidFill>
          </w14:textFill>
        </w:rPr>
        <w:t>重大事故、较大事故同比下降、一般事故明显下降的目标</w:t>
      </w:r>
      <w:r>
        <w:rPr>
          <w:rFonts w:hint="eastAsia" w:ascii="仿宋_GB2312" w:hAnsi="Arial Narrow"/>
          <w:color w:val="000000" w:themeColor="text1"/>
          <w:sz w:val="24"/>
          <w14:textFill>
            <w14:solidFill>
              <w14:schemeClr w14:val="tx1"/>
            </w14:solidFill>
          </w14:textFill>
        </w:rPr>
        <w:t>，完成区建设局安全科、市港航局安全监督责任目标</w:t>
      </w:r>
      <w:r>
        <w:rPr>
          <w:rFonts w:hint="eastAsia" w:ascii="仿宋_GB2312" w:hAnsi="Arial Narrow" w:cs="宋体"/>
          <w:color w:val="000000" w:themeColor="text1"/>
          <w:sz w:val="24"/>
          <w14:textFill>
            <w14:solidFill>
              <w14:schemeClr w14:val="tx1"/>
            </w14:solidFill>
          </w14:textFill>
        </w:rPr>
        <w:t>。</w:t>
      </w:r>
    </w:p>
    <w:p>
      <w:pPr>
        <w:spacing w:line="360" w:lineRule="auto"/>
        <w:ind w:firstLine="439" w:firstLineChars="183"/>
        <w:rPr>
          <w:rFonts w:ascii="仿宋_GB2312" w:hAnsi="Arial Narrow"/>
          <w:color w:val="000000" w:themeColor="text1"/>
          <w:sz w:val="24"/>
          <w14:textFill>
            <w14:solidFill>
              <w14:schemeClr w14:val="tx1"/>
            </w14:solidFill>
          </w14:textFill>
        </w:rPr>
      </w:pPr>
      <w:r>
        <w:rPr>
          <w:rFonts w:ascii="Arial Narrow" w:hAnsi="Arial Narrow"/>
          <w:color w:val="000000" w:themeColor="text1"/>
          <w:sz w:val="24"/>
          <w14:textFill>
            <w14:solidFill>
              <w14:schemeClr w14:val="tx1"/>
            </w14:solidFill>
          </w14:textFill>
        </w:rPr>
        <w:t>（2）</w:t>
      </w:r>
      <w:r>
        <w:rPr>
          <w:rFonts w:hint="eastAsia" w:ascii="仿宋_GB2312" w:hAnsi="Arial Narrow"/>
          <w:color w:val="000000" w:themeColor="text1"/>
          <w:sz w:val="24"/>
          <w14:textFill>
            <w14:solidFill>
              <w14:schemeClr w14:val="tx1"/>
            </w14:solidFill>
          </w14:textFill>
        </w:rPr>
        <w:t>绩效目标完成情况</w:t>
      </w:r>
    </w:p>
    <w:p>
      <w:pPr>
        <w:spacing w:line="360" w:lineRule="auto"/>
        <w:ind w:firstLine="480" w:firstLineChars="200"/>
        <w:rPr>
          <w:rFonts w:ascii="仿宋_GB2312" w:hAnsi="Arial Narrow" w:cs="Arial Narrow"/>
          <w:sz w:val="24"/>
          <w:szCs w:val="21"/>
        </w:rPr>
      </w:pPr>
      <w:bookmarkStart w:id="40" w:name="_Toc28988"/>
      <w:bookmarkStart w:id="41" w:name="_Toc18708"/>
      <w:r>
        <w:rPr>
          <w:rFonts w:hint="eastAsia" w:ascii="仿宋_GB2312" w:hAnsi="Arial Narrow" w:cs="Arial Narrow"/>
          <w:sz w:val="24"/>
          <w:szCs w:val="21"/>
        </w:rPr>
        <w:t>项目实施单位</w:t>
      </w:r>
      <w:r>
        <w:rPr>
          <w:rFonts w:hint="eastAsia" w:ascii="仿宋_GB2312" w:hAnsi="Arial Narrow" w:cs="宋体"/>
          <w:sz w:val="24"/>
          <w:szCs w:val="21"/>
        </w:rPr>
        <w:t>实际</w:t>
      </w:r>
      <w:r>
        <w:rPr>
          <w:rFonts w:hint="eastAsia" w:ascii="仿宋_GB2312" w:hAnsi="Arial Narrow" w:cs="Arial Narrow"/>
          <w:sz w:val="24"/>
          <w:szCs w:val="21"/>
        </w:rPr>
        <w:t>开展交通安全检查</w:t>
      </w:r>
      <w:r>
        <w:rPr>
          <w:rFonts w:hint="eastAsia" w:ascii="仿宋_GB2312" w:hAnsi="Arial Narrow" w:cs="宋体"/>
          <w:sz w:val="24"/>
          <w:szCs w:val="21"/>
        </w:rPr>
        <w:t>大于</w:t>
      </w:r>
      <w:r>
        <w:rPr>
          <w:rFonts w:ascii="Arial Narrow" w:hAnsi="Arial Narrow" w:cs="Arial Narrow"/>
          <w:sz w:val="24"/>
          <w:szCs w:val="21"/>
        </w:rPr>
        <w:t>12次，于2017年12月前</w:t>
      </w:r>
      <w:r>
        <w:rPr>
          <w:rFonts w:hint="eastAsia" w:ascii="仿宋_GB2312" w:hAnsi="Arial Narrow" w:cs="Arial Narrow"/>
          <w:sz w:val="24"/>
          <w:szCs w:val="21"/>
        </w:rPr>
        <w:t>编制完成了全区建设、交通系统应急预案</w:t>
      </w:r>
      <w:r>
        <w:rPr>
          <w:rFonts w:hint="eastAsia" w:ascii="仿宋_GB2312" w:hAnsi="Arial Narrow" w:cs="宋体"/>
          <w:sz w:val="24"/>
          <w:szCs w:val="21"/>
        </w:rPr>
        <w:t>，该预案按规定</w:t>
      </w:r>
      <w:r>
        <w:rPr>
          <w:rFonts w:ascii="Arial Narrow" w:hAnsi="Arial Narrow" w:cs="宋体"/>
          <w:sz w:val="24"/>
          <w:szCs w:val="21"/>
        </w:rPr>
        <w:t>可沿用至2018年</w:t>
      </w:r>
      <w:r>
        <w:rPr>
          <w:rFonts w:ascii="Arial Narrow" w:hAnsi="Arial Narrow" w:cs="Arial Narrow"/>
          <w:sz w:val="24"/>
          <w:szCs w:val="21"/>
        </w:rPr>
        <w:t>；开</w:t>
      </w:r>
      <w:r>
        <w:rPr>
          <w:rFonts w:hint="eastAsia" w:ascii="仿宋_GB2312" w:hAnsi="Arial Narrow" w:cs="Arial Narrow"/>
          <w:sz w:val="24"/>
          <w:szCs w:val="21"/>
        </w:rPr>
        <w:t>展“两客一危”应急预案演习</w:t>
      </w:r>
      <w:r>
        <w:rPr>
          <w:rFonts w:ascii="Arial Narrow" w:hAnsi="Arial Narrow" w:cs="Arial Narrow"/>
          <w:sz w:val="24"/>
          <w:szCs w:val="21"/>
        </w:rPr>
        <w:t>1次；对</w:t>
      </w:r>
      <w:r>
        <w:rPr>
          <w:rFonts w:ascii="Arial Narrow" w:hAnsi="Arial Narrow" w:cs="宋体"/>
          <w:sz w:val="24"/>
          <w:szCs w:val="21"/>
        </w:rPr>
        <w:t>危货</w:t>
      </w:r>
      <w:r>
        <w:rPr>
          <w:rFonts w:ascii="Arial Narrow" w:hAnsi="Arial Narrow" w:cs="Arial Narrow"/>
          <w:sz w:val="24"/>
          <w:szCs w:val="21"/>
        </w:rPr>
        <w:t>码头</w:t>
      </w:r>
      <w:r>
        <w:rPr>
          <w:rFonts w:ascii="Arial Narrow" w:hAnsi="Arial Narrow" w:cs="宋体"/>
          <w:sz w:val="24"/>
          <w:szCs w:val="21"/>
        </w:rPr>
        <w:t>定期</w:t>
      </w:r>
      <w:r>
        <w:rPr>
          <w:rFonts w:ascii="Arial Narrow" w:hAnsi="Arial Narrow" w:cs="Arial Narrow"/>
          <w:sz w:val="24"/>
          <w:szCs w:val="21"/>
        </w:rPr>
        <w:t>进行检查；彻查安全隐患，大部分</w:t>
      </w:r>
      <w:r>
        <w:rPr>
          <w:rFonts w:ascii="Arial Narrow" w:hAnsi="Arial Narrow" w:cs="宋体"/>
          <w:sz w:val="24"/>
          <w:szCs w:val="21"/>
        </w:rPr>
        <w:t>发现的</w:t>
      </w:r>
      <w:r>
        <w:rPr>
          <w:rFonts w:ascii="Arial Narrow" w:hAnsi="Arial Narrow" w:cs="Arial Narrow"/>
          <w:sz w:val="24"/>
          <w:szCs w:val="21"/>
        </w:rPr>
        <w:t>隐患能够及时整治</w:t>
      </w:r>
      <w:r>
        <w:rPr>
          <w:rFonts w:ascii="Arial Narrow" w:hAnsi="Arial Narrow" w:cs="宋体"/>
          <w:sz w:val="24"/>
          <w:szCs w:val="21"/>
        </w:rPr>
        <w:t>；通过多</w:t>
      </w:r>
      <w:r>
        <w:rPr>
          <w:rFonts w:hint="eastAsia" w:ascii="仿宋_GB2312" w:hAnsi="Arial Narrow" w:cs="宋体"/>
          <w:sz w:val="24"/>
          <w:szCs w:val="21"/>
        </w:rPr>
        <w:t>种宣传方式</w:t>
      </w:r>
      <w:r>
        <w:rPr>
          <w:rFonts w:hint="eastAsia" w:ascii="仿宋_GB2312" w:hAnsi="Arial Narrow" w:cs="Arial Narrow"/>
          <w:sz w:val="24"/>
          <w:szCs w:val="21"/>
        </w:rPr>
        <w:t xml:space="preserve"> </w:t>
      </w:r>
      <w:r>
        <w:rPr>
          <w:rFonts w:hint="eastAsia" w:ascii="仿宋_GB2312" w:hAnsi="Arial Narrow" w:cs="Arial Narrow"/>
          <w:bCs/>
          <w:color w:val="000000" w:themeColor="text1"/>
          <w:sz w:val="24"/>
          <w14:textFill>
            <w14:solidFill>
              <w14:schemeClr w14:val="tx1"/>
            </w14:solidFill>
          </w14:textFill>
        </w:rPr>
        <w:t>对企业员工、广大市民宣传日常安全知识，方式多样，范围广，并通过加强培训教育、深化打非治违、开展多次专项整治检查工作，</w:t>
      </w:r>
      <w:r>
        <w:rPr>
          <w:rFonts w:hint="eastAsia" w:ascii="仿宋_GB2312" w:hAnsi="Arial Narrow" w:cs="宋体"/>
          <w:bCs/>
          <w:color w:val="000000" w:themeColor="text1"/>
          <w:sz w:val="24"/>
          <w14:textFill>
            <w14:solidFill>
              <w14:schemeClr w14:val="tx1"/>
            </w14:solidFill>
          </w14:textFill>
        </w:rPr>
        <w:t>减少</w:t>
      </w:r>
      <w:r>
        <w:rPr>
          <w:rFonts w:hint="eastAsia" w:ascii="仿宋_GB2312" w:hAnsi="Arial Narrow" w:cs="Arial Narrow"/>
          <w:bCs/>
          <w:color w:val="000000" w:themeColor="text1"/>
          <w:sz w:val="24"/>
          <w14:textFill>
            <w14:solidFill>
              <w14:schemeClr w14:val="tx1"/>
            </w14:solidFill>
          </w14:textFill>
        </w:rPr>
        <w:t>道路安全隐患，道路安全畅通得到有效保障，</w:t>
      </w:r>
      <w:r>
        <w:rPr>
          <w:rFonts w:hint="eastAsia" w:ascii="仿宋_GB2312" w:hAnsi="Arial Narrow" w:cs="宋体"/>
          <w:bCs/>
          <w:color w:val="000000" w:themeColor="text1"/>
          <w:sz w:val="24"/>
          <w14:textFill>
            <w14:solidFill>
              <w14:schemeClr w14:val="tx1"/>
            </w14:solidFill>
          </w14:textFill>
        </w:rPr>
        <w:t>全年未发生较大及以上安全生产事故，</w:t>
      </w:r>
      <w:r>
        <w:rPr>
          <w:rFonts w:hint="eastAsia" w:ascii="仿宋_GB2312" w:hAnsi="Arial Narrow" w:cs="Arial Narrow"/>
          <w:bCs/>
          <w:color w:val="000000" w:themeColor="text1"/>
          <w:sz w:val="24"/>
          <w14:textFill>
            <w14:solidFill>
              <w14:schemeClr w14:val="tx1"/>
            </w14:solidFill>
          </w14:textFill>
        </w:rPr>
        <w:t>生产安全形势较为稳定</w:t>
      </w:r>
      <w:r>
        <w:rPr>
          <w:rFonts w:hint="eastAsia" w:ascii="仿宋_GB2312" w:hAnsi="Arial Narrow" w:cs="宋体"/>
          <w:bCs/>
          <w:color w:val="000000" w:themeColor="text1"/>
          <w:sz w:val="24"/>
          <w14:textFill>
            <w14:solidFill>
              <w14:schemeClr w14:val="tx1"/>
            </w14:solidFill>
          </w14:textFill>
        </w:rPr>
        <w:t>。</w:t>
      </w:r>
    </w:p>
    <w:p>
      <w:pPr>
        <w:spacing w:line="360" w:lineRule="auto"/>
        <w:ind w:left="600" w:leftChars="200"/>
        <w:outlineLvl w:val="2"/>
        <w:rPr>
          <w:rFonts w:ascii="Arial Narrow" w:hAnsi="Arial Narrow"/>
          <w:color w:val="000000" w:themeColor="text1"/>
          <w:sz w:val="24"/>
          <w14:textFill>
            <w14:solidFill>
              <w14:schemeClr w14:val="tx1"/>
            </w14:solidFill>
          </w14:textFill>
        </w:rPr>
      </w:pPr>
      <w:r>
        <w:rPr>
          <w:rFonts w:ascii="Arial Narrow" w:hAnsi="Arial Narrow"/>
          <w:color w:val="000000" w:themeColor="text1"/>
          <w:sz w:val="24"/>
          <w14:textFill>
            <w14:solidFill>
              <w14:schemeClr w14:val="tx1"/>
            </w14:solidFill>
          </w14:textFill>
        </w:rPr>
        <w:t>3、项目经费来源和使用情况</w:t>
      </w:r>
      <w:bookmarkEnd w:id="40"/>
      <w:bookmarkEnd w:id="41"/>
    </w:p>
    <w:p>
      <w:pPr>
        <w:spacing w:line="360" w:lineRule="auto"/>
        <w:ind w:firstLine="439" w:firstLineChars="183"/>
        <w:rPr>
          <w:rFonts w:ascii="Arial Narrow" w:hAnsi="Arial Narrow"/>
          <w:color w:val="000000" w:themeColor="text1"/>
          <w:sz w:val="24"/>
          <w14:textFill>
            <w14:solidFill>
              <w14:schemeClr w14:val="tx1"/>
            </w14:solidFill>
          </w14:textFill>
        </w:rPr>
      </w:pPr>
      <w:r>
        <w:rPr>
          <w:rFonts w:ascii="Arial Narrow" w:hAnsi="Arial Narrow"/>
          <w:color w:val="000000" w:themeColor="text1"/>
          <w:sz w:val="24"/>
          <w14:textFill>
            <w14:solidFill>
              <w14:schemeClr w14:val="tx1"/>
            </w14:solidFill>
          </w14:textFill>
        </w:rPr>
        <w:t>（1）项目资金来源概况</w:t>
      </w:r>
    </w:p>
    <w:p>
      <w:pPr>
        <w:spacing w:line="360" w:lineRule="auto"/>
        <w:ind w:firstLine="439" w:firstLineChars="183"/>
        <w:rPr>
          <w:rFonts w:ascii="Arial Narrow" w:hAnsi="Arial Narrow"/>
          <w:color w:val="000000" w:themeColor="text1"/>
          <w:sz w:val="24"/>
          <w14:textFill>
            <w14:solidFill>
              <w14:schemeClr w14:val="tx1"/>
            </w14:solidFill>
          </w14:textFill>
        </w:rPr>
      </w:pPr>
      <w:r>
        <w:rPr>
          <w:rFonts w:ascii="Arial Narrow" w:hAnsi="Arial Narrow"/>
          <w:color w:val="000000" w:themeColor="text1"/>
          <w:sz w:val="24"/>
          <w14:textFill>
            <w14:solidFill>
              <w14:schemeClr w14:val="tx1"/>
            </w14:solidFill>
          </w14:textFill>
        </w:rPr>
        <w:t>交通</w:t>
      </w:r>
      <w:r>
        <w:rPr>
          <w:rFonts w:hint="eastAsia" w:ascii="仿宋_GB2312" w:hAnsi="Arial Narrow"/>
          <w:color w:val="000000" w:themeColor="text1"/>
          <w:sz w:val="24"/>
          <w14:textFill>
            <w14:solidFill>
              <w14:schemeClr w14:val="tx1"/>
            </w14:solidFill>
          </w14:textFill>
        </w:rPr>
        <w:t>安全专项经费项目资金预算总金额</w:t>
      </w:r>
      <w:r>
        <w:rPr>
          <w:rFonts w:ascii="Arial Narrow" w:hAnsi="Arial Narrow"/>
          <w:color w:val="000000" w:themeColor="text1"/>
          <w:sz w:val="24"/>
          <w14:textFill>
            <w14:solidFill>
              <w14:schemeClr w14:val="tx1"/>
            </w14:solidFill>
          </w14:textFill>
        </w:rPr>
        <w:t>38.00万元。资金来源于财政拨付收入。</w:t>
      </w:r>
    </w:p>
    <w:p>
      <w:pPr>
        <w:numPr>
          <w:ilvl w:val="0"/>
          <w:numId w:val="2"/>
        </w:numPr>
        <w:snapToGrid w:val="0"/>
        <w:spacing w:line="360" w:lineRule="auto"/>
        <w:ind w:firstLine="480" w:firstLineChars="200"/>
        <w:rPr>
          <w:rFonts w:ascii="Arial Narrow" w:hAnsi="Arial Narrow" w:cs="Arial Narrow"/>
          <w:color w:val="000000" w:themeColor="text1"/>
          <w:sz w:val="24"/>
          <w14:textFill>
            <w14:solidFill>
              <w14:schemeClr w14:val="tx1"/>
            </w14:solidFill>
          </w14:textFill>
        </w:rPr>
      </w:pPr>
      <w:r>
        <w:rPr>
          <w:rFonts w:ascii="Arial Narrow" w:hAnsi="Arial Narrow" w:cs="Arial Narrow"/>
          <w:color w:val="000000" w:themeColor="text1"/>
          <w:sz w:val="24"/>
          <w14:textFill>
            <w14:solidFill>
              <w14:schemeClr w14:val="tx1"/>
            </w14:solidFill>
          </w14:textFill>
        </w:rPr>
        <w:t>项目资金使用概况</w:t>
      </w:r>
    </w:p>
    <w:p>
      <w:pPr>
        <w:snapToGrid w:val="0"/>
        <w:spacing w:line="360" w:lineRule="auto"/>
        <w:ind w:firstLine="480" w:firstLineChars="200"/>
        <w:rPr>
          <w:rFonts w:ascii="仿宋_GB2312" w:hAnsi="Arial Narrow" w:cs="Arial Narrow"/>
          <w:color w:val="000000" w:themeColor="text1"/>
          <w:sz w:val="24"/>
          <w14:textFill>
            <w14:solidFill>
              <w14:schemeClr w14:val="tx1"/>
            </w14:solidFill>
          </w14:textFill>
        </w:rPr>
      </w:pPr>
      <w:r>
        <w:rPr>
          <w:rFonts w:ascii="Arial Narrow" w:hAnsi="Arial Narrow" w:cs="Arial Narrow"/>
          <w:color w:val="000000" w:themeColor="text1"/>
          <w:sz w:val="24"/>
          <w14:textFill>
            <w14:solidFill>
              <w14:schemeClr w14:val="tx1"/>
            </w14:solidFill>
          </w14:textFill>
        </w:rPr>
        <w:t>交通安全专项经费项目实际支出25.32万元，支出明细</w:t>
      </w:r>
      <w:r>
        <w:rPr>
          <w:rFonts w:hint="eastAsia" w:ascii="仿宋_GB2312" w:hAnsi="Arial Narrow" w:cs="Arial Narrow"/>
          <w:color w:val="000000" w:themeColor="text1"/>
          <w:sz w:val="24"/>
          <w14:textFill>
            <w14:solidFill>
              <w14:schemeClr w14:val="tx1"/>
            </w14:solidFill>
          </w14:textFill>
        </w:rPr>
        <w:t xml:space="preserve">如下： </w:t>
      </w:r>
    </w:p>
    <w:tbl>
      <w:tblPr>
        <w:tblStyle w:val="10"/>
        <w:tblW w:w="8291" w:type="dxa"/>
        <w:tblInd w:w="0" w:type="dxa"/>
        <w:tblLayout w:type="fixed"/>
        <w:tblCellMar>
          <w:top w:w="0" w:type="dxa"/>
          <w:left w:w="108" w:type="dxa"/>
          <w:bottom w:w="0" w:type="dxa"/>
          <w:right w:w="108" w:type="dxa"/>
        </w:tblCellMar>
      </w:tblPr>
      <w:tblGrid>
        <w:gridCol w:w="1300"/>
        <w:gridCol w:w="2664"/>
        <w:gridCol w:w="1264"/>
        <w:gridCol w:w="1470"/>
        <w:gridCol w:w="1593"/>
      </w:tblGrid>
      <w:tr>
        <w:tblPrEx>
          <w:tblCellMar>
            <w:top w:w="0" w:type="dxa"/>
            <w:left w:w="108" w:type="dxa"/>
            <w:bottom w:w="0" w:type="dxa"/>
            <w:right w:w="108" w:type="dxa"/>
          </w:tblCellMar>
        </w:tblPrEx>
        <w:trPr>
          <w:trHeight w:val="522" w:hRule="atLeast"/>
          <w:tblHeader/>
        </w:trPr>
        <w:tc>
          <w:tcPr>
            <w:tcW w:w="130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等线" w:cs="宋体"/>
                <w:b/>
                <w:bCs/>
                <w:color w:val="000000"/>
                <w:kern w:val="0"/>
                <w:sz w:val="24"/>
              </w:rPr>
            </w:pPr>
            <w:r>
              <w:rPr>
                <w:rFonts w:hint="eastAsia" w:ascii="仿宋_GB2312" w:hAnsi="等线" w:cs="宋体"/>
                <w:b/>
                <w:bCs/>
                <w:color w:val="000000"/>
                <w:kern w:val="0"/>
                <w:sz w:val="24"/>
              </w:rPr>
              <w:t>资金使用者</w:t>
            </w:r>
          </w:p>
        </w:tc>
        <w:tc>
          <w:tcPr>
            <w:tcW w:w="266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等线" w:cs="宋体"/>
                <w:b/>
                <w:bCs/>
                <w:color w:val="000000"/>
                <w:kern w:val="0"/>
                <w:sz w:val="24"/>
              </w:rPr>
            </w:pPr>
            <w:r>
              <w:rPr>
                <w:rFonts w:hint="eastAsia" w:ascii="仿宋_GB2312" w:hAnsi="等线" w:cs="宋体"/>
                <w:b/>
                <w:bCs/>
                <w:color w:val="000000"/>
                <w:kern w:val="0"/>
                <w:sz w:val="24"/>
              </w:rPr>
              <w:t>支出类型</w:t>
            </w:r>
          </w:p>
        </w:tc>
        <w:tc>
          <w:tcPr>
            <w:tcW w:w="126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等线" w:eastAsia="仿宋_GB2312" w:cs="宋体"/>
                <w:b/>
                <w:bCs/>
                <w:color w:val="000000"/>
                <w:kern w:val="0"/>
                <w:sz w:val="24"/>
                <w:lang w:eastAsia="zh-CN"/>
              </w:rPr>
            </w:pPr>
            <w:r>
              <w:rPr>
                <w:rFonts w:hint="eastAsia" w:ascii="仿宋_GB2312" w:hAnsi="等线" w:cs="宋体"/>
                <w:b/>
                <w:bCs/>
                <w:color w:val="000000"/>
                <w:kern w:val="0"/>
                <w:sz w:val="24"/>
              </w:rPr>
              <w:t xml:space="preserve"> 预算金额</w:t>
            </w:r>
          </w:p>
          <w:p>
            <w:pPr>
              <w:widowControl/>
              <w:jc w:val="center"/>
              <w:rPr>
                <w:rFonts w:ascii="仿宋_GB2312" w:hAnsi="等线" w:cs="宋体"/>
                <w:b/>
                <w:bCs/>
                <w:color w:val="000000"/>
                <w:kern w:val="0"/>
                <w:sz w:val="24"/>
              </w:rPr>
            </w:pPr>
            <w:r>
              <w:rPr>
                <w:rFonts w:hint="eastAsia" w:ascii="仿宋_GB2312" w:hAnsi="等线" w:cs="宋体"/>
                <w:b/>
                <w:bCs/>
                <w:color w:val="000000"/>
                <w:kern w:val="0"/>
                <w:sz w:val="24"/>
              </w:rPr>
              <w:t xml:space="preserve">（元） </w:t>
            </w:r>
          </w:p>
        </w:tc>
        <w:tc>
          <w:tcPr>
            <w:tcW w:w="14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等线" w:eastAsia="仿宋_GB2312" w:cs="宋体"/>
                <w:b/>
                <w:bCs/>
                <w:color w:val="000000"/>
                <w:kern w:val="0"/>
                <w:sz w:val="24"/>
                <w:lang w:eastAsia="zh-CN"/>
              </w:rPr>
            </w:pPr>
            <w:r>
              <w:rPr>
                <w:rFonts w:hint="eastAsia" w:ascii="仿宋_GB2312" w:hAnsi="等线" w:cs="宋体"/>
                <w:b/>
                <w:bCs/>
                <w:color w:val="000000"/>
                <w:kern w:val="0"/>
                <w:sz w:val="24"/>
              </w:rPr>
              <w:t xml:space="preserve"> 执行金额</w:t>
            </w:r>
          </w:p>
          <w:p>
            <w:pPr>
              <w:widowControl/>
              <w:jc w:val="center"/>
              <w:rPr>
                <w:rFonts w:ascii="仿宋_GB2312" w:hAnsi="等线" w:cs="宋体"/>
                <w:b/>
                <w:bCs/>
                <w:color w:val="000000"/>
                <w:kern w:val="0"/>
                <w:sz w:val="24"/>
              </w:rPr>
            </w:pPr>
            <w:r>
              <w:rPr>
                <w:rFonts w:hint="eastAsia" w:ascii="仿宋_GB2312" w:hAnsi="等线" w:cs="宋体"/>
                <w:b/>
                <w:bCs/>
                <w:color w:val="000000"/>
                <w:kern w:val="0"/>
                <w:sz w:val="24"/>
              </w:rPr>
              <w:t xml:space="preserve">（元） </w:t>
            </w:r>
          </w:p>
        </w:tc>
        <w:tc>
          <w:tcPr>
            <w:tcW w:w="159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hAnsi="等线" w:cs="宋体"/>
                <w:b/>
                <w:bCs/>
                <w:color w:val="000000"/>
                <w:kern w:val="0"/>
                <w:sz w:val="24"/>
              </w:rPr>
            </w:pPr>
            <w:r>
              <w:rPr>
                <w:rFonts w:hint="eastAsia" w:ascii="仿宋_GB2312" w:hAnsi="等线" w:cs="宋体"/>
                <w:b/>
                <w:bCs/>
                <w:color w:val="000000"/>
                <w:kern w:val="0"/>
                <w:sz w:val="24"/>
              </w:rPr>
              <w:t>执行率</w:t>
            </w:r>
          </w:p>
        </w:tc>
      </w:tr>
      <w:tr>
        <w:tblPrEx>
          <w:tblCellMar>
            <w:top w:w="0" w:type="dxa"/>
            <w:left w:w="108" w:type="dxa"/>
            <w:bottom w:w="0" w:type="dxa"/>
            <w:right w:w="108" w:type="dxa"/>
          </w:tblCellMar>
        </w:tblPrEx>
        <w:trPr>
          <w:trHeight w:val="801" w:hRule="atLeast"/>
        </w:trPr>
        <w:tc>
          <w:tcPr>
            <w:tcW w:w="13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等线" w:cs="宋体"/>
                <w:color w:val="000000"/>
                <w:kern w:val="0"/>
                <w:sz w:val="24"/>
              </w:rPr>
            </w:pPr>
            <w:r>
              <w:rPr>
                <w:rFonts w:hint="eastAsia" w:ascii="仿宋_GB2312" w:hAnsi="等线" w:cs="宋体"/>
                <w:color w:val="000000"/>
                <w:kern w:val="0"/>
                <w:sz w:val="24"/>
              </w:rPr>
              <w:t>局安全科、汉南区港航处</w:t>
            </w:r>
          </w:p>
        </w:tc>
        <w:tc>
          <w:tcPr>
            <w:tcW w:w="266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等线" w:cs="宋体"/>
                <w:color w:val="000000"/>
                <w:kern w:val="0"/>
                <w:sz w:val="24"/>
              </w:rPr>
            </w:pPr>
            <w:r>
              <w:rPr>
                <w:rFonts w:hint="eastAsia" w:ascii="仿宋_GB2312" w:hAnsi="等线" w:cs="宋体"/>
                <w:color w:val="000000"/>
                <w:kern w:val="0"/>
                <w:sz w:val="24"/>
              </w:rPr>
              <w:t>交通运输应急预案采取针对性和综合性的应急演练</w:t>
            </w:r>
          </w:p>
        </w:tc>
        <w:tc>
          <w:tcPr>
            <w:tcW w:w="1264" w:type="dxa"/>
            <w:tcBorders>
              <w:top w:val="nil"/>
              <w:left w:val="nil"/>
              <w:bottom w:val="single" w:color="auto" w:sz="4" w:space="0"/>
              <w:right w:val="single" w:color="auto" w:sz="4" w:space="0"/>
            </w:tcBorders>
            <w:shd w:val="clear" w:color="auto" w:fill="auto"/>
            <w:noWrap/>
            <w:vAlign w:val="center"/>
          </w:tcPr>
          <w:p>
            <w:pPr>
              <w:widowControl/>
              <w:jc w:val="center"/>
              <w:rPr>
                <w:rFonts w:ascii="Arial Narrow" w:hAnsi="Arial Narrow" w:eastAsia="等线" w:cs="宋体"/>
                <w:color w:val="000000"/>
                <w:kern w:val="0"/>
                <w:sz w:val="24"/>
              </w:rPr>
            </w:pPr>
            <w:r>
              <w:rPr>
                <w:rFonts w:ascii="Arial Narrow" w:hAnsi="Arial Narrow" w:eastAsia="等线" w:cs="宋体"/>
                <w:color w:val="000000"/>
                <w:kern w:val="0"/>
                <w:sz w:val="24"/>
              </w:rPr>
              <w:t>70,000.00</w:t>
            </w:r>
          </w:p>
        </w:tc>
        <w:tc>
          <w:tcPr>
            <w:tcW w:w="1470" w:type="dxa"/>
            <w:tcBorders>
              <w:top w:val="nil"/>
              <w:left w:val="nil"/>
              <w:bottom w:val="single" w:color="auto" w:sz="4" w:space="0"/>
              <w:right w:val="single" w:color="auto" w:sz="4" w:space="0"/>
            </w:tcBorders>
            <w:shd w:val="clear" w:color="auto" w:fill="auto"/>
            <w:noWrap/>
            <w:vAlign w:val="center"/>
          </w:tcPr>
          <w:p>
            <w:pPr>
              <w:widowControl/>
              <w:jc w:val="center"/>
              <w:rPr>
                <w:rFonts w:ascii="Arial Narrow" w:hAnsi="Arial Narrow" w:eastAsia="等线" w:cs="宋体"/>
                <w:color w:val="000000"/>
                <w:kern w:val="0"/>
                <w:sz w:val="24"/>
              </w:rPr>
            </w:pPr>
            <w:r>
              <w:rPr>
                <w:rFonts w:ascii="Arial Narrow" w:hAnsi="Arial Narrow" w:eastAsia="等线" w:cs="宋体"/>
                <w:color w:val="000000"/>
                <w:kern w:val="0"/>
                <w:sz w:val="24"/>
              </w:rPr>
              <w:t>133,225.00</w:t>
            </w:r>
          </w:p>
        </w:tc>
        <w:tc>
          <w:tcPr>
            <w:tcW w:w="1593" w:type="dxa"/>
            <w:tcBorders>
              <w:top w:val="nil"/>
              <w:left w:val="nil"/>
              <w:bottom w:val="single" w:color="auto" w:sz="4" w:space="0"/>
              <w:right w:val="single" w:color="auto" w:sz="4" w:space="0"/>
            </w:tcBorders>
            <w:shd w:val="clear" w:color="auto" w:fill="auto"/>
            <w:noWrap/>
            <w:vAlign w:val="center"/>
          </w:tcPr>
          <w:p>
            <w:pPr>
              <w:widowControl/>
              <w:jc w:val="center"/>
              <w:rPr>
                <w:rFonts w:ascii="Arial Narrow" w:hAnsi="Arial Narrow" w:eastAsia="等线" w:cs="宋体"/>
                <w:color w:val="000000"/>
                <w:kern w:val="0"/>
                <w:sz w:val="24"/>
              </w:rPr>
            </w:pPr>
            <w:r>
              <w:rPr>
                <w:rFonts w:ascii="Arial Narrow" w:hAnsi="Arial Narrow" w:eastAsia="等线" w:cs="宋体"/>
                <w:color w:val="000000"/>
                <w:kern w:val="0"/>
                <w:sz w:val="24"/>
              </w:rPr>
              <w:t>190.32%</w:t>
            </w:r>
          </w:p>
        </w:tc>
      </w:tr>
      <w:tr>
        <w:tblPrEx>
          <w:tblCellMar>
            <w:top w:w="0" w:type="dxa"/>
            <w:left w:w="108" w:type="dxa"/>
            <w:bottom w:w="0" w:type="dxa"/>
            <w:right w:w="108" w:type="dxa"/>
          </w:tblCellMar>
        </w:tblPrEx>
        <w:trPr>
          <w:trHeight w:val="790" w:hRule="atLeast"/>
        </w:trPr>
        <w:tc>
          <w:tcPr>
            <w:tcW w:w="1300"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等线" w:cs="宋体"/>
                <w:color w:val="000000"/>
                <w:kern w:val="0"/>
                <w:sz w:val="24"/>
              </w:rPr>
            </w:pPr>
          </w:p>
        </w:tc>
        <w:tc>
          <w:tcPr>
            <w:tcW w:w="266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等线" w:cs="宋体"/>
                <w:color w:val="000000"/>
                <w:kern w:val="0"/>
                <w:sz w:val="24"/>
              </w:rPr>
            </w:pPr>
            <w:r>
              <w:rPr>
                <w:rFonts w:hint="eastAsia" w:ascii="仿宋_GB2312" w:hAnsi="等线" w:cs="宋体"/>
                <w:color w:val="000000"/>
                <w:kern w:val="0"/>
                <w:sz w:val="24"/>
              </w:rPr>
              <w:t>交通基础设施、消防安全设备配备及维护</w:t>
            </w:r>
          </w:p>
        </w:tc>
        <w:tc>
          <w:tcPr>
            <w:tcW w:w="1264" w:type="dxa"/>
            <w:tcBorders>
              <w:top w:val="nil"/>
              <w:left w:val="nil"/>
              <w:bottom w:val="single" w:color="auto" w:sz="4" w:space="0"/>
              <w:right w:val="single" w:color="auto" w:sz="4" w:space="0"/>
            </w:tcBorders>
            <w:shd w:val="clear" w:color="auto" w:fill="auto"/>
            <w:noWrap/>
            <w:vAlign w:val="center"/>
          </w:tcPr>
          <w:p>
            <w:pPr>
              <w:widowControl/>
              <w:jc w:val="center"/>
              <w:rPr>
                <w:rFonts w:ascii="Arial Narrow" w:hAnsi="Arial Narrow" w:eastAsia="等线" w:cs="宋体"/>
                <w:color w:val="000000"/>
                <w:kern w:val="0"/>
                <w:sz w:val="24"/>
              </w:rPr>
            </w:pPr>
            <w:r>
              <w:rPr>
                <w:rFonts w:ascii="Arial Narrow" w:hAnsi="Arial Narrow" w:eastAsia="等线" w:cs="宋体"/>
                <w:color w:val="000000"/>
                <w:kern w:val="0"/>
                <w:sz w:val="24"/>
              </w:rPr>
              <w:t>39,000.00</w:t>
            </w:r>
          </w:p>
        </w:tc>
        <w:tc>
          <w:tcPr>
            <w:tcW w:w="1470" w:type="dxa"/>
            <w:tcBorders>
              <w:top w:val="nil"/>
              <w:left w:val="nil"/>
              <w:bottom w:val="single" w:color="auto" w:sz="4" w:space="0"/>
              <w:right w:val="single" w:color="auto" w:sz="4" w:space="0"/>
            </w:tcBorders>
            <w:shd w:val="clear" w:color="auto" w:fill="auto"/>
            <w:noWrap/>
            <w:vAlign w:val="center"/>
          </w:tcPr>
          <w:p>
            <w:pPr>
              <w:widowControl/>
              <w:jc w:val="center"/>
              <w:rPr>
                <w:rFonts w:ascii="Arial Narrow" w:hAnsi="Arial Narrow" w:eastAsia="等线" w:cs="宋体"/>
                <w:color w:val="000000"/>
                <w:kern w:val="0"/>
                <w:sz w:val="24"/>
              </w:rPr>
            </w:pPr>
          </w:p>
        </w:tc>
        <w:tc>
          <w:tcPr>
            <w:tcW w:w="1593" w:type="dxa"/>
            <w:tcBorders>
              <w:top w:val="nil"/>
              <w:left w:val="nil"/>
              <w:bottom w:val="single" w:color="auto" w:sz="4" w:space="0"/>
              <w:right w:val="single" w:color="auto" w:sz="4" w:space="0"/>
            </w:tcBorders>
            <w:shd w:val="clear" w:color="auto" w:fill="auto"/>
            <w:noWrap/>
            <w:vAlign w:val="center"/>
          </w:tcPr>
          <w:p>
            <w:pPr>
              <w:widowControl/>
              <w:jc w:val="center"/>
              <w:rPr>
                <w:rFonts w:ascii="Arial Narrow" w:hAnsi="Arial Narrow" w:eastAsia="等线" w:cs="宋体"/>
                <w:color w:val="000000"/>
                <w:kern w:val="0"/>
                <w:sz w:val="24"/>
              </w:rPr>
            </w:pPr>
            <w:r>
              <w:rPr>
                <w:rFonts w:ascii="Arial Narrow" w:hAnsi="Arial Narrow" w:eastAsia="等线" w:cs="宋体"/>
                <w:color w:val="000000"/>
                <w:kern w:val="0"/>
                <w:sz w:val="24"/>
              </w:rPr>
              <w:t>　</w:t>
            </w:r>
          </w:p>
        </w:tc>
      </w:tr>
      <w:tr>
        <w:tblPrEx>
          <w:tblCellMar>
            <w:top w:w="0" w:type="dxa"/>
            <w:left w:w="108" w:type="dxa"/>
            <w:bottom w:w="0" w:type="dxa"/>
            <w:right w:w="108" w:type="dxa"/>
          </w:tblCellMar>
        </w:tblPrEx>
        <w:trPr>
          <w:trHeight w:val="760" w:hRule="atLeast"/>
        </w:trPr>
        <w:tc>
          <w:tcPr>
            <w:tcW w:w="1300"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等线" w:cs="宋体"/>
                <w:color w:val="000000"/>
                <w:kern w:val="0"/>
                <w:sz w:val="24"/>
              </w:rPr>
            </w:pPr>
          </w:p>
        </w:tc>
        <w:tc>
          <w:tcPr>
            <w:tcW w:w="266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等线" w:cs="宋体"/>
                <w:color w:val="000000"/>
                <w:kern w:val="0"/>
                <w:sz w:val="24"/>
              </w:rPr>
            </w:pPr>
            <w:r>
              <w:rPr>
                <w:rFonts w:hint="eastAsia" w:ascii="仿宋_GB2312" w:hAnsi="等线" w:cs="宋体"/>
                <w:color w:val="000000"/>
                <w:kern w:val="0"/>
                <w:sz w:val="24"/>
              </w:rPr>
              <w:t>安全生产专业知识培训费、差旅费</w:t>
            </w:r>
          </w:p>
        </w:tc>
        <w:tc>
          <w:tcPr>
            <w:tcW w:w="1264" w:type="dxa"/>
            <w:tcBorders>
              <w:top w:val="nil"/>
              <w:left w:val="nil"/>
              <w:bottom w:val="single" w:color="auto" w:sz="4" w:space="0"/>
              <w:right w:val="single" w:color="auto" w:sz="4" w:space="0"/>
            </w:tcBorders>
            <w:shd w:val="clear" w:color="auto" w:fill="auto"/>
            <w:noWrap/>
            <w:vAlign w:val="center"/>
          </w:tcPr>
          <w:p>
            <w:pPr>
              <w:widowControl/>
              <w:jc w:val="center"/>
              <w:rPr>
                <w:rFonts w:ascii="Arial Narrow" w:hAnsi="Arial Narrow" w:eastAsia="等线" w:cs="宋体"/>
                <w:color w:val="000000"/>
                <w:kern w:val="0"/>
                <w:sz w:val="24"/>
              </w:rPr>
            </w:pPr>
            <w:r>
              <w:rPr>
                <w:rFonts w:ascii="Arial Narrow" w:hAnsi="Arial Narrow" w:eastAsia="等线" w:cs="宋体"/>
                <w:color w:val="000000"/>
                <w:kern w:val="0"/>
                <w:sz w:val="24"/>
              </w:rPr>
              <w:t>28,000.00</w:t>
            </w:r>
          </w:p>
        </w:tc>
        <w:tc>
          <w:tcPr>
            <w:tcW w:w="1470" w:type="dxa"/>
            <w:tcBorders>
              <w:top w:val="nil"/>
              <w:left w:val="nil"/>
              <w:bottom w:val="single" w:color="auto" w:sz="4" w:space="0"/>
              <w:right w:val="single" w:color="auto" w:sz="4" w:space="0"/>
            </w:tcBorders>
            <w:shd w:val="clear" w:color="auto" w:fill="auto"/>
            <w:noWrap/>
            <w:vAlign w:val="center"/>
          </w:tcPr>
          <w:p>
            <w:pPr>
              <w:widowControl/>
              <w:jc w:val="center"/>
              <w:rPr>
                <w:rFonts w:ascii="Arial Narrow" w:hAnsi="Arial Narrow" w:eastAsia="等线" w:cs="宋体"/>
                <w:color w:val="000000"/>
                <w:kern w:val="0"/>
                <w:sz w:val="24"/>
              </w:rPr>
            </w:pPr>
          </w:p>
        </w:tc>
        <w:tc>
          <w:tcPr>
            <w:tcW w:w="1593" w:type="dxa"/>
            <w:tcBorders>
              <w:top w:val="nil"/>
              <w:left w:val="nil"/>
              <w:bottom w:val="single" w:color="auto" w:sz="4" w:space="0"/>
              <w:right w:val="single" w:color="auto" w:sz="4" w:space="0"/>
            </w:tcBorders>
            <w:shd w:val="clear" w:color="auto" w:fill="auto"/>
            <w:noWrap/>
            <w:vAlign w:val="center"/>
          </w:tcPr>
          <w:p>
            <w:pPr>
              <w:widowControl/>
              <w:jc w:val="center"/>
              <w:rPr>
                <w:rFonts w:ascii="Arial Narrow" w:hAnsi="Arial Narrow" w:eastAsia="等线" w:cs="宋体"/>
                <w:color w:val="000000"/>
                <w:kern w:val="0"/>
                <w:sz w:val="24"/>
              </w:rPr>
            </w:pPr>
            <w:r>
              <w:rPr>
                <w:rFonts w:ascii="Arial Narrow" w:hAnsi="Arial Narrow" w:eastAsia="等线" w:cs="宋体"/>
                <w:color w:val="000000"/>
                <w:kern w:val="0"/>
                <w:sz w:val="24"/>
              </w:rPr>
              <w:t>　</w:t>
            </w:r>
          </w:p>
        </w:tc>
      </w:tr>
      <w:tr>
        <w:tblPrEx>
          <w:tblCellMar>
            <w:top w:w="0" w:type="dxa"/>
            <w:left w:w="108" w:type="dxa"/>
            <w:bottom w:w="0" w:type="dxa"/>
            <w:right w:w="108" w:type="dxa"/>
          </w:tblCellMar>
        </w:tblPrEx>
        <w:trPr>
          <w:trHeight w:val="1205" w:hRule="atLeast"/>
        </w:trPr>
        <w:tc>
          <w:tcPr>
            <w:tcW w:w="1300"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等线" w:cs="宋体"/>
                <w:color w:val="000000"/>
                <w:kern w:val="0"/>
                <w:sz w:val="24"/>
              </w:rPr>
            </w:pPr>
          </w:p>
        </w:tc>
        <w:tc>
          <w:tcPr>
            <w:tcW w:w="266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等线" w:cs="宋体"/>
                <w:color w:val="000000"/>
                <w:kern w:val="0"/>
                <w:sz w:val="24"/>
              </w:rPr>
            </w:pPr>
            <w:r>
              <w:rPr>
                <w:rFonts w:hint="eastAsia" w:ascii="仿宋_GB2312" w:hAnsi="等线" w:cs="宋体"/>
                <w:color w:val="000000"/>
                <w:kern w:val="0"/>
                <w:sz w:val="24"/>
              </w:rPr>
              <w:t>各行业安全生产的宣传资料、材料费用</w:t>
            </w:r>
          </w:p>
        </w:tc>
        <w:tc>
          <w:tcPr>
            <w:tcW w:w="1264" w:type="dxa"/>
            <w:tcBorders>
              <w:top w:val="nil"/>
              <w:left w:val="nil"/>
              <w:bottom w:val="single" w:color="auto" w:sz="4" w:space="0"/>
              <w:right w:val="single" w:color="auto" w:sz="4" w:space="0"/>
            </w:tcBorders>
            <w:shd w:val="clear" w:color="auto" w:fill="auto"/>
            <w:noWrap/>
            <w:vAlign w:val="center"/>
          </w:tcPr>
          <w:p>
            <w:pPr>
              <w:widowControl/>
              <w:jc w:val="center"/>
              <w:rPr>
                <w:rFonts w:ascii="Arial Narrow" w:hAnsi="Arial Narrow" w:eastAsia="等线" w:cs="宋体"/>
                <w:color w:val="000000"/>
                <w:kern w:val="0"/>
                <w:sz w:val="24"/>
              </w:rPr>
            </w:pPr>
            <w:r>
              <w:rPr>
                <w:rFonts w:ascii="Arial Narrow" w:hAnsi="Arial Narrow" w:eastAsia="等线" w:cs="宋体"/>
                <w:color w:val="000000"/>
                <w:kern w:val="0"/>
                <w:sz w:val="24"/>
              </w:rPr>
              <w:t>18,000.00</w:t>
            </w:r>
          </w:p>
        </w:tc>
        <w:tc>
          <w:tcPr>
            <w:tcW w:w="1470" w:type="dxa"/>
            <w:tcBorders>
              <w:top w:val="nil"/>
              <w:left w:val="nil"/>
              <w:bottom w:val="single" w:color="auto" w:sz="4" w:space="0"/>
              <w:right w:val="single" w:color="auto" w:sz="4" w:space="0"/>
            </w:tcBorders>
            <w:shd w:val="clear" w:color="auto" w:fill="auto"/>
            <w:noWrap/>
            <w:vAlign w:val="center"/>
          </w:tcPr>
          <w:p>
            <w:pPr>
              <w:widowControl/>
              <w:jc w:val="center"/>
              <w:rPr>
                <w:rFonts w:ascii="Arial Narrow" w:hAnsi="Arial Narrow" w:eastAsia="等线" w:cs="宋体"/>
                <w:color w:val="000000"/>
                <w:kern w:val="0"/>
                <w:sz w:val="24"/>
              </w:rPr>
            </w:pPr>
            <w:r>
              <w:rPr>
                <w:rFonts w:ascii="Arial Narrow" w:hAnsi="Arial Narrow" w:eastAsia="等线" w:cs="宋体"/>
                <w:color w:val="000000"/>
                <w:kern w:val="0"/>
                <w:sz w:val="24"/>
              </w:rPr>
              <w:t>70,652.00</w:t>
            </w:r>
          </w:p>
        </w:tc>
        <w:tc>
          <w:tcPr>
            <w:tcW w:w="1593" w:type="dxa"/>
            <w:tcBorders>
              <w:top w:val="nil"/>
              <w:left w:val="nil"/>
              <w:bottom w:val="single" w:color="auto" w:sz="4" w:space="0"/>
              <w:right w:val="single" w:color="auto" w:sz="4" w:space="0"/>
            </w:tcBorders>
            <w:shd w:val="clear" w:color="auto" w:fill="auto"/>
            <w:noWrap/>
            <w:vAlign w:val="center"/>
          </w:tcPr>
          <w:p>
            <w:pPr>
              <w:widowControl/>
              <w:jc w:val="center"/>
              <w:rPr>
                <w:rFonts w:ascii="Arial Narrow" w:hAnsi="Arial Narrow" w:eastAsia="等线" w:cs="宋体"/>
                <w:color w:val="000000"/>
                <w:kern w:val="0"/>
                <w:sz w:val="24"/>
              </w:rPr>
            </w:pPr>
            <w:r>
              <w:rPr>
                <w:rFonts w:ascii="Arial Narrow" w:hAnsi="Arial Narrow" w:eastAsia="等线" w:cs="宋体"/>
                <w:color w:val="000000"/>
                <w:kern w:val="0"/>
                <w:sz w:val="24"/>
              </w:rPr>
              <w:t>392.51%</w:t>
            </w:r>
          </w:p>
        </w:tc>
      </w:tr>
      <w:tr>
        <w:tblPrEx>
          <w:tblCellMar>
            <w:top w:w="0" w:type="dxa"/>
            <w:left w:w="108" w:type="dxa"/>
            <w:bottom w:w="0" w:type="dxa"/>
            <w:right w:w="108" w:type="dxa"/>
          </w:tblCellMar>
        </w:tblPrEx>
        <w:trPr>
          <w:trHeight w:val="1017" w:hRule="atLeast"/>
        </w:trPr>
        <w:tc>
          <w:tcPr>
            <w:tcW w:w="1300"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等线" w:cs="宋体"/>
                <w:color w:val="000000"/>
                <w:kern w:val="0"/>
                <w:sz w:val="24"/>
              </w:rPr>
            </w:pPr>
          </w:p>
        </w:tc>
        <w:tc>
          <w:tcPr>
            <w:tcW w:w="266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等线" w:cs="宋体"/>
                <w:color w:val="000000"/>
                <w:kern w:val="0"/>
                <w:sz w:val="24"/>
              </w:rPr>
            </w:pPr>
            <w:r>
              <w:rPr>
                <w:rFonts w:hint="eastAsia" w:ascii="仿宋_GB2312" w:hAnsi="等线" w:cs="宋体"/>
                <w:color w:val="000000"/>
                <w:kern w:val="0"/>
                <w:sz w:val="24"/>
              </w:rPr>
              <w:t>应急救援物资储备</w:t>
            </w:r>
          </w:p>
        </w:tc>
        <w:tc>
          <w:tcPr>
            <w:tcW w:w="1264" w:type="dxa"/>
            <w:tcBorders>
              <w:top w:val="nil"/>
              <w:left w:val="nil"/>
              <w:bottom w:val="single" w:color="auto" w:sz="4" w:space="0"/>
              <w:right w:val="single" w:color="auto" w:sz="4" w:space="0"/>
            </w:tcBorders>
            <w:shd w:val="clear" w:color="auto" w:fill="auto"/>
            <w:noWrap/>
            <w:vAlign w:val="center"/>
          </w:tcPr>
          <w:p>
            <w:pPr>
              <w:widowControl/>
              <w:jc w:val="center"/>
              <w:rPr>
                <w:rFonts w:ascii="Arial Narrow" w:hAnsi="Arial Narrow" w:eastAsia="等线" w:cs="宋体"/>
                <w:color w:val="000000"/>
                <w:kern w:val="0"/>
                <w:sz w:val="24"/>
              </w:rPr>
            </w:pPr>
            <w:r>
              <w:rPr>
                <w:rFonts w:ascii="Arial Narrow" w:hAnsi="Arial Narrow" w:eastAsia="等线" w:cs="宋体"/>
                <w:color w:val="000000"/>
                <w:kern w:val="0"/>
                <w:sz w:val="24"/>
              </w:rPr>
              <w:t>43,000.00</w:t>
            </w:r>
          </w:p>
        </w:tc>
        <w:tc>
          <w:tcPr>
            <w:tcW w:w="1470" w:type="dxa"/>
            <w:tcBorders>
              <w:top w:val="nil"/>
              <w:left w:val="nil"/>
              <w:bottom w:val="single" w:color="auto" w:sz="4" w:space="0"/>
              <w:right w:val="single" w:color="auto" w:sz="4" w:space="0"/>
            </w:tcBorders>
            <w:shd w:val="clear" w:color="auto" w:fill="auto"/>
            <w:noWrap/>
            <w:vAlign w:val="center"/>
          </w:tcPr>
          <w:p>
            <w:pPr>
              <w:widowControl/>
              <w:jc w:val="center"/>
              <w:rPr>
                <w:rFonts w:ascii="Arial Narrow" w:hAnsi="Arial Narrow" w:eastAsia="等线" w:cs="宋体"/>
                <w:color w:val="000000"/>
                <w:kern w:val="0"/>
                <w:sz w:val="24"/>
              </w:rPr>
            </w:pPr>
            <w:r>
              <w:rPr>
                <w:rFonts w:ascii="Arial Narrow" w:hAnsi="Arial Narrow" w:eastAsia="等线" w:cs="宋体"/>
                <w:color w:val="000000"/>
                <w:kern w:val="0"/>
                <w:sz w:val="24"/>
              </w:rPr>
              <w:t>1,600.00</w:t>
            </w:r>
          </w:p>
        </w:tc>
        <w:tc>
          <w:tcPr>
            <w:tcW w:w="1593" w:type="dxa"/>
            <w:tcBorders>
              <w:top w:val="nil"/>
              <w:left w:val="nil"/>
              <w:bottom w:val="single" w:color="auto" w:sz="4" w:space="0"/>
              <w:right w:val="single" w:color="auto" w:sz="4" w:space="0"/>
            </w:tcBorders>
            <w:shd w:val="clear" w:color="auto" w:fill="auto"/>
            <w:noWrap/>
            <w:vAlign w:val="center"/>
          </w:tcPr>
          <w:p>
            <w:pPr>
              <w:widowControl/>
              <w:jc w:val="center"/>
              <w:rPr>
                <w:rFonts w:ascii="Arial Narrow" w:hAnsi="Arial Narrow" w:eastAsia="等线" w:cs="宋体"/>
                <w:color w:val="000000"/>
                <w:kern w:val="0"/>
                <w:sz w:val="24"/>
              </w:rPr>
            </w:pPr>
            <w:r>
              <w:rPr>
                <w:rFonts w:ascii="Arial Narrow" w:hAnsi="Arial Narrow" w:eastAsia="等线" w:cs="宋体"/>
                <w:color w:val="000000"/>
                <w:kern w:val="0"/>
                <w:sz w:val="24"/>
              </w:rPr>
              <w:t>3.72%</w:t>
            </w:r>
          </w:p>
        </w:tc>
      </w:tr>
      <w:tr>
        <w:tblPrEx>
          <w:tblCellMar>
            <w:top w:w="0" w:type="dxa"/>
            <w:left w:w="108" w:type="dxa"/>
            <w:bottom w:w="0" w:type="dxa"/>
            <w:right w:w="108" w:type="dxa"/>
          </w:tblCellMar>
        </w:tblPrEx>
        <w:trPr>
          <w:trHeight w:val="1220" w:hRule="atLeast"/>
        </w:trPr>
        <w:tc>
          <w:tcPr>
            <w:tcW w:w="1300"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等线" w:cs="宋体"/>
                <w:color w:val="000000"/>
                <w:kern w:val="0"/>
                <w:sz w:val="24"/>
              </w:rPr>
            </w:pPr>
          </w:p>
        </w:tc>
        <w:tc>
          <w:tcPr>
            <w:tcW w:w="266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等线" w:cs="宋体"/>
                <w:color w:val="000000"/>
                <w:kern w:val="0"/>
                <w:sz w:val="24"/>
              </w:rPr>
            </w:pPr>
            <w:r>
              <w:rPr>
                <w:rFonts w:hint="eastAsia" w:ascii="仿宋_GB2312" w:hAnsi="等线" w:cs="宋体"/>
                <w:color w:val="000000"/>
                <w:kern w:val="0"/>
                <w:sz w:val="24"/>
              </w:rPr>
              <w:t>港口码头、道路运输、客运站场、危桥管理经费</w:t>
            </w:r>
          </w:p>
        </w:tc>
        <w:tc>
          <w:tcPr>
            <w:tcW w:w="1264" w:type="dxa"/>
            <w:tcBorders>
              <w:top w:val="nil"/>
              <w:left w:val="nil"/>
              <w:bottom w:val="single" w:color="auto" w:sz="4" w:space="0"/>
              <w:right w:val="single" w:color="auto" w:sz="4" w:space="0"/>
            </w:tcBorders>
            <w:shd w:val="clear" w:color="auto" w:fill="auto"/>
            <w:noWrap/>
            <w:vAlign w:val="center"/>
          </w:tcPr>
          <w:p>
            <w:pPr>
              <w:widowControl/>
              <w:jc w:val="center"/>
              <w:rPr>
                <w:rFonts w:ascii="Arial Narrow" w:hAnsi="Arial Narrow" w:eastAsia="等线" w:cs="宋体"/>
                <w:color w:val="000000"/>
                <w:kern w:val="0"/>
                <w:sz w:val="24"/>
              </w:rPr>
            </w:pPr>
            <w:r>
              <w:rPr>
                <w:rFonts w:ascii="Arial Narrow" w:hAnsi="Arial Narrow" w:eastAsia="等线" w:cs="宋体"/>
                <w:color w:val="000000"/>
                <w:kern w:val="0"/>
                <w:sz w:val="24"/>
              </w:rPr>
              <w:t>40,000.00</w:t>
            </w:r>
          </w:p>
        </w:tc>
        <w:tc>
          <w:tcPr>
            <w:tcW w:w="1470" w:type="dxa"/>
            <w:tcBorders>
              <w:top w:val="nil"/>
              <w:left w:val="nil"/>
              <w:bottom w:val="single" w:color="auto" w:sz="4" w:space="0"/>
              <w:right w:val="single" w:color="auto" w:sz="4" w:space="0"/>
            </w:tcBorders>
            <w:shd w:val="clear" w:color="auto" w:fill="auto"/>
            <w:noWrap/>
            <w:vAlign w:val="center"/>
          </w:tcPr>
          <w:p>
            <w:pPr>
              <w:widowControl/>
              <w:jc w:val="center"/>
              <w:rPr>
                <w:rFonts w:ascii="Arial Narrow" w:hAnsi="Arial Narrow" w:eastAsia="等线" w:cs="宋体"/>
                <w:color w:val="000000"/>
                <w:kern w:val="0"/>
                <w:sz w:val="24"/>
              </w:rPr>
            </w:pPr>
          </w:p>
        </w:tc>
        <w:tc>
          <w:tcPr>
            <w:tcW w:w="1593" w:type="dxa"/>
            <w:tcBorders>
              <w:top w:val="nil"/>
              <w:left w:val="nil"/>
              <w:bottom w:val="single" w:color="auto" w:sz="4" w:space="0"/>
              <w:right w:val="single" w:color="auto" w:sz="4" w:space="0"/>
            </w:tcBorders>
            <w:shd w:val="clear" w:color="auto" w:fill="auto"/>
            <w:noWrap/>
            <w:vAlign w:val="center"/>
          </w:tcPr>
          <w:p>
            <w:pPr>
              <w:widowControl/>
              <w:jc w:val="center"/>
              <w:rPr>
                <w:rFonts w:ascii="Arial Narrow" w:hAnsi="Arial Narrow" w:eastAsia="等线" w:cs="宋体"/>
                <w:color w:val="000000"/>
                <w:kern w:val="0"/>
                <w:sz w:val="24"/>
              </w:rPr>
            </w:pPr>
            <w:r>
              <w:rPr>
                <w:rFonts w:ascii="Arial Narrow" w:hAnsi="Arial Narrow" w:eastAsia="等线" w:cs="宋体"/>
                <w:color w:val="000000"/>
                <w:kern w:val="0"/>
                <w:sz w:val="24"/>
              </w:rPr>
              <w:t>　</w:t>
            </w:r>
          </w:p>
        </w:tc>
      </w:tr>
      <w:tr>
        <w:tblPrEx>
          <w:tblCellMar>
            <w:top w:w="0" w:type="dxa"/>
            <w:left w:w="108" w:type="dxa"/>
            <w:bottom w:w="0" w:type="dxa"/>
            <w:right w:w="108" w:type="dxa"/>
          </w:tblCellMar>
        </w:tblPrEx>
        <w:trPr>
          <w:trHeight w:val="912" w:hRule="atLeast"/>
        </w:trPr>
        <w:tc>
          <w:tcPr>
            <w:tcW w:w="1300"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等线" w:cs="宋体"/>
                <w:color w:val="000000"/>
                <w:kern w:val="0"/>
                <w:sz w:val="24"/>
              </w:rPr>
            </w:pPr>
          </w:p>
        </w:tc>
        <w:tc>
          <w:tcPr>
            <w:tcW w:w="266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等线" w:cs="宋体"/>
                <w:color w:val="000000"/>
                <w:kern w:val="0"/>
                <w:sz w:val="24"/>
              </w:rPr>
            </w:pPr>
            <w:r>
              <w:rPr>
                <w:rFonts w:hint="eastAsia" w:ascii="仿宋_GB2312" w:hAnsi="等线" w:cs="宋体"/>
                <w:color w:val="000000"/>
                <w:kern w:val="0"/>
                <w:sz w:val="24"/>
              </w:rPr>
              <w:t>办公费</w:t>
            </w:r>
          </w:p>
        </w:tc>
        <w:tc>
          <w:tcPr>
            <w:tcW w:w="1264" w:type="dxa"/>
            <w:tcBorders>
              <w:top w:val="nil"/>
              <w:left w:val="nil"/>
              <w:bottom w:val="single" w:color="auto" w:sz="4" w:space="0"/>
              <w:right w:val="single" w:color="auto" w:sz="4" w:space="0"/>
            </w:tcBorders>
            <w:shd w:val="clear" w:color="auto" w:fill="auto"/>
            <w:noWrap/>
            <w:vAlign w:val="center"/>
          </w:tcPr>
          <w:p>
            <w:pPr>
              <w:widowControl/>
              <w:jc w:val="center"/>
              <w:rPr>
                <w:rFonts w:ascii="Arial Narrow" w:hAnsi="Arial Narrow" w:eastAsia="等线" w:cs="宋体"/>
                <w:color w:val="000000"/>
                <w:kern w:val="0"/>
                <w:sz w:val="24"/>
              </w:rPr>
            </w:pPr>
            <w:r>
              <w:rPr>
                <w:rFonts w:ascii="Arial Narrow" w:hAnsi="Arial Narrow" w:eastAsia="等线" w:cs="宋体"/>
                <w:color w:val="000000"/>
                <w:kern w:val="0"/>
                <w:sz w:val="24"/>
              </w:rPr>
              <w:t>15,000.00</w:t>
            </w:r>
          </w:p>
        </w:tc>
        <w:tc>
          <w:tcPr>
            <w:tcW w:w="1470" w:type="dxa"/>
            <w:tcBorders>
              <w:top w:val="nil"/>
              <w:left w:val="nil"/>
              <w:bottom w:val="single" w:color="auto" w:sz="4" w:space="0"/>
              <w:right w:val="single" w:color="auto" w:sz="4" w:space="0"/>
            </w:tcBorders>
            <w:shd w:val="clear" w:color="auto" w:fill="auto"/>
            <w:noWrap/>
            <w:vAlign w:val="center"/>
          </w:tcPr>
          <w:p>
            <w:pPr>
              <w:widowControl/>
              <w:jc w:val="center"/>
              <w:rPr>
                <w:rFonts w:ascii="Arial Narrow" w:hAnsi="Arial Narrow" w:eastAsia="等线" w:cs="宋体"/>
                <w:color w:val="000000"/>
                <w:kern w:val="0"/>
                <w:sz w:val="24"/>
              </w:rPr>
            </w:pPr>
            <w:r>
              <w:rPr>
                <w:rFonts w:ascii="Arial Narrow" w:hAnsi="Arial Narrow" w:eastAsia="等线" w:cs="宋体"/>
                <w:color w:val="000000"/>
                <w:kern w:val="0"/>
                <w:sz w:val="24"/>
              </w:rPr>
              <w:t>7,276.00</w:t>
            </w:r>
          </w:p>
        </w:tc>
        <w:tc>
          <w:tcPr>
            <w:tcW w:w="1593" w:type="dxa"/>
            <w:tcBorders>
              <w:top w:val="nil"/>
              <w:left w:val="nil"/>
              <w:bottom w:val="single" w:color="auto" w:sz="4" w:space="0"/>
              <w:right w:val="single" w:color="auto" w:sz="4" w:space="0"/>
            </w:tcBorders>
            <w:shd w:val="clear" w:color="auto" w:fill="auto"/>
            <w:noWrap/>
            <w:vAlign w:val="center"/>
          </w:tcPr>
          <w:p>
            <w:pPr>
              <w:widowControl/>
              <w:jc w:val="center"/>
              <w:rPr>
                <w:rFonts w:ascii="Arial Narrow" w:hAnsi="Arial Narrow" w:eastAsia="等线" w:cs="宋体"/>
                <w:color w:val="000000"/>
                <w:kern w:val="0"/>
                <w:sz w:val="24"/>
              </w:rPr>
            </w:pPr>
            <w:r>
              <w:rPr>
                <w:rFonts w:ascii="Arial Narrow" w:hAnsi="Arial Narrow" w:eastAsia="等线" w:cs="宋体"/>
                <w:color w:val="000000"/>
                <w:kern w:val="0"/>
                <w:sz w:val="24"/>
              </w:rPr>
              <w:t>48.51%</w:t>
            </w:r>
          </w:p>
        </w:tc>
      </w:tr>
      <w:tr>
        <w:tblPrEx>
          <w:tblCellMar>
            <w:top w:w="0" w:type="dxa"/>
            <w:left w:w="108" w:type="dxa"/>
            <w:bottom w:w="0" w:type="dxa"/>
            <w:right w:w="108" w:type="dxa"/>
          </w:tblCellMar>
        </w:tblPrEx>
        <w:trPr>
          <w:trHeight w:val="672" w:hRule="atLeast"/>
        </w:trPr>
        <w:tc>
          <w:tcPr>
            <w:tcW w:w="1300"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等线" w:cs="宋体"/>
                <w:color w:val="000000"/>
                <w:kern w:val="0"/>
                <w:sz w:val="24"/>
              </w:rPr>
            </w:pPr>
          </w:p>
        </w:tc>
        <w:tc>
          <w:tcPr>
            <w:tcW w:w="266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等线" w:cs="宋体"/>
                <w:color w:val="000000"/>
                <w:kern w:val="0"/>
                <w:sz w:val="24"/>
              </w:rPr>
            </w:pPr>
            <w:r>
              <w:rPr>
                <w:rFonts w:hint="eastAsia" w:ascii="仿宋_GB2312" w:hAnsi="等线" w:cs="宋体"/>
                <w:color w:val="000000"/>
                <w:kern w:val="0"/>
                <w:sz w:val="24"/>
              </w:rPr>
              <w:t>劳务费</w:t>
            </w:r>
          </w:p>
        </w:tc>
        <w:tc>
          <w:tcPr>
            <w:tcW w:w="1264" w:type="dxa"/>
            <w:tcBorders>
              <w:top w:val="nil"/>
              <w:left w:val="nil"/>
              <w:bottom w:val="single" w:color="auto" w:sz="4" w:space="0"/>
              <w:right w:val="single" w:color="auto" w:sz="4" w:space="0"/>
            </w:tcBorders>
            <w:shd w:val="clear" w:color="auto" w:fill="auto"/>
            <w:noWrap/>
            <w:vAlign w:val="center"/>
          </w:tcPr>
          <w:p>
            <w:pPr>
              <w:widowControl/>
              <w:jc w:val="center"/>
              <w:rPr>
                <w:rFonts w:ascii="Arial Narrow" w:hAnsi="Arial Narrow" w:eastAsia="等线" w:cs="宋体"/>
                <w:color w:val="000000"/>
                <w:kern w:val="0"/>
                <w:sz w:val="24"/>
              </w:rPr>
            </w:pPr>
            <w:r>
              <w:rPr>
                <w:rFonts w:ascii="Arial Narrow" w:hAnsi="Arial Narrow" w:eastAsia="等线" w:cs="宋体"/>
                <w:color w:val="000000"/>
                <w:kern w:val="0"/>
                <w:sz w:val="24"/>
              </w:rPr>
              <w:t>100,000.00</w:t>
            </w:r>
          </w:p>
        </w:tc>
        <w:tc>
          <w:tcPr>
            <w:tcW w:w="1470" w:type="dxa"/>
            <w:tcBorders>
              <w:top w:val="nil"/>
              <w:left w:val="nil"/>
              <w:bottom w:val="single" w:color="auto" w:sz="4" w:space="0"/>
              <w:right w:val="single" w:color="auto" w:sz="4" w:space="0"/>
            </w:tcBorders>
            <w:shd w:val="clear" w:color="auto" w:fill="auto"/>
            <w:noWrap/>
            <w:vAlign w:val="center"/>
          </w:tcPr>
          <w:p>
            <w:pPr>
              <w:widowControl/>
              <w:jc w:val="center"/>
              <w:rPr>
                <w:rFonts w:ascii="Arial Narrow" w:hAnsi="Arial Narrow" w:eastAsia="等线" w:cs="宋体"/>
                <w:color w:val="000000"/>
                <w:kern w:val="0"/>
                <w:sz w:val="24"/>
              </w:rPr>
            </w:pPr>
            <w:r>
              <w:rPr>
                <w:rFonts w:ascii="Arial Narrow" w:hAnsi="Arial Narrow" w:eastAsia="等线" w:cs="宋体"/>
                <w:color w:val="000000"/>
                <w:kern w:val="0"/>
                <w:sz w:val="24"/>
              </w:rPr>
              <w:t>20,447.00</w:t>
            </w:r>
          </w:p>
        </w:tc>
        <w:tc>
          <w:tcPr>
            <w:tcW w:w="1593" w:type="dxa"/>
            <w:tcBorders>
              <w:top w:val="nil"/>
              <w:left w:val="nil"/>
              <w:bottom w:val="single" w:color="auto" w:sz="4" w:space="0"/>
              <w:right w:val="single" w:color="auto" w:sz="4" w:space="0"/>
            </w:tcBorders>
            <w:shd w:val="clear" w:color="auto" w:fill="auto"/>
            <w:noWrap/>
            <w:vAlign w:val="center"/>
          </w:tcPr>
          <w:p>
            <w:pPr>
              <w:widowControl/>
              <w:jc w:val="center"/>
              <w:rPr>
                <w:rFonts w:ascii="Arial Narrow" w:hAnsi="Arial Narrow" w:eastAsia="等线" w:cs="宋体"/>
                <w:color w:val="000000"/>
                <w:kern w:val="0"/>
                <w:sz w:val="24"/>
              </w:rPr>
            </w:pPr>
            <w:r>
              <w:rPr>
                <w:rFonts w:ascii="Arial Narrow" w:hAnsi="Arial Narrow" w:eastAsia="等线" w:cs="宋体"/>
                <w:color w:val="000000"/>
                <w:kern w:val="0"/>
                <w:sz w:val="24"/>
              </w:rPr>
              <w:t>20.45%</w:t>
            </w:r>
          </w:p>
        </w:tc>
      </w:tr>
      <w:tr>
        <w:tblPrEx>
          <w:tblCellMar>
            <w:top w:w="0" w:type="dxa"/>
            <w:left w:w="108" w:type="dxa"/>
            <w:bottom w:w="0" w:type="dxa"/>
            <w:right w:w="108" w:type="dxa"/>
          </w:tblCellMar>
        </w:tblPrEx>
        <w:trPr>
          <w:trHeight w:val="650" w:hRule="atLeast"/>
        </w:trPr>
        <w:tc>
          <w:tcPr>
            <w:tcW w:w="1300"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等线" w:cs="宋体"/>
                <w:color w:val="000000"/>
                <w:kern w:val="0"/>
                <w:sz w:val="24"/>
              </w:rPr>
            </w:pPr>
          </w:p>
        </w:tc>
        <w:tc>
          <w:tcPr>
            <w:tcW w:w="266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等线" w:cs="宋体"/>
                <w:color w:val="000000"/>
                <w:kern w:val="0"/>
                <w:sz w:val="24"/>
              </w:rPr>
            </w:pPr>
            <w:r>
              <w:rPr>
                <w:rFonts w:hint="eastAsia" w:ascii="仿宋_GB2312" w:hAnsi="等线" w:cs="宋体"/>
                <w:color w:val="000000"/>
                <w:kern w:val="0"/>
                <w:sz w:val="24"/>
              </w:rPr>
              <w:t>其他交通费</w:t>
            </w:r>
          </w:p>
        </w:tc>
        <w:tc>
          <w:tcPr>
            <w:tcW w:w="1264" w:type="dxa"/>
            <w:tcBorders>
              <w:top w:val="nil"/>
              <w:left w:val="nil"/>
              <w:bottom w:val="single" w:color="auto" w:sz="4" w:space="0"/>
              <w:right w:val="single" w:color="auto" w:sz="4" w:space="0"/>
            </w:tcBorders>
            <w:shd w:val="clear" w:color="auto" w:fill="auto"/>
            <w:noWrap/>
            <w:vAlign w:val="center"/>
          </w:tcPr>
          <w:p>
            <w:pPr>
              <w:widowControl/>
              <w:jc w:val="center"/>
              <w:rPr>
                <w:rFonts w:ascii="Arial Narrow" w:hAnsi="Arial Narrow" w:eastAsia="等线" w:cs="宋体"/>
                <w:color w:val="000000"/>
                <w:kern w:val="0"/>
                <w:sz w:val="24"/>
              </w:rPr>
            </w:pPr>
            <w:r>
              <w:rPr>
                <w:rFonts w:ascii="Arial Narrow" w:hAnsi="Arial Narrow" w:eastAsia="等线" w:cs="宋体"/>
                <w:color w:val="000000"/>
                <w:kern w:val="0"/>
                <w:sz w:val="24"/>
              </w:rPr>
              <w:t>12,000.00</w:t>
            </w:r>
          </w:p>
        </w:tc>
        <w:tc>
          <w:tcPr>
            <w:tcW w:w="1470" w:type="dxa"/>
            <w:tcBorders>
              <w:top w:val="nil"/>
              <w:left w:val="nil"/>
              <w:bottom w:val="single" w:color="auto" w:sz="4" w:space="0"/>
              <w:right w:val="single" w:color="auto" w:sz="4" w:space="0"/>
            </w:tcBorders>
            <w:shd w:val="clear" w:color="auto" w:fill="auto"/>
            <w:noWrap/>
            <w:vAlign w:val="center"/>
          </w:tcPr>
          <w:p>
            <w:pPr>
              <w:widowControl/>
              <w:jc w:val="center"/>
              <w:rPr>
                <w:rFonts w:ascii="Arial Narrow" w:hAnsi="Arial Narrow" w:eastAsia="等线" w:cs="宋体"/>
                <w:color w:val="000000"/>
                <w:kern w:val="0"/>
                <w:sz w:val="24"/>
              </w:rPr>
            </w:pPr>
          </w:p>
        </w:tc>
        <w:tc>
          <w:tcPr>
            <w:tcW w:w="1593" w:type="dxa"/>
            <w:tcBorders>
              <w:top w:val="nil"/>
              <w:left w:val="nil"/>
              <w:bottom w:val="single" w:color="auto" w:sz="4" w:space="0"/>
              <w:right w:val="single" w:color="auto" w:sz="4" w:space="0"/>
            </w:tcBorders>
            <w:shd w:val="clear" w:color="auto" w:fill="auto"/>
            <w:noWrap/>
            <w:vAlign w:val="center"/>
          </w:tcPr>
          <w:p>
            <w:pPr>
              <w:widowControl/>
              <w:jc w:val="center"/>
              <w:rPr>
                <w:rFonts w:ascii="Arial Narrow" w:hAnsi="Arial Narrow" w:eastAsia="等线" w:cs="宋体"/>
                <w:color w:val="000000"/>
                <w:kern w:val="0"/>
                <w:sz w:val="24"/>
              </w:rPr>
            </w:pPr>
            <w:r>
              <w:rPr>
                <w:rFonts w:ascii="Arial Narrow" w:hAnsi="Arial Narrow" w:eastAsia="等线" w:cs="宋体"/>
                <w:color w:val="000000"/>
                <w:kern w:val="0"/>
                <w:sz w:val="24"/>
              </w:rPr>
              <w:t>　</w:t>
            </w:r>
          </w:p>
        </w:tc>
      </w:tr>
      <w:tr>
        <w:tblPrEx>
          <w:tblCellMar>
            <w:top w:w="0" w:type="dxa"/>
            <w:left w:w="108" w:type="dxa"/>
            <w:bottom w:w="0" w:type="dxa"/>
            <w:right w:w="108" w:type="dxa"/>
          </w:tblCellMar>
        </w:tblPrEx>
        <w:trPr>
          <w:trHeight w:val="730" w:hRule="atLeast"/>
        </w:trPr>
        <w:tc>
          <w:tcPr>
            <w:tcW w:w="1300"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等线" w:cs="宋体"/>
                <w:color w:val="000000"/>
                <w:kern w:val="0"/>
                <w:sz w:val="24"/>
              </w:rPr>
            </w:pPr>
          </w:p>
        </w:tc>
        <w:tc>
          <w:tcPr>
            <w:tcW w:w="266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等线" w:cs="宋体"/>
                <w:color w:val="000000"/>
                <w:kern w:val="0"/>
                <w:sz w:val="24"/>
              </w:rPr>
            </w:pPr>
            <w:r>
              <w:rPr>
                <w:rFonts w:hint="eastAsia" w:ascii="仿宋_GB2312" w:hAnsi="等线" w:cs="宋体"/>
                <w:color w:val="000000"/>
                <w:kern w:val="0"/>
                <w:sz w:val="24"/>
              </w:rPr>
              <w:t>其他商品和服务支出</w:t>
            </w:r>
          </w:p>
        </w:tc>
        <w:tc>
          <w:tcPr>
            <w:tcW w:w="1264" w:type="dxa"/>
            <w:tcBorders>
              <w:top w:val="nil"/>
              <w:left w:val="nil"/>
              <w:bottom w:val="single" w:color="auto" w:sz="4" w:space="0"/>
              <w:right w:val="single" w:color="auto" w:sz="4" w:space="0"/>
            </w:tcBorders>
            <w:shd w:val="clear" w:color="auto" w:fill="auto"/>
            <w:noWrap/>
            <w:vAlign w:val="center"/>
          </w:tcPr>
          <w:p>
            <w:pPr>
              <w:widowControl/>
              <w:jc w:val="center"/>
              <w:rPr>
                <w:rFonts w:ascii="Arial Narrow" w:hAnsi="Arial Narrow" w:eastAsia="等线" w:cs="宋体"/>
                <w:color w:val="000000"/>
                <w:kern w:val="0"/>
                <w:sz w:val="24"/>
              </w:rPr>
            </w:pPr>
            <w:r>
              <w:rPr>
                <w:rFonts w:ascii="Arial Narrow" w:hAnsi="Arial Narrow" w:eastAsia="等线" w:cs="宋体"/>
                <w:color w:val="000000"/>
                <w:kern w:val="0"/>
                <w:sz w:val="24"/>
              </w:rPr>
              <w:t>15,000.00</w:t>
            </w:r>
          </w:p>
        </w:tc>
        <w:tc>
          <w:tcPr>
            <w:tcW w:w="1470" w:type="dxa"/>
            <w:tcBorders>
              <w:top w:val="nil"/>
              <w:left w:val="nil"/>
              <w:bottom w:val="single" w:color="auto" w:sz="4" w:space="0"/>
              <w:right w:val="single" w:color="auto" w:sz="4" w:space="0"/>
            </w:tcBorders>
            <w:shd w:val="clear" w:color="auto" w:fill="auto"/>
            <w:noWrap/>
            <w:vAlign w:val="center"/>
          </w:tcPr>
          <w:p>
            <w:pPr>
              <w:widowControl/>
              <w:jc w:val="center"/>
              <w:rPr>
                <w:rFonts w:ascii="Arial Narrow" w:hAnsi="Arial Narrow" w:eastAsia="等线" w:cs="宋体"/>
                <w:color w:val="000000"/>
                <w:kern w:val="0"/>
                <w:sz w:val="24"/>
              </w:rPr>
            </w:pPr>
            <w:r>
              <w:rPr>
                <w:rFonts w:ascii="Arial Narrow" w:hAnsi="Arial Narrow" w:eastAsia="等线" w:cs="宋体"/>
                <w:color w:val="000000"/>
                <w:kern w:val="0"/>
                <w:sz w:val="24"/>
              </w:rPr>
              <w:t>20,000.00</w:t>
            </w:r>
          </w:p>
        </w:tc>
        <w:tc>
          <w:tcPr>
            <w:tcW w:w="1593" w:type="dxa"/>
            <w:tcBorders>
              <w:top w:val="nil"/>
              <w:left w:val="nil"/>
              <w:bottom w:val="single" w:color="auto" w:sz="4" w:space="0"/>
              <w:right w:val="single" w:color="auto" w:sz="4" w:space="0"/>
            </w:tcBorders>
            <w:shd w:val="clear" w:color="auto" w:fill="auto"/>
            <w:noWrap/>
            <w:vAlign w:val="center"/>
          </w:tcPr>
          <w:p>
            <w:pPr>
              <w:widowControl/>
              <w:jc w:val="center"/>
              <w:rPr>
                <w:rFonts w:ascii="Arial Narrow" w:hAnsi="Arial Narrow" w:eastAsia="等线" w:cs="宋体"/>
                <w:color w:val="000000"/>
                <w:kern w:val="0"/>
                <w:sz w:val="24"/>
              </w:rPr>
            </w:pPr>
            <w:r>
              <w:rPr>
                <w:rFonts w:ascii="Arial Narrow" w:hAnsi="Arial Narrow" w:eastAsia="等线" w:cs="宋体"/>
                <w:color w:val="000000"/>
                <w:kern w:val="0"/>
                <w:sz w:val="24"/>
              </w:rPr>
              <w:t>133.33%</w:t>
            </w:r>
          </w:p>
        </w:tc>
      </w:tr>
      <w:tr>
        <w:tblPrEx>
          <w:tblCellMar>
            <w:top w:w="0" w:type="dxa"/>
            <w:left w:w="108" w:type="dxa"/>
            <w:bottom w:w="0" w:type="dxa"/>
            <w:right w:w="108" w:type="dxa"/>
          </w:tblCellMar>
        </w:tblPrEx>
        <w:trPr>
          <w:trHeight w:val="667" w:hRule="atLeast"/>
        </w:trPr>
        <w:tc>
          <w:tcPr>
            <w:tcW w:w="396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等线" w:cs="宋体"/>
                <w:color w:val="000000"/>
                <w:kern w:val="0"/>
                <w:sz w:val="24"/>
              </w:rPr>
            </w:pPr>
            <w:r>
              <w:rPr>
                <w:rFonts w:hint="eastAsia" w:ascii="仿宋_GB2312" w:hAnsi="等线" w:cs="宋体"/>
                <w:color w:val="000000"/>
                <w:kern w:val="0"/>
                <w:sz w:val="24"/>
              </w:rPr>
              <w:t>合计</w:t>
            </w:r>
          </w:p>
        </w:tc>
        <w:tc>
          <w:tcPr>
            <w:tcW w:w="1264" w:type="dxa"/>
            <w:tcBorders>
              <w:top w:val="nil"/>
              <w:left w:val="nil"/>
              <w:bottom w:val="single" w:color="auto" w:sz="4" w:space="0"/>
              <w:right w:val="single" w:color="auto" w:sz="4" w:space="0"/>
            </w:tcBorders>
            <w:shd w:val="clear" w:color="auto" w:fill="auto"/>
            <w:noWrap/>
            <w:vAlign w:val="center"/>
          </w:tcPr>
          <w:p>
            <w:pPr>
              <w:widowControl/>
              <w:jc w:val="center"/>
              <w:rPr>
                <w:rFonts w:ascii="Arial Narrow" w:hAnsi="Arial Narrow" w:eastAsia="等线" w:cs="宋体"/>
                <w:color w:val="000000"/>
                <w:kern w:val="0"/>
                <w:sz w:val="24"/>
              </w:rPr>
            </w:pPr>
            <w:r>
              <w:rPr>
                <w:rFonts w:ascii="Arial Narrow" w:hAnsi="Arial Narrow" w:eastAsia="等线" w:cs="宋体"/>
                <w:color w:val="000000"/>
                <w:kern w:val="0"/>
                <w:sz w:val="24"/>
              </w:rPr>
              <w:t>380,000.00</w:t>
            </w:r>
          </w:p>
        </w:tc>
        <w:tc>
          <w:tcPr>
            <w:tcW w:w="1470" w:type="dxa"/>
            <w:tcBorders>
              <w:top w:val="nil"/>
              <w:left w:val="nil"/>
              <w:bottom w:val="single" w:color="auto" w:sz="4" w:space="0"/>
              <w:right w:val="single" w:color="auto" w:sz="4" w:space="0"/>
            </w:tcBorders>
            <w:shd w:val="clear" w:color="auto" w:fill="auto"/>
            <w:noWrap/>
            <w:vAlign w:val="center"/>
          </w:tcPr>
          <w:p>
            <w:pPr>
              <w:widowControl/>
              <w:jc w:val="center"/>
              <w:rPr>
                <w:rFonts w:ascii="Arial Narrow" w:hAnsi="Arial Narrow" w:eastAsia="等线" w:cs="宋体"/>
                <w:color w:val="000000"/>
                <w:kern w:val="0"/>
                <w:sz w:val="24"/>
              </w:rPr>
            </w:pPr>
            <w:r>
              <w:rPr>
                <w:rFonts w:ascii="Arial Narrow" w:hAnsi="Arial Narrow" w:eastAsia="等线" w:cs="宋体"/>
                <w:color w:val="000000"/>
                <w:kern w:val="0"/>
                <w:sz w:val="24"/>
              </w:rPr>
              <w:t>253,200.00</w:t>
            </w:r>
          </w:p>
        </w:tc>
        <w:tc>
          <w:tcPr>
            <w:tcW w:w="1593" w:type="dxa"/>
            <w:tcBorders>
              <w:top w:val="nil"/>
              <w:left w:val="nil"/>
              <w:bottom w:val="single" w:color="auto" w:sz="4" w:space="0"/>
              <w:right w:val="single" w:color="auto" w:sz="4" w:space="0"/>
            </w:tcBorders>
            <w:shd w:val="clear" w:color="auto" w:fill="auto"/>
            <w:noWrap/>
            <w:vAlign w:val="center"/>
          </w:tcPr>
          <w:p>
            <w:pPr>
              <w:widowControl/>
              <w:jc w:val="center"/>
              <w:rPr>
                <w:rFonts w:ascii="Arial Narrow" w:hAnsi="Arial Narrow" w:eastAsia="等线" w:cs="宋体"/>
                <w:color w:val="000000"/>
                <w:kern w:val="0"/>
                <w:sz w:val="24"/>
              </w:rPr>
            </w:pPr>
            <w:r>
              <w:rPr>
                <w:rFonts w:ascii="Arial Narrow" w:hAnsi="Arial Narrow" w:eastAsia="等线" w:cs="宋体"/>
                <w:color w:val="000000"/>
                <w:kern w:val="0"/>
                <w:sz w:val="24"/>
              </w:rPr>
              <w:t>66.63%</w:t>
            </w:r>
          </w:p>
        </w:tc>
      </w:tr>
    </w:tbl>
    <w:p>
      <w:pPr>
        <w:spacing w:line="360" w:lineRule="auto"/>
        <w:ind w:firstLine="480" w:firstLineChars="200"/>
        <w:outlineLvl w:val="2"/>
        <w:rPr>
          <w:rFonts w:ascii="仿宋_GB2312" w:hAnsi="Arial Narrow"/>
          <w:color w:val="000000" w:themeColor="text1"/>
          <w:sz w:val="24"/>
          <w14:textFill>
            <w14:solidFill>
              <w14:schemeClr w14:val="tx1"/>
            </w14:solidFill>
          </w14:textFill>
        </w:rPr>
      </w:pPr>
      <w:bookmarkStart w:id="42" w:name="_Toc23672"/>
      <w:bookmarkStart w:id="43" w:name="_Toc30888"/>
      <w:r>
        <w:rPr>
          <w:rFonts w:hint="eastAsia" w:ascii="仿宋_GB2312" w:hAnsi="Arial Narrow"/>
          <w:color w:val="000000" w:themeColor="text1"/>
          <w:sz w:val="24"/>
          <w14:textFill>
            <w14:solidFill>
              <w14:schemeClr w14:val="tx1"/>
            </w14:solidFill>
          </w14:textFill>
        </w:rPr>
        <w:t>4、项目实施情况</w:t>
      </w:r>
      <w:bookmarkEnd w:id="42"/>
      <w:bookmarkEnd w:id="43"/>
    </w:p>
    <w:p>
      <w:pPr>
        <w:spacing w:line="360" w:lineRule="auto"/>
        <w:ind w:firstLine="480" w:firstLineChars="200"/>
        <w:rPr>
          <w:rFonts w:ascii="Arial Narrow" w:hAnsi="Arial Narrow"/>
          <w:color w:val="000000" w:themeColor="text1"/>
          <w:sz w:val="24"/>
          <w14:textFill>
            <w14:solidFill>
              <w14:schemeClr w14:val="tx1"/>
            </w14:solidFill>
          </w14:textFill>
        </w:rPr>
      </w:pPr>
      <w:bookmarkStart w:id="44" w:name="_Toc22022"/>
      <w:r>
        <w:rPr>
          <w:rFonts w:ascii="Arial Narrow" w:hAnsi="Arial Narrow"/>
          <w:color w:val="000000" w:themeColor="text1"/>
          <w:sz w:val="24"/>
          <w14:textFill>
            <w14:solidFill>
              <w14:schemeClr w14:val="tx1"/>
            </w14:solidFill>
          </w14:textFill>
        </w:rPr>
        <w:t>（1）项目实施单位：</w:t>
      </w:r>
      <w:bookmarkEnd w:id="44"/>
      <w:r>
        <w:rPr>
          <w:rFonts w:ascii="Arial Narrow" w:hAnsi="Arial Narrow"/>
          <w:color w:val="000000" w:themeColor="text1"/>
          <w:sz w:val="24"/>
          <w14:textFill>
            <w14:solidFill>
              <w14:schemeClr w14:val="tx1"/>
            </w14:solidFill>
          </w14:textFill>
        </w:rPr>
        <w:t>武汉经济技术开发区（汉南区）城乡建设局</w:t>
      </w:r>
    </w:p>
    <w:p>
      <w:pPr>
        <w:spacing w:line="360" w:lineRule="auto"/>
        <w:ind w:firstLine="480" w:firstLineChars="200"/>
        <w:rPr>
          <w:rFonts w:ascii="Arial Narrow" w:hAnsi="Arial Narrow"/>
          <w:color w:val="000000" w:themeColor="text1"/>
          <w:sz w:val="24"/>
          <w14:textFill>
            <w14:solidFill>
              <w14:schemeClr w14:val="tx1"/>
            </w14:solidFill>
          </w14:textFill>
        </w:rPr>
      </w:pPr>
      <w:bookmarkStart w:id="45" w:name="_Toc29005"/>
      <w:r>
        <w:rPr>
          <w:rFonts w:ascii="Arial Narrow" w:hAnsi="Arial Narrow"/>
          <w:color w:val="000000" w:themeColor="text1"/>
          <w:sz w:val="24"/>
          <w14:textFill>
            <w14:solidFill>
              <w14:schemeClr w14:val="tx1"/>
            </w14:solidFill>
          </w14:textFill>
        </w:rPr>
        <w:t>（2）项目实施周期与地点：</w:t>
      </w:r>
      <w:bookmarkEnd w:id="45"/>
      <w:r>
        <w:rPr>
          <w:rFonts w:ascii="Arial Narrow" w:hAnsi="Arial Narrow"/>
          <w:color w:val="000000" w:themeColor="text1"/>
          <w:sz w:val="24"/>
          <w14:textFill>
            <w14:solidFill>
              <w14:schemeClr w14:val="tx1"/>
            </w14:solidFill>
          </w14:textFill>
        </w:rPr>
        <w:t>2018年1月至2018年12月；武汉经济技术开发区（汉南区）</w:t>
      </w:r>
    </w:p>
    <w:p>
      <w:pPr>
        <w:spacing w:line="360" w:lineRule="auto"/>
        <w:ind w:firstLine="480" w:firstLineChars="200"/>
        <w:rPr>
          <w:rFonts w:ascii="Arial Narrow" w:hAnsi="Arial Narrow"/>
          <w:color w:val="000000" w:themeColor="text1"/>
          <w:sz w:val="24"/>
          <w14:textFill>
            <w14:solidFill>
              <w14:schemeClr w14:val="tx1"/>
            </w14:solidFill>
          </w14:textFill>
        </w:rPr>
      </w:pPr>
      <w:bookmarkStart w:id="46" w:name="_Toc24131"/>
      <w:r>
        <w:rPr>
          <w:rFonts w:ascii="Arial Narrow" w:hAnsi="Arial Narrow"/>
          <w:color w:val="000000" w:themeColor="text1"/>
          <w:sz w:val="24"/>
          <w14:textFill>
            <w14:solidFill>
              <w14:schemeClr w14:val="tx1"/>
            </w14:solidFill>
          </w14:textFill>
        </w:rPr>
        <w:t>（3）项目主要内容：</w:t>
      </w:r>
      <w:bookmarkEnd w:id="46"/>
      <w:bookmarkStart w:id="47" w:name="_Toc4143"/>
      <w:r>
        <w:rPr>
          <w:rFonts w:ascii="Arial Narrow" w:hAnsi="Arial Narrow" w:cs="宋体"/>
          <w:color w:val="000000" w:themeColor="text1"/>
          <w:sz w:val="24"/>
          <w14:textFill>
            <w14:solidFill>
              <w14:schemeClr w14:val="tx1"/>
            </w14:solidFill>
          </w14:textFill>
        </w:rPr>
        <w:t>对各行业应急预案进行更新修订、开展演练活动及时储备应急救援物资；开展安全生产检查活动、对相关人员进行专业知识培训、订购并发放宣传资料；安全基础设施、设备配备与维护、消防设施更新。</w:t>
      </w:r>
    </w:p>
    <w:p>
      <w:pPr>
        <w:spacing w:line="360" w:lineRule="auto"/>
        <w:ind w:firstLine="480" w:firstLineChars="200"/>
        <w:rPr>
          <w:rFonts w:ascii="Arial Narrow" w:hAnsi="Arial Narrow" w:cs="Arial Narrow"/>
          <w:sz w:val="24"/>
          <w:szCs w:val="21"/>
        </w:rPr>
      </w:pPr>
      <w:r>
        <w:rPr>
          <w:rFonts w:ascii="Arial Narrow" w:hAnsi="Arial Narrow"/>
          <w:color w:val="000000" w:themeColor="text1"/>
          <w:sz w:val="24"/>
          <w14:textFill>
            <w14:solidFill>
              <w14:schemeClr w14:val="tx1"/>
            </w14:solidFill>
          </w14:textFill>
        </w:rPr>
        <w:t>（4）项目完成概况：</w:t>
      </w:r>
      <w:bookmarkEnd w:id="47"/>
      <w:r>
        <w:rPr>
          <w:rFonts w:ascii="Arial Narrow" w:hAnsi="Arial Narrow" w:cs="Arial Narrow"/>
          <w:sz w:val="24"/>
          <w:szCs w:val="21"/>
        </w:rPr>
        <w:t xml:space="preserve">项目实施单位超计划完成安全检查工作；专门聘请第三方机构编制交通系统应急预案，该预案按规定可沿用至2018年使用；按计划开展“两客一危”应急预案演习；彻查安全隐患，大部分发现的隐患能够及时整治；通过多种宣传方式 </w:t>
      </w:r>
      <w:r>
        <w:rPr>
          <w:rFonts w:ascii="Arial Narrow" w:hAnsi="Arial Narrow" w:cs="Arial Narrow"/>
          <w:bCs/>
          <w:color w:val="000000" w:themeColor="text1"/>
          <w:sz w:val="24"/>
          <w14:textFill>
            <w14:solidFill>
              <w14:schemeClr w14:val="tx1"/>
            </w14:solidFill>
          </w14:textFill>
        </w:rPr>
        <w:t>对企业员工、广大市民宣传日常安全知识，方式多样，范围广；全年未发生较大及以上安全生产事故，生产安全形势较为稳定。</w:t>
      </w:r>
    </w:p>
    <w:p>
      <w:pPr>
        <w:spacing w:line="360" w:lineRule="auto"/>
        <w:ind w:firstLine="482" w:firstLineChars="200"/>
        <w:outlineLvl w:val="1"/>
        <w:rPr>
          <w:rFonts w:ascii="仿宋_GB2312" w:hAnsi="Arial Narrow" w:cs="Arial Narrow"/>
          <w:b/>
          <w:bCs/>
          <w:color w:val="000000" w:themeColor="text1"/>
          <w:sz w:val="24"/>
          <w14:textFill>
            <w14:solidFill>
              <w14:schemeClr w14:val="tx1"/>
            </w14:solidFill>
          </w14:textFill>
        </w:rPr>
      </w:pPr>
      <w:bookmarkStart w:id="48" w:name="_Toc12403"/>
      <w:bookmarkStart w:id="49" w:name="_Toc16444"/>
      <w:r>
        <w:rPr>
          <w:rFonts w:hint="eastAsia" w:ascii="仿宋_GB2312" w:hAnsi="Arial Narrow" w:cs="Arial Narrow"/>
          <w:b/>
          <w:bCs/>
          <w:color w:val="000000" w:themeColor="text1"/>
          <w:sz w:val="24"/>
          <w14:textFill>
            <w14:solidFill>
              <w14:schemeClr w14:val="tx1"/>
            </w14:solidFill>
          </w14:textFill>
        </w:rPr>
        <w:t>（二）绩效评价工作情况</w:t>
      </w:r>
      <w:bookmarkEnd w:id="48"/>
      <w:bookmarkEnd w:id="49"/>
    </w:p>
    <w:p>
      <w:pPr>
        <w:spacing w:line="360" w:lineRule="auto"/>
        <w:ind w:firstLine="480" w:firstLineChars="200"/>
        <w:outlineLvl w:val="2"/>
        <w:rPr>
          <w:rFonts w:ascii="仿宋_GB2312" w:hAnsi="Arial Narrow" w:cs="Arial Narrow"/>
          <w:color w:val="000000" w:themeColor="text1"/>
          <w:sz w:val="24"/>
          <w14:textFill>
            <w14:solidFill>
              <w14:schemeClr w14:val="tx1"/>
            </w14:solidFill>
          </w14:textFill>
        </w:rPr>
      </w:pPr>
      <w:bookmarkStart w:id="50" w:name="_Toc29240"/>
      <w:bookmarkStart w:id="51" w:name="_Toc3136"/>
      <w:r>
        <w:rPr>
          <w:rFonts w:ascii="Arial Narrow" w:hAnsi="Arial Narrow" w:cs="Arial Narrow"/>
          <w:color w:val="000000" w:themeColor="text1"/>
          <w:sz w:val="24"/>
          <w14:textFill>
            <w14:solidFill>
              <w14:schemeClr w14:val="tx1"/>
            </w14:solidFill>
          </w14:textFill>
        </w:rPr>
        <w:t>1、</w:t>
      </w:r>
      <w:r>
        <w:rPr>
          <w:rFonts w:hint="eastAsia" w:ascii="仿宋_GB2312" w:hAnsi="Arial Narrow" w:cs="Arial Narrow"/>
          <w:color w:val="000000" w:themeColor="text1"/>
          <w:sz w:val="24"/>
          <w14:textFill>
            <w14:solidFill>
              <w14:schemeClr w14:val="tx1"/>
            </w14:solidFill>
          </w14:textFill>
        </w:rPr>
        <w:t>绩效评价目的</w:t>
      </w:r>
      <w:bookmarkEnd w:id="50"/>
      <w:bookmarkEnd w:id="51"/>
    </w:p>
    <w:p>
      <w:pPr>
        <w:spacing w:line="360" w:lineRule="auto"/>
        <w:ind w:firstLine="482"/>
        <w:rPr>
          <w:rFonts w:ascii="仿宋_GB2312" w:hAnsi="Arial Narrow" w:cs="Arial Narrow"/>
          <w:sz w:val="24"/>
          <w:szCs w:val="21"/>
        </w:rPr>
      </w:pPr>
      <w:r>
        <w:rPr>
          <w:rFonts w:hint="eastAsia" w:ascii="仿宋_GB2312" w:hAnsi="Arial Narrow" w:cs="Arial Narrow"/>
          <w:sz w:val="24"/>
          <w:szCs w:val="21"/>
        </w:rPr>
        <w:t>为深化预算管理改革，提高财政资金使用效益，根据《中华人民共和国预算法》和《财政支出绩效评价管理暂行办法》</w:t>
      </w:r>
      <w:r>
        <w:rPr>
          <w:rFonts w:ascii="Arial Narrow" w:hAnsi="Arial Narrow" w:cs="Arial Narrow"/>
          <w:sz w:val="24"/>
          <w:szCs w:val="21"/>
        </w:rPr>
        <w:t>等国家有关财务规章制度，结合交通安全专项经费项目支出具体情况，根据《区财政局关于2019年开</w:t>
      </w:r>
      <w:r>
        <w:rPr>
          <w:rFonts w:hint="eastAsia" w:ascii="仿宋_GB2312" w:hAnsi="Arial Narrow" w:cs="Arial Narrow"/>
          <w:sz w:val="24"/>
          <w:szCs w:val="21"/>
        </w:rPr>
        <w:t>展预算绩效评价工作的通知》（武经开财</w:t>
      </w:r>
      <w:r>
        <w:rPr>
          <w:rFonts w:ascii="Arial Narrow" w:hAnsi="Arial Narrow" w:cs="Arial Narrow"/>
          <w:sz w:val="24"/>
          <w:szCs w:val="21"/>
        </w:rPr>
        <w:t>〔2019〕29号）要</w:t>
      </w:r>
      <w:r>
        <w:rPr>
          <w:rFonts w:hint="eastAsia" w:ascii="仿宋_GB2312" w:hAnsi="Arial Narrow" w:cs="Arial Narrow"/>
          <w:sz w:val="24"/>
          <w:szCs w:val="21"/>
        </w:rPr>
        <w:t>求进行此绩效评价工作，本次绩效评价还力争实现以下目的：</w:t>
      </w:r>
    </w:p>
    <w:p>
      <w:pPr>
        <w:spacing w:line="360" w:lineRule="auto"/>
        <w:ind w:firstLine="482"/>
        <w:rPr>
          <w:rFonts w:ascii="仿宋_GB2312" w:hAnsi="Arial Narrow" w:cs="Arial Narrow"/>
          <w:sz w:val="24"/>
          <w:szCs w:val="21"/>
        </w:rPr>
      </w:pPr>
      <w:r>
        <w:rPr>
          <w:rFonts w:ascii="Arial Narrow" w:hAnsi="Arial Narrow" w:cs="宋体"/>
          <w:sz w:val="24"/>
          <w:szCs w:val="21"/>
        </w:rPr>
        <w:t>（</w:t>
      </w:r>
      <w:r>
        <w:rPr>
          <w:rFonts w:ascii="Arial Narrow" w:hAnsi="Arial Narrow" w:cs="Arial Narrow"/>
          <w:sz w:val="24"/>
          <w:szCs w:val="21"/>
        </w:rPr>
        <w:t>1</w:t>
      </w:r>
      <w:r>
        <w:rPr>
          <w:rFonts w:ascii="Arial Narrow" w:hAnsi="Arial Narrow" w:cs="宋体"/>
          <w:sz w:val="24"/>
          <w:szCs w:val="21"/>
        </w:rPr>
        <w:t>）</w:t>
      </w:r>
      <w:r>
        <w:rPr>
          <w:rFonts w:hint="eastAsia" w:ascii="仿宋_GB2312" w:hAnsi="Arial Narrow" w:cs="Arial Narrow"/>
          <w:sz w:val="24"/>
          <w:szCs w:val="21"/>
        </w:rPr>
        <w:t>按照“交通安全专项经费”项目资金管理要求，设计合理的指标体系和评价标准，采取科学、规范的评价方法，采用定性及定量相结合的评价指标，对“交通安全专项经费”项目的项目决策、项目管理、项目绩效进行客观公正地评价。</w:t>
      </w:r>
    </w:p>
    <w:p>
      <w:pPr>
        <w:spacing w:line="360" w:lineRule="auto"/>
        <w:ind w:firstLine="482"/>
        <w:rPr>
          <w:rFonts w:ascii="仿宋_GB2312" w:hAnsi="Arial Narrow" w:cs="Arial Narrow"/>
          <w:sz w:val="24"/>
          <w:szCs w:val="21"/>
        </w:rPr>
      </w:pPr>
      <w:r>
        <w:rPr>
          <w:rFonts w:ascii="Arial Narrow" w:hAnsi="Arial Narrow" w:cs="宋体"/>
          <w:sz w:val="24"/>
          <w:szCs w:val="21"/>
        </w:rPr>
        <w:t>（</w:t>
      </w:r>
      <w:r>
        <w:rPr>
          <w:rFonts w:ascii="Arial Narrow" w:hAnsi="Arial Narrow" w:cs="Arial Narrow"/>
          <w:sz w:val="24"/>
          <w:szCs w:val="21"/>
        </w:rPr>
        <w:t>2</w:t>
      </w:r>
      <w:r>
        <w:rPr>
          <w:rFonts w:ascii="Arial Narrow" w:hAnsi="Arial Narrow" w:cs="宋体"/>
          <w:sz w:val="24"/>
          <w:szCs w:val="21"/>
        </w:rPr>
        <w:t>）</w:t>
      </w:r>
      <w:r>
        <w:rPr>
          <w:rFonts w:ascii="Arial Narrow" w:hAnsi="Arial Narrow" w:cs="Arial Narrow"/>
          <w:sz w:val="24"/>
          <w:szCs w:val="21"/>
        </w:rPr>
        <w:t>通过绩效评价为合理分配资金、优化支出提供依据，也为逐步建立“预算编</w:t>
      </w:r>
      <w:r>
        <w:rPr>
          <w:rFonts w:hint="eastAsia" w:ascii="仿宋_GB2312" w:hAnsi="Arial Narrow" w:cs="Arial Narrow"/>
          <w:sz w:val="24"/>
          <w:szCs w:val="21"/>
        </w:rPr>
        <w:t>制有目标，预算执行有监控，预算完成有评价，评价结果有反馈，反馈结果有应用”的绩效评价机制提供决策依据。</w:t>
      </w:r>
    </w:p>
    <w:p>
      <w:pPr>
        <w:spacing w:line="360" w:lineRule="auto"/>
        <w:ind w:firstLine="482"/>
        <w:rPr>
          <w:rFonts w:ascii="Arial Narrow" w:hAnsi="Arial Narrow" w:cs="Arial Narrow"/>
          <w:sz w:val="24"/>
          <w:szCs w:val="21"/>
        </w:rPr>
      </w:pPr>
      <w:r>
        <w:rPr>
          <w:rFonts w:ascii="Arial Narrow" w:hAnsi="Arial Narrow" w:cs="Arial Narrow"/>
          <w:sz w:val="24"/>
          <w:szCs w:val="21"/>
        </w:rPr>
        <w:t>（3）</w:t>
      </w:r>
      <w:r>
        <w:rPr>
          <w:rFonts w:hint="eastAsia" w:ascii="仿宋_GB2312" w:hAnsi="Arial Narrow" w:cs="Arial Narrow"/>
          <w:sz w:val="24"/>
          <w:szCs w:val="21"/>
        </w:rPr>
        <w:t>通过绩效评价总结前一年度项目实施的经验教训，为进一步加强“交通安全监督经费”项目管理，提高项目建设水平，发挥财政资金效益提供重要的参考依据，也为</w:t>
      </w:r>
      <w:r>
        <w:rPr>
          <w:rFonts w:ascii="Arial Narrow" w:hAnsi="Arial Narrow" w:cs="Arial Narrow"/>
          <w:sz w:val="24"/>
          <w:szCs w:val="21"/>
        </w:rPr>
        <w:t>将来的交通安全专项经费项目</w:t>
      </w:r>
      <w:r>
        <w:rPr>
          <w:rFonts w:ascii="Arial Narrow" w:hAnsi="Arial Narrow" w:cs="宋体"/>
          <w:sz w:val="24"/>
          <w:szCs w:val="21"/>
        </w:rPr>
        <w:t>发展</w:t>
      </w:r>
      <w:r>
        <w:rPr>
          <w:rFonts w:ascii="Arial Narrow" w:hAnsi="Arial Narrow" w:cs="Arial Narrow"/>
          <w:sz w:val="24"/>
          <w:szCs w:val="21"/>
        </w:rPr>
        <w:t>提供借鉴。</w:t>
      </w:r>
    </w:p>
    <w:p>
      <w:pPr>
        <w:spacing w:line="360" w:lineRule="auto"/>
        <w:ind w:firstLine="480" w:firstLineChars="200"/>
        <w:outlineLvl w:val="2"/>
        <w:rPr>
          <w:rFonts w:ascii="Arial Narrow" w:hAnsi="Arial Narrow" w:cs="Arial Narrow"/>
          <w:color w:val="000000" w:themeColor="text1"/>
          <w:sz w:val="24"/>
          <w14:textFill>
            <w14:solidFill>
              <w14:schemeClr w14:val="tx1"/>
            </w14:solidFill>
          </w14:textFill>
        </w:rPr>
      </w:pPr>
      <w:bookmarkStart w:id="52" w:name="_Toc26366"/>
      <w:bookmarkStart w:id="53" w:name="_Toc7002"/>
      <w:r>
        <w:rPr>
          <w:rFonts w:ascii="Arial Narrow" w:hAnsi="Arial Narrow" w:cs="Arial Narrow"/>
          <w:color w:val="000000" w:themeColor="text1"/>
          <w:sz w:val="24"/>
          <w14:textFill>
            <w14:solidFill>
              <w14:schemeClr w14:val="tx1"/>
            </w14:solidFill>
          </w14:textFill>
        </w:rPr>
        <w:t>2、绩效评价框架</w:t>
      </w:r>
      <w:bookmarkEnd w:id="52"/>
      <w:bookmarkEnd w:id="53"/>
    </w:p>
    <w:p>
      <w:pPr>
        <w:spacing w:line="360" w:lineRule="auto"/>
        <w:ind w:firstLine="480" w:firstLineChars="200"/>
        <w:rPr>
          <w:rFonts w:ascii="仿宋_GB2312" w:hAnsi="Arial Narrow" w:cs="Arial Narrow"/>
          <w:color w:val="000000" w:themeColor="text1"/>
          <w:sz w:val="24"/>
          <w14:textFill>
            <w14:solidFill>
              <w14:schemeClr w14:val="tx1"/>
            </w14:solidFill>
          </w14:textFill>
        </w:rPr>
      </w:pPr>
      <w:r>
        <w:rPr>
          <w:rFonts w:ascii="Arial Narrow" w:hAnsi="Arial Narrow" w:cs="Arial Narrow"/>
          <w:color w:val="000000" w:themeColor="text1"/>
          <w:sz w:val="24"/>
          <w14:textFill>
            <w14:solidFill>
              <w14:schemeClr w14:val="tx1"/>
            </w14:solidFill>
          </w14:textFill>
        </w:rPr>
        <w:t>2.1评价原</w:t>
      </w:r>
      <w:r>
        <w:rPr>
          <w:rFonts w:hint="eastAsia" w:ascii="仿宋_GB2312" w:hAnsi="Arial Narrow" w:cs="Arial Narrow"/>
          <w:color w:val="000000" w:themeColor="text1"/>
          <w:sz w:val="24"/>
          <w14:textFill>
            <w14:solidFill>
              <w14:schemeClr w14:val="tx1"/>
            </w14:solidFill>
          </w14:textFill>
        </w:rPr>
        <w:t>则</w:t>
      </w:r>
    </w:p>
    <w:p>
      <w:pPr>
        <w:spacing w:line="360" w:lineRule="auto"/>
        <w:ind w:firstLine="602" w:firstLineChars="200"/>
        <w:rPr>
          <w:rFonts w:ascii="仿宋_GB2312" w:hAnsi="Arial Narrow" w:cs="Arial Narrow"/>
          <w:color w:val="000000" w:themeColor="text1"/>
          <w:sz w:val="24"/>
          <w14:textFill>
            <w14:solidFill>
              <w14:schemeClr w14:val="tx1"/>
            </w14:solidFill>
          </w14:textFill>
        </w:rPr>
      </w:pPr>
      <w:r>
        <w:rPr>
          <w:rFonts w:hint="eastAsia" w:ascii="仿宋_GB2312" w:hAnsi="Arial Narrow" w:cs="Arial Narrow"/>
          <w:b/>
          <w:bCs/>
        </w:rPr>
        <w:drawing>
          <wp:inline distT="0" distB="0" distL="114300" distR="114300">
            <wp:extent cx="4895215" cy="1419225"/>
            <wp:effectExtent l="0" t="0" r="635" b="9525"/>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11"/>
                    <a:stretch>
                      <a:fillRect/>
                    </a:stretch>
                  </pic:blipFill>
                  <pic:spPr>
                    <a:xfrm>
                      <a:off x="0" y="0"/>
                      <a:ext cx="4895215" cy="1419225"/>
                    </a:xfrm>
                    <a:prstGeom prst="rect">
                      <a:avLst/>
                    </a:prstGeom>
                    <a:noFill/>
                    <a:ln w="9525">
                      <a:noFill/>
                    </a:ln>
                  </pic:spPr>
                </pic:pic>
              </a:graphicData>
            </a:graphic>
          </wp:inline>
        </w:drawing>
      </w:r>
    </w:p>
    <w:p>
      <w:pPr>
        <w:spacing w:line="360" w:lineRule="auto"/>
        <w:ind w:firstLine="480" w:firstLineChars="200"/>
        <w:rPr>
          <w:rFonts w:ascii="仿宋_GB2312" w:hAnsi="Arial Narrow" w:cs="Arial Narrow"/>
          <w:color w:val="000000" w:themeColor="text1"/>
          <w:sz w:val="24"/>
          <w14:textFill>
            <w14:solidFill>
              <w14:schemeClr w14:val="tx1"/>
            </w14:solidFill>
          </w14:textFill>
        </w:rPr>
      </w:pPr>
      <w:r>
        <w:rPr>
          <w:rFonts w:hint="eastAsia" w:ascii="仿宋_GB2312" w:hAnsi="Arial Narrow" w:cs="Arial Narrow"/>
          <w:color w:val="000000" w:themeColor="text1"/>
          <w:sz w:val="24"/>
          <w14:textFill>
            <w14:solidFill>
              <w14:schemeClr w14:val="tx1"/>
            </w14:solidFill>
          </w14:textFill>
        </w:rPr>
        <w:t>（</w:t>
      </w:r>
      <w:r>
        <w:rPr>
          <w:rFonts w:ascii="Arial Narrow" w:hAnsi="Arial Narrow" w:cs="Arial Narrow"/>
          <w:color w:val="000000" w:themeColor="text1"/>
          <w:sz w:val="24"/>
          <w14:textFill>
            <w14:solidFill>
              <w14:schemeClr w14:val="tx1"/>
            </w14:solidFill>
          </w14:textFill>
        </w:rPr>
        <w:t>1</w:t>
      </w:r>
      <w:r>
        <w:rPr>
          <w:rFonts w:hint="eastAsia" w:ascii="仿宋_GB2312" w:hAnsi="Arial Narrow" w:cs="Arial Narrow"/>
          <w:color w:val="000000" w:themeColor="text1"/>
          <w:sz w:val="24"/>
          <w14:textFill>
            <w14:solidFill>
              <w14:schemeClr w14:val="tx1"/>
            </w14:solidFill>
          </w14:textFill>
        </w:rPr>
        <w:t>）科学规范原则。我们严格执行规定的程序，按照科学可行的要求，采用定量与定性分析相结合的方法，同时在反应项目产出、项目效益等方面的末级明细指标细化、量化程度高，如</w:t>
      </w:r>
      <w:r>
        <w:rPr>
          <w:rFonts w:hint="eastAsia" w:ascii="仿宋_GB2312" w:hAnsi="Arial Narrow" w:cs="Arial Narrow"/>
          <w:sz w:val="24"/>
          <w:szCs w:val="21"/>
        </w:rPr>
        <w:t>安全检查活动举办完成率、交通运输应急预案编制完成率</w:t>
      </w:r>
      <w:r>
        <w:rPr>
          <w:rFonts w:hint="eastAsia" w:ascii="仿宋_GB2312" w:hAnsi="Arial Narrow" w:cs="Arial Narrow"/>
          <w:color w:val="000000" w:themeColor="text1"/>
          <w:sz w:val="24"/>
          <w14:textFill>
            <w14:solidFill>
              <w14:schemeClr w14:val="tx1"/>
            </w14:solidFill>
          </w14:textFill>
        </w:rPr>
        <w:t>等，均可取得量化的数据为基础进行评分，降低评价人员的主观影响。</w:t>
      </w:r>
    </w:p>
    <w:p>
      <w:pPr>
        <w:spacing w:line="360" w:lineRule="auto"/>
        <w:ind w:firstLine="480" w:firstLineChars="200"/>
        <w:rPr>
          <w:rFonts w:ascii="Arial Narrow" w:hAnsi="Arial Narrow" w:cs="Arial Narrow"/>
          <w:color w:val="000000" w:themeColor="text1"/>
          <w:sz w:val="24"/>
          <w14:textFill>
            <w14:solidFill>
              <w14:schemeClr w14:val="tx1"/>
            </w14:solidFill>
          </w14:textFill>
        </w:rPr>
      </w:pPr>
      <w:r>
        <w:rPr>
          <w:rFonts w:ascii="Arial Narrow" w:hAnsi="Arial Narrow" w:cs="Arial Narrow"/>
          <w:color w:val="000000" w:themeColor="text1"/>
          <w:sz w:val="24"/>
          <w14:textFill>
            <w14:solidFill>
              <w14:schemeClr w14:val="tx1"/>
            </w14:solidFill>
          </w14:textFill>
        </w:rPr>
        <w:t>（2）公正公开原则。绩效评价符合真实、客观、公正的要求，依法公开并接受监督。</w:t>
      </w:r>
    </w:p>
    <w:p>
      <w:pPr>
        <w:spacing w:line="360" w:lineRule="auto"/>
        <w:ind w:firstLine="480" w:firstLineChars="200"/>
        <w:rPr>
          <w:rFonts w:ascii="仿宋_GB2312" w:hAnsi="Arial Narrow" w:cs="Arial Narrow"/>
          <w:color w:val="000000" w:themeColor="text1"/>
          <w:sz w:val="24"/>
          <w14:textFill>
            <w14:solidFill>
              <w14:schemeClr w14:val="tx1"/>
            </w14:solidFill>
          </w14:textFill>
        </w:rPr>
      </w:pPr>
      <w:r>
        <w:rPr>
          <w:rFonts w:ascii="Arial Narrow" w:hAnsi="Arial Narrow" w:cs="Arial Narrow"/>
          <w:color w:val="000000" w:themeColor="text1"/>
          <w:sz w:val="24"/>
          <w14:textFill>
            <w14:solidFill>
              <w14:schemeClr w14:val="tx1"/>
            </w14:solidFill>
          </w14:textFill>
        </w:rPr>
        <w:t>（3）分级</w:t>
      </w:r>
      <w:r>
        <w:rPr>
          <w:rFonts w:hint="eastAsia" w:ascii="仿宋_GB2312" w:hAnsi="Arial Narrow" w:cs="Arial Narrow"/>
          <w:color w:val="000000" w:themeColor="text1"/>
          <w:sz w:val="24"/>
          <w14:textFill>
            <w14:solidFill>
              <w14:schemeClr w14:val="tx1"/>
            </w14:solidFill>
          </w14:textFill>
        </w:rPr>
        <w:t>分类原则。绩效评价由区财政局、预算单位根据评价对象的特点分类组织实施。</w:t>
      </w:r>
    </w:p>
    <w:p>
      <w:pPr>
        <w:spacing w:line="360" w:lineRule="auto"/>
        <w:ind w:firstLine="480" w:firstLineChars="200"/>
        <w:rPr>
          <w:rFonts w:ascii="仿宋_GB2312" w:hAnsi="Arial Narrow" w:cs="Arial Narrow"/>
          <w:color w:val="000000" w:themeColor="text1"/>
          <w:sz w:val="24"/>
          <w14:textFill>
            <w14:solidFill>
              <w14:schemeClr w14:val="tx1"/>
            </w14:solidFill>
          </w14:textFill>
        </w:rPr>
      </w:pPr>
      <w:r>
        <w:rPr>
          <w:rFonts w:ascii="Arial Narrow" w:hAnsi="Arial Narrow" w:cs="Arial Narrow"/>
          <w:color w:val="000000" w:themeColor="text1"/>
          <w:sz w:val="24"/>
          <w14:textFill>
            <w14:solidFill>
              <w14:schemeClr w14:val="tx1"/>
            </w14:solidFill>
          </w14:textFill>
        </w:rPr>
        <w:t>（4）绩效相关原则。我们使用与绩效目标有直接的联系，能够恰当反映目标的实</w:t>
      </w:r>
      <w:r>
        <w:rPr>
          <w:rFonts w:hint="eastAsia" w:ascii="仿宋_GB2312" w:hAnsi="Arial Narrow" w:cs="Arial Narrow"/>
          <w:color w:val="000000" w:themeColor="text1"/>
          <w:sz w:val="24"/>
          <w14:textFill>
            <w14:solidFill>
              <w14:schemeClr w14:val="tx1"/>
            </w14:solidFill>
          </w14:textFill>
        </w:rPr>
        <w:t>现程度，如</w:t>
      </w:r>
      <w:r>
        <w:rPr>
          <w:rFonts w:hint="eastAsia" w:ascii="仿宋_GB2312" w:hAnsi="Arial Narrow" w:cs="Arial Narrow"/>
          <w:sz w:val="24"/>
          <w:szCs w:val="21"/>
        </w:rPr>
        <w:t>安全生产培训覆盖率、安全生产宣传多样化、</w:t>
      </w:r>
      <w:r>
        <w:rPr>
          <w:rFonts w:hint="eastAsia" w:ascii="仿宋_GB2312" w:hAnsi="Arial Narrow" w:cs="宋体"/>
          <w:sz w:val="24"/>
          <w:szCs w:val="21"/>
        </w:rPr>
        <w:t>通航水域水质无污染率</w:t>
      </w:r>
      <w:r>
        <w:rPr>
          <w:rFonts w:hint="eastAsia" w:ascii="仿宋_GB2312" w:hAnsi="Arial Narrow" w:cs="Arial Narrow"/>
          <w:color w:val="000000" w:themeColor="text1"/>
          <w:sz w:val="24"/>
          <w14:textFill>
            <w14:solidFill>
              <w14:schemeClr w14:val="tx1"/>
            </w14:solidFill>
          </w14:textFill>
        </w:rPr>
        <w:t>等，均为能够反映项目目标实现程度的绩效指标。</w:t>
      </w:r>
    </w:p>
    <w:p>
      <w:pPr>
        <w:spacing w:line="360" w:lineRule="auto"/>
        <w:ind w:firstLine="482"/>
        <w:rPr>
          <w:rFonts w:ascii="Arial Narrow" w:hAnsi="Arial Narrow" w:cs="Arial Narrow"/>
          <w:sz w:val="24"/>
          <w:szCs w:val="21"/>
        </w:rPr>
      </w:pPr>
      <w:r>
        <w:rPr>
          <w:rFonts w:ascii="Arial Narrow" w:hAnsi="Arial Narrow" w:cs="Arial Narrow"/>
          <w:sz w:val="24"/>
          <w:szCs w:val="21"/>
        </w:rPr>
        <w:t>2.2绩效评价指标体系</w:t>
      </w:r>
    </w:p>
    <w:p>
      <w:pPr>
        <w:spacing w:line="360" w:lineRule="auto"/>
        <w:ind w:firstLine="482"/>
        <w:rPr>
          <w:rFonts w:ascii="仿宋_GB2312" w:hAnsi="Arial Narrow" w:cs="Arial Narrow"/>
          <w:sz w:val="24"/>
          <w:szCs w:val="21"/>
        </w:rPr>
      </w:pPr>
      <w:r>
        <w:rPr>
          <w:rFonts w:hint="eastAsia" w:ascii="仿宋_GB2312" w:hAnsi="Arial Narrow" w:cs="Arial Narrow"/>
          <w:sz w:val="24"/>
          <w:szCs w:val="21"/>
        </w:rPr>
        <w:t>评价指标体系是开展绩效评价工作的核心。评价小组参考</w:t>
      </w:r>
      <w:r>
        <w:rPr>
          <w:rFonts w:ascii="Arial Narrow" w:hAnsi="Arial Narrow" w:cs="Arial Narrow"/>
          <w:sz w:val="24"/>
          <w:szCs w:val="21"/>
        </w:rPr>
        <w:t>2019年湖</w:t>
      </w:r>
      <w:r>
        <w:rPr>
          <w:rFonts w:hint="eastAsia" w:ascii="仿宋_GB2312" w:hAnsi="Arial Narrow" w:cs="Arial Narrow"/>
          <w:sz w:val="24"/>
          <w:szCs w:val="21"/>
        </w:rPr>
        <w:t>北省财政支出重点项目绩效评价报告和指标体系框架，依据《区财政局关</w:t>
      </w:r>
      <w:r>
        <w:rPr>
          <w:rFonts w:ascii="Arial Narrow" w:hAnsi="Arial Narrow" w:cs="Arial Narrow"/>
          <w:sz w:val="24"/>
          <w:szCs w:val="21"/>
        </w:rPr>
        <w:t>于2019年开展预算绩效评价工作的通知》（武经开财〔2019〕29号） 文件，结合工商</w:t>
      </w:r>
      <w:r>
        <w:rPr>
          <w:rFonts w:hint="eastAsia" w:ascii="仿宋_GB2312" w:hAnsi="Arial Narrow" w:cs="Arial Narrow"/>
          <w:sz w:val="24"/>
          <w:szCs w:val="21"/>
        </w:rPr>
        <w:t>行政管理专项经费的特点，运用定量定性原则，确定了绩效评价一级指标、二级指标和三级指标。绩效评价指标体系包括投入、过程、产出、效果四个方面。</w:t>
      </w:r>
    </w:p>
    <w:p>
      <w:pPr>
        <w:spacing w:line="360" w:lineRule="auto"/>
        <w:ind w:firstLine="482"/>
        <w:rPr>
          <w:rFonts w:ascii="仿宋_GB2312" w:hAnsi="Arial Narrow" w:cs="Arial Narrow"/>
          <w:sz w:val="24"/>
          <w:szCs w:val="21"/>
        </w:rPr>
      </w:pPr>
      <w:r>
        <w:rPr>
          <w:rFonts w:hint="eastAsia" w:ascii="仿宋_GB2312" w:hAnsi="Arial Narrow" w:cs="Arial Narrow"/>
          <w:sz w:val="24"/>
          <w:szCs w:val="21"/>
        </w:rPr>
        <w:t>一级指标“投入”权重</w:t>
      </w:r>
      <w:r>
        <w:rPr>
          <w:rFonts w:ascii="Arial Narrow" w:hAnsi="Arial Narrow" w:cs="Arial Narrow"/>
          <w:sz w:val="24"/>
          <w:szCs w:val="21"/>
        </w:rPr>
        <w:t>16</w:t>
      </w:r>
      <w:r>
        <w:rPr>
          <w:rFonts w:hint="eastAsia" w:ascii="仿宋_GB2312" w:hAnsi="Arial Narrow" w:cs="Arial Narrow"/>
          <w:sz w:val="24"/>
          <w:szCs w:val="21"/>
        </w:rPr>
        <w:t>分，下设二级指标“项目立项”、“资金落实”，主要评价项目立项规范性、绩效目标合理性和资金到位率和到位及时率；</w:t>
      </w:r>
    </w:p>
    <w:p>
      <w:pPr>
        <w:spacing w:line="360" w:lineRule="auto"/>
        <w:ind w:firstLine="482"/>
        <w:rPr>
          <w:rFonts w:ascii="仿宋_GB2312" w:hAnsi="Arial Narrow" w:cs="Arial Narrow"/>
          <w:sz w:val="24"/>
          <w:szCs w:val="21"/>
        </w:rPr>
      </w:pPr>
      <w:r>
        <w:rPr>
          <w:rFonts w:hint="eastAsia" w:ascii="仿宋_GB2312" w:hAnsi="Arial Narrow" w:cs="Arial Narrow"/>
          <w:sz w:val="24"/>
          <w:szCs w:val="21"/>
        </w:rPr>
        <w:t>“过程”权重</w:t>
      </w:r>
      <w:r>
        <w:rPr>
          <w:rFonts w:ascii="Arial Narrow" w:hAnsi="Arial Narrow" w:cs="Arial Narrow"/>
          <w:sz w:val="24"/>
          <w:szCs w:val="21"/>
        </w:rPr>
        <w:t>24</w:t>
      </w:r>
      <w:r>
        <w:rPr>
          <w:rFonts w:hint="eastAsia" w:ascii="仿宋_GB2312" w:hAnsi="Arial Narrow" w:cs="Arial Narrow"/>
          <w:sz w:val="24"/>
          <w:szCs w:val="21"/>
        </w:rPr>
        <w:t>分，下设二级指标“项目管理”和“财务管理”，具体指标有管理制度健全性、制度执行有效性、项目质量可控性以及财务管理制度健全性、资金使用合规性和财务监控有效性等；</w:t>
      </w:r>
    </w:p>
    <w:p>
      <w:pPr>
        <w:spacing w:line="360" w:lineRule="auto"/>
        <w:ind w:firstLine="482"/>
        <w:rPr>
          <w:rFonts w:ascii="仿宋_GB2312" w:hAnsi="Arial Narrow" w:cs="Arial Narrow"/>
          <w:sz w:val="24"/>
          <w:szCs w:val="21"/>
        </w:rPr>
      </w:pPr>
      <w:r>
        <w:rPr>
          <w:rFonts w:hint="eastAsia" w:ascii="仿宋_GB2312" w:hAnsi="Arial Narrow" w:cs="Arial Narrow"/>
          <w:sz w:val="24"/>
          <w:szCs w:val="21"/>
        </w:rPr>
        <w:t>“产出”权重</w:t>
      </w:r>
      <w:r>
        <w:rPr>
          <w:rFonts w:ascii="Arial Narrow" w:hAnsi="Arial Narrow" w:cs="Arial Narrow"/>
          <w:sz w:val="24"/>
          <w:szCs w:val="21"/>
        </w:rPr>
        <w:t>30</w:t>
      </w:r>
      <w:r>
        <w:rPr>
          <w:rFonts w:hint="eastAsia" w:ascii="仿宋_GB2312" w:hAnsi="Arial Narrow" w:cs="Arial Narrow"/>
          <w:sz w:val="24"/>
          <w:szCs w:val="21"/>
        </w:rPr>
        <w:t>分，下设二级指标“项目产出”，项目产出主要评价项目建设工作的完成情况，如安全检查活动举办完成率、交通运输应急预案编制完成率、“两客一危”应急预案演习完成率、</w:t>
      </w:r>
      <w:r>
        <w:rPr>
          <w:rFonts w:hint="eastAsia" w:ascii="仿宋_GB2312" w:hAnsi="Arial Narrow" w:cs="宋体"/>
          <w:sz w:val="24"/>
          <w:szCs w:val="21"/>
        </w:rPr>
        <w:t>危货</w:t>
      </w:r>
      <w:r>
        <w:rPr>
          <w:rFonts w:hint="eastAsia" w:ascii="仿宋_GB2312" w:hAnsi="Arial Narrow" w:cs="Arial Narrow"/>
          <w:sz w:val="24"/>
          <w:szCs w:val="21"/>
        </w:rPr>
        <w:t>码头巡查落实率、隐患排查整治、资金使用率；</w:t>
      </w:r>
    </w:p>
    <w:p>
      <w:pPr>
        <w:spacing w:line="360" w:lineRule="auto"/>
        <w:ind w:firstLine="482"/>
        <w:rPr>
          <w:rFonts w:ascii="仿宋_GB2312" w:hAnsi="Arial Narrow" w:cs="Arial Narrow"/>
          <w:sz w:val="24"/>
          <w:szCs w:val="21"/>
        </w:rPr>
      </w:pPr>
      <w:r>
        <w:rPr>
          <w:rFonts w:hint="eastAsia" w:ascii="仿宋_GB2312" w:hAnsi="Arial Narrow" w:cs="Arial Narrow"/>
          <w:sz w:val="24"/>
          <w:szCs w:val="21"/>
        </w:rPr>
        <w:t>“效果”权重</w:t>
      </w:r>
      <w:r>
        <w:rPr>
          <w:rFonts w:ascii="Arial Narrow" w:hAnsi="Arial Narrow" w:cs="Arial Narrow"/>
          <w:sz w:val="24"/>
          <w:szCs w:val="21"/>
        </w:rPr>
        <w:t>30</w:t>
      </w:r>
      <w:r>
        <w:rPr>
          <w:rFonts w:hint="eastAsia" w:ascii="仿宋_GB2312" w:hAnsi="Arial Narrow" w:cs="Arial Narrow"/>
          <w:sz w:val="24"/>
          <w:szCs w:val="21"/>
        </w:rPr>
        <w:t>分，下设二级指标“项目效益”，三级指标包括安全生产培训覆盖率、安全生产宣传多样化、</w:t>
      </w:r>
      <w:r>
        <w:rPr>
          <w:rFonts w:hint="eastAsia" w:ascii="仿宋_GB2312" w:hAnsi="Arial Narrow" w:cs="宋体"/>
          <w:sz w:val="24"/>
          <w:szCs w:val="21"/>
        </w:rPr>
        <w:t>通航水域水质无污染率</w:t>
      </w:r>
      <w:r>
        <w:rPr>
          <w:rFonts w:hint="eastAsia" w:ascii="仿宋_GB2312" w:hAnsi="Arial Narrow" w:cs="Arial Narrow"/>
          <w:sz w:val="24"/>
          <w:szCs w:val="21"/>
        </w:rPr>
        <w:t>、安全事故减少、可持续性、社会公众满意度。</w:t>
      </w:r>
    </w:p>
    <w:p>
      <w:pPr>
        <w:spacing w:line="360" w:lineRule="auto"/>
        <w:ind w:firstLine="482"/>
        <w:rPr>
          <w:rFonts w:ascii="仿宋_GB2312" w:hAnsi="Arial Narrow" w:cs="Arial Narrow"/>
          <w:sz w:val="24"/>
          <w:szCs w:val="21"/>
        </w:rPr>
      </w:pPr>
      <w:r>
        <w:rPr>
          <w:rFonts w:hint="eastAsia" w:ascii="仿宋_GB2312" w:hAnsi="Arial Narrow" w:cs="Arial Narrow"/>
          <w:sz w:val="24"/>
          <w:szCs w:val="21"/>
        </w:rPr>
        <w:t>具体指标的分布情况、权重、指标解释、指标说明如下表所示：</w:t>
      </w:r>
    </w:p>
    <w:tbl>
      <w:tblPr>
        <w:tblStyle w:val="10"/>
        <w:tblW w:w="9493" w:type="dxa"/>
        <w:tblInd w:w="0" w:type="dxa"/>
        <w:tblLayout w:type="fixed"/>
        <w:tblCellMar>
          <w:top w:w="0" w:type="dxa"/>
          <w:left w:w="108" w:type="dxa"/>
          <w:bottom w:w="0" w:type="dxa"/>
          <w:right w:w="108" w:type="dxa"/>
        </w:tblCellMar>
      </w:tblPr>
      <w:tblGrid>
        <w:gridCol w:w="417"/>
        <w:gridCol w:w="1563"/>
        <w:gridCol w:w="2693"/>
        <w:gridCol w:w="4820"/>
      </w:tblGrid>
      <w:tr>
        <w:tblPrEx>
          <w:tblCellMar>
            <w:top w:w="0" w:type="dxa"/>
            <w:left w:w="108" w:type="dxa"/>
            <w:bottom w:w="0" w:type="dxa"/>
            <w:right w:w="108" w:type="dxa"/>
          </w:tblCellMar>
        </w:tblPrEx>
        <w:trPr>
          <w:trHeight w:val="499" w:hRule="atLeast"/>
          <w:tblHeader/>
        </w:trPr>
        <w:tc>
          <w:tcPr>
            <w:tcW w:w="19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kern w:val="0"/>
                <w:sz w:val="24"/>
                <w:lang w:eastAsia="zh-CN"/>
              </w:rPr>
            </w:pPr>
            <w:r>
              <w:rPr>
                <w:rFonts w:hint="eastAsia" w:ascii="仿宋_GB2312" w:hAnsi="宋体" w:cs="宋体"/>
                <w:b/>
                <w:bCs/>
                <w:kern w:val="0"/>
                <w:sz w:val="24"/>
              </w:rPr>
              <w:t>指标名称</w:t>
            </w:r>
          </w:p>
          <w:p>
            <w:pPr>
              <w:widowControl/>
              <w:jc w:val="center"/>
              <w:rPr>
                <w:rFonts w:ascii="仿宋_GB2312" w:hAnsi="宋体" w:cs="宋体"/>
                <w:b/>
                <w:bCs/>
                <w:kern w:val="0"/>
                <w:sz w:val="24"/>
              </w:rPr>
            </w:pPr>
            <w:r>
              <w:rPr>
                <w:rFonts w:hint="eastAsia" w:ascii="仿宋_GB2312" w:hAnsi="宋体" w:cs="宋体"/>
                <w:b/>
                <w:bCs/>
                <w:kern w:val="0"/>
                <w:sz w:val="24"/>
              </w:rPr>
              <w:t>（权重）</w:t>
            </w:r>
          </w:p>
        </w:tc>
        <w:tc>
          <w:tcPr>
            <w:tcW w:w="269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Arial Narrow" w:cs="宋体"/>
                <w:b/>
                <w:bCs/>
                <w:kern w:val="0"/>
                <w:sz w:val="24"/>
              </w:rPr>
            </w:pPr>
            <w:r>
              <w:rPr>
                <w:rFonts w:hint="eastAsia" w:ascii="仿宋_GB2312" w:hAnsi="Arial Narrow" w:cs="宋体"/>
                <w:b/>
                <w:bCs/>
                <w:kern w:val="0"/>
                <w:sz w:val="24"/>
              </w:rPr>
              <w:t>指标解释</w:t>
            </w:r>
          </w:p>
        </w:tc>
        <w:tc>
          <w:tcPr>
            <w:tcW w:w="48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Arial Narrow" w:cs="宋体"/>
                <w:b/>
                <w:bCs/>
                <w:kern w:val="0"/>
                <w:sz w:val="24"/>
              </w:rPr>
            </w:pPr>
            <w:r>
              <w:rPr>
                <w:rFonts w:hint="eastAsia" w:ascii="仿宋_GB2312" w:hAnsi="Arial Narrow" w:cs="宋体"/>
                <w:b/>
                <w:bCs/>
                <w:kern w:val="0"/>
                <w:sz w:val="24"/>
              </w:rPr>
              <w:t>指标说明</w:t>
            </w:r>
          </w:p>
        </w:tc>
      </w:tr>
      <w:tr>
        <w:tblPrEx>
          <w:tblCellMar>
            <w:top w:w="0" w:type="dxa"/>
            <w:left w:w="108" w:type="dxa"/>
            <w:bottom w:w="0" w:type="dxa"/>
            <w:right w:w="108" w:type="dxa"/>
          </w:tblCellMar>
        </w:tblPrEx>
        <w:trPr>
          <w:trHeight w:val="2370" w:hRule="atLeast"/>
        </w:trPr>
        <w:tc>
          <w:tcPr>
            <w:tcW w:w="41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Arial Narrow" w:eastAsia="仿宋_GB2312" w:cs="宋体"/>
                <w:kern w:val="0"/>
                <w:sz w:val="24"/>
                <w:lang w:eastAsia="zh-CN"/>
              </w:rPr>
            </w:pPr>
            <w:r>
              <w:rPr>
                <w:rFonts w:hint="eastAsia" w:ascii="仿宋_GB2312" w:hAnsi="Arial Narrow" w:cs="宋体"/>
                <w:kern w:val="0"/>
                <w:sz w:val="24"/>
              </w:rPr>
              <w:t>项目</w:t>
            </w:r>
          </w:p>
          <w:p>
            <w:pPr>
              <w:widowControl/>
              <w:jc w:val="center"/>
              <w:rPr>
                <w:rFonts w:ascii="仿宋_GB2312" w:hAnsi="Arial Narrow" w:cs="宋体"/>
                <w:kern w:val="0"/>
                <w:sz w:val="24"/>
              </w:rPr>
            </w:pPr>
            <w:r>
              <w:rPr>
                <w:rFonts w:hint="eastAsia" w:ascii="仿宋_GB2312" w:hAnsi="Arial Narrow" w:cs="宋体"/>
                <w:kern w:val="0"/>
                <w:sz w:val="24"/>
              </w:rPr>
              <w:t>立项</w:t>
            </w:r>
          </w:p>
        </w:tc>
        <w:tc>
          <w:tcPr>
            <w:tcW w:w="1563" w:type="dxa"/>
            <w:tcBorders>
              <w:top w:val="nil"/>
              <w:left w:val="nil"/>
              <w:bottom w:val="single" w:color="auto" w:sz="4" w:space="0"/>
              <w:right w:val="single" w:color="auto" w:sz="4" w:space="0"/>
            </w:tcBorders>
            <w:shd w:val="clear" w:color="auto" w:fill="auto"/>
            <w:vAlign w:val="center"/>
          </w:tcPr>
          <w:p>
            <w:pPr>
              <w:widowControl/>
              <w:jc w:val="center"/>
              <w:rPr>
                <w:rFonts w:ascii="Arial Narrow" w:hAnsi="Arial Narrow" w:cs="宋体"/>
                <w:color w:val="000000"/>
                <w:kern w:val="0"/>
                <w:sz w:val="24"/>
              </w:rPr>
            </w:pPr>
            <w:r>
              <w:rPr>
                <w:rFonts w:ascii="Arial Narrow" w:hAnsi="Arial Narrow" w:cs="宋体"/>
                <w:color w:val="000000"/>
                <w:kern w:val="0"/>
                <w:sz w:val="24"/>
              </w:rPr>
              <w:t>项目立项规范性（4）</w:t>
            </w:r>
          </w:p>
        </w:tc>
        <w:tc>
          <w:tcPr>
            <w:tcW w:w="2693"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项目的申请、设立过程是否符合相关要求，用以反映和考核项目立项的规范情况。</w:t>
            </w:r>
          </w:p>
        </w:tc>
        <w:tc>
          <w:tcPr>
            <w:tcW w:w="482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仿宋_GB2312" w:eastAsia="仿宋_GB2312" w:cs="仿宋_GB2312"/>
                <w:kern w:val="0"/>
                <w:sz w:val="24"/>
                <w:lang w:eastAsia="zh-CN"/>
              </w:rPr>
            </w:pPr>
            <w:r>
              <w:rPr>
                <w:rFonts w:hint="eastAsia" w:ascii="仿宋_GB2312" w:hAnsi="仿宋_GB2312" w:cs="仿宋_GB2312"/>
                <w:kern w:val="0"/>
                <w:sz w:val="24"/>
              </w:rPr>
              <w:t>评价要点：</w:t>
            </w:r>
          </w:p>
          <w:p>
            <w:pPr>
              <w:widowControl/>
              <w:jc w:val="left"/>
              <w:rPr>
                <w:rFonts w:hint="eastAsia" w:ascii="仿宋_GB2312" w:hAnsi="仿宋_GB2312" w:eastAsia="仿宋_GB2312" w:cs="仿宋_GB2312"/>
                <w:kern w:val="0"/>
                <w:sz w:val="24"/>
                <w:lang w:eastAsia="zh-CN"/>
              </w:rPr>
            </w:pPr>
            <w:r>
              <w:rPr>
                <w:rFonts w:hint="eastAsia" w:ascii="仿宋_GB2312" w:hAnsi="仿宋_GB2312" w:cs="仿宋_GB2312"/>
                <w:kern w:val="0"/>
                <w:sz w:val="24"/>
              </w:rPr>
              <w:t>①是否有规划；</w:t>
            </w:r>
          </w:p>
          <w:p>
            <w:pPr>
              <w:widowControl/>
              <w:jc w:val="left"/>
              <w:rPr>
                <w:rFonts w:hint="eastAsia" w:ascii="仿宋_GB2312" w:hAnsi="仿宋_GB2312" w:eastAsia="仿宋_GB2312" w:cs="仿宋_GB2312"/>
                <w:kern w:val="0"/>
                <w:sz w:val="24"/>
                <w:lang w:eastAsia="zh-CN"/>
              </w:rPr>
            </w:pPr>
            <w:r>
              <w:rPr>
                <w:rFonts w:hint="eastAsia" w:ascii="仿宋_GB2312" w:hAnsi="仿宋_GB2312" w:cs="仿宋_GB2312"/>
                <w:kern w:val="0"/>
                <w:sz w:val="24"/>
              </w:rPr>
              <w:t>②项目是否按照规定的程序申请设立；</w:t>
            </w:r>
          </w:p>
          <w:p>
            <w:pPr>
              <w:widowControl/>
              <w:jc w:val="left"/>
              <w:rPr>
                <w:rFonts w:hint="eastAsia" w:ascii="仿宋_GB2312" w:hAnsi="仿宋_GB2312" w:eastAsia="仿宋_GB2312" w:cs="仿宋_GB2312"/>
                <w:kern w:val="0"/>
                <w:sz w:val="24"/>
                <w:lang w:eastAsia="zh-CN"/>
              </w:rPr>
            </w:pPr>
            <w:r>
              <w:rPr>
                <w:rFonts w:hint="eastAsia" w:ascii="仿宋_GB2312" w:hAnsi="仿宋_GB2312" w:cs="仿宋_GB2312"/>
                <w:kern w:val="0"/>
                <w:sz w:val="24"/>
              </w:rPr>
              <w:t>③所提交的文件、材料是否符合相关要求；</w:t>
            </w:r>
          </w:p>
          <w:p>
            <w:pPr>
              <w:widowControl/>
              <w:jc w:val="left"/>
              <w:rPr>
                <w:rFonts w:hint="eastAsia" w:ascii="仿宋_GB2312" w:hAnsi="仿宋_GB2312" w:eastAsia="仿宋_GB2312" w:cs="仿宋_GB2312"/>
                <w:kern w:val="0"/>
                <w:sz w:val="24"/>
                <w:lang w:eastAsia="zh-CN"/>
              </w:rPr>
            </w:pPr>
            <w:r>
              <w:rPr>
                <w:rFonts w:hint="eastAsia" w:ascii="仿宋_GB2312" w:hAnsi="仿宋_GB2312" w:cs="仿宋_GB2312"/>
                <w:kern w:val="0"/>
                <w:sz w:val="24"/>
              </w:rPr>
              <w:t>④事前是否已经过必要的可行性研究、专家论证、风险评估、集体决策等；</w:t>
            </w:r>
          </w:p>
          <w:p>
            <w:pPr>
              <w:widowControl/>
              <w:jc w:val="left"/>
              <w:rPr>
                <w:rFonts w:ascii="仿宋_GB2312" w:hAnsi="仿宋_GB2312" w:cs="仿宋_GB2312"/>
                <w:kern w:val="0"/>
                <w:sz w:val="24"/>
              </w:rPr>
            </w:pPr>
            <w:r>
              <w:rPr>
                <w:rFonts w:hint="eastAsia" w:ascii="仿宋_GB2312" w:hAnsi="仿宋_GB2312" w:cs="仿宋_GB2312"/>
                <w:kern w:val="0"/>
                <w:sz w:val="24"/>
              </w:rPr>
              <w:t>⑤项目执行时是否发生重大调整。</w:t>
            </w:r>
          </w:p>
        </w:tc>
      </w:tr>
      <w:tr>
        <w:tblPrEx>
          <w:tblCellMar>
            <w:top w:w="0" w:type="dxa"/>
            <w:left w:w="108" w:type="dxa"/>
            <w:bottom w:w="0" w:type="dxa"/>
            <w:right w:w="108" w:type="dxa"/>
          </w:tblCellMar>
        </w:tblPrEx>
        <w:trPr>
          <w:trHeight w:val="2720" w:hRule="atLeast"/>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Arial Narrow" w:cs="宋体"/>
                <w:kern w:val="0"/>
                <w:sz w:val="24"/>
              </w:rPr>
            </w:pPr>
          </w:p>
        </w:tc>
        <w:tc>
          <w:tcPr>
            <w:tcW w:w="1563" w:type="dxa"/>
            <w:tcBorders>
              <w:top w:val="nil"/>
              <w:left w:val="nil"/>
              <w:bottom w:val="single" w:color="auto" w:sz="4" w:space="0"/>
              <w:right w:val="single" w:color="auto" w:sz="4" w:space="0"/>
            </w:tcBorders>
            <w:shd w:val="clear" w:color="auto" w:fill="auto"/>
            <w:vAlign w:val="center"/>
          </w:tcPr>
          <w:p>
            <w:pPr>
              <w:widowControl/>
              <w:jc w:val="center"/>
              <w:rPr>
                <w:rFonts w:hint="eastAsia" w:ascii="Arial Narrow" w:hAnsi="Arial Narrow" w:eastAsia="仿宋_GB2312" w:cs="宋体"/>
                <w:color w:val="000000"/>
                <w:kern w:val="0"/>
                <w:sz w:val="24"/>
                <w:lang w:eastAsia="zh-CN"/>
              </w:rPr>
            </w:pPr>
            <w:r>
              <w:rPr>
                <w:rFonts w:ascii="Arial Narrow" w:hAnsi="Arial Narrow" w:cs="宋体"/>
                <w:color w:val="000000"/>
                <w:kern w:val="0"/>
                <w:sz w:val="24"/>
              </w:rPr>
              <w:t>绩效目标合理性</w:t>
            </w:r>
          </w:p>
          <w:p>
            <w:pPr>
              <w:widowControl/>
              <w:jc w:val="center"/>
              <w:rPr>
                <w:rFonts w:ascii="Arial Narrow" w:hAnsi="Arial Narrow" w:cs="宋体"/>
                <w:color w:val="000000"/>
                <w:kern w:val="0"/>
                <w:sz w:val="24"/>
              </w:rPr>
            </w:pPr>
            <w:r>
              <w:rPr>
                <w:rFonts w:ascii="Arial Narrow" w:hAnsi="Arial Narrow" w:cs="宋体"/>
                <w:color w:val="000000"/>
                <w:kern w:val="0"/>
                <w:sz w:val="24"/>
              </w:rPr>
              <w:t>（4）</w:t>
            </w:r>
          </w:p>
        </w:tc>
        <w:tc>
          <w:tcPr>
            <w:tcW w:w="2693"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项目是否设定绩效目标和绩效指标，所设定的绩效目标和指标是否符合实际，用以反映和考核项目绩效目标与项目实施的相符情况。</w:t>
            </w:r>
          </w:p>
        </w:tc>
        <w:tc>
          <w:tcPr>
            <w:tcW w:w="482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仿宋_GB2312" w:eastAsia="仿宋_GB2312" w:cs="仿宋_GB2312"/>
                <w:kern w:val="0"/>
                <w:sz w:val="24"/>
                <w:lang w:eastAsia="zh-CN"/>
              </w:rPr>
            </w:pPr>
            <w:r>
              <w:rPr>
                <w:rFonts w:hint="eastAsia" w:ascii="仿宋_GB2312" w:hAnsi="仿宋_GB2312" w:cs="仿宋_GB2312"/>
                <w:kern w:val="0"/>
                <w:sz w:val="24"/>
              </w:rPr>
              <w:t>评价要点：</w:t>
            </w:r>
          </w:p>
          <w:p>
            <w:pPr>
              <w:widowControl/>
              <w:jc w:val="left"/>
              <w:rPr>
                <w:rFonts w:hint="eastAsia" w:ascii="仿宋_GB2312" w:hAnsi="仿宋_GB2312" w:eastAsia="仿宋_GB2312" w:cs="仿宋_GB2312"/>
                <w:kern w:val="0"/>
                <w:sz w:val="24"/>
                <w:lang w:eastAsia="zh-CN"/>
              </w:rPr>
            </w:pPr>
            <w:r>
              <w:rPr>
                <w:rFonts w:hint="eastAsia" w:ascii="仿宋_GB2312" w:hAnsi="仿宋_GB2312" w:cs="仿宋_GB2312"/>
                <w:kern w:val="0"/>
                <w:sz w:val="24"/>
              </w:rPr>
              <w:t>①是否设定长期目标、年度目标和绩效指标；</w:t>
            </w:r>
          </w:p>
          <w:p>
            <w:pPr>
              <w:widowControl/>
              <w:jc w:val="left"/>
              <w:rPr>
                <w:rFonts w:hint="eastAsia" w:ascii="仿宋_GB2312" w:hAnsi="仿宋_GB2312" w:eastAsia="仿宋_GB2312" w:cs="仿宋_GB2312"/>
                <w:kern w:val="0"/>
                <w:sz w:val="24"/>
                <w:lang w:eastAsia="zh-CN"/>
              </w:rPr>
            </w:pPr>
            <w:r>
              <w:rPr>
                <w:rFonts w:hint="eastAsia" w:ascii="仿宋_GB2312" w:hAnsi="仿宋_GB2312" w:cs="仿宋_GB2312"/>
                <w:kern w:val="0"/>
                <w:sz w:val="24"/>
              </w:rPr>
              <w:t>②目标和指标的设计是否符合目标管理规范；</w:t>
            </w:r>
          </w:p>
          <w:p>
            <w:pPr>
              <w:widowControl/>
              <w:jc w:val="left"/>
              <w:rPr>
                <w:rFonts w:hint="eastAsia" w:ascii="仿宋_GB2312" w:hAnsi="仿宋_GB2312" w:eastAsia="仿宋_GB2312" w:cs="仿宋_GB2312"/>
                <w:kern w:val="0"/>
                <w:sz w:val="24"/>
                <w:lang w:eastAsia="zh-CN"/>
              </w:rPr>
            </w:pPr>
            <w:r>
              <w:rPr>
                <w:rFonts w:hint="eastAsia" w:ascii="仿宋_GB2312" w:hAnsi="仿宋_GB2312" w:cs="仿宋_GB2312"/>
                <w:kern w:val="0"/>
                <w:sz w:val="24"/>
              </w:rPr>
              <w:t>③根据绩效目标和完成情况的对比考核目标设立的合理性；</w:t>
            </w:r>
          </w:p>
          <w:p>
            <w:pPr>
              <w:widowControl/>
              <w:jc w:val="left"/>
              <w:rPr>
                <w:rFonts w:ascii="仿宋_GB2312" w:hAnsi="仿宋_GB2312" w:cs="仿宋_GB2312"/>
                <w:kern w:val="0"/>
                <w:sz w:val="24"/>
              </w:rPr>
            </w:pPr>
            <w:r>
              <w:rPr>
                <w:rFonts w:hint="eastAsia" w:ascii="仿宋_GB2312" w:hAnsi="仿宋_GB2312" w:cs="仿宋_GB2312"/>
                <w:kern w:val="0"/>
                <w:sz w:val="24"/>
              </w:rPr>
              <w:t>④绩效指标是否具有可测性。</w:t>
            </w:r>
          </w:p>
        </w:tc>
      </w:tr>
      <w:tr>
        <w:tblPrEx>
          <w:tblCellMar>
            <w:top w:w="0" w:type="dxa"/>
            <w:left w:w="108" w:type="dxa"/>
            <w:bottom w:w="0" w:type="dxa"/>
            <w:right w:w="108" w:type="dxa"/>
          </w:tblCellMar>
        </w:tblPrEx>
        <w:trPr>
          <w:trHeight w:val="970" w:hRule="atLeast"/>
        </w:trPr>
        <w:tc>
          <w:tcPr>
            <w:tcW w:w="41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Arial Narrow" w:eastAsia="仿宋_GB2312" w:cs="宋体"/>
                <w:kern w:val="0"/>
                <w:sz w:val="24"/>
                <w:lang w:eastAsia="zh-CN"/>
              </w:rPr>
            </w:pPr>
            <w:r>
              <w:rPr>
                <w:rFonts w:hint="eastAsia" w:ascii="仿宋_GB2312" w:hAnsi="Arial Narrow" w:cs="宋体"/>
                <w:kern w:val="0"/>
                <w:sz w:val="24"/>
              </w:rPr>
              <w:t>资金</w:t>
            </w:r>
          </w:p>
          <w:p>
            <w:pPr>
              <w:widowControl/>
              <w:jc w:val="center"/>
              <w:rPr>
                <w:rFonts w:ascii="仿宋_GB2312" w:hAnsi="Arial Narrow" w:cs="宋体"/>
                <w:kern w:val="0"/>
                <w:sz w:val="24"/>
              </w:rPr>
            </w:pPr>
            <w:r>
              <w:rPr>
                <w:rFonts w:hint="eastAsia" w:ascii="仿宋_GB2312" w:hAnsi="Arial Narrow" w:cs="宋体"/>
                <w:kern w:val="0"/>
                <w:sz w:val="24"/>
              </w:rPr>
              <w:t>落实</w:t>
            </w:r>
          </w:p>
        </w:tc>
        <w:tc>
          <w:tcPr>
            <w:tcW w:w="1563" w:type="dxa"/>
            <w:tcBorders>
              <w:top w:val="nil"/>
              <w:left w:val="nil"/>
              <w:bottom w:val="single" w:color="auto" w:sz="4" w:space="0"/>
              <w:right w:val="single" w:color="auto" w:sz="4" w:space="0"/>
            </w:tcBorders>
            <w:shd w:val="clear" w:color="auto" w:fill="auto"/>
            <w:vAlign w:val="center"/>
          </w:tcPr>
          <w:p>
            <w:pPr>
              <w:widowControl/>
              <w:jc w:val="center"/>
              <w:rPr>
                <w:rFonts w:hint="eastAsia" w:ascii="Arial Narrow" w:hAnsi="Arial Narrow" w:eastAsia="仿宋_GB2312" w:cs="宋体"/>
                <w:color w:val="000000"/>
                <w:kern w:val="0"/>
                <w:sz w:val="24"/>
                <w:lang w:eastAsia="zh-CN"/>
              </w:rPr>
            </w:pPr>
            <w:r>
              <w:rPr>
                <w:rFonts w:ascii="Arial Narrow" w:hAnsi="Arial Narrow" w:cs="宋体"/>
                <w:color w:val="000000"/>
                <w:kern w:val="0"/>
                <w:sz w:val="24"/>
              </w:rPr>
              <w:t>资金到位率</w:t>
            </w:r>
          </w:p>
          <w:p>
            <w:pPr>
              <w:widowControl/>
              <w:jc w:val="center"/>
              <w:rPr>
                <w:rFonts w:ascii="Arial Narrow" w:hAnsi="Arial Narrow" w:cs="宋体"/>
                <w:color w:val="000000"/>
                <w:kern w:val="0"/>
                <w:sz w:val="24"/>
              </w:rPr>
            </w:pPr>
            <w:r>
              <w:rPr>
                <w:rFonts w:ascii="Arial Narrow" w:hAnsi="Arial Narrow" w:cs="宋体"/>
                <w:color w:val="000000"/>
                <w:kern w:val="0"/>
                <w:sz w:val="24"/>
              </w:rPr>
              <w:t>（4）</w:t>
            </w:r>
          </w:p>
        </w:tc>
        <w:tc>
          <w:tcPr>
            <w:tcW w:w="2693"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实际到位资金与计划投入资金的比率，用以反映和考核资金落实情况对项目实施的总体保障程度。</w:t>
            </w:r>
          </w:p>
        </w:tc>
        <w:tc>
          <w:tcPr>
            <w:tcW w:w="4820" w:type="dxa"/>
            <w:tcBorders>
              <w:top w:val="nil"/>
              <w:left w:val="nil"/>
              <w:bottom w:val="single" w:color="auto" w:sz="4" w:space="0"/>
              <w:right w:val="single" w:color="auto" w:sz="4" w:space="0"/>
            </w:tcBorders>
            <w:shd w:val="clear" w:color="auto" w:fill="auto"/>
            <w:vAlign w:val="center"/>
          </w:tcPr>
          <w:p>
            <w:pPr>
              <w:widowControl/>
              <w:jc w:val="left"/>
              <w:rPr>
                <w:rFonts w:hint="eastAsia" w:ascii="Arial Narrow" w:hAnsi="Arial Narrow" w:eastAsia="仿宋_GB2312" w:cs="宋体"/>
                <w:kern w:val="0"/>
                <w:sz w:val="24"/>
                <w:lang w:eastAsia="zh-CN"/>
              </w:rPr>
            </w:pPr>
            <w:r>
              <w:rPr>
                <w:rFonts w:ascii="Arial Narrow" w:hAnsi="Arial Narrow" w:cs="宋体"/>
                <w:kern w:val="0"/>
                <w:sz w:val="24"/>
              </w:rPr>
              <w:t>评价要点：</w:t>
            </w:r>
          </w:p>
          <w:p>
            <w:pPr>
              <w:widowControl/>
              <w:jc w:val="left"/>
              <w:rPr>
                <w:rFonts w:hint="eastAsia" w:ascii="Arial Narrow" w:hAnsi="Arial Narrow" w:eastAsia="仿宋_GB2312" w:cs="宋体"/>
                <w:kern w:val="0"/>
                <w:sz w:val="24"/>
                <w:lang w:eastAsia="zh-CN"/>
              </w:rPr>
            </w:pPr>
            <w:r>
              <w:rPr>
                <w:rFonts w:ascii="Arial Narrow" w:hAnsi="Arial Narrow" w:cs="宋体"/>
                <w:kern w:val="0"/>
                <w:sz w:val="24"/>
              </w:rPr>
              <w:t>资金到位率=（实际到位资金/计划投入资金）×100%。</w:t>
            </w:r>
          </w:p>
          <w:p>
            <w:pPr>
              <w:widowControl/>
              <w:jc w:val="left"/>
              <w:rPr>
                <w:rFonts w:hint="eastAsia" w:ascii="Arial Narrow" w:hAnsi="Arial Narrow" w:eastAsia="仿宋_GB2312" w:cs="宋体"/>
                <w:kern w:val="0"/>
                <w:sz w:val="24"/>
                <w:lang w:eastAsia="zh-CN"/>
              </w:rPr>
            </w:pPr>
            <w:r>
              <w:rPr>
                <w:rFonts w:ascii="Arial Narrow" w:hAnsi="Arial Narrow" w:cs="宋体"/>
                <w:kern w:val="0"/>
                <w:sz w:val="24"/>
              </w:rPr>
              <w:t>实际到位资金：一定时期（本年度或项目期）内实际落实到具体项目的资金。</w:t>
            </w:r>
          </w:p>
          <w:p>
            <w:pPr>
              <w:widowControl/>
              <w:jc w:val="left"/>
              <w:rPr>
                <w:rFonts w:ascii="Arial Narrow" w:hAnsi="Arial Narrow" w:cs="宋体"/>
                <w:kern w:val="0"/>
                <w:sz w:val="24"/>
              </w:rPr>
            </w:pPr>
            <w:r>
              <w:rPr>
                <w:rFonts w:ascii="Arial Narrow" w:hAnsi="Arial Narrow" w:cs="宋体"/>
                <w:kern w:val="0"/>
                <w:sz w:val="24"/>
              </w:rPr>
              <w:t>计划投入资金：一定时期（本年度或项目期）内计划投入到具体项目的资金。</w:t>
            </w:r>
          </w:p>
        </w:tc>
      </w:tr>
      <w:tr>
        <w:tblPrEx>
          <w:tblCellMar>
            <w:top w:w="0" w:type="dxa"/>
            <w:left w:w="108" w:type="dxa"/>
            <w:bottom w:w="0" w:type="dxa"/>
            <w:right w:w="108" w:type="dxa"/>
          </w:tblCellMar>
        </w:tblPrEx>
        <w:trPr>
          <w:trHeight w:val="970" w:hRule="atLeast"/>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Arial Narrow" w:cs="宋体"/>
                <w:kern w:val="0"/>
                <w:sz w:val="24"/>
              </w:rPr>
            </w:pPr>
          </w:p>
        </w:tc>
        <w:tc>
          <w:tcPr>
            <w:tcW w:w="1563" w:type="dxa"/>
            <w:tcBorders>
              <w:top w:val="nil"/>
              <w:left w:val="nil"/>
              <w:bottom w:val="single" w:color="auto" w:sz="4" w:space="0"/>
              <w:right w:val="single" w:color="auto" w:sz="4" w:space="0"/>
            </w:tcBorders>
            <w:shd w:val="clear" w:color="auto" w:fill="auto"/>
            <w:vAlign w:val="center"/>
          </w:tcPr>
          <w:p>
            <w:pPr>
              <w:widowControl/>
              <w:jc w:val="center"/>
              <w:rPr>
                <w:rFonts w:hint="eastAsia" w:ascii="Arial Narrow" w:hAnsi="Arial Narrow" w:eastAsia="仿宋_GB2312" w:cs="宋体"/>
                <w:color w:val="000000"/>
                <w:kern w:val="0"/>
                <w:sz w:val="24"/>
                <w:lang w:eastAsia="zh-CN"/>
              </w:rPr>
            </w:pPr>
            <w:r>
              <w:rPr>
                <w:rFonts w:ascii="Arial Narrow" w:hAnsi="Arial Narrow" w:cs="宋体"/>
                <w:color w:val="000000"/>
                <w:kern w:val="0"/>
                <w:sz w:val="24"/>
              </w:rPr>
              <w:t>到位及时率</w:t>
            </w:r>
          </w:p>
          <w:p>
            <w:pPr>
              <w:widowControl/>
              <w:jc w:val="center"/>
              <w:rPr>
                <w:rFonts w:ascii="Arial Narrow" w:hAnsi="Arial Narrow" w:cs="宋体"/>
                <w:color w:val="000000"/>
                <w:kern w:val="0"/>
                <w:sz w:val="24"/>
              </w:rPr>
            </w:pPr>
            <w:r>
              <w:rPr>
                <w:rFonts w:ascii="Arial Narrow" w:hAnsi="Arial Narrow" w:cs="宋体"/>
                <w:color w:val="000000"/>
                <w:kern w:val="0"/>
                <w:sz w:val="24"/>
              </w:rPr>
              <w:t>（4）</w:t>
            </w:r>
          </w:p>
        </w:tc>
        <w:tc>
          <w:tcPr>
            <w:tcW w:w="2693"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及时到位资金与应到位资金的比率，用以反映和考核项目资金落实的及时性程度。</w:t>
            </w:r>
          </w:p>
        </w:tc>
        <w:tc>
          <w:tcPr>
            <w:tcW w:w="4820" w:type="dxa"/>
            <w:tcBorders>
              <w:top w:val="nil"/>
              <w:left w:val="nil"/>
              <w:bottom w:val="single" w:color="auto" w:sz="4" w:space="0"/>
              <w:right w:val="single" w:color="auto" w:sz="4" w:space="0"/>
            </w:tcBorders>
            <w:shd w:val="clear" w:color="auto" w:fill="auto"/>
            <w:vAlign w:val="center"/>
          </w:tcPr>
          <w:p>
            <w:pPr>
              <w:widowControl/>
              <w:jc w:val="left"/>
              <w:rPr>
                <w:rFonts w:hint="eastAsia" w:ascii="Arial Narrow" w:hAnsi="Arial Narrow" w:eastAsia="仿宋_GB2312" w:cs="宋体"/>
                <w:kern w:val="0"/>
                <w:sz w:val="24"/>
                <w:lang w:eastAsia="zh-CN"/>
              </w:rPr>
            </w:pPr>
            <w:r>
              <w:rPr>
                <w:rFonts w:ascii="Arial Narrow" w:hAnsi="Arial Narrow" w:cs="宋体"/>
                <w:kern w:val="0"/>
                <w:sz w:val="24"/>
              </w:rPr>
              <w:t>评价要点：</w:t>
            </w:r>
          </w:p>
          <w:p>
            <w:pPr>
              <w:widowControl/>
              <w:jc w:val="left"/>
              <w:rPr>
                <w:rFonts w:hint="eastAsia" w:ascii="Arial Narrow" w:hAnsi="Arial Narrow" w:eastAsia="仿宋_GB2312" w:cs="宋体"/>
                <w:kern w:val="0"/>
                <w:sz w:val="24"/>
                <w:lang w:eastAsia="zh-CN"/>
              </w:rPr>
            </w:pPr>
            <w:r>
              <w:rPr>
                <w:rFonts w:ascii="Arial Narrow" w:hAnsi="Arial Narrow" w:cs="宋体"/>
                <w:kern w:val="0"/>
                <w:sz w:val="24"/>
              </w:rPr>
              <w:t>到位及时率=（及时到位资金/应到位资金）×100%。</w:t>
            </w:r>
          </w:p>
          <w:p>
            <w:pPr>
              <w:widowControl/>
              <w:jc w:val="left"/>
              <w:rPr>
                <w:rFonts w:hint="eastAsia" w:ascii="Arial Narrow" w:hAnsi="Arial Narrow" w:eastAsia="仿宋_GB2312" w:cs="宋体"/>
                <w:kern w:val="0"/>
                <w:sz w:val="24"/>
                <w:lang w:eastAsia="zh-CN"/>
              </w:rPr>
            </w:pPr>
            <w:r>
              <w:rPr>
                <w:rFonts w:ascii="Arial Narrow" w:hAnsi="Arial Narrow" w:cs="宋体"/>
                <w:kern w:val="0"/>
                <w:sz w:val="24"/>
              </w:rPr>
              <w:t>及时到位资金：截至规定时点实际落实到具体项目的资金。</w:t>
            </w:r>
          </w:p>
          <w:p>
            <w:pPr>
              <w:widowControl/>
              <w:jc w:val="left"/>
              <w:rPr>
                <w:rFonts w:ascii="Arial Narrow" w:hAnsi="Arial Narrow" w:cs="宋体"/>
                <w:kern w:val="0"/>
                <w:sz w:val="24"/>
              </w:rPr>
            </w:pPr>
            <w:r>
              <w:rPr>
                <w:rFonts w:ascii="Arial Narrow" w:hAnsi="Arial Narrow" w:cs="宋体"/>
                <w:kern w:val="0"/>
                <w:sz w:val="24"/>
              </w:rPr>
              <w:t>应到位资金：按照合同或项目进度要求截至规定时点应落实到具体项目的资金。</w:t>
            </w:r>
          </w:p>
        </w:tc>
      </w:tr>
      <w:tr>
        <w:tblPrEx>
          <w:tblCellMar>
            <w:top w:w="0" w:type="dxa"/>
            <w:left w:w="108" w:type="dxa"/>
            <w:bottom w:w="0" w:type="dxa"/>
            <w:right w:w="108" w:type="dxa"/>
          </w:tblCellMar>
        </w:tblPrEx>
        <w:trPr>
          <w:trHeight w:val="1110" w:hRule="atLeast"/>
        </w:trPr>
        <w:tc>
          <w:tcPr>
            <w:tcW w:w="41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Arial Narrow" w:eastAsia="仿宋_GB2312" w:cs="宋体"/>
                <w:kern w:val="0"/>
                <w:sz w:val="24"/>
                <w:lang w:eastAsia="zh-CN"/>
              </w:rPr>
            </w:pPr>
            <w:r>
              <w:rPr>
                <w:rFonts w:hint="eastAsia" w:ascii="仿宋_GB2312" w:hAnsi="Arial Narrow" w:cs="宋体"/>
                <w:kern w:val="0"/>
                <w:sz w:val="24"/>
              </w:rPr>
              <w:t>项目</w:t>
            </w:r>
          </w:p>
          <w:p>
            <w:pPr>
              <w:widowControl/>
              <w:jc w:val="center"/>
              <w:rPr>
                <w:rFonts w:ascii="仿宋_GB2312" w:hAnsi="Arial Narrow" w:cs="宋体"/>
                <w:kern w:val="0"/>
                <w:sz w:val="24"/>
              </w:rPr>
            </w:pPr>
            <w:r>
              <w:rPr>
                <w:rFonts w:hint="eastAsia" w:ascii="仿宋_GB2312" w:hAnsi="Arial Narrow" w:cs="宋体"/>
                <w:kern w:val="0"/>
                <w:sz w:val="24"/>
              </w:rPr>
              <w:t>管理</w:t>
            </w:r>
          </w:p>
        </w:tc>
        <w:tc>
          <w:tcPr>
            <w:tcW w:w="1563" w:type="dxa"/>
            <w:tcBorders>
              <w:top w:val="nil"/>
              <w:left w:val="nil"/>
              <w:bottom w:val="single" w:color="auto" w:sz="4" w:space="0"/>
              <w:right w:val="single" w:color="auto" w:sz="4" w:space="0"/>
            </w:tcBorders>
            <w:shd w:val="clear" w:color="auto" w:fill="auto"/>
            <w:vAlign w:val="center"/>
          </w:tcPr>
          <w:p>
            <w:pPr>
              <w:widowControl/>
              <w:jc w:val="center"/>
              <w:rPr>
                <w:rFonts w:hint="eastAsia" w:ascii="Arial Narrow" w:hAnsi="Arial Narrow" w:eastAsia="仿宋_GB2312" w:cs="宋体"/>
                <w:color w:val="000000"/>
                <w:kern w:val="0"/>
                <w:sz w:val="24"/>
                <w:lang w:eastAsia="zh-CN"/>
              </w:rPr>
            </w:pPr>
            <w:r>
              <w:rPr>
                <w:rFonts w:ascii="Arial Narrow" w:hAnsi="Arial Narrow" w:cs="宋体"/>
                <w:color w:val="000000"/>
                <w:kern w:val="0"/>
                <w:sz w:val="24"/>
              </w:rPr>
              <w:t>管理制度健全性</w:t>
            </w:r>
          </w:p>
          <w:p>
            <w:pPr>
              <w:widowControl/>
              <w:jc w:val="center"/>
              <w:rPr>
                <w:rFonts w:ascii="Arial Narrow" w:hAnsi="Arial Narrow" w:cs="宋体"/>
                <w:color w:val="000000"/>
                <w:kern w:val="0"/>
                <w:sz w:val="24"/>
              </w:rPr>
            </w:pPr>
            <w:r>
              <w:rPr>
                <w:rFonts w:ascii="Arial Narrow" w:hAnsi="Arial Narrow" w:cs="宋体"/>
                <w:color w:val="000000"/>
                <w:kern w:val="0"/>
                <w:sz w:val="24"/>
              </w:rPr>
              <w:t>（4）</w:t>
            </w:r>
          </w:p>
        </w:tc>
        <w:tc>
          <w:tcPr>
            <w:tcW w:w="2693"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项目管理制度是否健全，用以反映和考核项目管理制度对项目顺利实施的保障情况。</w:t>
            </w:r>
          </w:p>
        </w:tc>
        <w:tc>
          <w:tcPr>
            <w:tcW w:w="482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仿宋_GB2312" w:eastAsia="仿宋_GB2312" w:cs="仿宋_GB2312"/>
                <w:kern w:val="0"/>
                <w:sz w:val="24"/>
                <w:lang w:eastAsia="zh-CN"/>
              </w:rPr>
            </w:pPr>
            <w:r>
              <w:rPr>
                <w:rFonts w:hint="eastAsia" w:ascii="仿宋_GB2312" w:hAnsi="仿宋_GB2312" w:cs="仿宋_GB2312"/>
                <w:kern w:val="0"/>
                <w:sz w:val="24"/>
              </w:rPr>
              <w:t>评价要点：</w:t>
            </w:r>
          </w:p>
          <w:p>
            <w:pPr>
              <w:widowControl/>
              <w:jc w:val="left"/>
              <w:rPr>
                <w:rFonts w:hint="eastAsia" w:ascii="仿宋_GB2312" w:hAnsi="仿宋_GB2312" w:eastAsia="仿宋_GB2312" w:cs="仿宋_GB2312"/>
                <w:kern w:val="0"/>
                <w:sz w:val="24"/>
                <w:lang w:eastAsia="zh-CN"/>
              </w:rPr>
            </w:pPr>
            <w:r>
              <w:rPr>
                <w:rFonts w:hint="eastAsia" w:ascii="仿宋_GB2312" w:hAnsi="仿宋_GB2312" w:cs="仿宋_GB2312"/>
                <w:kern w:val="0"/>
                <w:sz w:val="24"/>
              </w:rPr>
              <w:t>①是否制定或具有相应项目管理制度；</w:t>
            </w:r>
          </w:p>
          <w:p>
            <w:pPr>
              <w:widowControl/>
              <w:jc w:val="left"/>
              <w:rPr>
                <w:rFonts w:ascii="仿宋_GB2312" w:hAnsi="仿宋_GB2312" w:cs="仿宋_GB2312"/>
                <w:kern w:val="0"/>
                <w:sz w:val="24"/>
              </w:rPr>
            </w:pPr>
            <w:r>
              <w:rPr>
                <w:rFonts w:hint="eastAsia" w:ascii="仿宋_GB2312" w:hAnsi="仿宋_GB2312" w:cs="仿宋_GB2312"/>
                <w:kern w:val="0"/>
                <w:sz w:val="24"/>
              </w:rPr>
              <w:t>②业务管理制度是否合法、合规、完整。</w:t>
            </w:r>
          </w:p>
        </w:tc>
      </w:tr>
      <w:tr>
        <w:tblPrEx>
          <w:tblCellMar>
            <w:top w:w="0" w:type="dxa"/>
            <w:left w:w="108" w:type="dxa"/>
            <w:bottom w:w="0" w:type="dxa"/>
            <w:right w:w="108" w:type="dxa"/>
          </w:tblCellMar>
        </w:tblPrEx>
        <w:trPr>
          <w:trHeight w:val="1770" w:hRule="atLeast"/>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Arial Narrow" w:cs="宋体"/>
                <w:kern w:val="0"/>
                <w:sz w:val="24"/>
              </w:rPr>
            </w:pPr>
          </w:p>
        </w:tc>
        <w:tc>
          <w:tcPr>
            <w:tcW w:w="1563" w:type="dxa"/>
            <w:tcBorders>
              <w:top w:val="nil"/>
              <w:left w:val="nil"/>
              <w:bottom w:val="single" w:color="auto" w:sz="4" w:space="0"/>
              <w:right w:val="single" w:color="auto" w:sz="4" w:space="0"/>
            </w:tcBorders>
            <w:shd w:val="clear" w:color="auto" w:fill="auto"/>
            <w:vAlign w:val="center"/>
          </w:tcPr>
          <w:p>
            <w:pPr>
              <w:widowControl/>
              <w:jc w:val="center"/>
              <w:rPr>
                <w:rFonts w:hint="eastAsia" w:ascii="Arial Narrow" w:hAnsi="Arial Narrow" w:eastAsia="仿宋_GB2312" w:cs="宋体"/>
                <w:color w:val="000000"/>
                <w:kern w:val="0"/>
                <w:sz w:val="24"/>
                <w:lang w:eastAsia="zh-CN"/>
              </w:rPr>
            </w:pPr>
            <w:r>
              <w:rPr>
                <w:rFonts w:ascii="Arial Narrow" w:hAnsi="Arial Narrow" w:cs="宋体"/>
                <w:color w:val="000000"/>
                <w:kern w:val="0"/>
                <w:sz w:val="24"/>
              </w:rPr>
              <w:t>制度执行有效性</w:t>
            </w:r>
          </w:p>
          <w:p>
            <w:pPr>
              <w:widowControl/>
              <w:jc w:val="center"/>
              <w:rPr>
                <w:rFonts w:ascii="Arial Narrow" w:hAnsi="Arial Narrow" w:cs="宋体"/>
                <w:color w:val="000000"/>
                <w:kern w:val="0"/>
                <w:sz w:val="24"/>
              </w:rPr>
            </w:pPr>
            <w:r>
              <w:rPr>
                <w:rFonts w:ascii="Arial Narrow" w:hAnsi="Arial Narrow" w:cs="宋体"/>
                <w:color w:val="000000"/>
                <w:kern w:val="0"/>
                <w:sz w:val="24"/>
              </w:rPr>
              <w:t>（4）</w:t>
            </w:r>
          </w:p>
        </w:tc>
        <w:tc>
          <w:tcPr>
            <w:tcW w:w="2693"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项目实施是否符合相关项目管理规定，用以反映和考核项目管理制度的有效执行情况。</w:t>
            </w:r>
          </w:p>
        </w:tc>
        <w:tc>
          <w:tcPr>
            <w:tcW w:w="482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仿宋_GB2312" w:eastAsia="仿宋_GB2312" w:cs="仿宋_GB2312"/>
                <w:kern w:val="0"/>
                <w:sz w:val="24"/>
                <w:lang w:eastAsia="zh-CN"/>
              </w:rPr>
            </w:pPr>
            <w:r>
              <w:rPr>
                <w:rFonts w:hint="eastAsia" w:ascii="仿宋_GB2312" w:hAnsi="仿宋_GB2312" w:cs="仿宋_GB2312"/>
                <w:kern w:val="0"/>
                <w:sz w:val="24"/>
              </w:rPr>
              <w:t>评价要点：</w:t>
            </w:r>
          </w:p>
          <w:p>
            <w:pPr>
              <w:widowControl/>
              <w:jc w:val="left"/>
              <w:rPr>
                <w:rFonts w:hint="eastAsia" w:ascii="仿宋_GB2312" w:hAnsi="仿宋_GB2312" w:eastAsia="仿宋_GB2312" w:cs="仿宋_GB2312"/>
                <w:kern w:val="0"/>
                <w:sz w:val="24"/>
                <w:lang w:eastAsia="zh-CN"/>
              </w:rPr>
            </w:pPr>
            <w:r>
              <w:rPr>
                <w:rFonts w:hint="eastAsia" w:ascii="仿宋_GB2312" w:hAnsi="仿宋_GB2312" w:cs="仿宋_GB2312"/>
                <w:kern w:val="0"/>
                <w:sz w:val="24"/>
              </w:rPr>
              <w:t>①是否遵守相关法律法规和项目管理规定；</w:t>
            </w:r>
          </w:p>
          <w:p>
            <w:pPr>
              <w:widowControl/>
              <w:jc w:val="left"/>
              <w:rPr>
                <w:rFonts w:hint="eastAsia" w:ascii="仿宋_GB2312" w:hAnsi="仿宋_GB2312" w:eastAsia="仿宋_GB2312" w:cs="仿宋_GB2312"/>
                <w:kern w:val="0"/>
                <w:sz w:val="24"/>
                <w:lang w:eastAsia="zh-CN"/>
              </w:rPr>
            </w:pPr>
            <w:r>
              <w:rPr>
                <w:rFonts w:hint="eastAsia" w:ascii="仿宋_GB2312" w:hAnsi="仿宋_GB2312" w:cs="仿宋_GB2312"/>
                <w:kern w:val="0"/>
                <w:sz w:val="24"/>
              </w:rPr>
              <w:t>②项目调整及支出调整手续是否完备；</w:t>
            </w:r>
          </w:p>
          <w:p>
            <w:pPr>
              <w:widowControl/>
              <w:jc w:val="left"/>
              <w:rPr>
                <w:rFonts w:ascii="仿宋_GB2312" w:hAnsi="仿宋_GB2312" w:cs="仿宋_GB2312"/>
                <w:kern w:val="0"/>
                <w:sz w:val="24"/>
              </w:rPr>
            </w:pPr>
            <w:r>
              <w:rPr>
                <w:rFonts w:hint="eastAsia" w:ascii="仿宋_GB2312" w:hAnsi="仿宋_GB2312" w:cs="仿宋_GB2312"/>
                <w:kern w:val="0"/>
                <w:sz w:val="24"/>
              </w:rPr>
              <w:t>③是否严格执行项目管理程序及招投标制、监理制、合同制、项目公示制、政府采购等，且相关资料齐全。</w:t>
            </w:r>
          </w:p>
        </w:tc>
      </w:tr>
      <w:tr>
        <w:tblPrEx>
          <w:tblCellMar>
            <w:top w:w="0" w:type="dxa"/>
            <w:left w:w="108" w:type="dxa"/>
            <w:bottom w:w="0" w:type="dxa"/>
            <w:right w:w="108" w:type="dxa"/>
          </w:tblCellMar>
        </w:tblPrEx>
        <w:trPr>
          <w:trHeight w:val="1250" w:hRule="atLeast"/>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Arial Narrow" w:cs="宋体"/>
                <w:kern w:val="0"/>
                <w:sz w:val="24"/>
              </w:rPr>
            </w:pPr>
          </w:p>
        </w:tc>
        <w:tc>
          <w:tcPr>
            <w:tcW w:w="1563" w:type="dxa"/>
            <w:tcBorders>
              <w:top w:val="nil"/>
              <w:left w:val="nil"/>
              <w:bottom w:val="single" w:color="auto" w:sz="4" w:space="0"/>
              <w:right w:val="single" w:color="auto" w:sz="4" w:space="0"/>
            </w:tcBorders>
            <w:shd w:val="clear" w:color="auto" w:fill="auto"/>
            <w:vAlign w:val="center"/>
          </w:tcPr>
          <w:p>
            <w:pPr>
              <w:widowControl/>
              <w:jc w:val="center"/>
              <w:rPr>
                <w:rFonts w:hint="eastAsia" w:ascii="Arial Narrow" w:hAnsi="Arial Narrow" w:eastAsia="仿宋_GB2312" w:cs="宋体"/>
                <w:color w:val="000000"/>
                <w:kern w:val="0"/>
                <w:sz w:val="24"/>
                <w:lang w:eastAsia="zh-CN"/>
              </w:rPr>
            </w:pPr>
            <w:r>
              <w:rPr>
                <w:rFonts w:ascii="Arial Narrow" w:hAnsi="Arial Narrow" w:cs="宋体"/>
                <w:color w:val="000000"/>
                <w:kern w:val="0"/>
                <w:sz w:val="24"/>
              </w:rPr>
              <w:t>项目质量可控性</w:t>
            </w:r>
          </w:p>
          <w:p>
            <w:pPr>
              <w:widowControl/>
              <w:jc w:val="center"/>
              <w:rPr>
                <w:rFonts w:ascii="Arial Narrow" w:hAnsi="Arial Narrow" w:cs="宋体"/>
                <w:color w:val="000000"/>
                <w:kern w:val="0"/>
                <w:sz w:val="24"/>
              </w:rPr>
            </w:pPr>
            <w:r>
              <w:rPr>
                <w:rFonts w:ascii="Arial Narrow" w:hAnsi="Arial Narrow" w:cs="宋体"/>
                <w:color w:val="000000"/>
                <w:kern w:val="0"/>
                <w:sz w:val="24"/>
              </w:rPr>
              <w:t>（4）</w:t>
            </w:r>
          </w:p>
        </w:tc>
        <w:tc>
          <w:tcPr>
            <w:tcW w:w="2693"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项目实施单位是否为达到项目质量要求而采取了必需的措施,用以反映和考核项目实施单位对项目质量的控制情况。</w:t>
            </w:r>
          </w:p>
        </w:tc>
        <w:tc>
          <w:tcPr>
            <w:tcW w:w="482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仿宋_GB2312" w:eastAsia="仿宋_GB2312" w:cs="仿宋_GB2312"/>
                <w:kern w:val="0"/>
                <w:sz w:val="24"/>
                <w:lang w:eastAsia="zh-CN"/>
              </w:rPr>
            </w:pPr>
            <w:r>
              <w:rPr>
                <w:rFonts w:hint="eastAsia" w:ascii="仿宋_GB2312" w:hAnsi="仿宋_GB2312" w:cs="仿宋_GB2312"/>
                <w:kern w:val="0"/>
                <w:sz w:val="24"/>
              </w:rPr>
              <w:t>评价要点：</w:t>
            </w:r>
          </w:p>
          <w:p>
            <w:pPr>
              <w:widowControl/>
              <w:jc w:val="left"/>
              <w:rPr>
                <w:rFonts w:hint="eastAsia" w:ascii="仿宋_GB2312" w:hAnsi="仿宋_GB2312" w:eastAsia="仿宋_GB2312" w:cs="仿宋_GB2312"/>
                <w:kern w:val="0"/>
                <w:sz w:val="24"/>
                <w:lang w:eastAsia="zh-CN"/>
              </w:rPr>
            </w:pPr>
            <w:r>
              <w:rPr>
                <w:rFonts w:hint="eastAsia" w:ascii="仿宋_GB2312" w:hAnsi="仿宋_GB2312" w:cs="仿宋_GB2312"/>
                <w:kern w:val="0"/>
                <w:sz w:val="24"/>
              </w:rPr>
              <w:t>①是否已制定或具有相应的项目质量要求或标准；</w:t>
            </w:r>
          </w:p>
          <w:p>
            <w:pPr>
              <w:widowControl/>
              <w:jc w:val="left"/>
              <w:rPr>
                <w:rFonts w:ascii="仿宋_GB2312" w:hAnsi="仿宋_GB2312" w:cs="仿宋_GB2312"/>
                <w:kern w:val="0"/>
                <w:sz w:val="24"/>
              </w:rPr>
            </w:pPr>
            <w:r>
              <w:rPr>
                <w:rFonts w:hint="eastAsia" w:ascii="仿宋_GB2312" w:hAnsi="仿宋_GB2312" w:cs="仿宋_GB2312"/>
                <w:kern w:val="0"/>
                <w:sz w:val="24"/>
              </w:rPr>
              <w:t>②是否采取了相应的项目质量检查、验收等必需的控制措施或手段。</w:t>
            </w:r>
          </w:p>
        </w:tc>
      </w:tr>
      <w:tr>
        <w:tblPrEx>
          <w:tblCellMar>
            <w:top w:w="0" w:type="dxa"/>
            <w:left w:w="108" w:type="dxa"/>
            <w:bottom w:w="0" w:type="dxa"/>
            <w:right w:w="108" w:type="dxa"/>
          </w:tblCellMar>
        </w:tblPrEx>
        <w:trPr>
          <w:trHeight w:val="1250" w:hRule="atLeast"/>
        </w:trPr>
        <w:tc>
          <w:tcPr>
            <w:tcW w:w="41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Arial Narrow" w:eastAsia="仿宋_GB2312" w:cs="宋体"/>
                <w:kern w:val="0"/>
                <w:sz w:val="24"/>
                <w:lang w:eastAsia="zh-CN"/>
              </w:rPr>
            </w:pPr>
            <w:r>
              <w:rPr>
                <w:rFonts w:hint="eastAsia" w:ascii="仿宋_GB2312" w:hAnsi="Arial Narrow" w:cs="宋体"/>
                <w:kern w:val="0"/>
                <w:sz w:val="24"/>
              </w:rPr>
              <w:t>财务</w:t>
            </w:r>
          </w:p>
          <w:p>
            <w:pPr>
              <w:widowControl/>
              <w:jc w:val="center"/>
              <w:rPr>
                <w:rFonts w:ascii="仿宋_GB2312" w:hAnsi="Arial Narrow" w:cs="宋体"/>
                <w:kern w:val="0"/>
                <w:sz w:val="24"/>
              </w:rPr>
            </w:pPr>
            <w:r>
              <w:rPr>
                <w:rFonts w:hint="eastAsia" w:ascii="仿宋_GB2312" w:hAnsi="Arial Narrow" w:cs="宋体"/>
                <w:kern w:val="0"/>
                <w:sz w:val="24"/>
              </w:rPr>
              <w:t>管理</w:t>
            </w:r>
          </w:p>
        </w:tc>
        <w:tc>
          <w:tcPr>
            <w:tcW w:w="1563" w:type="dxa"/>
            <w:tcBorders>
              <w:top w:val="nil"/>
              <w:left w:val="nil"/>
              <w:bottom w:val="single" w:color="auto" w:sz="4" w:space="0"/>
              <w:right w:val="single" w:color="auto" w:sz="4" w:space="0"/>
            </w:tcBorders>
            <w:shd w:val="clear" w:color="auto" w:fill="auto"/>
            <w:vAlign w:val="center"/>
          </w:tcPr>
          <w:p>
            <w:pPr>
              <w:widowControl/>
              <w:jc w:val="center"/>
              <w:rPr>
                <w:rFonts w:hint="eastAsia" w:ascii="Arial Narrow" w:hAnsi="Arial Narrow" w:eastAsia="仿宋_GB2312" w:cs="宋体"/>
                <w:color w:val="000000"/>
                <w:kern w:val="0"/>
                <w:sz w:val="24"/>
                <w:lang w:eastAsia="zh-CN"/>
              </w:rPr>
            </w:pPr>
            <w:r>
              <w:rPr>
                <w:rFonts w:ascii="Arial Narrow" w:hAnsi="Arial Narrow" w:cs="宋体"/>
                <w:color w:val="000000"/>
                <w:kern w:val="0"/>
                <w:sz w:val="24"/>
              </w:rPr>
              <w:t>管理制度健全性</w:t>
            </w:r>
          </w:p>
          <w:p>
            <w:pPr>
              <w:widowControl/>
              <w:jc w:val="center"/>
              <w:rPr>
                <w:rFonts w:ascii="Arial Narrow" w:hAnsi="Arial Narrow" w:cs="宋体"/>
                <w:color w:val="000000"/>
                <w:kern w:val="0"/>
                <w:sz w:val="24"/>
              </w:rPr>
            </w:pPr>
            <w:r>
              <w:rPr>
                <w:rFonts w:ascii="Arial Narrow" w:hAnsi="Arial Narrow" w:cs="宋体"/>
                <w:color w:val="000000"/>
                <w:kern w:val="0"/>
                <w:sz w:val="24"/>
              </w:rPr>
              <w:t>（4）</w:t>
            </w:r>
          </w:p>
        </w:tc>
        <w:tc>
          <w:tcPr>
            <w:tcW w:w="2693"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项目实施单位的财务制度是否健全，用以反映和考核财务管理制度对资金规范、安全运行的保障情况。</w:t>
            </w:r>
          </w:p>
        </w:tc>
        <w:tc>
          <w:tcPr>
            <w:tcW w:w="482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仿宋_GB2312" w:eastAsia="仿宋_GB2312" w:cs="仿宋_GB2312"/>
                <w:kern w:val="0"/>
                <w:sz w:val="24"/>
                <w:lang w:eastAsia="zh-CN"/>
              </w:rPr>
            </w:pPr>
            <w:r>
              <w:rPr>
                <w:rFonts w:hint="eastAsia" w:ascii="仿宋_GB2312" w:hAnsi="仿宋_GB2312" w:cs="仿宋_GB2312"/>
                <w:kern w:val="0"/>
                <w:sz w:val="24"/>
              </w:rPr>
              <w:t>评价要点：</w:t>
            </w:r>
          </w:p>
          <w:p>
            <w:pPr>
              <w:widowControl/>
              <w:jc w:val="left"/>
              <w:rPr>
                <w:rFonts w:hint="eastAsia" w:ascii="仿宋_GB2312" w:hAnsi="仿宋_GB2312" w:eastAsia="仿宋_GB2312" w:cs="仿宋_GB2312"/>
                <w:kern w:val="0"/>
                <w:sz w:val="24"/>
                <w:lang w:eastAsia="zh-CN"/>
              </w:rPr>
            </w:pPr>
            <w:r>
              <w:rPr>
                <w:rFonts w:hint="eastAsia" w:ascii="仿宋_GB2312" w:hAnsi="仿宋_GB2312" w:cs="仿宋_GB2312"/>
                <w:kern w:val="0"/>
                <w:sz w:val="24"/>
              </w:rPr>
              <w:t>①是否已制定或具有相应的项目资金管理办法；</w:t>
            </w:r>
          </w:p>
          <w:p>
            <w:pPr>
              <w:widowControl/>
              <w:jc w:val="left"/>
              <w:rPr>
                <w:rFonts w:ascii="仿宋_GB2312" w:hAnsi="仿宋_GB2312" w:cs="仿宋_GB2312"/>
                <w:kern w:val="0"/>
                <w:sz w:val="24"/>
              </w:rPr>
            </w:pPr>
            <w:r>
              <w:rPr>
                <w:rFonts w:hint="eastAsia" w:ascii="仿宋_GB2312" w:hAnsi="仿宋_GB2312" w:cs="仿宋_GB2312"/>
                <w:kern w:val="0"/>
                <w:sz w:val="24"/>
              </w:rPr>
              <w:t>②项目资金管理办法是否符合相关财务会计制度的规定。</w:t>
            </w:r>
          </w:p>
        </w:tc>
      </w:tr>
      <w:tr>
        <w:tblPrEx>
          <w:tblCellMar>
            <w:top w:w="0" w:type="dxa"/>
            <w:left w:w="108" w:type="dxa"/>
            <w:bottom w:w="0" w:type="dxa"/>
            <w:right w:w="108" w:type="dxa"/>
          </w:tblCellMar>
        </w:tblPrEx>
        <w:trPr>
          <w:trHeight w:val="1920" w:hRule="atLeast"/>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Arial Narrow" w:cs="宋体"/>
                <w:kern w:val="0"/>
                <w:sz w:val="24"/>
              </w:rPr>
            </w:pPr>
          </w:p>
        </w:tc>
        <w:tc>
          <w:tcPr>
            <w:tcW w:w="1563" w:type="dxa"/>
            <w:tcBorders>
              <w:top w:val="nil"/>
              <w:left w:val="nil"/>
              <w:bottom w:val="single" w:color="auto" w:sz="4" w:space="0"/>
              <w:right w:val="single" w:color="auto" w:sz="4" w:space="0"/>
            </w:tcBorders>
            <w:shd w:val="clear" w:color="auto" w:fill="auto"/>
            <w:vAlign w:val="center"/>
          </w:tcPr>
          <w:p>
            <w:pPr>
              <w:widowControl/>
              <w:jc w:val="center"/>
              <w:rPr>
                <w:rFonts w:hint="eastAsia" w:ascii="Arial Narrow" w:hAnsi="Arial Narrow" w:eastAsia="仿宋_GB2312" w:cs="宋体"/>
                <w:color w:val="000000"/>
                <w:kern w:val="0"/>
                <w:sz w:val="24"/>
                <w:lang w:eastAsia="zh-CN"/>
              </w:rPr>
            </w:pPr>
            <w:r>
              <w:rPr>
                <w:rFonts w:ascii="Arial Narrow" w:hAnsi="Arial Narrow" w:cs="宋体"/>
                <w:color w:val="000000"/>
                <w:kern w:val="0"/>
                <w:sz w:val="24"/>
              </w:rPr>
              <w:t>资金使用合规性</w:t>
            </w:r>
          </w:p>
          <w:p>
            <w:pPr>
              <w:widowControl/>
              <w:jc w:val="center"/>
              <w:rPr>
                <w:rFonts w:ascii="Arial Narrow" w:hAnsi="Arial Narrow" w:cs="宋体"/>
                <w:color w:val="000000"/>
                <w:kern w:val="0"/>
                <w:sz w:val="24"/>
              </w:rPr>
            </w:pPr>
            <w:r>
              <w:rPr>
                <w:rFonts w:ascii="Arial Narrow" w:hAnsi="Arial Narrow" w:cs="宋体"/>
                <w:color w:val="000000"/>
                <w:kern w:val="0"/>
                <w:sz w:val="24"/>
              </w:rPr>
              <w:t>（4）</w:t>
            </w:r>
          </w:p>
        </w:tc>
        <w:tc>
          <w:tcPr>
            <w:tcW w:w="2693"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项目资金使用是否符合相关的财务管理制度规定，用以反映和考核项目资金的规范运行情况。</w:t>
            </w:r>
          </w:p>
        </w:tc>
        <w:tc>
          <w:tcPr>
            <w:tcW w:w="482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仿宋_GB2312" w:eastAsia="仿宋_GB2312" w:cs="仿宋_GB2312"/>
                <w:kern w:val="0"/>
                <w:sz w:val="24"/>
                <w:lang w:eastAsia="zh-CN"/>
              </w:rPr>
            </w:pPr>
            <w:r>
              <w:rPr>
                <w:rFonts w:hint="eastAsia" w:ascii="仿宋_GB2312" w:hAnsi="仿宋_GB2312" w:cs="仿宋_GB2312"/>
                <w:kern w:val="0"/>
                <w:sz w:val="24"/>
              </w:rPr>
              <w:t>评价要点：</w:t>
            </w:r>
          </w:p>
          <w:p>
            <w:pPr>
              <w:widowControl/>
              <w:jc w:val="left"/>
              <w:rPr>
                <w:rFonts w:hint="eastAsia" w:ascii="仿宋_GB2312" w:hAnsi="仿宋_GB2312" w:eastAsia="仿宋_GB2312" w:cs="仿宋_GB2312"/>
                <w:kern w:val="0"/>
                <w:sz w:val="24"/>
                <w:lang w:eastAsia="zh-CN"/>
              </w:rPr>
            </w:pPr>
            <w:r>
              <w:rPr>
                <w:rFonts w:hint="eastAsia" w:ascii="仿宋_GB2312" w:hAnsi="仿宋_GB2312" w:cs="仿宋_GB2312"/>
                <w:kern w:val="0"/>
                <w:sz w:val="24"/>
              </w:rPr>
              <w:t>①是否符合国家财经法规和财务管理制度以及有关专项资金管理办法的规定；</w:t>
            </w:r>
          </w:p>
          <w:p>
            <w:pPr>
              <w:widowControl/>
              <w:jc w:val="left"/>
              <w:rPr>
                <w:rFonts w:hint="eastAsia" w:ascii="仿宋_GB2312" w:hAnsi="仿宋_GB2312" w:eastAsia="仿宋_GB2312" w:cs="仿宋_GB2312"/>
                <w:kern w:val="0"/>
                <w:sz w:val="24"/>
                <w:lang w:eastAsia="zh-CN"/>
              </w:rPr>
            </w:pPr>
            <w:r>
              <w:rPr>
                <w:rFonts w:hint="eastAsia" w:ascii="仿宋_GB2312" w:hAnsi="仿宋_GB2312" w:cs="仿宋_GB2312"/>
                <w:kern w:val="0"/>
                <w:sz w:val="24"/>
              </w:rPr>
              <w:t>②是否符合项目预算批复或合同规定的用途；</w:t>
            </w:r>
          </w:p>
          <w:p>
            <w:pPr>
              <w:widowControl/>
              <w:jc w:val="left"/>
              <w:rPr>
                <w:rFonts w:ascii="仿宋_GB2312" w:hAnsi="仿宋_GB2312" w:cs="仿宋_GB2312"/>
                <w:kern w:val="0"/>
                <w:sz w:val="24"/>
              </w:rPr>
            </w:pPr>
            <w:r>
              <w:rPr>
                <w:rFonts w:hint="eastAsia" w:ascii="仿宋_GB2312" w:hAnsi="仿宋_GB2312" w:cs="仿宋_GB2312"/>
                <w:kern w:val="0"/>
                <w:sz w:val="24"/>
              </w:rPr>
              <w:t>③是否存在截留、挤占、挪用、虚列支出等情况。</w:t>
            </w:r>
          </w:p>
        </w:tc>
      </w:tr>
      <w:tr>
        <w:tblPrEx>
          <w:tblCellMar>
            <w:top w:w="0" w:type="dxa"/>
            <w:left w:w="108" w:type="dxa"/>
            <w:bottom w:w="0" w:type="dxa"/>
            <w:right w:w="108" w:type="dxa"/>
          </w:tblCellMar>
        </w:tblPrEx>
        <w:trPr>
          <w:trHeight w:val="1320" w:hRule="atLeast"/>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Arial Narrow" w:cs="宋体"/>
                <w:kern w:val="0"/>
                <w:sz w:val="24"/>
              </w:rPr>
            </w:pPr>
          </w:p>
        </w:tc>
        <w:tc>
          <w:tcPr>
            <w:tcW w:w="1563" w:type="dxa"/>
            <w:tcBorders>
              <w:top w:val="nil"/>
              <w:left w:val="nil"/>
              <w:bottom w:val="single" w:color="auto" w:sz="4" w:space="0"/>
              <w:right w:val="single" w:color="auto" w:sz="4" w:space="0"/>
            </w:tcBorders>
            <w:shd w:val="clear" w:color="auto" w:fill="auto"/>
            <w:vAlign w:val="center"/>
          </w:tcPr>
          <w:p>
            <w:pPr>
              <w:widowControl/>
              <w:jc w:val="center"/>
              <w:rPr>
                <w:rFonts w:hint="eastAsia" w:ascii="Arial Narrow" w:hAnsi="Arial Narrow" w:eastAsia="仿宋_GB2312" w:cs="宋体"/>
                <w:color w:val="000000"/>
                <w:kern w:val="0"/>
                <w:sz w:val="24"/>
                <w:lang w:eastAsia="zh-CN"/>
              </w:rPr>
            </w:pPr>
            <w:r>
              <w:rPr>
                <w:rFonts w:ascii="Arial Narrow" w:hAnsi="Arial Narrow" w:cs="宋体"/>
                <w:color w:val="000000"/>
                <w:kern w:val="0"/>
                <w:sz w:val="24"/>
              </w:rPr>
              <w:t>财务监控有效性</w:t>
            </w:r>
          </w:p>
          <w:p>
            <w:pPr>
              <w:widowControl/>
              <w:jc w:val="center"/>
              <w:rPr>
                <w:rFonts w:ascii="Arial Narrow" w:hAnsi="Arial Narrow" w:cs="宋体"/>
                <w:color w:val="000000"/>
                <w:kern w:val="0"/>
                <w:sz w:val="24"/>
              </w:rPr>
            </w:pPr>
            <w:r>
              <w:rPr>
                <w:rFonts w:ascii="Arial Narrow" w:hAnsi="Arial Narrow" w:cs="宋体"/>
                <w:color w:val="000000"/>
                <w:kern w:val="0"/>
                <w:sz w:val="24"/>
              </w:rPr>
              <w:t>（4）</w:t>
            </w:r>
          </w:p>
        </w:tc>
        <w:tc>
          <w:tcPr>
            <w:tcW w:w="2693"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项目实施单位是否为保障资金的安全、规范运行而采取了必要的监控措施，用以反映和考核项目实施单位对资金运行的控制情况。</w:t>
            </w:r>
          </w:p>
        </w:tc>
        <w:tc>
          <w:tcPr>
            <w:tcW w:w="482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仿宋_GB2312" w:eastAsia="仿宋_GB2312" w:cs="仿宋_GB2312"/>
                <w:kern w:val="0"/>
                <w:sz w:val="24"/>
                <w:lang w:eastAsia="zh-CN"/>
              </w:rPr>
            </w:pPr>
            <w:r>
              <w:rPr>
                <w:rFonts w:hint="eastAsia" w:ascii="仿宋_GB2312" w:hAnsi="仿宋_GB2312" w:cs="仿宋_GB2312"/>
                <w:kern w:val="0"/>
                <w:sz w:val="24"/>
              </w:rPr>
              <w:t>评价要点：</w:t>
            </w:r>
          </w:p>
          <w:p>
            <w:pPr>
              <w:widowControl/>
              <w:jc w:val="left"/>
              <w:rPr>
                <w:rFonts w:hint="eastAsia" w:ascii="仿宋_GB2312" w:hAnsi="仿宋_GB2312" w:eastAsia="仿宋_GB2312" w:cs="仿宋_GB2312"/>
                <w:kern w:val="0"/>
                <w:sz w:val="24"/>
                <w:lang w:eastAsia="zh-CN"/>
              </w:rPr>
            </w:pPr>
            <w:r>
              <w:rPr>
                <w:rFonts w:hint="eastAsia" w:ascii="仿宋_GB2312" w:hAnsi="仿宋_GB2312" w:cs="仿宋_GB2312"/>
                <w:kern w:val="0"/>
                <w:sz w:val="24"/>
              </w:rPr>
              <w:t>①是否已制定或具有相应的监控机制；</w:t>
            </w:r>
          </w:p>
          <w:p>
            <w:pPr>
              <w:widowControl/>
              <w:jc w:val="left"/>
              <w:rPr>
                <w:rFonts w:ascii="仿宋_GB2312" w:hAnsi="仿宋_GB2312" w:cs="仿宋_GB2312"/>
                <w:kern w:val="0"/>
                <w:sz w:val="24"/>
              </w:rPr>
            </w:pPr>
            <w:r>
              <w:rPr>
                <w:rFonts w:hint="eastAsia" w:ascii="仿宋_GB2312" w:hAnsi="仿宋_GB2312" w:cs="仿宋_GB2312"/>
                <w:kern w:val="0"/>
                <w:sz w:val="24"/>
              </w:rPr>
              <w:t>②是否采取了相应的财务检查等必要的监控措施或手段。</w:t>
            </w:r>
          </w:p>
        </w:tc>
      </w:tr>
      <w:tr>
        <w:tblPrEx>
          <w:tblCellMar>
            <w:top w:w="0" w:type="dxa"/>
            <w:left w:w="108" w:type="dxa"/>
            <w:bottom w:w="0" w:type="dxa"/>
            <w:right w:w="108" w:type="dxa"/>
          </w:tblCellMar>
        </w:tblPrEx>
        <w:trPr>
          <w:trHeight w:val="1320" w:hRule="atLeast"/>
        </w:trPr>
        <w:tc>
          <w:tcPr>
            <w:tcW w:w="41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Arial Narrow" w:eastAsia="仿宋_GB2312" w:cs="宋体"/>
                <w:kern w:val="0"/>
                <w:sz w:val="24"/>
                <w:lang w:eastAsia="zh-CN"/>
              </w:rPr>
            </w:pPr>
            <w:r>
              <w:rPr>
                <w:rFonts w:hint="eastAsia" w:ascii="仿宋_GB2312" w:hAnsi="Arial Narrow" w:cs="宋体"/>
                <w:kern w:val="0"/>
                <w:sz w:val="24"/>
              </w:rPr>
              <w:t>项目</w:t>
            </w:r>
          </w:p>
          <w:p>
            <w:pPr>
              <w:widowControl/>
              <w:jc w:val="center"/>
              <w:rPr>
                <w:rFonts w:ascii="仿宋_GB2312" w:hAnsi="Arial Narrow" w:cs="宋体"/>
                <w:kern w:val="0"/>
                <w:sz w:val="24"/>
              </w:rPr>
            </w:pPr>
            <w:r>
              <w:rPr>
                <w:rFonts w:hint="eastAsia" w:ascii="仿宋_GB2312" w:hAnsi="Arial Narrow" w:cs="宋体"/>
                <w:kern w:val="0"/>
                <w:sz w:val="24"/>
              </w:rPr>
              <w:t>产出</w:t>
            </w:r>
          </w:p>
        </w:tc>
        <w:tc>
          <w:tcPr>
            <w:tcW w:w="1563" w:type="dxa"/>
            <w:tcBorders>
              <w:top w:val="nil"/>
              <w:left w:val="nil"/>
              <w:bottom w:val="single" w:color="auto" w:sz="4" w:space="0"/>
              <w:right w:val="single" w:color="auto" w:sz="4" w:space="0"/>
            </w:tcBorders>
            <w:shd w:val="clear" w:color="auto" w:fill="auto"/>
            <w:vAlign w:val="center"/>
          </w:tcPr>
          <w:p>
            <w:pPr>
              <w:widowControl/>
              <w:jc w:val="center"/>
              <w:rPr>
                <w:rFonts w:hint="eastAsia" w:ascii="Arial Narrow" w:hAnsi="Arial Narrow" w:eastAsia="仿宋_GB2312" w:cs="宋体"/>
                <w:kern w:val="0"/>
                <w:sz w:val="24"/>
                <w:lang w:eastAsia="zh-CN"/>
              </w:rPr>
            </w:pPr>
            <w:r>
              <w:rPr>
                <w:rFonts w:ascii="Arial Narrow" w:hAnsi="Arial Narrow" w:cs="宋体"/>
                <w:kern w:val="0"/>
                <w:sz w:val="24"/>
              </w:rPr>
              <w:t>安全检查活动举办完成率</w:t>
            </w:r>
          </w:p>
          <w:p>
            <w:pPr>
              <w:widowControl/>
              <w:jc w:val="center"/>
              <w:rPr>
                <w:rFonts w:ascii="Arial Narrow" w:hAnsi="Arial Narrow" w:cs="宋体"/>
                <w:kern w:val="0"/>
                <w:sz w:val="24"/>
              </w:rPr>
            </w:pPr>
            <w:r>
              <w:rPr>
                <w:rFonts w:ascii="Arial Narrow" w:hAnsi="Arial Narrow" w:cs="宋体"/>
                <w:kern w:val="0"/>
                <w:sz w:val="24"/>
              </w:rPr>
              <w:t>（5）</w:t>
            </w:r>
          </w:p>
        </w:tc>
        <w:tc>
          <w:tcPr>
            <w:tcW w:w="2693"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项目实施过程中根据区安委会、市交通运输委安监处、区政府办桥梁安全管理等上级行业部门要求实际安全检查次数与计划安全检查次数的比率，用以反映和考核项目产出数量目标的实现程度。</w:t>
            </w:r>
          </w:p>
        </w:tc>
        <w:tc>
          <w:tcPr>
            <w:tcW w:w="4820" w:type="dxa"/>
            <w:tcBorders>
              <w:top w:val="nil"/>
              <w:left w:val="nil"/>
              <w:bottom w:val="single" w:color="auto" w:sz="4" w:space="0"/>
              <w:right w:val="single" w:color="auto" w:sz="4" w:space="0"/>
            </w:tcBorders>
            <w:shd w:val="clear" w:color="auto" w:fill="auto"/>
            <w:vAlign w:val="center"/>
          </w:tcPr>
          <w:p>
            <w:pPr>
              <w:widowControl/>
              <w:jc w:val="left"/>
              <w:rPr>
                <w:rFonts w:hint="eastAsia" w:ascii="Arial Narrow" w:hAnsi="Arial Narrow" w:eastAsia="仿宋_GB2312" w:cs="宋体"/>
                <w:kern w:val="0"/>
                <w:sz w:val="24"/>
                <w:lang w:eastAsia="zh-CN"/>
              </w:rPr>
            </w:pPr>
            <w:r>
              <w:rPr>
                <w:rFonts w:ascii="Arial Narrow" w:hAnsi="Arial Narrow" w:cs="宋体"/>
                <w:kern w:val="0"/>
                <w:sz w:val="24"/>
              </w:rPr>
              <w:t>评价要点：</w:t>
            </w:r>
          </w:p>
          <w:p>
            <w:pPr>
              <w:widowControl/>
              <w:jc w:val="left"/>
              <w:rPr>
                <w:rFonts w:ascii="Arial Narrow" w:hAnsi="Arial Narrow" w:cs="宋体"/>
                <w:kern w:val="0"/>
                <w:sz w:val="24"/>
              </w:rPr>
            </w:pPr>
            <w:r>
              <w:rPr>
                <w:rFonts w:ascii="Arial Narrow" w:hAnsi="Arial Narrow" w:cs="宋体"/>
                <w:kern w:val="0"/>
                <w:sz w:val="24"/>
              </w:rPr>
              <w:t>安全检查活动举办完成率=（实际安全检查次数/计划安全检查次数）×100%</w:t>
            </w:r>
            <w:r>
              <w:rPr>
                <w:rFonts w:hint="eastAsia" w:ascii="Arial Narrow" w:hAnsi="Arial Narrow" w:cs="宋体"/>
                <w:kern w:val="0"/>
                <w:sz w:val="24"/>
              </w:rPr>
              <w:t>。</w:t>
            </w:r>
          </w:p>
        </w:tc>
      </w:tr>
      <w:tr>
        <w:tblPrEx>
          <w:tblCellMar>
            <w:top w:w="0" w:type="dxa"/>
            <w:left w:w="108" w:type="dxa"/>
            <w:bottom w:w="0" w:type="dxa"/>
            <w:right w:w="108" w:type="dxa"/>
          </w:tblCellMar>
        </w:tblPrEx>
        <w:trPr>
          <w:trHeight w:val="1320" w:hRule="atLeast"/>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Arial Narrow" w:cs="宋体"/>
                <w:kern w:val="0"/>
                <w:sz w:val="24"/>
              </w:rPr>
            </w:pPr>
          </w:p>
        </w:tc>
        <w:tc>
          <w:tcPr>
            <w:tcW w:w="1563" w:type="dxa"/>
            <w:tcBorders>
              <w:top w:val="nil"/>
              <w:left w:val="nil"/>
              <w:bottom w:val="single" w:color="auto" w:sz="4" w:space="0"/>
              <w:right w:val="single" w:color="auto" w:sz="4" w:space="0"/>
            </w:tcBorders>
            <w:shd w:val="clear" w:color="auto" w:fill="auto"/>
            <w:vAlign w:val="center"/>
          </w:tcPr>
          <w:p>
            <w:pPr>
              <w:widowControl/>
              <w:jc w:val="center"/>
              <w:rPr>
                <w:rFonts w:hint="eastAsia" w:ascii="Arial Narrow" w:hAnsi="Arial Narrow" w:eastAsia="仿宋_GB2312" w:cs="宋体"/>
                <w:kern w:val="0"/>
                <w:sz w:val="24"/>
                <w:lang w:eastAsia="zh-CN"/>
              </w:rPr>
            </w:pPr>
            <w:r>
              <w:rPr>
                <w:rFonts w:ascii="Arial Narrow" w:hAnsi="Arial Narrow" w:cs="宋体"/>
                <w:kern w:val="0"/>
                <w:sz w:val="24"/>
              </w:rPr>
              <w:t>交通运输应急预案编制完成率</w:t>
            </w:r>
          </w:p>
          <w:p>
            <w:pPr>
              <w:widowControl/>
              <w:jc w:val="center"/>
              <w:rPr>
                <w:rFonts w:ascii="Arial Narrow" w:hAnsi="Arial Narrow" w:cs="宋体"/>
                <w:kern w:val="0"/>
                <w:sz w:val="24"/>
              </w:rPr>
            </w:pPr>
            <w:r>
              <w:rPr>
                <w:rFonts w:ascii="Arial Narrow" w:hAnsi="Arial Narrow" w:cs="宋体"/>
                <w:kern w:val="0"/>
                <w:sz w:val="24"/>
              </w:rPr>
              <w:t>（5）</w:t>
            </w:r>
          </w:p>
        </w:tc>
        <w:tc>
          <w:tcPr>
            <w:tcW w:w="2693"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项目实施过程中编制完成交通运输应急预案程度，用以反映和考核项目产出质量目标的实现程度。</w:t>
            </w:r>
          </w:p>
        </w:tc>
        <w:tc>
          <w:tcPr>
            <w:tcW w:w="4820" w:type="dxa"/>
            <w:tcBorders>
              <w:top w:val="nil"/>
              <w:left w:val="nil"/>
              <w:bottom w:val="single" w:color="auto" w:sz="4" w:space="0"/>
              <w:right w:val="single" w:color="auto" w:sz="4" w:space="0"/>
            </w:tcBorders>
            <w:shd w:val="clear" w:color="auto" w:fill="auto"/>
            <w:vAlign w:val="center"/>
          </w:tcPr>
          <w:p>
            <w:pPr>
              <w:widowControl/>
              <w:jc w:val="left"/>
              <w:rPr>
                <w:rFonts w:hint="eastAsia" w:ascii="Arial Narrow" w:hAnsi="Arial Narrow" w:eastAsia="仿宋_GB2312" w:cs="宋体"/>
                <w:kern w:val="0"/>
                <w:sz w:val="24"/>
                <w:lang w:eastAsia="zh-CN"/>
              </w:rPr>
            </w:pPr>
            <w:r>
              <w:rPr>
                <w:rFonts w:ascii="Arial Narrow" w:hAnsi="Arial Narrow" w:cs="宋体"/>
                <w:kern w:val="0"/>
                <w:sz w:val="24"/>
              </w:rPr>
              <w:t>评价要点：</w:t>
            </w:r>
          </w:p>
          <w:p>
            <w:pPr>
              <w:widowControl/>
              <w:jc w:val="left"/>
              <w:rPr>
                <w:rFonts w:ascii="Arial Narrow" w:hAnsi="Arial Narrow" w:cs="宋体"/>
                <w:kern w:val="0"/>
                <w:sz w:val="24"/>
              </w:rPr>
            </w:pPr>
            <w:r>
              <w:rPr>
                <w:rFonts w:ascii="Arial Narrow" w:hAnsi="Arial Narrow" w:cs="宋体"/>
                <w:kern w:val="0"/>
                <w:sz w:val="24"/>
              </w:rPr>
              <w:t>交通运输应急预案编制完成是否按时按量</w:t>
            </w:r>
            <w:r>
              <w:rPr>
                <w:rFonts w:hint="eastAsia" w:ascii="Arial Narrow" w:hAnsi="Arial Narrow" w:cs="宋体"/>
                <w:kern w:val="0"/>
                <w:sz w:val="24"/>
              </w:rPr>
              <w:t>。</w:t>
            </w:r>
          </w:p>
        </w:tc>
      </w:tr>
      <w:tr>
        <w:tblPrEx>
          <w:tblCellMar>
            <w:top w:w="0" w:type="dxa"/>
            <w:left w:w="108" w:type="dxa"/>
            <w:bottom w:w="0" w:type="dxa"/>
            <w:right w:w="108" w:type="dxa"/>
          </w:tblCellMar>
        </w:tblPrEx>
        <w:trPr>
          <w:trHeight w:val="1460" w:hRule="atLeast"/>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Arial Narrow" w:cs="宋体"/>
                <w:kern w:val="0"/>
                <w:sz w:val="24"/>
              </w:rPr>
            </w:pPr>
          </w:p>
        </w:tc>
        <w:tc>
          <w:tcPr>
            <w:tcW w:w="1563" w:type="dxa"/>
            <w:tcBorders>
              <w:top w:val="nil"/>
              <w:left w:val="nil"/>
              <w:bottom w:val="single" w:color="auto" w:sz="4" w:space="0"/>
              <w:right w:val="single" w:color="auto" w:sz="4" w:space="0"/>
            </w:tcBorders>
            <w:shd w:val="clear" w:color="auto" w:fill="auto"/>
            <w:vAlign w:val="center"/>
          </w:tcPr>
          <w:p>
            <w:pPr>
              <w:widowControl/>
              <w:jc w:val="center"/>
              <w:rPr>
                <w:rFonts w:hint="eastAsia" w:ascii="Arial Narrow" w:hAnsi="Arial Narrow" w:eastAsia="仿宋_GB2312" w:cs="宋体"/>
                <w:kern w:val="0"/>
                <w:sz w:val="24"/>
                <w:lang w:eastAsia="zh-CN"/>
              </w:rPr>
            </w:pPr>
            <w:r>
              <w:rPr>
                <w:rFonts w:ascii="Arial Narrow" w:hAnsi="Arial Narrow" w:cs="宋体"/>
                <w:kern w:val="0"/>
                <w:sz w:val="24"/>
              </w:rPr>
              <w:t>“两客一危”应急预案演习完成率</w:t>
            </w:r>
          </w:p>
          <w:p>
            <w:pPr>
              <w:widowControl/>
              <w:jc w:val="center"/>
              <w:rPr>
                <w:rFonts w:ascii="Arial Narrow" w:hAnsi="Arial Narrow" w:cs="宋体"/>
                <w:kern w:val="0"/>
                <w:sz w:val="24"/>
              </w:rPr>
            </w:pPr>
            <w:r>
              <w:rPr>
                <w:rFonts w:ascii="Arial Narrow" w:hAnsi="Arial Narrow" w:cs="宋体"/>
                <w:kern w:val="0"/>
                <w:sz w:val="24"/>
              </w:rPr>
              <w:t>（5）</w:t>
            </w:r>
          </w:p>
        </w:tc>
        <w:tc>
          <w:tcPr>
            <w:tcW w:w="2693"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项目实施过程中实际开展“两客一危”应急预案演习次数与计划“两客一危”应急预案演习次数的比率，用以反映和考核项目产出数量目标的实现程度。</w:t>
            </w:r>
          </w:p>
        </w:tc>
        <w:tc>
          <w:tcPr>
            <w:tcW w:w="4820" w:type="dxa"/>
            <w:tcBorders>
              <w:top w:val="nil"/>
              <w:left w:val="nil"/>
              <w:bottom w:val="single" w:color="auto" w:sz="4" w:space="0"/>
              <w:right w:val="single" w:color="auto" w:sz="4" w:space="0"/>
            </w:tcBorders>
            <w:shd w:val="clear" w:color="auto" w:fill="auto"/>
            <w:vAlign w:val="center"/>
          </w:tcPr>
          <w:p>
            <w:pPr>
              <w:widowControl/>
              <w:jc w:val="left"/>
              <w:rPr>
                <w:rFonts w:hint="eastAsia" w:ascii="Arial Narrow" w:hAnsi="Arial Narrow" w:eastAsia="仿宋_GB2312" w:cs="宋体"/>
                <w:kern w:val="0"/>
                <w:sz w:val="24"/>
                <w:lang w:eastAsia="zh-CN"/>
              </w:rPr>
            </w:pPr>
            <w:r>
              <w:rPr>
                <w:rFonts w:ascii="Arial Narrow" w:hAnsi="Arial Narrow" w:cs="宋体"/>
                <w:kern w:val="0"/>
                <w:sz w:val="24"/>
              </w:rPr>
              <w:t>评价要点：</w:t>
            </w:r>
          </w:p>
          <w:p>
            <w:pPr>
              <w:widowControl/>
              <w:jc w:val="left"/>
              <w:rPr>
                <w:rFonts w:ascii="Arial Narrow" w:hAnsi="Arial Narrow" w:cs="宋体"/>
                <w:kern w:val="0"/>
                <w:sz w:val="24"/>
              </w:rPr>
            </w:pPr>
            <w:r>
              <w:rPr>
                <w:rFonts w:ascii="Arial Narrow" w:hAnsi="Arial Narrow" w:cs="宋体"/>
                <w:kern w:val="0"/>
                <w:sz w:val="24"/>
              </w:rPr>
              <w:t>“两客一危”应急预案演习完成率=（实际演习次数/计划演习次数）×100%</w:t>
            </w:r>
            <w:r>
              <w:rPr>
                <w:rFonts w:hint="eastAsia" w:ascii="Arial Narrow" w:hAnsi="Arial Narrow" w:cs="宋体"/>
                <w:kern w:val="0"/>
                <w:sz w:val="24"/>
              </w:rPr>
              <w:t>。</w:t>
            </w:r>
          </w:p>
        </w:tc>
      </w:tr>
      <w:tr>
        <w:tblPrEx>
          <w:tblCellMar>
            <w:top w:w="0" w:type="dxa"/>
            <w:left w:w="108" w:type="dxa"/>
            <w:bottom w:w="0" w:type="dxa"/>
            <w:right w:w="108" w:type="dxa"/>
          </w:tblCellMar>
        </w:tblPrEx>
        <w:trPr>
          <w:trHeight w:val="1460" w:hRule="atLeast"/>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Arial Narrow" w:cs="宋体"/>
                <w:kern w:val="0"/>
                <w:sz w:val="24"/>
              </w:rPr>
            </w:pPr>
          </w:p>
        </w:tc>
        <w:tc>
          <w:tcPr>
            <w:tcW w:w="1563" w:type="dxa"/>
            <w:tcBorders>
              <w:top w:val="nil"/>
              <w:left w:val="nil"/>
              <w:bottom w:val="single" w:color="auto" w:sz="4" w:space="0"/>
              <w:right w:val="single" w:color="auto" w:sz="4" w:space="0"/>
            </w:tcBorders>
            <w:shd w:val="clear" w:color="auto" w:fill="auto"/>
            <w:vAlign w:val="center"/>
          </w:tcPr>
          <w:p>
            <w:pPr>
              <w:widowControl/>
              <w:jc w:val="center"/>
              <w:rPr>
                <w:rFonts w:hint="eastAsia" w:ascii="Arial Narrow" w:hAnsi="Arial Narrow" w:eastAsia="仿宋_GB2312" w:cs="宋体"/>
                <w:kern w:val="0"/>
                <w:sz w:val="24"/>
                <w:lang w:eastAsia="zh-CN"/>
              </w:rPr>
            </w:pPr>
            <w:r>
              <w:rPr>
                <w:rFonts w:ascii="Arial Narrow" w:hAnsi="Arial Narrow" w:cs="宋体"/>
                <w:kern w:val="0"/>
                <w:sz w:val="24"/>
              </w:rPr>
              <w:t>危货码头巡查落实率</w:t>
            </w:r>
          </w:p>
          <w:p>
            <w:pPr>
              <w:widowControl/>
              <w:jc w:val="center"/>
              <w:rPr>
                <w:rFonts w:ascii="Arial Narrow" w:hAnsi="Arial Narrow" w:cs="宋体"/>
                <w:kern w:val="0"/>
                <w:sz w:val="24"/>
              </w:rPr>
            </w:pPr>
            <w:r>
              <w:rPr>
                <w:rFonts w:ascii="Arial Narrow" w:hAnsi="Arial Narrow" w:cs="宋体"/>
                <w:kern w:val="0"/>
                <w:sz w:val="24"/>
              </w:rPr>
              <w:t>（5）</w:t>
            </w:r>
          </w:p>
        </w:tc>
        <w:tc>
          <w:tcPr>
            <w:tcW w:w="2693"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项目实施过程中按照计划对危货码头巡查，用以反映和考核项目产出质量目标的实现程度。</w:t>
            </w:r>
          </w:p>
        </w:tc>
        <w:tc>
          <w:tcPr>
            <w:tcW w:w="4820" w:type="dxa"/>
            <w:tcBorders>
              <w:top w:val="nil"/>
              <w:left w:val="nil"/>
              <w:bottom w:val="single" w:color="auto" w:sz="4" w:space="0"/>
              <w:right w:val="single" w:color="auto" w:sz="4" w:space="0"/>
            </w:tcBorders>
            <w:shd w:val="clear" w:color="auto" w:fill="auto"/>
            <w:vAlign w:val="center"/>
          </w:tcPr>
          <w:p>
            <w:pPr>
              <w:widowControl/>
              <w:jc w:val="left"/>
              <w:rPr>
                <w:rFonts w:hint="eastAsia" w:ascii="Arial Narrow" w:hAnsi="Arial Narrow" w:eastAsia="仿宋_GB2312" w:cs="宋体"/>
                <w:kern w:val="0"/>
                <w:sz w:val="24"/>
                <w:lang w:eastAsia="zh-CN"/>
              </w:rPr>
            </w:pPr>
            <w:r>
              <w:rPr>
                <w:rFonts w:ascii="Arial Narrow" w:hAnsi="Arial Narrow" w:cs="宋体"/>
                <w:kern w:val="0"/>
                <w:sz w:val="24"/>
              </w:rPr>
              <w:t>评价要点：</w:t>
            </w:r>
          </w:p>
          <w:p>
            <w:pPr>
              <w:widowControl/>
              <w:jc w:val="left"/>
              <w:rPr>
                <w:rFonts w:ascii="Arial Narrow" w:hAnsi="Arial Narrow" w:cs="宋体"/>
                <w:kern w:val="0"/>
                <w:sz w:val="24"/>
              </w:rPr>
            </w:pPr>
            <w:r>
              <w:rPr>
                <w:rFonts w:ascii="Arial Narrow" w:hAnsi="Arial Narrow" w:cs="宋体"/>
                <w:kern w:val="0"/>
                <w:sz w:val="24"/>
              </w:rPr>
              <w:t>是否对危货各码头进行定期进行巡查，并有相关巡查记录</w:t>
            </w:r>
            <w:r>
              <w:rPr>
                <w:rFonts w:hint="eastAsia" w:ascii="Arial Narrow" w:hAnsi="Arial Narrow" w:cs="宋体"/>
                <w:kern w:val="0"/>
                <w:sz w:val="24"/>
              </w:rPr>
              <w:t>。</w:t>
            </w:r>
          </w:p>
        </w:tc>
      </w:tr>
      <w:tr>
        <w:tblPrEx>
          <w:tblCellMar>
            <w:top w:w="0" w:type="dxa"/>
            <w:left w:w="108" w:type="dxa"/>
            <w:bottom w:w="0" w:type="dxa"/>
            <w:right w:w="108" w:type="dxa"/>
          </w:tblCellMar>
        </w:tblPrEx>
        <w:trPr>
          <w:trHeight w:val="1130" w:hRule="atLeast"/>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Arial Narrow" w:cs="宋体"/>
                <w:kern w:val="0"/>
                <w:sz w:val="24"/>
              </w:rPr>
            </w:pPr>
          </w:p>
        </w:tc>
        <w:tc>
          <w:tcPr>
            <w:tcW w:w="1563" w:type="dxa"/>
            <w:tcBorders>
              <w:top w:val="nil"/>
              <w:left w:val="nil"/>
              <w:bottom w:val="single" w:color="auto" w:sz="4" w:space="0"/>
              <w:right w:val="single" w:color="auto" w:sz="4" w:space="0"/>
            </w:tcBorders>
            <w:shd w:val="clear" w:color="auto" w:fill="auto"/>
            <w:vAlign w:val="center"/>
          </w:tcPr>
          <w:p>
            <w:pPr>
              <w:widowControl/>
              <w:jc w:val="center"/>
              <w:rPr>
                <w:rFonts w:hint="eastAsia" w:ascii="Arial Narrow" w:hAnsi="Arial Narrow" w:eastAsia="仿宋_GB2312" w:cs="宋体"/>
                <w:kern w:val="0"/>
                <w:sz w:val="24"/>
                <w:lang w:eastAsia="zh-CN"/>
              </w:rPr>
            </w:pPr>
            <w:r>
              <w:rPr>
                <w:rFonts w:ascii="Arial Narrow" w:hAnsi="Arial Narrow" w:cs="宋体"/>
                <w:kern w:val="0"/>
                <w:sz w:val="24"/>
              </w:rPr>
              <w:t>隐患排查整治</w:t>
            </w:r>
          </w:p>
          <w:p>
            <w:pPr>
              <w:widowControl/>
              <w:jc w:val="center"/>
              <w:rPr>
                <w:rFonts w:ascii="Arial Narrow" w:hAnsi="Arial Narrow" w:cs="宋体"/>
                <w:kern w:val="0"/>
                <w:sz w:val="24"/>
              </w:rPr>
            </w:pPr>
            <w:r>
              <w:rPr>
                <w:rFonts w:ascii="Arial Narrow" w:hAnsi="Arial Narrow" w:cs="宋体"/>
                <w:kern w:val="0"/>
                <w:sz w:val="24"/>
              </w:rPr>
              <w:t>（5）</w:t>
            </w:r>
          </w:p>
        </w:tc>
        <w:tc>
          <w:tcPr>
            <w:tcW w:w="2693"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项目实施后，对各行业安全隐患排查整治的程度，用以反映和考核项目的实施社会效益。</w:t>
            </w:r>
          </w:p>
        </w:tc>
        <w:tc>
          <w:tcPr>
            <w:tcW w:w="482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仿宋_GB2312" w:eastAsia="仿宋_GB2312" w:cs="仿宋_GB2312"/>
                <w:kern w:val="0"/>
                <w:sz w:val="24"/>
                <w:lang w:eastAsia="zh-CN"/>
              </w:rPr>
            </w:pPr>
            <w:r>
              <w:rPr>
                <w:rFonts w:hint="eastAsia" w:ascii="仿宋_GB2312" w:hAnsi="仿宋_GB2312" w:cs="仿宋_GB2312"/>
                <w:kern w:val="0"/>
                <w:sz w:val="24"/>
              </w:rPr>
              <w:t>评价要点：</w:t>
            </w:r>
          </w:p>
          <w:p>
            <w:pPr>
              <w:widowControl/>
              <w:jc w:val="left"/>
              <w:rPr>
                <w:rFonts w:hint="eastAsia" w:ascii="仿宋_GB2312" w:hAnsi="仿宋_GB2312" w:eastAsia="仿宋_GB2312" w:cs="仿宋_GB2312"/>
                <w:kern w:val="0"/>
                <w:sz w:val="24"/>
                <w:lang w:eastAsia="zh-CN"/>
              </w:rPr>
            </w:pPr>
            <w:r>
              <w:rPr>
                <w:rFonts w:hint="eastAsia" w:ascii="仿宋_GB2312" w:hAnsi="仿宋_GB2312" w:cs="仿宋_GB2312"/>
                <w:kern w:val="0"/>
                <w:sz w:val="24"/>
              </w:rPr>
              <w:t>①是否对各行业安全隐患进行排查</w:t>
            </w:r>
          </w:p>
          <w:p>
            <w:pPr>
              <w:widowControl/>
              <w:jc w:val="left"/>
              <w:rPr>
                <w:rFonts w:hint="eastAsia" w:ascii="仿宋_GB2312" w:hAnsi="仿宋_GB2312" w:eastAsia="仿宋_GB2312" w:cs="仿宋_GB2312"/>
                <w:kern w:val="0"/>
                <w:sz w:val="24"/>
                <w:lang w:eastAsia="zh-CN"/>
              </w:rPr>
            </w:pPr>
            <w:r>
              <w:rPr>
                <w:rFonts w:hint="eastAsia" w:ascii="仿宋_GB2312" w:hAnsi="仿宋_GB2312" w:cs="仿宋_GB2312"/>
                <w:kern w:val="0"/>
                <w:sz w:val="24"/>
              </w:rPr>
              <w:t>②排查后是否进行及时整治</w:t>
            </w:r>
          </w:p>
          <w:p>
            <w:pPr>
              <w:widowControl/>
              <w:jc w:val="left"/>
              <w:rPr>
                <w:rFonts w:ascii="仿宋_GB2312" w:hAnsi="仿宋_GB2312" w:cs="仿宋_GB2312"/>
                <w:kern w:val="0"/>
                <w:sz w:val="24"/>
              </w:rPr>
            </w:pPr>
            <w:r>
              <w:rPr>
                <w:rFonts w:hint="eastAsia" w:ascii="仿宋_GB2312" w:hAnsi="仿宋_GB2312" w:cs="仿宋_GB2312"/>
                <w:kern w:val="0"/>
                <w:sz w:val="24"/>
              </w:rPr>
              <w:t>③是否建立日常安全隐患排查体系。</w:t>
            </w:r>
          </w:p>
        </w:tc>
      </w:tr>
      <w:tr>
        <w:tblPrEx>
          <w:tblCellMar>
            <w:top w:w="0" w:type="dxa"/>
            <w:left w:w="108" w:type="dxa"/>
            <w:bottom w:w="0" w:type="dxa"/>
            <w:right w:w="108" w:type="dxa"/>
          </w:tblCellMar>
        </w:tblPrEx>
        <w:trPr>
          <w:trHeight w:val="900" w:hRule="atLeast"/>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Arial Narrow" w:cs="宋体"/>
                <w:kern w:val="0"/>
                <w:sz w:val="24"/>
              </w:rPr>
            </w:pPr>
          </w:p>
        </w:tc>
        <w:tc>
          <w:tcPr>
            <w:tcW w:w="1563" w:type="dxa"/>
            <w:tcBorders>
              <w:top w:val="nil"/>
              <w:left w:val="nil"/>
              <w:bottom w:val="single" w:color="auto" w:sz="4" w:space="0"/>
              <w:right w:val="single" w:color="auto" w:sz="4" w:space="0"/>
            </w:tcBorders>
            <w:shd w:val="clear" w:color="auto" w:fill="auto"/>
            <w:vAlign w:val="center"/>
          </w:tcPr>
          <w:p>
            <w:pPr>
              <w:widowControl/>
              <w:jc w:val="center"/>
              <w:rPr>
                <w:rFonts w:hint="eastAsia" w:ascii="Arial Narrow" w:hAnsi="Arial Narrow" w:eastAsia="仿宋_GB2312" w:cs="宋体"/>
                <w:kern w:val="0"/>
                <w:sz w:val="24"/>
                <w:lang w:eastAsia="zh-CN"/>
              </w:rPr>
            </w:pPr>
            <w:r>
              <w:rPr>
                <w:rFonts w:ascii="Arial Narrow" w:hAnsi="Arial Narrow" w:cs="宋体"/>
                <w:kern w:val="0"/>
                <w:sz w:val="24"/>
              </w:rPr>
              <w:t>资金使用率</w:t>
            </w:r>
          </w:p>
          <w:p>
            <w:pPr>
              <w:widowControl/>
              <w:jc w:val="center"/>
              <w:rPr>
                <w:rFonts w:ascii="Arial Narrow" w:hAnsi="Arial Narrow" w:cs="宋体"/>
                <w:kern w:val="0"/>
                <w:sz w:val="24"/>
              </w:rPr>
            </w:pPr>
            <w:r>
              <w:rPr>
                <w:rFonts w:ascii="Arial Narrow" w:hAnsi="Arial Narrow" w:cs="宋体"/>
                <w:kern w:val="0"/>
                <w:sz w:val="24"/>
              </w:rPr>
              <w:t>（5）</w:t>
            </w:r>
          </w:p>
        </w:tc>
        <w:tc>
          <w:tcPr>
            <w:tcW w:w="2693"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项目实际支出与项目到位资金的比率，用以反映和考核项目资金使用情况。</w:t>
            </w:r>
          </w:p>
        </w:tc>
        <w:tc>
          <w:tcPr>
            <w:tcW w:w="4820" w:type="dxa"/>
            <w:tcBorders>
              <w:top w:val="nil"/>
              <w:left w:val="nil"/>
              <w:bottom w:val="single" w:color="auto" w:sz="4" w:space="0"/>
              <w:right w:val="single" w:color="auto" w:sz="4" w:space="0"/>
            </w:tcBorders>
            <w:shd w:val="clear" w:color="auto" w:fill="auto"/>
            <w:vAlign w:val="center"/>
          </w:tcPr>
          <w:p>
            <w:pPr>
              <w:widowControl/>
              <w:jc w:val="left"/>
              <w:rPr>
                <w:rFonts w:hint="eastAsia" w:ascii="Arial Narrow" w:hAnsi="Arial Narrow" w:eastAsia="仿宋_GB2312" w:cs="宋体"/>
                <w:kern w:val="0"/>
                <w:sz w:val="24"/>
                <w:lang w:eastAsia="zh-CN"/>
              </w:rPr>
            </w:pPr>
            <w:r>
              <w:rPr>
                <w:rFonts w:ascii="Arial Narrow" w:hAnsi="Arial Narrow" w:cs="宋体"/>
                <w:kern w:val="0"/>
                <w:sz w:val="24"/>
              </w:rPr>
              <w:t>评价要点：</w:t>
            </w:r>
          </w:p>
          <w:p>
            <w:pPr>
              <w:widowControl/>
              <w:jc w:val="left"/>
              <w:rPr>
                <w:rFonts w:ascii="Arial Narrow" w:hAnsi="Arial Narrow" w:cs="宋体"/>
                <w:kern w:val="0"/>
                <w:sz w:val="24"/>
              </w:rPr>
            </w:pPr>
            <w:r>
              <w:rPr>
                <w:rFonts w:ascii="Arial Narrow" w:hAnsi="Arial Narrow" w:cs="宋体"/>
                <w:kern w:val="0"/>
                <w:sz w:val="24"/>
              </w:rPr>
              <w:t>资金使用率=项目实际支出金额/项目计划支出额×100%</w:t>
            </w:r>
            <w:r>
              <w:rPr>
                <w:rFonts w:hint="eastAsia" w:ascii="Arial Narrow" w:hAnsi="Arial Narrow" w:cs="宋体"/>
                <w:kern w:val="0"/>
                <w:sz w:val="24"/>
              </w:rPr>
              <w:t>。</w:t>
            </w:r>
          </w:p>
        </w:tc>
      </w:tr>
      <w:tr>
        <w:tblPrEx>
          <w:tblCellMar>
            <w:top w:w="0" w:type="dxa"/>
            <w:left w:w="108" w:type="dxa"/>
            <w:bottom w:w="0" w:type="dxa"/>
            <w:right w:w="108" w:type="dxa"/>
          </w:tblCellMar>
        </w:tblPrEx>
        <w:trPr>
          <w:trHeight w:val="1070" w:hRule="atLeast"/>
        </w:trPr>
        <w:tc>
          <w:tcPr>
            <w:tcW w:w="41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Arial Narrow" w:eastAsia="仿宋_GB2312" w:cs="宋体"/>
                <w:kern w:val="0"/>
                <w:sz w:val="24"/>
                <w:lang w:eastAsia="zh-CN"/>
              </w:rPr>
            </w:pPr>
            <w:r>
              <w:rPr>
                <w:rFonts w:hint="eastAsia" w:ascii="仿宋_GB2312" w:hAnsi="Arial Narrow" w:cs="宋体"/>
                <w:kern w:val="0"/>
                <w:sz w:val="24"/>
              </w:rPr>
              <w:t>项目</w:t>
            </w:r>
          </w:p>
          <w:p>
            <w:pPr>
              <w:widowControl/>
              <w:jc w:val="center"/>
              <w:rPr>
                <w:rFonts w:ascii="仿宋_GB2312" w:hAnsi="Arial Narrow" w:cs="宋体"/>
                <w:kern w:val="0"/>
                <w:sz w:val="24"/>
              </w:rPr>
            </w:pPr>
            <w:r>
              <w:rPr>
                <w:rFonts w:hint="eastAsia" w:ascii="仿宋_GB2312" w:hAnsi="Arial Narrow" w:cs="宋体"/>
                <w:kern w:val="0"/>
                <w:sz w:val="24"/>
              </w:rPr>
              <w:t>效益</w:t>
            </w:r>
          </w:p>
        </w:tc>
        <w:tc>
          <w:tcPr>
            <w:tcW w:w="1563" w:type="dxa"/>
            <w:tcBorders>
              <w:top w:val="nil"/>
              <w:left w:val="nil"/>
              <w:bottom w:val="single" w:color="auto" w:sz="4" w:space="0"/>
              <w:right w:val="single" w:color="auto" w:sz="4" w:space="0"/>
            </w:tcBorders>
            <w:shd w:val="clear" w:color="auto" w:fill="auto"/>
            <w:vAlign w:val="center"/>
          </w:tcPr>
          <w:p>
            <w:pPr>
              <w:widowControl/>
              <w:jc w:val="center"/>
              <w:rPr>
                <w:rFonts w:hint="eastAsia" w:ascii="Arial Narrow" w:hAnsi="Arial Narrow" w:eastAsia="仿宋_GB2312" w:cs="宋体"/>
                <w:kern w:val="0"/>
                <w:sz w:val="24"/>
                <w:lang w:eastAsia="zh-CN"/>
              </w:rPr>
            </w:pPr>
            <w:r>
              <w:rPr>
                <w:rFonts w:ascii="Arial Narrow" w:hAnsi="Arial Narrow" w:cs="宋体"/>
                <w:kern w:val="0"/>
                <w:sz w:val="24"/>
              </w:rPr>
              <w:t>安全生产培训覆盖率</w:t>
            </w:r>
          </w:p>
          <w:p>
            <w:pPr>
              <w:widowControl/>
              <w:jc w:val="center"/>
              <w:rPr>
                <w:rFonts w:ascii="Arial Narrow" w:hAnsi="Arial Narrow" w:cs="宋体"/>
                <w:kern w:val="0"/>
                <w:sz w:val="24"/>
              </w:rPr>
            </w:pPr>
            <w:r>
              <w:rPr>
                <w:rFonts w:ascii="Arial Narrow" w:hAnsi="Arial Narrow" w:cs="宋体"/>
                <w:kern w:val="0"/>
                <w:sz w:val="24"/>
              </w:rPr>
              <w:t>（5）</w:t>
            </w:r>
          </w:p>
        </w:tc>
        <w:tc>
          <w:tcPr>
            <w:tcW w:w="2693"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项目实施后，各行业安全生产培训是否覆盖，用以反映和考核项目实施后的可持续影响效益。</w:t>
            </w:r>
          </w:p>
        </w:tc>
        <w:tc>
          <w:tcPr>
            <w:tcW w:w="4820" w:type="dxa"/>
            <w:tcBorders>
              <w:top w:val="nil"/>
              <w:left w:val="nil"/>
              <w:bottom w:val="single" w:color="auto" w:sz="4" w:space="0"/>
              <w:right w:val="single" w:color="auto" w:sz="4" w:space="0"/>
            </w:tcBorders>
            <w:shd w:val="clear" w:color="auto" w:fill="auto"/>
            <w:vAlign w:val="center"/>
          </w:tcPr>
          <w:p>
            <w:pPr>
              <w:widowControl/>
              <w:jc w:val="left"/>
              <w:rPr>
                <w:rFonts w:hint="eastAsia" w:ascii="Arial Narrow" w:hAnsi="Arial Narrow" w:eastAsia="仿宋_GB2312" w:cs="宋体"/>
                <w:kern w:val="0"/>
                <w:sz w:val="24"/>
                <w:lang w:eastAsia="zh-CN"/>
              </w:rPr>
            </w:pPr>
            <w:r>
              <w:rPr>
                <w:rFonts w:ascii="Arial Narrow" w:hAnsi="Arial Narrow" w:cs="宋体"/>
                <w:kern w:val="0"/>
                <w:sz w:val="24"/>
              </w:rPr>
              <w:t>评价要点：</w:t>
            </w:r>
          </w:p>
          <w:p>
            <w:pPr>
              <w:widowControl/>
              <w:jc w:val="left"/>
              <w:rPr>
                <w:rFonts w:ascii="Arial Narrow" w:hAnsi="Arial Narrow" w:cs="宋体"/>
                <w:kern w:val="0"/>
                <w:sz w:val="24"/>
              </w:rPr>
            </w:pPr>
            <w:r>
              <w:rPr>
                <w:rFonts w:ascii="Arial Narrow" w:hAnsi="Arial Narrow" w:cs="宋体"/>
                <w:kern w:val="0"/>
                <w:sz w:val="24"/>
              </w:rPr>
              <w:t>各行业安全生产培训覆盖率是否达到95%以</w:t>
            </w:r>
            <w:r>
              <w:rPr>
                <w:rFonts w:hint="eastAsia" w:ascii="Arial Narrow" w:hAnsi="Arial Narrow" w:cs="宋体"/>
                <w:kern w:val="0"/>
                <w:sz w:val="24"/>
              </w:rPr>
              <w:t>上。</w:t>
            </w:r>
          </w:p>
        </w:tc>
      </w:tr>
      <w:tr>
        <w:tblPrEx>
          <w:tblCellMar>
            <w:top w:w="0" w:type="dxa"/>
            <w:left w:w="108" w:type="dxa"/>
            <w:bottom w:w="0" w:type="dxa"/>
            <w:right w:w="108" w:type="dxa"/>
          </w:tblCellMar>
        </w:tblPrEx>
        <w:trPr>
          <w:trHeight w:val="1260" w:hRule="atLeast"/>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Arial Narrow" w:cs="宋体"/>
                <w:kern w:val="0"/>
                <w:sz w:val="24"/>
              </w:rPr>
            </w:pPr>
          </w:p>
        </w:tc>
        <w:tc>
          <w:tcPr>
            <w:tcW w:w="1563" w:type="dxa"/>
            <w:tcBorders>
              <w:top w:val="nil"/>
              <w:left w:val="nil"/>
              <w:bottom w:val="single" w:color="auto" w:sz="4" w:space="0"/>
              <w:right w:val="single" w:color="auto" w:sz="4" w:space="0"/>
            </w:tcBorders>
            <w:shd w:val="clear" w:color="auto" w:fill="auto"/>
            <w:vAlign w:val="center"/>
          </w:tcPr>
          <w:p>
            <w:pPr>
              <w:widowControl/>
              <w:jc w:val="center"/>
              <w:rPr>
                <w:rFonts w:hint="eastAsia" w:ascii="Arial Narrow" w:hAnsi="Arial Narrow" w:eastAsia="仿宋_GB2312" w:cs="宋体"/>
                <w:kern w:val="0"/>
                <w:sz w:val="24"/>
                <w:lang w:eastAsia="zh-CN"/>
              </w:rPr>
            </w:pPr>
            <w:r>
              <w:rPr>
                <w:rFonts w:ascii="Arial Narrow" w:hAnsi="Arial Narrow" w:cs="宋体"/>
                <w:kern w:val="0"/>
                <w:sz w:val="24"/>
              </w:rPr>
              <w:t>安全生产宣传多样化</w:t>
            </w:r>
          </w:p>
          <w:p>
            <w:pPr>
              <w:widowControl/>
              <w:jc w:val="center"/>
              <w:rPr>
                <w:rFonts w:ascii="Arial Narrow" w:hAnsi="Arial Narrow" w:cs="宋体"/>
                <w:kern w:val="0"/>
                <w:sz w:val="24"/>
              </w:rPr>
            </w:pPr>
            <w:r>
              <w:rPr>
                <w:rFonts w:ascii="Arial Narrow" w:hAnsi="Arial Narrow" w:cs="宋体"/>
                <w:kern w:val="0"/>
                <w:sz w:val="24"/>
              </w:rPr>
              <w:t>（5）</w:t>
            </w:r>
          </w:p>
        </w:tc>
        <w:tc>
          <w:tcPr>
            <w:tcW w:w="2693"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项目实施后，安全生产宣传方式的多样化，用以反映和考核项目的社会效益。</w:t>
            </w:r>
          </w:p>
        </w:tc>
        <w:tc>
          <w:tcPr>
            <w:tcW w:w="4820" w:type="dxa"/>
            <w:tcBorders>
              <w:top w:val="nil"/>
              <w:left w:val="nil"/>
              <w:bottom w:val="single" w:color="auto" w:sz="4" w:space="0"/>
              <w:right w:val="single" w:color="auto" w:sz="4" w:space="0"/>
            </w:tcBorders>
            <w:shd w:val="clear" w:color="auto" w:fill="auto"/>
            <w:vAlign w:val="center"/>
          </w:tcPr>
          <w:p>
            <w:pPr>
              <w:widowControl/>
              <w:jc w:val="left"/>
              <w:rPr>
                <w:rFonts w:hint="eastAsia" w:ascii="Arial Narrow" w:hAnsi="Arial Narrow" w:eastAsia="仿宋_GB2312" w:cs="宋体"/>
                <w:kern w:val="0"/>
                <w:sz w:val="24"/>
                <w:lang w:eastAsia="zh-CN"/>
              </w:rPr>
            </w:pPr>
            <w:r>
              <w:rPr>
                <w:rFonts w:ascii="Arial Narrow" w:hAnsi="Arial Narrow" w:cs="宋体"/>
                <w:kern w:val="0"/>
                <w:sz w:val="24"/>
              </w:rPr>
              <w:t>评价要点：</w:t>
            </w:r>
          </w:p>
          <w:p>
            <w:pPr>
              <w:widowControl/>
              <w:jc w:val="left"/>
              <w:rPr>
                <w:rFonts w:ascii="Arial Narrow" w:hAnsi="Arial Narrow" w:cs="宋体"/>
                <w:kern w:val="0"/>
                <w:sz w:val="24"/>
              </w:rPr>
            </w:pPr>
            <w:r>
              <w:rPr>
                <w:rFonts w:ascii="Arial Narrow" w:hAnsi="Arial Narrow" w:cs="宋体"/>
                <w:kern w:val="0"/>
                <w:sz w:val="24"/>
              </w:rPr>
              <w:t>项目实施过程中，所采取的宣传活动的形式是否超过4种。</w:t>
            </w:r>
          </w:p>
        </w:tc>
      </w:tr>
      <w:tr>
        <w:tblPrEx>
          <w:tblCellMar>
            <w:top w:w="0" w:type="dxa"/>
            <w:left w:w="108" w:type="dxa"/>
            <w:bottom w:w="0" w:type="dxa"/>
            <w:right w:w="108" w:type="dxa"/>
          </w:tblCellMar>
        </w:tblPrEx>
        <w:trPr>
          <w:trHeight w:val="1090" w:hRule="atLeast"/>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Arial Narrow" w:cs="宋体"/>
                <w:kern w:val="0"/>
                <w:sz w:val="24"/>
              </w:rPr>
            </w:pPr>
          </w:p>
        </w:tc>
        <w:tc>
          <w:tcPr>
            <w:tcW w:w="1563" w:type="dxa"/>
            <w:tcBorders>
              <w:top w:val="nil"/>
              <w:left w:val="nil"/>
              <w:bottom w:val="single" w:color="auto" w:sz="4" w:space="0"/>
              <w:right w:val="single" w:color="auto" w:sz="4" w:space="0"/>
            </w:tcBorders>
            <w:shd w:val="clear" w:color="auto" w:fill="auto"/>
            <w:vAlign w:val="center"/>
          </w:tcPr>
          <w:p>
            <w:pPr>
              <w:widowControl/>
              <w:jc w:val="center"/>
              <w:rPr>
                <w:rFonts w:hint="eastAsia" w:ascii="Arial Narrow" w:hAnsi="Arial Narrow" w:eastAsia="仿宋_GB2312" w:cs="宋体"/>
                <w:kern w:val="0"/>
                <w:sz w:val="24"/>
                <w:lang w:eastAsia="zh-CN"/>
              </w:rPr>
            </w:pPr>
            <w:r>
              <w:rPr>
                <w:rFonts w:ascii="Arial Narrow" w:hAnsi="Arial Narrow" w:cs="宋体"/>
                <w:kern w:val="0"/>
                <w:sz w:val="24"/>
              </w:rPr>
              <w:t>通航水域水质无污染率</w:t>
            </w:r>
          </w:p>
          <w:p>
            <w:pPr>
              <w:widowControl/>
              <w:jc w:val="center"/>
              <w:rPr>
                <w:rFonts w:ascii="Arial Narrow" w:hAnsi="Arial Narrow" w:cs="宋体"/>
                <w:kern w:val="0"/>
                <w:sz w:val="24"/>
              </w:rPr>
            </w:pPr>
            <w:r>
              <w:rPr>
                <w:rFonts w:ascii="Arial Narrow" w:hAnsi="Arial Narrow" w:cs="宋体"/>
                <w:kern w:val="0"/>
                <w:sz w:val="24"/>
              </w:rPr>
              <w:t>（5）</w:t>
            </w:r>
          </w:p>
        </w:tc>
        <w:tc>
          <w:tcPr>
            <w:tcW w:w="2693"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项目实施后，对通航水域水质保障的程度，用以反映和考核项目实施后的可持续影响效益。</w:t>
            </w:r>
          </w:p>
        </w:tc>
        <w:tc>
          <w:tcPr>
            <w:tcW w:w="4820" w:type="dxa"/>
            <w:tcBorders>
              <w:top w:val="nil"/>
              <w:left w:val="nil"/>
              <w:bottom w:val="single" w:color="auto" w:sz="4" w:space="0"/>
              <w:right w:val="single" w:color="auto" w:sz="4" w:space="0"/>
            </w:tcBorders>
            <w:shd w:val="clear" w:color="auto" w:fill="auto"/>
            <w:vAlign w:val="center"/>
          </w:tcPr>
          <w:p>
            <w:pPr>
              <w:widowControl/>
              <w:jc w:val="left"/>
              <w:rPr>
                <w:rFonts w:hint="eastAsia" w:ascii="Arial Narrow" w:hAnsi="Arial Narrow" w:eastAsia="仿宋_GB2312" w:cs="宋体"/>
                <w:kern w:val="0"/>
                <w:sz w:val="24"/>
                <w:lang w:eastAsia="zh-CN"/>
              </w:rPr>
            </w:pPr>
            <w:r>
              <w:rPr>
                <w:rFonts w:ascii="Arial Narrow" w:hAnsi="Arial Narrow" w:cs="宋体"/>
                <w:kern w:val="0"/>
                <w:sz w:val="24"/>
              </w:rPr>
              <w:t>评价要点：</w:t>
            </w:r>
          </w:p>
          <w:p>
            <w:pPr>
              <w:widowControl/>
              <w:jc w:val="left"/>
              <w:rPr>
                <w:rFonts w:ascii="Arial Narrow" w:hAnsi="Arial Narrow" w:cs="宋体"/>
                <w:kern w:val="0"/>
                <w:sz w:val="24"/>
              </w:rPr>
            </w:pPr>
            <w:r>
              <w:rPr>
                <w:rFonts w:ascii="Arial Narrow" w:hAnsi="Arial Narrow" w:cs="宋体"/>
                <w:kern w:val="0"/>
                <w:sz w:val="24"/>
              </w:rPr>
              <w:t>通航水域水质的无污染程度是否得到有效保障</w:t>
            </w:r>
            <w:r>
              <w:rPr>
                <w:rFonts w:hint="eastAsia" w:ascii="Arial Narrow" w:hAnsi="Arial Narrow" w:cs="宋体"/>
                <w:kern w:val="0"/>
                <w:sz w:val="24"/>
              </w:rPr>
              <w:t>。</w:t>
            </w:r>
          </w:p>
        </w:tc>
      </w:tr>
      <w:tr>
        <w:tblPrEx>
          <w:tblCellMar>
            <w:top w:w="0" w:type="dxa"/>
            <w:left w:w="108" w:type="dxa"/>
            <w:bottom w:w="0" w:type="dxa"/>
            <w:right w:w="108" w:type="dxa"/>
          </w:tblCellMar>
        </w:tblPrEx>
        <w:trPr>
          <w:trHeight w:val="1530" w:hRule="atLeast"/>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Arial Narrow" w:cs="宋体"/>
                <w:kern w:val="0"/>
                <w:sz w:val="24"/>
              </w:rPr>
            </w:pPr>
          </w:p>
        </w:tc>
        <w:tc>
          <w:tcPr>
            <w:tcW w:w="1563" w:type="dxa"/>
            <w:tcBorders>
              <w:top w:val="nil"/>
              <w:left w:val="nil"/>
              <w:bottom w:val="single" w:color="auto" w:sz="4" w:space="0"/>
              <w:right w:val="single" w:color="auto" w:sz="4" w:space="0"/>
            </w:tcBorders>
            <w:shd w:val="clear" w:color="auto" w:fill="auto"/>
            <w:vAlign w:val="center"/>
          </w:tcPr>
          <w:p>
            <w:pPr>
              <w:widowControl/>
              <w:jc w:val="center"/>
              <w:rPr>
                <w:rFonts w:hint="eastAsia" w:ascii="Arial Narrow" w:hAnsi="Arial Narrow" w:eastAsia="仿宋_GB2312" w:cs="宋体"/>
                <w:kern w:val="0"/>
                <w:sz w:val="24"/>
                <w:lang w:eastAsia="zh-CN"/>
              </w:rPr>
            </w:pPr>
            <w:r>
              <w:rPr>
                <w:rFonts w:ascii="Arial Narrow" w:hAnsi="Arial Narrow" w:cs="宋体"/>
                <w:kern w:val="0"/>
                <w:sz w:val="24"/>
              </w:rPr>
              <w:t>安全事故减少</w:t>
            </w:r>
          </w:p>
          <w:p>
            <w:pPr>
              <w:widowControl/>
              <w:jc w:val="center"/>
              <w:rPr>
                <w:rFonts w:ascii="Arial Narrow" w:hAnsi="Arial Narrow" w:cs="宋体"/>
                <w:kern w:val="0"/>
                <w:sz w:val="24"/>
              </w:rPr>
            </w:pPr>
            <w:r>
              <w:rPr>
                <w:rFonts w:ascii="Arial Narrow" w:hAnsi="Arial Narrow" w:cs="宋体"/>
                <w:kern w:val="0"/>
                <w:sz w:val="24"/>
              </w:rPr>
              <w:t>（5）</w:t>
            </w:r>
          </w:p>
        </w:tc>
        <w:tc>
          <w:tcPr>
            <w:tcW w:w="2693"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项目实施后，交通安全事故是否存减少等情况，用以反映和考核项目实施后的社会效益。</w:t>
            </w:r>
          </w:p>
        </w:tc>
        <w:tc>
          <w:tcPr>
            <w:tcW w:w="4820" w:type="dxa"/>
            <w:tcBorders>
              <w:top w:val="nil"/>
              <w:left w:val="nil"/>
              <w:bottom w:val="single" w:color="auto" w:sz="4" w:space="0"/>
              <w:right w:val="single" w:color="auto" w:sz="4" w:space="0"/>
            </w:tcBorders>
            <w:shd w:val="clear" w:color="auto" w:fill="auto"/>
            <w:vAlign w:val="center"/>
          </w:tcPr>
          <w:p>
            <w:pPr>
              <w:widowControl/>
              <w:jc w:val="left"/>
              <w:rPr>
                <w:rFonts w:hint="eastAsia" w:ascii="Arial Narrow" w:hAnsi="Arial Narrow" w:eastAsia="仿宋_GB2312" w:cs="宋体"/>
                <w:kern w:val="0"/>
                <w:sz w:val="24"/>
                <w:lang w:eastAsia="zh-CN"/>
              </w:rPr>
            </w:pPr>
            <w:r>
              <w:rPr>
                <w:rFonts w:ascii="Arial Narrow" w:hAnsi="Arial Narrow" w:cs="宋体"/>
                <w:kern w:val="0"/>
                <w:sz w:val="24"/>
              </w:rPr>
              <w:t>评价要点：</w:t>
            </w:r>
          </w:p>
          <w:p>
            <w:pPr>
              <w:widowControl/>
              <w:jc w:val="left"/>
              <w:rPr>
                <w:rFonts w:ascii="Arial Narrow" w:hAnsi="Arial Narrow" w:cs="宋体"/>
                <w:kern w:val="0"/>
                <w:sz w:val="24"/>
              </w:rPr>
            </w:pPr>
            <w:r>
              <w:rPr>
                <w:rFonts w:ascii="Arial Narrow" w:hAnsi="Arial Narrow" w:cs="宋体"/>
                <w:kern w:val="0"/>
                <w:sz w:val="24"/>
              </w:rPr>
              <w:t>发生安全事故减少率=（上年度发生安全事故次数-本年度发生安全事故次数/上年度发生安全事故次数）×100%</w:t>
            </w:r>
            <w:r>
              <w:rPr>
                <w:rFonts w:hint="eastAsia" w:ascii="Arial Narrow" w:hAnsi="Arial Narrow" w:cs="宋体"/>
                <w:kern w:val="0"/>
                <w:sz w:val="24"/>
              </w:rPr>
              <w:t>。</w:t>
            </w:r>
          </w:p>
        </w:tc>
      </w:tr>
      <w:tr>
        <w:tblPrEx>
          <w:tblCellMar>
            <w:top w:w="0" w:type="dxa"/>
            <w:left w:w="108" w:type="dxa"/>
            <w:bottom w:w="0" w:type="dxa"/>
            <w:right w:w="108" w:type="dxa"/>
          </w:tblCellMar>
        </w:tblPrEx>
        <w:trPr>
          <w:trHeight w:val="1280" w:hRule="atLeast"/>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Arial Narrow" w:cs="宋体"/>
                <w:kern w:val="0"/>
                <w:sz w:val="24"/>
              </w:rPr>
            </w:pPr>
          </w:p>
        </w:tc>
        <w:tc>
          <w:tcPr>
            <w:tcW w:w="1563" w:type="dxa"/>
            <w:tcBorders>
              <w:top w:val="nil"/>
              <w:left w:val="nil"/>
              <w:bottom w:val="single" w:color="auto" w:sz="4" w:space="0"/>
              <w:right w:val="single" w:color="auto" w:sz="4" w:space="0"/>
            </w:tcBorders>
            <w:shd w:val="clear" w:color="auto" w:fill="auto"/>
            <w:vAlign w:val="center"/>
          </w:tcPr>
          <w:p>
            <w:pPr>
              <w:widowControl/>
              <w:jc w:val="center"/>
              <w:rPr>
                <w:rFonts w:hint="eastAsia" w:ascii="Arial Narrow" w:hAnsi="Arial Narrow" w:eastAsia="仿宋_GB2312" w:cs="宋体"/>
                <w:kern w:val="0"/>
                <w:sz w:val="24"/>
                <w:lang w:eastAsia="zh-CN"/>
              </w:rPr>
            </w:pPr>
            <w:r>
              <w:rPr>
                <w:rFonts w:ascii="Arial Narrow" w:hAnsi="Arial Narrow" w:cs="宋体"/>
                <w:kern w:val="0"/>
                <w:sz w:val="24"/>
              </w:rPr>
              <w:t>可持续性</w:t>
            </w:r>
          </w:p>
          <w:p>
            <w:pPr>
              <w:widowControl/>
              <w:jc w:val="center"/>
              <w:rPr>
                <w:rFonts w:ascii="Arial Narrow" w:hAnsi="Arial Narrow" w:cs="宋体"/>
                <w:kern w:val="0"/>
                <w:sz w:val="24"/>
              </w:rPr>
            </w:pPr>
            <w:r>
              <w:rPr>
                <w:rFonts w:ascii="Arial Narrow" w:hAnsi="Arial Narrow" w:cs="宋体"/>
                <w:kern w:val="0"/>
                <w:sz w:val="24"/>
              </w:rPr>
              <w:t>（5）</w:t>
            </w:r>
          </w:p>
        </w:tc>
        <w:tc>
          <w:tcPr>
            <w:tcW w:w="2693"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项目实施单位、公众是否支持项目长期运行，项目实施单位有机构设置和充足的人员配备支持项目实施的后续运行，用以反映和考核项目的可持续性。</w:t>
            </w:r>
          </w:p>
        </w:tc>
        <w:tc>
          <w:tcPr>
            <w:tcW w:w="482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仿宋_GB2312" w:eastAsia="仿宋_GB2312" w:cs="仿宋_GB2312"/>
                <w:kern w:val="0"/>
                <w:sz w:val="24"/>
                <w:lang w:eastAsia="zh-CN"/>
              </w:rPr>
            </w:pPr>
            <w:r>
              <w:rPr>
                <w:rFonts w:hint="eastAsia" w:ascii="仿宋_GB2312" w:hAnsi="仿宋_GB2312" w:cs="仿宋_GB2312"/>
                <w:kern w:val="0"/>
                <w:sz w:val="24"/>
              </w:rPr>
              <w:t>评价要点：</w:t>
            </w:r>
          </w:p>
          <w:p>
            <w:pPr>
              <w:widowControl/>
              <w:jc w:val="left"/>
              <w:rPr>
                <w:rFonts w:hint="eastAsia" w:ascii="仿宋_GB2312" w:hAnsi="仿宋_GB2312" w:eastAsia="仿宋_GB2312" w:cs="仿宋_GB2312"/>
                <w:kern w:val="0"/>
                <w:sz w:val="24"/>
                <w:lang w:eastAsia="zh-CN"/>
              </w:rPr>
            </w:pPr>
            <w:r>
              <w:rPr>
                <w:rFonts w:hint="eastAsia" w:ascii="仿宋_GB2312" w:hAnsi="仿宋_GB2312" w:cs="仿宋_GB2312"/>
                <w:kern w:val="0"/>
                <w:sz w:val="24"/>
              </w:rPr>
              <w:t>①是否有机构设置和充足的人员配备支持项目实施的后续运行；</w:t>
            </w:r>
          </w:p>
          <w:p>
            <w:pPr>
              <w:widowControl/>
              <w:jc w:val="left"/>
              <w:rPr>
                <w:rFonts w:ascii="仿宋_GB2312" w:hAnsi="仿宋_GB2312" w:cs="仿宋_GB2312"/>
                <w:kern w:val="0"/>
                <w:sz w:val="24"/>
              </w:rPr>
            </w:pPr>
            <w:r>
              <w:rPr>
                <w:rFonts w:hint="eastAsia" w:ascii="仿宋_GB2312" w:hAnsi="仿宋_GB2312" w:cs="仿宋_GB2312"/>
                <w:kern w:val="0"/>
                <w:sz w:val="24"/>
              </w:rPr>
              <w:t>②项目人员分工是否明确。</w:t>
            </w:r>
          </w:p>
        </w:tc>
      </w:tr>
      <w:tr>
        <w:tblPrEx>
          <w:tblCellMar>
            <w:top w:w="0" w:type="dxa"/>
            <w:left w:w="108" w:type="dxa"/>
            <w:bottom w:w="0" w:type="dxa"/>
            <w:right w:w="108" w:type="dxa"/>
          </w:tblCellMar>
        </w:tblPrEx>
        <w:trPr>
          <w:trHeight w:val="950" w:hRule="atLeast"/>
        </w:trPr>
        <w:tc>
          <w:tcPr>
            <w:tcW w:w="417"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Arial Narrow" w:cs="宋体"/>
                <w:kern w:val="0"/>
                <w:sz w:val="24"/>
              </w:rPr>
            </w:pPr>
          </w:p>
        </w:tc>
        <w:tc>
          <w:tcPr>
            <w:tcW w:w="1563" w:type="dxa"/>
            <w:tcBorders>
              <w:top w:val="nil"/>
              <w:left w:val="nil"/>
              <w:bottom w:val="single" w:color="auto" w:sz="4" w:space="0"/>
              <w:right w:val="single" w:color="auto" w:sz="4" w:space="0"/>
            </w:tcBorders>
            <w:shd w:val="clear" w:color="auto" w:fill="auto"/>
            <w:vAlign w:val="center"/>
          </w:tcPr>
          <w:p>
            <w:pPr>
              <w:widowControl/>
              <w:jc w:val="center"/>
              <w:rPr>
                <w:rFonts w:hint="eastAsia" w:ascii="Arial Narrow" w:hAnsi="Arial Narrow" w:eastAsia="仿宋_GB2312" w:cs="宋体"/>
                <w:kern w:val="0"/>
                <w:sz w:val="24"/>
                <w:lang w:eastAsia="zh-CN"/>
              </w:rPr>
            </w:pPr>
            <w:r>
              <w:rPr>
                <w:rFonts w:ascii="Arial Narrow" w:hAnsi="Arial Narrow" w:cs="宋体"/>
                <w:kern w:val="0"/>
                <w:sz w:val="24"/>
              </w:rPr>
              <w:t>社会公众满意度</w:t>
            </w:r>
          </w:p>
          <w:p>
            <w:pPr>
              <w:widowControl/>
              <w:jc w:val="center"/>
              <w:rPr>
                <w:rFonts w:ascii="Arial Narrow" w:hAnsi="Arial Narrow" w:cs="宋体"/>
                <w:kern w:val="0"/>
                <w:sz w:val="24"/>
              </w:rPr>
            </w:pPr>
            <w:r>
              <w:rPr>
                <w:rFonts w:ascii="Arial Narrow" w:hAnsi="Arial Narrow" w:cs="宋体"/>
                <w:kern w:val="0"/>
                <w:sz w:val="24"/>
              </w:rPr>
              <w:t>（5）</w:t>
            </w:r>
          </w:p>
        </w:tc>
        <w:tc>
          <w:tcPr>
            <w:tcW w:w="2693"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社会公众对项目实施效果的满意程度。</w:t>
            </w:r>
          </w:p>
        </w:tc>
        <w:tc>
          <w:tcPr>
            <w:tcW w:w="4820" w:type="dxa"/>
            <w:tcBorders>
              <w:top w:val="nil"/>
              <w:left w:val="nil"/>
              <w:bottom w:val="single" w:color="auto" w:sz="4" w:space="0"/>
              <w:right w:val="single" w:color="auto" w:sz="4" w:space="0"/>
            </w:tcBorders>
            <w:shd w:val="clear" w:color="auto" w:fill="auto"/>
            <w:vAlign w:val="center"/>
          </w:tcPr>
          <w:p>
            <w:pPr>
              <w:widowControl/>
              <w:jc w:val="left"/>
              <w:rPr>
                <w:rFonts w:hint="eastAsia" w:ascii="Arial Narrow" w:hAnsi="Arial Narrow" w:eastAsia="仿宋_GB2312" w:cs="宋体"/>
                <w:kern w:val="0"/>
                <w:sz w:val="24"/>
                <w:lang w:eastAsia="zh-CN"/>
              </w:rPr>
            </w:pPr>
            <w:r>
              <w:rPr>
                <w:rFonts w:ascii="Arial Narrow" w:hAnsi="Arial Narrow" w:cs="宋体"/>
                <w:kern w:val="0"/>
                <w:sz w:val="24"/>
              </w:rPr>
              <w:t>评价要点：</w:t>
            </w:r>
          </w:p>
          <w:p>
            <w:pPr>
              <w:widowControl/>
              <w:jc w:val="left"/>
              <w:rPr>
                <w:rFonts w:ascii="Arial Narrow" w:hAnsi="Arial Narrow" w:cs="宋体"/>
                <w:kern w:val="0"/>
                <w:sz w:val="24"/>
              </w:rPr>
            </w:pPr>
            <w:r>
              <w:rPr>
                <w:rFonts w:ascii="Arial Narrow" w:hAnsi="Arial Narrow" w:cs="宋体"/>
                <w:kern w:val="0"/>
                <w:sz w:val="24"/>
              </w:rPr>
              <w:t>社会公众满意度评分值=(指标实现值/指标标准值)×指标满分值</w:t>
            </w:r>
            <w:r>
              <w:rPr>
                <w:rFonts w:hint="eastAsia"/>
                <w:sz w:val="24"/>
              </w:rPr>
              <w:t>。</w:t>
            </w:r>
          </w:p>
        </w:tc>
      </w:tr>
    </w:tbl>
    <w:p>
      <w:pPr>
        <w:spacing w:line="360" w:lineRule="auto"/>
        <w:ind w:firstLine="480" w:firstLineChars="200"/>
        <w:rPr>
          <w:rFonts w:ascii="仿宋_GB2312" w:hAnsi="Arial Narrow" w:cs="仿宋_GB2312"/>
          <w:sz w:val="18"/>
          <w:szCs w:val="18"/>
        </w:rPr>
      </w:pPr>
      <w:r>
        <w:rPr>
          <w:rFonts w:hint="eastAsia" w:ascii="仿宋_GB2312" w:hAnsi="Arial Narrow" w:cs="仿宋_GB2312"/>
          <w:sz w:val="24"/>
        </w:rPr>
        <w:t>具体指标目标值、绩效标准、评分细则如下表所示：</w:t>
      </w:r>
    </w:p>
    <w:tbl>
      <w:tblPr>
        <w:tblStyle w:val="10"/>
        <w:tblW w:w="9493" w:type="dxa"/>
        <w:tblInd w:w="0" w:type="dxa"/>
        <w:tblLayout w:type="fixed"/>
        <w:tblCellMar>
          <w:top w:w="0" w:type="dxa"/>
          <w:left w:w="108" w:type="dxa"/>
          <w:bottom w:w="0" w:type="dxa"/>
          <w:right w:w="108" w:type="dxa"/>
        </w:tblCellMar>
      </w:tblPr>
      <w:tblGrid>
        <w:gridCol w:w="416"/>
        <w:gridCol w:w="1564"/>
        <w:gridCol w:w="850"/>
        <w:gridCol w:w="851"/>
        <w:gridCol w:w="5812"/>
      </w:tblGrid>
      <w:tr>
        <w:tblPrEx>
          <w:tblCellMar>
            <w:top w:w="0" w:type="dxa"/>
            <w:left w:w="108" w:type="dxa"/>
            <w:bottom w:w="0" w:type="dxa"/>
            <w:right w:w="108" w:type="dxa"/>
          </w:tblCellMar>
        </w:tblPrEx>
        <w:trPr>
          <w:trHeight w:val="499" w:hRule="atLeast"/>
          <w:tblHeader/>
        </w:trPr>
        <w:tc>
          <w:tcPr>
            <w:tcW w:w="19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kern w:val="0"/>
                <w:sz w:val="24"/>
                <w:lang w:eastAsia="zh-CN"/>
              </w:rPr>
            </w:pPr>
            <w:r>
              <w:rPr>
                <w:rFonts w:hint="eastAsia" w:ascii="仿宋_GB2312" w:hAnsi="宋体" w:cs="宋体"/>
                <w:b/>
                <w:bCs/>
                <w:kern w:val="0"/>
                <w:sz w:val="24"/>
              </w:rPr>
              <w:t>指标名称</w:t>
            </w:r>
          </w:p>
          <w:p>
            <w:pPr>
              <w:widowControl/>
              <w:jc w:val="center"/>
              <w:rPr>
                <w:rFonts w:ascii="仿宋_GB2312" w:hAnsi="宋体" w:cs="宋体"/>
                <w:b/>
                <w:bCs/>
                <w:kern w:val="0"/>
                <w:sz w:val="24"/>
              </w:rPr>
            </w:pPr>
            <w:r>
              <w:rPr>
                <w:rFonts w:hint="eastAsia" w:ascii="仿宋_GB2312" w:hAnsi="宋体" w:cs="宋体"/>
                <w:b/>
                <w:bCs/>
                <w:kern w:val="0"/>
                <w:sz w:val="24"/>
              </w:rPr>
              <w:t>（权重）</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Arial Narrow" w:eastAsia="仿宋_GB2312" w:cs="宋体"/>
                <w:b/>
                <w:bCs/>
                <w:kern w:val="0"/>
                <w:sz w:val="24"/>
                <w:lang w:eastAsia="zh-CN"/>
              </w:rPr>
            </w:pPr>
            <w:r>
              <w:rPr>
                <w:rFonts w:hint="eastAsia" w:ascii="仿宋_GB2312" w:hAnsi="Arial Narrow" w:cs="宋体"/>
                <w:b/>
                <w:bCs/>
                <w:kern w:val="0"/>
                <w:sz w:val="24"/>
              </w:rPr>
              <w:t>参考值</w:t>
            </w:r>
          </w:p>
          <w:p>
            <w:pPr>
              <w:widowControl/>
              <w:jc w:val="center"/>
              <w:rPr>
                <w:rFonts w:ascii="仿宋_GB2312" w:hAnsi="Arial Narrow" w:cs="宋体"/>
                <w:b/>
                <w:bCs/>
                <w:kern w:val="0"/>
                <w:sz w:val="24"/>
              </w:rPr>
            </w:pPr>
            <w:r>
              <w:rPr>
                <w:rFonts w:hint="eastAsia" w:ascii="仿宋_GB2312" w:hAnsi="Arial Narrow" w:cs="宋体"/>
                <w:b/>
                <w:bCs/>
                <w:kern w:val="0"/>
                <w:sz w:val="24"/>
              </w:rPr>
              <w:t>（目标值）</w:t>
            </w:r>
          </w:p>
        </w:tc>
        <w:tc>
          <w:tcPr>
            <w:tcW w:w="85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Arial Narrow" w:cs="宋体"/>
                <w:b/>
                <w:bCs/>
                <w:kern w:val="0"/>
                <w:sz w:val="24"/>
              </w:rPr>
            </w:pPr>
            <w:r>
              <w:rPr>
                <w:rFonts w:hint="eastAsia" w:ascii="仿宋_GB2312" w:hAnsi="Arial Narrow" w:cs="宋体"/>
                <w:b/>
                <w:bCs/>
                <w:kern w:val="0"/>
                <w:sz w:val="24"/>
              </w:rPr>
              <w:t>绩效标准</w:t>
            </w:r>
          </w:p>
        </w:tc>
        <w:tc>
          <w:tcPr>
            <w:tcW w:w="581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Arial Narrow" w:cs="宋体"/>
                <w:b/>
                <w:bCs/>
                <w:kern w:val="0"/>
                <w:sz w:val="24"/>
              </w:rPr>
            </w:pPr>
            <w:r>
              <w:rPr>
                <w:rFonts w:hint="eastAsia" w:ascii="仿宋_GB2312" w:hAnsi="Arial Narrow" w:cs="宋体"/>
                <w:b/>
                <w:bCs/>
                <w:kern w:val="0"/>
                <w:sz w:val="24"/>
              </w:rPr>
              <w:t>评分细则</w:t>
            </w:r>
          </w:p>
        </w:tc>
      </w:tr>
      <w:tr>
        <w:tblPrEx>
          <w:tblCellMar>
            <w:top w:w="0" w:type="dxa"/>
            <w:left w:w="108" w:type="dxa"/>
            <w:bottom w:w="0" w:type="dxa"/>
            <w:right w:w="108" w:type="dxa"/>
          </w:tblCellMar>
        </w:tblPrEx>
        <w:trPr>
          <w:trHeight w:val="2200" w:hRule="atLeast"/>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Arial Narrow" w:eastAsia="仿宋_GB2312" w:cs="宋体"/>
                <w:kern w:val="0"/>
                <w:sz w:val="24"/>
                <w:lang w:eastAsia="zh-CN"/>
              </w:rPr>
            </w:pPr>
            <w:r>
              <w:rPr>
                <w:rFonts w:hint="eastAsia" w:ascii="仿宋_GB2312" w:hAnsi="Arial Narrow" w:cs="宋体"/>
                <w:kern w:val="0"/>
                <w:sz w:val="24"/>
              </w:rPr>
              <w:t>项目</w:t>
            </w:r>
          </w:p>
          <w:p>
            <w:pPr>
              <w:widowControl/>
              <w:jc w:val="center"/>
              <w:rPr>
                <w:rFonts w:ascii="仿宋_GB2312" w:hAnsi="Arial Narrow" w:cs="宋体"/>
                <w:kern w:val="0"/>
                <w:sz w:val="24"/>
              </w:rPr>
            </w:pPr>
            <w:r>
              <w:rPr>
                <w:rFonts w:hint="eastAsia" w:ascii="仿宋_GB2312" w:hAnsi="Arial Narrow" w:cs="宋体"/>
                <w:kern w:val="0"/>
                <w:sz w:val="24"/>
              </w:rPr>
              <w:t>立项</w:t>
            </w:r>
          </w:p>
        </w:tc>
        <w:tc>
          <w:tcPr>
            <w:tcW w:w="1564" w:type="dxa"/>
            <w:tcBorders>
              <w:top w:val="nil"/>
              <w:left w:val="nil"/>
              <w:bottom w:val="single" w:color="auto" w:sz="4" w:space="0"/>
              <w:right w:val="single" w:color="auto" w:sz="4" w:space="0"/>
            </w:tcBorders>
            <w:shd w:val="clear" w:color="auto" w:fill="auto"/>
            <w:vAlign w:val="center"/>
          </w:tcPr>
          <w:p>
            <w:pPr>
              <w:widowControl/>
              <w:jc w:val="center"/>
              <w:rPr>
                <w:rFonts w:ascii="Arial Narrow" w:hAnsi="Arial Narrow" w:cs="宋体"/>
                <w:color w:val="000000"/>
                <w:kern w:val="0"/>
                <w:sz w:val="24"/>
              </w:rPr>
            </w:pPr>
            <w:r>
              <w:rPr>
                <w:rFonts w:ascii="Arial Narrow" w:hAnsi="Arial Narrow" w:cs="宋体"/>
                <w:color w:val="000000"/>
                <w:kern w:val="0"/>
                <w:sz w:val="24"/>
              </w:rPr>
              <w:t>项目立项规范性（4）</w:t>
            </w:r>
          </w:p>
        </w:tc>
        <w:tc>
          <w:tcPr>
            <w:tcW w:w="850"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　</w:t>
            </w:r>
          </w:p>
        </w:tc>
        <w:tc>
          <w:tcPr>
            <w:tcW w:w="5812" w:type="dxa"/>
            <w:tcBorders>
              <w:top w:val="nil"/>
              <w:left w:val="nil"/>
              <w:bottom w:val="single" w:color="auto" w:sz="4" w:space="0"/>
              <w:right w:val="single" w:color="auto" w:sz="4" w:space="0"/>
            </w:tcBorders>
            <w:shd w:val="clear" w:color="auto" w:fill="auto"/>
            <w:vAlign w:val="center"/>
          </w:tcPr>
          <w:p>
            <w:pPr>
              <w:widowControl/>
              <w:jc w:val="left"/>
              <w:rPr>
                <w:rFonts w:hint="eastAsia" w:ascii="Arial Narrow" w:hAnsi="Arial Narrow" w:eastAsia="仿宋_GB2312" w:cs="宋体"/>
                <w:kern w:val="0"/>
                <w:sz w:val="24"/>
                <w:lang w:eastAsia="zh-CN"/>
              </w:rPr>
            </w:pPr>
            <w:r>
              <w:rPr>
                <w:rFonts w:ascii="Arial Narrow" w:hAnsi="Arial Narrow" w:cs="宋体"/>
                <w:kern w:val="0"/>
                <w:sz w:val="24"/>
              </w:rPr>
              <w:t>评价要点：</w:t>
            </w:r>
          </w:p>
          <w:p>
            <w:pPr>
              <w:widowControl/>
              <w:jc w:val="left"/>
              <w:rPr>
                <w:rFonts w:ascii="Arial Narrow" w:hAnsi="Arial Narrow" w:cs="宋体"/>
                <w:kern w:val="0"/>
                <w:sz w:val="24"/>
              </w:rPr>
            </w:pPr>
            <w:r>
              <w:rPr>
                <w:rFonts w:ascii="Arial Narrow" w:hAnsi="Arial Narrow" w:cs="宋体"/>
                <w:kern w:val="0"/>
                <w:sz w:val="24"/>
              </w:rPr>
              <w:t>项目是否按照规定的程序申请设立，计1分；所提交的文件、材料是否符合相关要求，计1分；事前是否已经过必要的可行性研究、专家论证、风险评估、集体决策等，计1分；项目执行时是否发生重大调整，调整手续规范，计1分。</w:t>
            </w:r>
          </w:p>
        </w:tc>
      </w:tr>
      <w:tr>
        <w:tblPrEx>
          <w:tblCellMar>
            <w:top w:w="0" w:type="dxa"/>
            <w:left w:w="108" w:type="dxa"/>
            <w:bottom w:w="0" w:type="dxa"/>
            <w:right w:w="108" w:type="dxa"/>
          </w:tblCellMar>
        </w:tblPrEx>
        <w:trPr>
          <w:trHeight w:val="1650"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Arial Narrow" w:cs="宋体"/>
                <w:kern w:val="0"/>
                <w:sz w:val="24"/>
              </w:rPr>
            </w:pPr>
          </w:p>
        </w:tc>
        <w:tc>
          <w:tcPr>
            <w:tcW w:w="1564" w:type="dxa"/>
            <w:tcBorders>
              <w:top w:val="nil"/>
              <w:left w:val="nil"/>
              <w:bottom w:val="single" w:color="auto" w:sz="4" w:space="0"/>
              <w:right w:val="single" w:color="auto" w:sz="4" w:space="0"/>
            </w:tcBorders>
            <w:shd w:val="clear" w:color="auto" w:fill="auto"/>
            <w:vAlign w:val="center"/>
          </w:tcPr>
          <w:p>
            <w:pPr>
              <w:widowControl/>
              <w:jc w:val="center"/>
              <w:rPr>
                <w:rFonts w:hint="eastAsia" w:ascii="Arial Narrow" w:hAnsi="Arial Narrow" w:eastAsia="仿宋_GB2312" w:cs="宋体"/>
                <w:color w:val="000000"/>
                <w:kern w:val="0"/>
                <w:sz w:val="24"/>
                <w:lang w:eastAsia="zh-CN"/>
              </w:rPr>
            </w:pPr>
            <w:r>
              <w:rPr>
                <w:rFonts w:ascii="Arial Narrow" w:hAnsi="Arial Narrow" w:cs="宋体"/>
                <w:color w:val="000000"/>
                <w:kern w:val="0"/>
                <w:sz w:val="24"/>
              </w:rPr>
              <w:t>绩效目标合理性</w:t>
            </w:r>
          </w:p>
          <w:p>
            <w:pPr>
              <w:widowControl/>
              <w:jc w:val="center"/>
              <w:rPr>
                <w:rFonts w:ascii="Arial Narrow" w:hAnsi="Arial Narrow" w:cs="宋体"/>
                <w:color w:val="000000"/>
                <w:kern w:val="0"/>
                <w:sz w:val="24"/>
              </w:rPr>
            </w:pPr>
            <w:r>
              <w:rPr>
                <w:rFonts w:ascii="Arial Narrow" w:hAnsi="Arial Narrow" w:cs="宋体"/>
                <w:color w:val="000000"/>
                <w:kern w:val="0"/>
                <w:sz w:val="24"/>
              </w:rPr>
              <w:t>（4）</w:t>
            </w:r>
          </w:p>
        </w:tc>
        <w:tc>
          <w:tcPr>
            <w:tcW w:w="850"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　</w:t>
            </w:r>
          </w:p>
        </w:tc>
        <w:tc>
          <w:tcPr>
            <w:tcW w:w="5812" w:type="dxa"/>
            <w:tcBorders>
              <w:top w:val="nil"/>
              <w:left w:val="nil"/>
              <w:bottom w:val="single" w:color="auto" w:sz="4" w:space="0"/>
              <w:right w:val="single" w:color="auto" w:sz="4" w:space="0"/>
            </w:tcBorders>
            <w:shd w:val="clear" w:color="auto" w:fill="auto"/>
            <w:vAlign w:val="center"/>
          </w:tcPr>
          <w:p>
            <w:pPr>
              <w:widowControl/>
              <w:jc w:val="left"/>
              <w:rPr>
                <w:rFonts w:hint="eastAsia" w:ascii="Arial Narrow" w:hAnsi="Arial Narrow" w:eastAsia="仿宋_GB2312" w:cs="宋体"/>
                <w:kern w:val="0"/>
                <w:sz w:val="24"/>
                <w:lang w:eastAsia="zh-CN"/>
              </w:rPr>
            </w:pPr>
            <w:r>
              <w:rPr>
                <w:rFonts w:ascii="Arial Narrow" w:hAnsi="Arial Narrow" w:cs="宋体"/>
                <w:kern w:val="0"/>
                <w:sz w:val="24"/>
              </w:rPr>
              <w:t>评价要点：</w:t>
            </w:r>
          </w:p>
          <w:p>
            <w:pPr>
              <w:widowControl/>
              <w:jc w:val="left"/>
              <w:rPr>
                <w:rFonts w:ascii="Arial Narrow" w:hAnsi="Arial Narrow" w:cs="宋体"/>
                <w:kern w:val="0"/>
                <w:sz w:val="24"/>
              </w:rPr>
            </w:pPr>
            <w:r>
              <w:rPr>
                <w:rFonts w:ascii="Arial Narrow" w:hAnsi="Arial Narrow" w:cs="宋体"/>
                <w:kern w:val="0"/>
                <w:sz w:val="24"/>
              </w:rPr>
              <w:t>项目设定长期目标、年度目标和绩效指标，计1分；目标和指标的设计符合目标管理规范，计1分；绩效目标设置合理，计1分；绩效指标可测，计1分</w:t>
            </w:r>
          </w:p>
        </w:tc>
      </w:tr>
      <w:tr>
        <w:tblPrEx>
          <w:tblCellMar>
            <w:top w:w="0" w:type="dxa"/>
            <w:left w:w="108" w:type="dxa"/>
            <w:bottom w:w="0" w:type="dxa"/>
            <w:right w:w="108" w:type="dxa"/>
          </w:tblCellMar>
        </w:tblPrEx>
        <w:trPr>
          <w:trHeight w:val="970" w:hRule="atLeast"/>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Arial Narrow" w:eastAsia="仿宋_GB2312" w:cs="宋体"/>
                <w:kern w:val="0"/>
                <w:sz w:val="24"/>
                <w:lang w:eastAsia="zh-CN"/>
              </w:rPr>
            </w:pPr>
            <w:r>
              <w:rPr>
                <w:rFonts w:hint="eastAsia" w:ascii="仿宋_GB2312" w:hAnsi="Arial Narrow" w:cs="宋体"/>
                <w:kern w:val="0"/>
                <w:sz w:val="24"/>
              </w:rPr>
              <w:t>资金</w:t>
            </w:r>
          </w:p>
          <w:p>
            <w:pPr>
              <w:widowControl/>
              <w:jc w:val="center"/>
              <w:rPr>
                <w:rFonts w:ascii="仿宋_GB2312" w:hAnsi="Arial Narrow" w:cs="宋体"/>
                <w:kern w:val="0"/>
                <w:sz w:val="24"/>
              </w:rPr>
            </w:pPr>
            <w:r>
              <w:rPr>
                <w:rFonts w:hint="eastAsia" w:ascii="仿宋_GB2312" w:hAnsi="Arial Narrow" w:cs="宋体"/>
                <w:kern w:val="0"/>
                <w:sz w:val="24"/>
              </w:rPr>
              <w:t>落实</w:t>
            </w:r>
          </w:p>
        </w:tc>
        <w:tc>
          <w:tcPr>
            <w:tcW w:w="1564" w:type="dxa"/>
            <w:tcBorders>
              <w:top w:val="nil"/>
              <w:left w:val="nil"/>
              <w:bottom w:val="single" w:color="auto" w:sz="4" w:space="0"/>
              <w:right w:val="single" w:color="auto" w:sz="4" w:space="0"/>
            </w:tcBorders>
            <w:shd w:val="clear" w:color="auto" w:fill="auto"/>
            <w:vAlign w:val="center"/>
          </w:tcPr>
          <w:p>
            <w:pPr>
              <w:widowControl/>
              <w:jc w:val="center"/>
              <w:rPr>
                <w:rFonts w:hint="eastAsia" w:ascii="Arial Narrow" w:hAnsi="Arial Narrow" w:eastAsia="仿宋_GB2312" w:cs="宋体"/>
                <w:color w:val="000000"/>
                <w:kern w:val="0"/>
                <w:sz w:val="24"/>
                <w:lang w:eastAsia="zh-CN"/>
              </w:rPr>
            </w:pPr>
            <w:r>
              <w:rPr>
                <w:rFonts w:ascii="Arial Narrow" w:hAnsi="Arial Narrow" w:cs="宋体"/>
                <w:color w:val="000000"/>
                <w:kern w:val="0"/>
                <w:sz w:val="24"/>
              </w:rPr>
              <w:t>资金到位率</w:t>
            </w:r>
          </w:p>
          <w:p>
            <w:pPr>
              <w:widowControl/>
              <w:jc w:val="center"/>
              <w:rPr>
                <w:rFonts w:ascii="Arial Narrow" w:hAnsi="Arial Narrow" w:cs="宋体"/>
                <w:color w:val="000000"/>
                <w:kern w:val="0"/>
                <w:sz w:val="24"/>
              </w:rPr>
            </w:pPr>
            <w:r>
              <w:rPr>
                <w:rFonts w:ascii="Arial Narrow" w:hAnsi="Arial Narrow" w:cs="宋体"/>
                <w:color w:val="000000"/>
                <w:kern w:val="0"/>
                <w:sz w:val="24"/>
              </w:rPr>
              <w:t>（4）</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Arial Narrow" w:hAnsi="Arial Narrow" w:cs="宋体"/>
                <w:kern w:val="0"/>
                <w:sz w:val="24"/>
              </w:rPr>
            </w:pPr>
            <w:r>
              <w:rPr>
                <w:rFonts w:ascii="Arial Narrow" w:hAnsi="Arial Narrow" w:cs="宋体"/>
                <w:kern w:val="0"/>
                <w:sz w:val="24"/>
              </w:rPr>
              <w:t>100%</w:t>
            </w:r>
          </w:p>
        </w:tc>
        <w:tc>
          <w:tcPr>
            <w:tcW w:w="851"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计划标准</w:t>
            </w:r>
          </w:p>
        </w:tc>
        <w:tc>
          <w:tcPr>
            <w:tcW w:w="5812"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资金到位率=（实际到位资金/计划投入资金）×100%，达到100%计4分，每降低10%，扣0.5分</w:t>
            </w:r>
          </w:p>
        </w:tc>
      </w:tr>
      <w:tr>
        <w:tblPrEx>
          <w:tblCellMar>
            <w:top w:w="0" w:type="dxa"/>
            <w:left w:w="108" w:type="dxa"/>
            <w:bottom w:w="0" w:type="dxa"/>
            <w:right w:w="108" w:type="dxa"/>
          </w:tblCellMar>
        </w:tblPrEx>
        <w:trPr>
          <w:trHeight w:val="970"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Arial Narrow" w:cs="宋体"/>
                <w:kern w:val="0"/>
                <w:sz w:val="24"/>
              </w:rPr>
            </w:pPr>
          </w:p>
        </w:tc>
        <w:tc>
          <w:tcPr>
            <w:tcW w:w="1564" w:type="dxa"/>
            <w:tcBorders>
              <w:top w:val="nil"/>
              <w:left w:val="nil"/>
              <w:bottom w:val="single" w:color="auto" w:sz="4" w:space="0"/>
              <w:right w:val="single" w:color="auto" w:sz="4" w:space="0"/>
            </w:tcBorders>
            <w:shd w:val="clear" w:color="auto" w:fill="auto"/>
            <w:vAlign w:val="center"/>
          </w:tcPr>
          <w:p>
            <w:pPr>
              <w:widowControl/>
              <w:jc w:val="center"/>
              <w:rPr>
                <w:rFonts w:hint="eastAsia" w:ascii="Arial Narrow" w:hAnsi="Arial Narrow" w:eastAsia="仿宋_GB2312" w:cs="宋体"/>
                <w:color w:val="000000"/>
                <w:kern w:val="0"/>
                <w:sz w:val="24"/>
                <w:lang w:eastAsia="zh-CN"/>
              </w:rPr>
            </w:pPr>
            <w:r>
              <w:rPr>
                <w:rFonts w:ascii="Arial Narrow" w:hAnsi="Arial Narrow" w:cs="宋体"/>
                <w:color w:val="000000"/>
                <w:kern w:val="0"/>
                <w:sz w:val="24"/>
              </w:rPr>
              <w:t>到位及时率</w:t>
            </w:r>
          </w:p>
          <w:p>
            <w:pPr>
              <w:widowControl/>
              <w:jc w:val="center"/>
              <w:rPr>
                <w:rFonts w:ascii="Arial Narrow" w:hAnsi="Arial Narrow" w:cs="宋体"/>
                <w:color w:val="000000"/>
                <w:kern w:val="0"/>
                <w:sz w:val="24"/>
              </w:rPr>
            </w:pPr>
            <w:r>
              <w:rPr>
                <w:rFonts w:ascii="Arial Narrow" w:hAnsi="Arial Narrow" w:cs="宋体"/>
                <w:color w:val="000000"/>
                <w:kern w:val="0"/>
                <w:sz w:val="24"/>
              </w:rPr>
              <w:t>（4）</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Arial Narrow" w:hAnsi="Arial Narrow" w:cs="宋体"/>
                <w:kern w:val="0"/>
                <w:sz w:val="24"/>
              </w:rPr>
            </w:pPr>
            <w:r>
              <w:rPr>
                <w:rFonts w:ascii="Arial Narrow" w:hAnsi="Arial Narrow" w:cs="宋体"/>
                <w:kern w:val="0"/>
                <w:sz w:val="24"/>
              </w:rPr>
              <w:t>100%</w:t>
            </w:r>
          </w:p>
        </w:tc>
        <w:tc>
          <w:tcPr>
            <w:tcW w:w="851"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计划标准</w:t>
            </w:r>
          </w:p>
        </w:tc>
        <w:tc>
          <w:tcPr>
            <w:tcW w:w="5812"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到位及时率=（及时到位资金/应到位资金）×100%，达到100%计4分，每降低10%，扣0.5分</w:t>
            </w:r>
          </w:p>
        </w:tc>
      </w:tr>
      <w:tr>
        <w:tblPrEx>
          <w:tblCellMar>
            <w:top w:w="0" w:type="dxa"/>
            <w:left w:w="108" w:type="dxa"/>
            <w:bottom w:w="0" w:type="dxa"/>
            <w:right w:w="108" w:type="dxa"/>
          </w:tblCellMar>
        </w:tblPrEx>
        <w:trPr>
          <w:trHeight w:val="1110" w:hRule="atLeast"/>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Arial Narrow" w:eastAsia="仿宋_GB2312" w:cs="宋体"/>
                <w:kern w:val="0"/>
                <w:sz w:val="24"/>
                <w:lang w:eastAsia="zh-CN"/>
              </w:rPr>
            </w:pPr>
            <w:r>
              <w:rPr>
                <w:rFonts w:hint="eastAsia" w:ascii="仿宋_GB2312" w:hAnsi="Arial Narrow" w:cs="宋体"/>
                <w:kern w:val="0"/>
                <w:sz w:val="24"/>
              </w:rPr>
              <w:t>项目</w:t>
            </w:r>
          </w:p>
          <w:p>
            <w:pPr>
              <w:widowControl/>
              <w:jc w:val="center"/>
              <w:rPr>
                <w:rFonts w:ascii="仿宋_GB2312" w:hAnsi="Arial Narrow" w:cs="宋体"/>
                <w:kern w:val="0"/>
                <w:sz w:val="24"/>
              </w:rPr>
            </w:pPr>
            <w:r>
              <w:rPr>
                <w:rFonts w:hint="eastAsia" w:ascii="仿宋_GB2312" w:hAnsi="Arial Narrow" w:cs="宋体"/>
                <w:kern w:val="0"/>
                <w:sz w:val="24"/>
              </w:rPr>
              <w:t>管理</w:t>
            </w:r>
          </w:p>
        </w:tc>
        <w:tc>
          <w:tcPr>
            <w:tcW w:w="1564" w:type="dxa"/>
            <w:tcBorders>
              <w:top w:val="nil"/>
              <w:left w:val="nil"/>
              <w:bottom w:val="single" w:color="auto" w:sz="4" w:space="0"/>
              <w:right w:val="single" w:color="auto" w:sz="4" w:space="0"/>
            </w:tcBorders>
            <w:shd w:val="clear" w:color="auto" w:fill="auto"/>
            <w:vAlign w:val="center"/>
          </w:tcPr>
          <w:p>
            <w:pPr>
              <w:widowControl/>
              <w:jc w:val="center"/>
              <w:rPr>
                <w:rFonts w:hint="eastAsia" w:ascii="Arial Narrow" w:hAnsi="Arial Narrow" w:eastAsia="仿宋_GB2312" w:cs="宋体"/>
                <w:color w:val="000000"/>
                <w:kern w:val="0"/>
                <w:sz w:val="24"/>
                <w:lang w:eastAsia="zh-CN"/>
              </w:rPr>
            </w:pPr>
            <w:r>
              <w:rPr>
                <w:rFonts w:ascii="Arial Narrow" w:hAnsi="Arial Narrow" w:cs="宋体"/>
                <w:color w:val="000000"/>
                <w:kern w:val="0"/>
                <w:sz w:val="24"/>
              </w:rPr>
              <w:t>管理制度健全性</w:t>
            </w:r>
          </w:p>
          <w:p>
            <w:pPr>
              <w:widowControl/>
              <w:jc w:val="center"/>
              <w:rPr>
                <w:rFonts w:ascii="Arial Narrow" w:hAnsi="Arial Narrow" w:cs="宋体"/>
                <w:color w:val="000000"/>
                <w:kern w:val="0"/>
                <w:sz w:val="24"/>
              </w:rPr>
            </w:pPr>
            <w:r>
              <w:rPr>
                <w:rFonts w:ascii="Arial Narrow" w:hAnsi="Arial Narrow" w:cs="宋体"/>
                <w:color w:val="000000"/>
                <w:kern w:val="0"/>
                <w:sz w:val="24"/>
              </w:rPr>
              <w:t>（4）</w:t>
            </w:r>
          </w:p>
        </w:tc>
        <w:tc>
          <w:tcPr>
            <w:tcW w:w="850"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　</w:t>
            </w:r>
          </w:p>
        </w:tc>
        <w:tc>
          <w:tcPr>
            <w:tcW w:w="5812" w:type="dxa"/>
            <w:tcBorders>
              <w:top w:val="nil"/>
              <w:left w:val="nil"/>
              <w:bottom w:val="single" w:color="auto" w:sz="4" w:space="0"/>
              <w:right w:val="single" w:color="auto" w:sz="4" w:space="0"/>
            </w:tcBorders>
            <w:shd w:val="clear" w:color="auto" w:fill="auto"/>
            <w:vAlign w:val="center"/>
          </w:tcPr>
          <w:p>
            <w:pPr>
              <w:widowControl/>
              <w:jc w:val="left"/>
              <w:rPr>
                <w:rFonts w:hint="eastAsia" w:ascii="Arial Narrow" w:hAnsi="Arial Narrow" w:eastAsia="仿宋_GB2312" w:cs="宋体"/>
                <w:kern w:val="0"/>
                <w:sz w:val="24"/>
                <w:lang w:eastAsia="zh-CN"/>
              </w:rPr>
            </w:pPr>
            <w:r>
              <w:rPr>
                <w:rFonts w:ascii="Arial Narrow" w:hAnsi="Arial Narrow" w:cs="宋体"/>
                <w:kern w:val="0"/>
                <w:sz w:val="24"/>
              </w:rPr>
              <w:t>项目实施单位已制定或具有相应的业务管理制度，计2分；</w:t>
            </w:r>
          </w:p>
          <w:p>
            <w:pPr>
              <w:widowControl/>
              <w:jc w:val="left"/>
              <w:rPr>
                <w:rFonts w:ascii="Arial Narrow" w:hAnsi="Arial Narrow" w:cs="宋体"/>
                <w:kern w:val="0"/>
                <w:sz w:val="24"/>
              </w:rPr>
            </w:pPr>
            <w:r>
              <w:rPr>
                <w:rFonts w:ascii="Arial Narrow" w:hAnsi="Arial Narrow" w:cs="宋体"/>
                <w:kern w:val="0"/>
                <w:sz w:val="24"/>
              </w:rPr>
              <w:t>业务管理制度是否合法、合规、完整，计2分。</w:t>
            </w:r>
          </w:p>
        </w:tc>
      </w:tr>
      <w:tr>
        <w:tblPrEx>
          <w:tblCellMar>
            <w:top w:w="0" w:type="dxa"/>
            <w:left w:w="108" w:type="dxa"/>
            <w:bottom w:w="0" w:type="dxa"/>
            <w:right w:w="108" w:type="dxa"/>
          </w:tblCellMar>
        </w:tblPrEx>
        <w:trPr>
          <w:trHeight w:val="1770"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Arial Narrow" w:cs="宋体"/>
                <w:kern w:val="0"/>
                <w:sz w:val="24"/>
              </w:rPr>
            </w:pPr>
          </w:p>
        </w:tc>
        <w:tc>
          <w:tcPr>
            <w:tcW w:w="1564" w:type="dxa"/>
            <w:tcBorders>
              <w:top w:val="nil"/>
              <w:left w:val="nil"/>
              <w:bottom w:val="single" w:color="auto" w:sz="4" w:space="0"/>
              <w:right w:val="single" w:color="auto" w:sz="4" w:space="0"/>
            </w:tcBorders>
            <w:shd w:val="clear" w:color="auto" w:fill="auto"/>
            <w:vAlign w:val="center"/>
          </w:tcPr>
          <w:p>
            <w:pPr>
              <w:widowControl/>
              <w:jc w:val="center"/>
              <w:rPr>
                <w:rFonts w:hint="eastAsia" w:ascii="Arial Narrow" w:hAnsi="Arial Narrow" w:eastAsia="仿宋_GB2312" w:cs="宋体"/>
                <w:color w:val="000000"/>
                <w:kern w:val="0"/>
                <w:sz w:val="24"/>
                <w:lang w:eastAsia="zh-CN"/>
              </w:rPr>
            </w:pPr>
            <w:r>
              <w:rPr>
                <w:rFonts w:ascii="Arial Narrow" w:hAnsi="Arial Narrow" w:cs="宋体"/>
                <w:color w:val="000000"/>
                <w:kern w:val="0"/>
                <w:sz w:val="24"/>
              </w:rPr>
              <w:t>制度执行有效性</w:t>
            </w:r>
          </w:p>
          <w:p>
            <w:pPr>
              <w:widowControl/>
              <w:jc w:val="center"/>
              <w:rPr>
                <w:rFonts w:ascii="Arial Narrow" w:hAnsi="Arial Narrow" w:cs="宋体"/>
                <w:color w:val="000000"/>
                <w:kern w:val="0"/>
                <w:sz w:val="24"/>
              </w:rPr>
            </w:pPr>
            <w:r>
              <w:rPr>
                <w:rFonts w:ascii="Arial Narrow" w:hAnsi="Arial Narrow" w:cs="宋体"/>
                <w:color w:val="000000"/>
                <w:kern w:val="0"/>
                <w:sz w:val="24"/>
              </w:rPr>
              <w:t>（4）</w:t>
            </w:r>
          </w:p>
        </w:tc>
        <w:tc>
          <w:tcPr>
            <w:tcW w:w="850"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　</w:t>
            </w:r>
          </w:p>
        </w:tc>
        <w:tc>
          <w:tcPr>
            <w:tcW w:w="5812" w:type="dxa"/>
            <w:tcBorders>
              <w:top w:val="nil"/>
              <w:left w:val="nil"/>
              <w:bottom w:val="single" w:color="auto" w:sz="4" w:space="0"/>
              <w:right w:val="single" w:color="auto" w:sz="4" w:space="0"/>
            </w:tcBorders>
            <w:shd w:val="clear" w:color="auto" w:fill="auto"/>
            <w:vAlign w:val="center"/>
          </w:tcPr>
          <w:p>
            <w:pPr>
              <w:widowControl/>
              <w:jc w:val="left"/>
              <w:rPr>
                <w:rFonts w:hint="eastAsia" w:ascii="Arial Narrow" w:hAnsi="Arial Narrow" w:eastAsia="仿宋_GB2312" w:cs="宋体"/>
                <w:kern w:val="0"/>
                <w:sz w:val="24"/>
                <w:lang w:eastAsia="zh-CN"/>
              </w:rPr>
            </w:pPr>
            <w:r>
              <w:rPr>
                <w:rFonts w:ascii="Arial Narrow" w:hAnsi="Arial Narrow" w:cs="宋体"/>
                <w:kern w:val="0"/>
                <w:sz w:val="24"/>
              </w:rPr>
              <w:t>项目实施过程遵守相关法律法规和业务管理规定计1分；</w:t>
            </w:r>
          </w:p>
          <w:p>
            <w:pPr>
              <w:widowControl/>
              <w:jc w:val="left"/>
              <w:rPr>
                <w:rFonts w:ascii="Arial Narrow" w:hAnsi="Arial Narrow" w:cs="宋体"/>
                <w:kern w:val="0"/>
                <w:sz w:val="24"/>
              </w:rPr>
            </w:pPr>
            <w:r>
              <w:rPr>
                <w:rFonts w:ascii="Arial Narrow" w:hAnsi="Arial Narrow" w:cs="宋体"/>
                <w:kern w:val="0"/>
                <w:sz w:val="24"/>
              </w:rPr>
              <w:t>项目调整及支出调整手续完备计1分，项目管理及实施流程等各项资料齐全并及时归档计1分；项目实施的人员条件、场地设备、信息支撑等落实到位计1分。</w:t>
            </w:r>
          </w:p>
        </w:tc>
      </w:tr>
      <w:tr>
        <w:tblPrEx>
          <w:tblCellMar>
            <w:top w:w="0" w:type="dxa"/>
            <w:left w:w="108" w:type="dxa"/>
            <w:bottom w:w="0" w:type="dxa"/>
            <w:right w:w="108" w:type="dxa"/>
          </w:tblCellMar>
        </w:tblPrEx>
        <w:trPr>
          <w:trHeight w:val="1250"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Arial Narrow" w:cs="宋体"/>
                <w:kern w:val="0"/>
                <w:sz w:val="24"/>
              </w:rPr>
            </w:pPr>
          </w:p>
        </w:tc>
        <w:tc>
          <w:tcPr>
            <w:tcW w:w="1564" w:type="dxa"/>
            <w:tcBorders>
              <w:top w:val="nil"/>
              <w:left w:val="nil"/>
              <w:bottom w:val="single" w:color="auto" w:sz="4" w:space="0"/>
              <w:right w:val="single" w:color="auto" w:sz="4" w:space="0"/>
            </w:tcBorders>
            <w:shd w:val="clear" w:color="auto" w:fill="auto"/>
            <w:vAlign w:val="center"/>
          </w:tcPr>
          <w:p>
            <w:pPr>
              <w:widowControl/>
              <w:jc w:val="center"/>
              <w:rPr>
                <w:rFonts w:hint="eastAsia" w:ascii="Arial Narrow" w:hAnsi="Arial Narrow" w:eastAsia="仿宋_GB2312" w:cs="宋体"/>
                <w:color w:val="000000"/>
                <w:kern w:val="0"/>
                <w:sz w:val="24"/>
                <w:lang w:eastAsia="zh-CN"/>
              </w:rPr>
            </w:pPr>
            <w:r>
              <w:rPr>
                <w:rFonts w:ascii="Arial Narrow" w:hAnsi="Arial Narrow" w:cs="宋体"/>
                <w:color w:val="000000"/>
                <w:kern w:val="0"/>
                <w:sz w:val="24"/>
              </w:rPr>
              <w:t>项目质量可控性</w:t>
            </w:r>
          </w:p>
          <w:p>
            <w:pPr>
              <w:widowControl/>
              <w:jc w:val="center"/>
              <w:rPr>
                <w:rFonts w:ascii="Arial Narrow" w:hAnsi="Arial Narrow" w:cs="宋体"/>
                <w:color w:val="000000"/>
                <w:kern w:val="0"/>
                <w:sz w:val="24"/>
              </w:rPr>
            </w:pPr>
            <w:r>
              <w:rPr>
                <w:rFonts w:ascii="Arial Narrow" w:hAnsi="Arial Narrow" w:cs="宋体"/>
                <w:color w:val="000000"/>
                <w:kern w:val="0"/>
                <w:sz w:val="24"/>
              </w:rPr>
              <w:t>（4）</w:t>
            </w:r>
          </w:p>
        </w:tc>
        <w:tc>
          <w:tcPr>
            <w:tcW w:w="850"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　</w:t>
            </w:r>
          </w:p>
        </w:tc>
        <w:tc>
          <w:tcPr>
            <w:tcW w:w="5812"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项目实施单位已制定或具有相应的项目质量要求或标准计2分；采取了相应的项目质量检查、验收等必需的控制措施或手段计2分。</w:t>
            </w:r>
          </w:p>
        </w:tc>
      </w:tr>
      <w:tr>
        <w:tblPrEx>
          <w:tblCellMar>
            <w:top w:w="0" w:type="dxa"/>
            <w:left w:w="108" w:type="dxa"/>
            <w:bottom w:w="0" w:type="dxa"/>
            <w:right w:w="108" w:type="dxa"/>
          </w:tblCellMar>
        </w:tblPrEx>
        <w:trPr>
          <w:trHeight w:val="1250" w:hRule="atLeast"/>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Arial Narrow" w:eastAsia="仿宋_GB2312" w:cs="宋体"/>
                <w:kern w:val="0"/>
                <w:sz w:val="24"/>
                <w:lang w:eastAsia="zh-CN"/>
              </w:rPr>
            </w:pPr>
            <w:r>
              <w:rPr>
                <w:rFonts w:hint="eastAsia" w:ascii="仿宋_GB2312" w:hAnsi="Arial Narrow" w:cs="宋体"/>
                <w:kern w:val="0"/>
                <w:sz w:val="24"/>
              </w:rPr>
              <w:t>财务</w:t>
            </w:r>
          </w:p>
          <w:p>
            <w:pPr>
              <w:widowControl/>
              <w:jc w:val="center"/>
              <w:rPr>
                <w:rFonts w:ascii="仿宋_GB2312" w:hAnsi="Arial Narrow" w:cs="宋体"/>
                <w:kern w:val="0"/>
                <w:sz w:val="24"/>
              </w:rPr>
            </w:pPr>
            <w:r>
              <w:rPr>
                <w:rFonts w:hint="eastAsia" w:ascii="仿宋_GB2312" w:hAnsi="Arial Narrow" w:cs="宋体"/>
                <w:kern w:val="0"/>
                <w:sz w:val="24"/>
              </w:rPr>
              <w:t>管理</w:t>
            </w:r>
          </w:p>
        </w:tc>
        <w:tc>
          <w:tcPr>
            <w:tcW w:w="1564" w:type="dxa"/>
            <w:tcBorders>
              <w:top w:val="nil"/>
              <w:left w:val="nil"/>
              <w:bottom w:val="single" w:color="auto" w:sz="4" w:space="0"/>
              <w:right w:val="single" w:color="auto" w:sz="4" w:space="0"/>
            </w:tcBorders>
            <w:shd w:val="clear" w:color="auto" w:fill="auto"/>
            <w:vAlign w:val="center"/>
          </w:tcPr>
          <w:p>
            <w:pPr>
              <w:widowControl/>
              <w:jc w:val="center"/>
              <w:rPr>
                <w:rFonts w:hint="eastAsia" w:ascii="Arial Narrow" w:hAnsi="Arial Narrow" w:eastAsia="仿宋_GB2312" w:cs="宋体"/>
                <w:color w:val="000000"/>
                <w:kern w:val="0"/>
                <w:sz w:val="24"/>
                <w:lang w:eastAsia="zh-CN"/>
              </w:rPr>
            </w:pPr>
            <w:r>
              <w:rPr>
                <w:rFonts w:ascii="Arial Narrow" w:hAnsi="Arial Narrow" w:cs="宋体"/>
                <w:color w:val="000000"/>
                <w:kern w:val="0"/>
                <w:sz w:val="24"/>
              </w:rPr>
              <w:t>管理制度健全性</w:t>
            </w:r>
          </w:p>
          <w:p>
            <w:pPr>
              <w:widowControl/>
              <w:jc w:val="center"/>
              <w:rPr>
                <w:rFonts w:ascii="Arial Narrow" w:hAnsi="Arial Narrow" w:cs="宋体"/>
                <w:color w:val="000000"/>
                <w:kern w:val="0"/>
                <w:sz w:val="24"/>
              </w:rPr>
            </w:pPr>
            <w:r>
              <w:rPr>
                <w:rFonts w:ascii="Arial Narrow" w:hAnsi="Arial Narrow" w:cs="宋体"/>
                <w:color w:val="000000"/>
                <w:kern w:val="0"/>
                <w:sz w:val="24"/>
              </w:rPr>
              <w:t>（4）</w:t>
            </w:r>
          </w:p>
        </w:tc>
        <w:tc>
          <w:tcPr>
            <w:tcW w:w="850"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　</w:t>
            </w:r>
          </w:p>
        </w:tc>
        <w:tc>
          <w:tcPr>
            <w:tcW w:w="5812"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项目实施单位已制定或具有相应的项目资金管理办法计2分；项目资金管理办法符合相关财务会计制度的规定计2分。</w:t>
            </w:r>
          </w:p>
        </w:tc>
      </w:tr>
      <w:tr>
        <w:tblPrEx>
          <w:tblCellMar>
            <w:top w:w="0" w:type="dxa"/>
            <w:left w:w="108" w:type="dxa"/>
            <w:bottom w:w="0" w:type="dxa"/>
            <w:right w:w="108" w:type="dxa"/>
          </w:tblCellMar>
        </w:tblPrEx>
        <w:trPr>
          <w:trHeight w:val="1920"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Arial Narrow" w:cs="宋体"/>
                <w:kern w:val="0"/>
                <w:sz w:val="24"/>
              </w:rPr>
            </w:pPr>
          </w:p>
        </w:tc>
        <w:tc>
          <w:tcPr>
            <w:tcW w:w="1564" w:type="dxa"/>
            <w:tcBorders>
              <w:top w:val="nil"/>
              <w:left w:val="nil"/>
              <w:bottom w:val="single" w:color="auto" w:sz="4" w:space="0"/>
              <w:right w:val="single" w:color="auto" w:sz="4" w:space="0"/>
            </w:tcBorders>
            <w:shd w:val="clear" w:color="auto" w:fill="auto"/>
            <w:vAlign w:val="center"/>
          </w:tcPr>
          <w:p>
            <w:pPr>
              <w:widowControl/>
              <w:jc w:val="center"/>
              <w:rPr>
                <w:rFonts w:hint="eastAsia" w:ascii="Arial Narrow" w:hAnsi="Arial Narrow" w:eastAsia="仿宋_GB2312" w:cs="宋体"/>
                <w:color w:val="000000"/>
                <w:kern w:val="0"/>
                <w:sz w:val="24"/>
                <w:lang w:eastAsia="zh-CN"/>
              </w:rPr>
            </w:pPr>
            <w:r>
              <w:rPr>
                <w:rFonts w:ascii="Arial Narrow" w:hAnsi="Arial Narrow" w:cs="宋体"/>
                <w:color w:val="000000"/>
                <w:kern w:val="0"/>
                <w:sz w:val="24"/>
              </w:rPr>
              <w:t>资金使用合规性</w:t>
            </w:r>
          </w:p>
          <w:p>
            <w:pPr>
              <w:widowControl/>
              <w:jc w:val="center"/>
              <w:rPr>
                <w:rFonts w:ascii="Arial Narrow" w:hAnsi="Arial Narrow" w:cs="宋体"/>
                <w:color w:val="000000"/>
                <w:kern w:val="0"/>
                <w:sz w:val="24"/>
              </w:rPr>
            </w:pPr>
            <w:r>
              <w:rPr>
                <w:rFonts w:ascii="Arial Narrow" w:hAnsi="Arial Narrow" w:cs="宋体"/>
                <w:color w:val="000000"/>
                <w:kern w:val="0"/>
                <w:sz w:val="24"/>
              </w:rPr>
              <w:t>（4）</w:t>
            </w:r>
          </w:p>
        </w:tc>
        <w:tc>
          <w:tcPr>
            <w:tcW w:w="850"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　</w:t>
            </w:r>
          </w:p>
        </w:tc>
        <w:tc>
          <w:tcPr>
            <w:tcW w:w="5812"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项目支出符合国家财经法规和财务管理制度以及有关专项资金管理办法的规定计1分；资金的拨付有完整的审批程序和手续计1分；符合项目预算批复或合同规定的用途计1分，不存在截留、挤占、挪用、虚列支出等情况计1分。</w:t>
            </w:r>
          </w:p>
        </w:tc>
      </w:tr>
      <w:tr>
        <w:tblPrEx>
          <w:tblCellMar>
            <w:top w:w="0" w:type="dxa"/>
            <w:left w:w="108" w:type="dxa"/>
            <w:bottom w:w="0" w:type="dxa"/>
            <w:right w:w="108" w:type="dxa"/>
          </w:tblCellMar>
        </w:tblPrEx>
        <w:trPr>
          <w:trHeight w:val="1320"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Arial Narrow" w:cs="宋体"/>
                <w:kern w:val="0"/>
                <w:sz w:val="24"/>
              </w:rPr>
            </w:pPr>
          </w:p>
        </w:tc>
        <w:tc>
          <w:tcPr>
            <w:tcW w:w="1564" w:type="dxa"/>
            <w:tcBorders>
              <w:top w:val="nil"/>
              <w:left w:val="nil"/>
              <w:bottom w:val="single" w:color="auto" w:sz="4" w:space="0"/>
              <w:right w:val="single" w:color="auto" w:sz="4" w:space="0"/>
            </w:tcBorders>
            <w:shd w:val="clear" w:color="auto" w:fill="auto"/>
            <w:vAlign w:val="center"/>
          </w:tcPr>
          <w:p>
            <w:pPr>
              <w:widowControl/>
              <w:jc w:val="center"/>
              <w:rPr>
                <w:rFonts w:hint="eastAsia" w:ascii="Arial Narrow" w:hAnsi="Arial Narrow" w:eastAsia="仿宋_GB2312" w:cs="宋体"/>
                <w:color w:val="000000"/>
                <w:kern w:val="0"/>
                <w:sz w:val="24"/>
                <w:lang w:eastAsia="zh-CN"/>
              </w:rPr>
            </w:pPr>
            <w:r>
              <w:rPr>
                <w:rFonts w:ascii="Arial Narrow" w:hAnsi="Arial Narrow" w:cs="宋体"/>
                <w:color w:val="000000"/>
                <w:kern w:val="0"/>
                <w:sz w:val="24"/>
              </w:rPr>
              <w:t>财务监控有效性</w:t>
            </w:r>
          </w:p>
          <w:p>
            <w:pPr>
              <w:widowControl/>
              <w:jc w:val="center"/>
              <w:rPr>
                <w:rFonts w:ascii="Arial Narrow" w:hAnsi="Arial Narrow" w:cs="宋体"/>
                <w:color w:val="000000"/>
                <w:kern w:val="0"/>
                <w:sz w:val="24"/>
              </w:rPr>
            </w:pPr>
            <w:r>
              <w:rPr>
                <w:rFonts w:ascii="Arial Narrow" w:hAnsi="Arial Narrow" w:cs="宋体"/>
                <w:color w:val="000000"/>
                <w:kern w:val="0"/>
                <w:sz w:val="24"/>
              </w:rPr>
              <w:t>（4）</w:t>
            </w:r>
          </w:p>
        </w:tc>
        <w:tc>
          <w:tcPr>
            <w:tcW w:w="850"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　</w:t>
            </w:r>
          </w:p>
        </w:tc>
        <w:tc>
          <w:tcPr>
            <w:tcW w:w="5812"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项目实施单位已制定或具有相应的监控机制计2分；采取了相应的财务检查等必要的监控措施或手段计2分。</w:t>
            </w:r>
          </w:p>
        </w:tc>
      </w:tr>
      <w:tr>
        <w:tblPrEx>
          <w:tblCellMar>
            <w:top w:w="0" w:type="dxa"/>
            <w:left w:w="108" w:type="dxa"/>
            <w:bottom w:w="0" w:type="dxa"/>
            <w:right w:w="108" w:type="dxa"/>
          </w:tblCellMar>
        </w:tblPrEx>
        <w:trPr>
          <w:trHeight w:val="1320" w:hRule="atLeast"/>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Arial Narrow" w:eastAsia="仿宋_GB2312" w:cs="宋体"/>
                <w:kern w:val="0"/>
                <w:sz w:val="24"/>
                <w:lang w:eastAsia="zh-CN"/>
              </w:rPr>
            </w:pPr>
            <w:r>
              <w:rPr>
                <w:rFonts w:hint="eastAsia" w:ascii="仿宋_GB2312" w:hAnsi="Arial Narrow" w:cs="宋体"/>
                <w:kern w:val="0"/>
                <w:sz w:val="24"/>
              </w:rPr>
              <w:t>项目</w:t>
            </w:r>
          </w:p>
          <w:p>
            <w:pPr>
              <w:widowControl/>
              <w:jc w:val="center"/>
              <w:rPr>
                <w:rFonts w:ascii="仿宋_GB2312" w:hAnsi="Arial Narrow" w:cs="宋体"/>
                <w:kern w:val="0"/>
                <w:sz w:val="24"/>
              </w:rPr>
            </w:pPr>
            <w:r>
              <w:rPr>
                <w:rFonts w:hint="eastAsia" w:ascii="仿宋_GB2312" w:hAnsi="Arial Narrow" w:cs="宋体"/>
                <w:kern w:val="0"/>
                <w:sz w:val="24"/>
              </w:rPr>
              <w:t>产出</w:t>
            </w:r>
          </w:p>
        </w:tc>
        <w:tc>
          <w:tcPr>
            <w:tcW w:w="1564" w:type="dxa"/>
            <w:tcBorders>
              <w:top w:val="nil"/>
              <w:left w:val="nil"/>
              <w:bottom w:val="single" w:color="auto" w:sz="4" w:space="0"/>
              <w:right w:val="single" w:color="auto" w:sz="4" w:space="0"/>
            </w:tcBorders>
            <w:shd w:val="clear" w:color="auto" w:fill="auto"/>
            <w:vAlign w:val="center"/>
          </w:tcPr>
          <w:p>
            <w:pPr>
              <w:widowControl/>
              <w:jc w:val="center"/>
              <w:rPr>
                <w:rFonts w:hint="eastAsia" w:ascii="Arial Narrow" w:hAnsi="Arial Narrow" w:eastAsia="仿宋_GB2312" w:cs="宋体"/>
                <w:kern w:val="0"/>
                <w:sz w:val="24"/>
                <w:lang w:eastAsia="zh-CN"/>
              </w:rPr>
            </w:pPr>
            <w:r>
              <w:rPr>
                <w:rFonts w:ascii="Arial Narrow" w:hAnsi="Arial Narrow" w:cs="宋体"/>
                <w:kern w:val="0"/>
                <w:sz w:val="24"/>
              </w:rPr>
              <w:t>安全检查活动举办完成率</w:t>
            </w:r>
          </w:p>
          <w:p>
            <w:pPr>
              <w:widowControl/>
              <w:jc w:val="center"/>
              <w:rPr>
                <w:rFonts w:ascii="Arial Narrow" w:hAnsi="Arial Narrow" w:cs="宋体"/>
                <w:kern w:val="0"/>
                <w:sz w:val="24"/>
              </w:rPr>
            </w:pPr>
            <w:r>
              <w:rPr>
                <w:rFonts w:ascii="Arial Narrow" w:hAnsi="Arial Narrow" w:cs="宋体"/>
                <w:kern w:val="0"/>
                <w:sz w:val="24"/>
              </w:rPr>
              <w:t>（5）</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Arial Narrow" w:hAnsi="Arial Narrow" w:cs="宋体"/>
                <w:kern w:val="0"/>
                <w:sz w:val="24"/>
              </w:rPr>
            </w:pPr>
            <w:r>
              <w:rPr>
                <w:rFonts w:ascii="Arial Narrow" w:hAnsi="Arial Narrow" w:cs="宋体"/>
                <w:kern w:val="0"/>
                <w:sz w:val="24"/>
              </w:rPr>
              <w:t>≥100%</w:t>
            </w:r>
          </w:p>
        </w:tc>
        <w:tc>
          <w:tcPr>
            <w:tcW w:w="851"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计划标准</w:t>
            </w:r>
          </w:p>
        </w:tc>
        <w:tc>
          <w:tcPr>
            <w:tcW w:w="5812"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安全检查活动举办完成率=（实际安全检查次数/计划安全检查次数）×100%，超过100%得5分，每降低5%扣1分。</w:t>
            </w:r>
          </w:p>
        </w:tc>
      </w:tr>
      <w:tr>
        <w:tblPrEx>
          <w:tblCellMar>
            <w:top w:w="0" w:type="dxa"/>
            <w:left w:w="108" w:type="dxa"/>
            <w:bottom w:w="0" w:type="dxa"/>
            <w:right w:w="108" w:type="dxa"/>
          </w:tblCellMar>
        </w:tblPrEx>
        <w:trPr>
          <w:trHeight w:val="1320"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Arial Narrow" w:cs="宋体"/>
                <w:kern w:val="0"/>
                <w:sz w:val="24"/>
              </w:rPr>
            </w:pPr>
          </w:p>
        </w:tc>
        <w:tc>
          <w:tcPr>
            <w:tcW w:w="1564" w:type="dxa"/>
            <w:tcBorders>
              <w:top w:val="nil"/>
              <w:left w:val="nil"/>
              <w:bottom w:val="single" w:color="auto" w:sz="4" w:space="0"/>
              <w:right w:val="single" w:color="auto" w:sz="4" w:space="0"/>
            </w:tcBorders>
            <w:shd w:val="clear" w:color="auto" w:fill="auto"/>
            <w:vAlign w:val="center"/>
          </w:tcPr>
          <w:p>
            <w:pPr>
              <w:widowControl/>
              <w:jc w:val="center"/>
              <w:rPr>
                <w:rFonts w:hint="eastAsia" w:ascii="Arial Narrow" w:hAnsi="Arial Narrow" w:eastAsia="仿宋_GB2312" w:cs="宋体"/>
                <w:kern w:val="0"/>
                <w:sz w:val="24"/>
                <w:lang w:eastAsia="zh-CN"/>
              </w:rPr>
            </w:pPr>
            <w:r>
              <w:rPr>
                <w:rFonts w:ascii="Arial Narrow" w:hAnsi="Arial Narrow" w:cs="宋体"/>
                <w:kern w:val="0"/>
                <w:sz w:val="24"/>
              </w:rPr>
              <w:t>交通运输应急预案编制完成率</w:t>
            </w:r>
          </w:p>
          <w:p>
            <w:pPr>
              <w:widowControl/>
              <w:jc w:val="center"/>
              <w:rPr>
                <w:rFonts w:ascii="Arial Narrow" w:hAnsi="Arial Narrow" w:cs="宋体"/>
                <w:kern w:val="0"/>
                <w:sz w:val="24"/>
              </w:rPr>
            </w:pPr>
            <w:r>
              <w:rPr>
                <w:rFonts w:ascii="Arial Narrow" w:hAnsi="Arial Narrow" w:cs="宋体"/>
                <w:kern w:val="0"/>
                <w:sz w:val="24"/>
              </w:rPr>
              <w:t>（5）</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Arial Narrow" w:hAnsi="Arial Narrow" w:cs="宋体"/>
                <w:kern w:val="0"/>
                <w:sz w:val="24"/>
              </w:rPr>
            </w:pPr>
            <w:r>
              <w:rPr>
                <w:rFonts w:ascii="Arial Narrow" w:hAnsi="Arial Narrow" w:cs="宋体"/>
                <w:kern w:val="0"/>
                <w:sz w:val="24"/>
              </w:rPr>
              <w:t>≥100%</w:t>
            </w:r>
          </w:p>
        </w:tc>
        <w:tc>
          <w:tcPr>
            <w:tcW w:w="851"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计划标准</w:t>
            </w:r>
          </w:p>
        </w:tc>
        <w:tc>
          <w:tcPr>
            <w:tcW w:w="5812"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交通运输应急预案编制完成按时按量得5分。</w:t>
            </w:r>
          </w:p>
        </w:tc>
      </w:tr>
      <w:tr>
        <w:tblPrEx>
          <w:tblCellMar>
            <w:top w:w="0" w:type="dxa"/>
            <w:left w:w="108" w:type="dxa"/>
            <w:bottom w:w="0" w:type="dxa"/>
            <w:right w:w="108" w:type="dxa"/>
          </w:tblCellMar>
        </w:tblPrEx>
        <w:trPr>
          <w:trHeight w:val="1460"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Arial Narrow" w:cs="宋体"/>
                <w:kern w:val="0"/>
                <w:sz w:val="24"/>
              </w:rPr>
            </w:pPr>
          </w:p>
        </w:tc>
        <w:tc>
          <w:tcPr>
            <w:tcW w:w="1564" w:type="dxa"/>
            <w:tcBorders>
              <w:top w:val="nil"/>
              <w:left w:val="nil"/>
              <w:bottom w:val="single" w:color="auto" w:sz="4" w:space="0"/>
              <w:right w:val="single" w:color="auto" w:sz="4" w:space="0"/>
            </w:tcBorders>
            <w:shd w:val="clear" w:color="auto" w:fill="auto"/>
            <w:vAlign w:val="center"/>
          </w:tcPr>
          <w:p>
            <w:pPr>
              <w:widowControl/>
              <w:jc w:val="center"/>
              <w:rPr>
                <w:rFonts w:hint="eastAsia" w:ascii="Arial Narrow" w:hAnsi="Arial Narrow" w:eastAsia="仿宋_GB2312" w:cs="宋体"/>
                <w:kern w:val="0"/>
                <w:sz w:val="24"/>
                <w:lang w:eastAsia="zh-CN"/>
              </w:rPr>
            </w:pPr>
            <w:r>
              <w:rPr>
                <w:rFonts w:ascii="Arial Narrow" w:hAnsi="Arial Narrow" w:cs="宋体"/>
                <w:kern w:val="0"/>
                <w:sz w:val="24"/>
              </w:rPr>
              <w:t>“两客一危”应急预案演习完成率</w:t>
            </w:r>
          </w:p>
          <w:p>
            <w:pPr>
              <w:widowControl/>
              <w:jc w:val="center"/>
              <w:rPr>
                <w:rFonts w:ascii="Arial Narrow" w:hAnsi="Arial Narrow" w:cs="宋体"/>
                <w:kern w:val="0"/>
                <w:sz w:val="24"/>
              </w:rPr>
            </w:pPr>
            <w:r>
              <w:rPr>
                <w:rFonts w:ascii="Arial Narrow" w:hAnsi="Arial Narrow" w:cs="宋体"/>
                <w:kern w:val="0"/>
                <w:sz w:val="24"/>
              </w:rPr>
              <w:t>（5）</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Arial Narrow" w:hAnsi="Arial Narrow" w:cs="宋体"/>
                <w:kern w:val="0"/>
                <w:sz w:val="24"/>
              </w:rPr>
            </w:pPr>
            <w:r>
              <w:rPr>
                <w:rFonts w:ascii="Arial Narrow" w:hAnsi="Arial Narrow" w:cs="宋体"/>
                <w:kern w:val="0"/>
                <w:sz w:val="24"/>
              </w:rPr>
              <w:t>≥100%</w:t>
            </w:r>
          </w:p>
        </w:tc>
        <w:tc>
          <w:tcPr>
            <w:tcW w:w="851"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计划标准</w:t>
            </w:r>
          </w:p>
        </w:tc>
        <w:tc>
          <w:tcPr>
            <w:tcW w:w="5812"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“两客一危”应急预案演习完成率=（实际演习次数/计划演习次数）×100%，超过100%得5分，每降低5%扣1分。</w:t>
            </w:r>
          </w:p>
        </w:tc>
      </w:tr>
      <w:tr>
        <w:tblPrEx>
          <w:tblCellMar>
            <w:top w:w="0" w:type="dxa"/>
            <w:left w:w="108" w:type="dxa"/>
            <w:bottom w:w="0" w:type="dxa"/>
            <w:right w:w="108" w:type="dxa"/>
          </w:tblCellMar>
        </w:tblPrEx>
        <w:trPr>
          <w:trHeight w:val="1460"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Arial Narrow" w:cs="宋体"/>
                <w:kern w:val="0"/>
                <w:sz w:val="24"/>
              </w:rPr>
            </w:pPr>
          </w:p>
        </w:tc>
        <w:tc>
          <w:tcPr>
            <w:tcW w:w="1564" w:type="dxa"/>
            <w:tcBorders>
              <w:top w:val="nil"/>
              <w:left w:val="nil"/>
              <w:bottom w:val="single" w:color="auto" w:sz="4" w:space="0"/>
              <w:right w:val="single" w:color="auto" w:sz="4" w:space="0"/>
            </w:tcBorders>
            <w:shd w:val="clear" w:color="auto" w:fill="auto"/>
            <w:vAlign w:val="center"/>
          </w:tcPr>
          <w:p>
            <w:pPr>
              <w:widowControl/>
              <w:jc w:val="center"/>
              <w:rPr>
                <w:rFonts w:hint="eastAsia" w:ascii="Arial Narrow" w:hAnsi="Arial Narrow" w:eastAsia="仿宋_GB2312" w:cs="宋体"/>
                <w:kern w:val="0"/>
                <w:sz w:val="24"/>
                <w:lang w:eastAsia="zh-CN"/>
              </w:rPr>
            </w:pPr>
            <w:r>
              <w:rPr>
                <w:rFonts w:ascii="Arial Narrow" w:hAnsi="Arial Narrow" w:cs="宋体"/>
                <w:kern w:val="0"/>
                <w:sz w:val="24"/>
              </w:rPr>
              <w:t>危货码头巡查落实率</w:t>
            </w:r>
          </w:p>
          <w:p>
            <w:pPr>
              <w:widowControl/>
              <w:jc w:val="center"/>
              <w:rPr>
                <w:rFonts w:ascii="Arial Narrow" w:hAnsi="Arial Narrow" w:cs="宋体"/>
                <w:kern w:val="0"/>
                <w:sz w:val="24"/>
              </w:rPr>
            </w:pPr>
            <w:r>
              <w:rPr>
                <w:rFonts w:ascii="Arial Narrow" w:hAnsi="Arial Narrow" w:cs="宋体"/>
                <w:kern w:val="0"/>
                <w:sz w:val="24"/>
              </w:rPr>
              <w:t>（5）</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Arial Narrow" w:hAnsi="Arial Narrow" w:cs="宋体"/>
                <w:kern w:val="0"/>
                <w:sz w:val="24"/>
              </w:rPr>
            </w:pPr>
            <w:r>
              <w:rPr>
                <w:rFonts w:ascii="Arial Narrow" w:hAnsi="Arial Narrow" w:cs="宋体"/>
                <w:kern w:val="0"/>
                <w:sz w:val="24"/>
              </w:rPr>
              <w:t>≥100%</w:t>
            </w:r>
          </w:p>
        </w:tc>
        <w:tc>
          <w:tcPr>
            <w:tcW w:w="851"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计划标准</w:t>
            </w:r>
          </w:p>
        </w:tc>
        <w:tc>
          <w:tcPr>
            <w:tcW w:w="5812"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对港口各危货码头定期进行巡查，并有相关巡查记录，计5分；进行巡查但是无相关记录，计3分；未进行港口危货码头巡查不得分。</w:t>
            </w:r>
          </w:p>
        </w:tc>
      </w:tr>
      <w:tr>
        <w:tblPrEx>
          <w:tblCellMar>
            <w:top w:w="0" w:type="dxa"/>
            <w:left w:w="108" w:type="dxa"/>
            <w:bottom w:w="0" w:type="dxa"/>
            <w:right w:w="108" w:type="dxa"/>
          </w:tblCellMar>
        </w:tblPrEx>
        <w:trPr>
          <w:trHeight w:val="1130"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Arial Narrow" w:cs="宋体"/>
                <w:kern w:val="0"/>
                <w:sz w:val="24"/>
              </w:rPr>
            </w:pPr>
          </w:p>
        </w:tc>
        <w:tc>
          <w:tcPr>
            <w:tcW w:w="1564" w:type="dxa"/>
            <w:tcBorders>
              <w:top w:val="nil"/>
              <w:left w:val="nil"/>
              <w:bottom w:val="single" w:color="auto" w:sz="4" w:space="0"/>
              <w:right w:val="single" w:color="auto" w:sz="4" w:space="0"/>
            </w:tcBorders>
            <w:shd w:val="clear" w:color="auto" w:fill="auto"/>
            <w:vAlign w:val="center"/>
          </w:tcPr>
          <w:p>
            <w:pPr>
              <w:widowControl/>
              <w:jc w:val="center"/>
              <w:rPr>
                <w:rFonts w:hint="eastAsia" w:ascii="Arial Narrow" w:hAnsi="Arial Narrow" w:eastAsia="仿宋_GB2312" w:cs="宋体"/>
                <w:kern w:val="0"/>
                <w:sz w:val="24"/>
                <w:lang w:eastAsia="zh-CN"/>
              </w:rPr>
            </w:pPr>
            <w:r>
              <w:rPr>
                <w:rFonts w:ascii="Arial Narrow" w:hAnsi="Arial Narrow" w:cs="宋体"/>
                <w:kern w:val="0"/>
                <w:sz w:val="24"/>
              </w:rPr>
              <w:t>隐患排查整治</w:t>
            </w:r>
          </w:p>
          <w:p>
            <w:pPr>
              <w:widowControl/>
              <w:jc w:val="center"/>
              <w:rPr>
                <w:rFonts w:ascii="Arial Narrow" w:hAnsi="Arial Narrow" w:cs="宋体"/>
                <w:kern w:val="0"/>
                <w:sz w:val="24"/>
              </w:rPr>
            </w:pPr>
            <w:r>
              <w:rPr>
                <w:rFonts w:ascii="Arial Narrow" w:hAnsi="Arial Narrow" w:cs="宋体"/>
                <w:kern w:val="0"/>
                <w:sz w:val="24"/>
              </w:rPr>
              <w:t>（5）</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Arial Narrow" w:hAnsi="Arial Narrow" w:cs="宋体"/>
                <w:kern w:val="0"/>
                <w:sz w:val="24"/>
              </w:rPr>
            </w:pPr>
            <w:r>
              <w:rPr>
                <w:rFonts w:ascii="Arial Narrow" w:hAnsi="Arial Narrow" w:cs="宋体"/>
                <w:kern w:val="0"/>
                <w:sz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　</w:t>
            </w:r>
          </w:p>
        </w:tc>
        <w:tc>
          <w:tcPr>
            <w:tcW w:w="5812"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对各行业安全隐患进行排查计1分，排查后进行及时整治计2分，建立日常安全隐患排查体系计2分。</w:t>
            </w:r>
          </w:p>
        </w:tc>
      </w:tr>
      <w:tr>
        <w:tblPrEx>
          <w:tblCellMar>
            <w:top w:w="0" w:type="dxa"/>
            <w:left w:w="108" w:type="dxa"/>
            <w:bottom w:w="0" w:type="dxa"/>
            <w:right w:w="108" w:type="dxa"/>
          </w:tblCellMar>
        </w:tblPrEx>
        <w:trPr>
          <w:trHeight w:val="900"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Arial Narrow" w:cs="宋体"/>
                <w:kern w:val="0"/>
                <w:sz w:val="24"/>
              </w:rPr>
            </w:pPr>
          </w:p>
        </w:tc>
        <w:tc>
          <w:tcPr>
            <w:tcW w:w="1564" w:type="dxa"/>
            <w:tcBorders>
              <w:top w:val="nil"/>
              <w:left w:val="nil"/>
              <w:bottom w:val="single" w:color="auto" w:sz="4" w:space="0"/>
              <w:right w:val="single" w:color="auto" w:sz="4" w:space="0"/>
            </w:tcBorders>
            <w:shd w:val="clear" w:color="auto" w:fill="auto"/>
            <w:vAlign w:val="center"/>
          </w:tcPr>
          <w:p>
            <w:pPr>
              <w:widowControl/>
              <w:jc w:val="center"/>
              <w:rPr>
                <w:rFonts w:hint="eastAsia" w:ascii="Arial Narrow" w:hAnsi="Arial Narrow" w:eastAsia="仿宋_GB2312" w:cs="宋体"/>
                <w:kern w:val="0"/>
                <w:sz w:val="24"/>
                <w:lang w:eastAsia="zh-CN"/>
              </w:rPr>
            </w:pPr>
            <w:r>
              <w:rPr>
                <w:rFonts w:ascii="Arial Narrow" w:hAnsi="Arial Narrow" w:cs="宋体"/>
                <w:kern w:val="0"/>
                <w:sz w:val="24"/>
              </w:rPr>
              <w:t>资金使用率</w:t>
            </w:r>
          </w:p>
          <w:p>
            <w:pPr>
              <w:widowControl/>
              <w:jc w:val="center"/>
              <w:rPr>
                <w:rFonts w:ascii="Arial Narrow" w:hAnsi="Arial Narrow" w:cs="宋体"/>
                <w:kern w:val="0"/>
                <w:sz w:val="24"/>
              </w:rPr>
            </w:pPr>
            <w:r>
              <w:rPr>
                <w:rFonts w:ascii="Arial Narrow" w:hAnsi="Arial Narrow" w:cs="宋体"/>
                <w:kern w:val="0"/>
                <w:sz w:val="24"/>
              </w:rPr>
              <w:t>（5）</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Arial Narrow" w:hAnsi="Arial Narrow" w:cs="宋体"/>
                <w:kern w:val="0"/>
                <w:sz w:val="24"/>
              </w:rPr>
            </w:pPr>
            <w:r>
              <w:rPr>
                <w:rFonts w:ascii="Arial Narrow" w:hAnsi="Arial Narrow" w:cs="宋体"/>
                <w:kern w:val="0"/>
                <w:sz w:val="24"/>
              </w:rPr>
              <w:t>≥100%</w:t>
            </w:r>
          </w:p>
        </w:tc>
        <w:tc>
          <w:tcPr>
            <w:tcW w:w="851"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计划标准</w:t>
            </w:r>
          </w:p>
        </w:tc>
        <w:tc>
          <w:tcPr>
            <w:tcW w:w="5812"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资金使用率超过100%计5分，每降低</w:t>
            </w:r>
            <w:r>
              <w:rPr>
                <w:rFonts w:hint="eastAsia" w:ascii="Arial Narrow" w:hAnsi="Arial Narrow" w:cs="宋体"/>
                <w:kern w:val="0"/>
                <w:sz w:val="24"/>
              </w:rPr>
              <w:t>10</w:t>
            </w:r>
            <w:r>
              <w:rPr>
                <w:rFonts w:ascii="Arial Narrow" w:hAnsi="Arial Narrow" w:cs="宋体"/>
                <w:kern w:val="0"/>
                <w:sz w:val="24"/>
              </w:rPr>
              <w:t>%，扣1分。</w:t>
            </w:r>
          </w:p>
        </w:tc>
      </w:tr>
      <w:tr>
        <w:tblPrEx>
          <w:tblCellMar>
            <w:top w:w="0" w:type="dxa"/>
            <w:left w:w="108" w:type="dxa"/>
            <w:bottom w:w="0" w:type="dxa"/>
            <w:right w:w="108" w:type="dxa"/>
          </w:tblCellMar>
        </w:tblPrEx>
        <w:trPr>
          <w:trHeight w:val="1070" w:hRule="atLeast"/>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Arial Narrow" w:eastAsia="仿宋_GB2312" w:cs="宋体"/>
                <w:kern w:val="0"/>
                <w:sz w:val="24"/>
                <w:lang w:eastAsia="zh-CN"/>
              </w:rPr>
            </w:pPr>
            <w:r>
              <w:rPr>
                <w:rFonts w:hint="eastAsia" w:ascii="仿宋_GB2312" w:hAnsi="Arial Narrow" w:cs="宋体"/>
                <w:kern w:val="0"/>
                <w:sz w:val="24"/>
              </w:rPr>
              <w:t>项目</w:t>
            </w:r>
          </w:p>
          <w:p>
            <w:pPr>
              <w:widowControl/>
              <w:jc w:val="center"/>
              <w:rPr>
                <w:rFonts w:ascii="仿宋_GB2312" w:hAnsi="Arial Narrow" w:cs="宋体"/>
                <w:kern w:val="0"/>
                <w:sz w:val="24"/>
              </w:rPr>
            </w:pPr>
            <w:r>
              <w:rPr>
                <w:rFonts w:hint="eastAsia" w:ascii="仿宋_GB2312" w:hAnsi="Arial Narrow" w:cs="宋体"/>
                <w:kern w:val="0"/>
                <w:sz w:val="24"/>
              </w:rPr>
              <w:t>效益</w:t>
            </w:r>
          </w:p>
        </w:tc>
        <w:tc>
          <w:tcPr>
            <w:tcW w:w="1564" w:type="dxa"/>
            <w:tcBorders>
              <w:top w:val="nil"/>
              <w:left w:val="nil"/>
              <w:bottom w:val="single" w:color="auto" w:sz="4" w:space="0"/>
              <w:right w:val="single" w:color="auto" w:sz="4" w:space="0"/>
            </w:tcBorders>
            <w:shd w:val="clear" w:color="auto" w:fill="auto"/>
            <w:vAlign w:val="center"/>
          </w:tcPr>
          <w:p>
            <w:pPr>
              <w:widowControl/>
              <w:jc w:val="center"/>
              <w:rPr>
                <w:rFonts w:hint="eastAsia" w:ascii="Arial Narrow" w:hAnsi="Arial Narrow" w:eastAsia="仿宋_GB2312" w:cs="宋体"/>
                <w:kern w:val="0"/>
                <w:sz w:val="24"/>
                <w:lang w:eastAsia="zh-CN"/>
              </w:rPr>
            </w:pPr>
            <w:r>
              <w:rPr>
                <w:rFonts w:ascii="Arial Narrow" w:hAnsi="Arial Narrow" w:cs="宋体"/>
                <w:kern w:val="0"/>
                <w:sz w:val="24"/>
              </w:rPr>
              <w:t>安全生产培训覆盖率</w:t>
            </w:r>
          </w:p>
          <w:p>
            <w:pPr>
              <w:widowControl/>
              <w:jc w:val="center"/>
              <w:rPr>
                <w:rFonts w:ascii="Arial Narrow" w:hAnsi="Arial Narrow" w:cs="宋体"/>
                <w:kern w:val="0"/>
                <w:sz w:val="24"/>
              </w:rPr>
            </w:pPr>
            <w:r>
              <w:rPr>
                <w:rFonts w:ascii="Arial Narrow" w:hAnsi="Arial Narrow" w:cs="宋体"/>
                <w:kern w:val="0"/>
                <w:sz w:val="24"/>
              </w:rPr>
              <w:t>（5）</w:t>
            </w:r>
          </w:p>
        </w:tc>
        <w:tc>
          <w:tcPr>
            <w:tcW w:w="850" w:type="dxa"/>
            <w:tcBorders>
              <w:top w:val="nil"/>
              <w:left w:val="nil"/>
              <w:bottom w:val="single" w:color="auto" w:sz="4" w:space="0"/>
              <w:right w:val="single" w:color="auto" w:sz="4" w:space="0"/>
            </w:tcBorders>
            <w:shd w:val="clear" w:color="auto" w:fill="auto"/>
            <w:noWrap/>
            <w:vAlign w:val="center"/>
          </w:tcPr>
          <w:p>
            <w:pPr>
              <w:widowControl/>
              <w:jc w:val="center"/>
              <w:rPr>
                <w:rFonts w:ascii="Arial Narrow" w:hAnsi="Arial Narrow" w:cs="宋体"/>
                <w:kern w:val="0"/>
                <w:sz w:val="24"/>
              </w:rPr>
            </w:pPr>
            <w:r>
              <w:rPr>
                <w:rFonts w:ascii="Arial Narrow" w:hAnsi="Arial Narrow" w:cs="宋体"/>
                <w:kern w:val="0"/>
                <w:sz w:val="24"/>
              </w:rPr>
              <w:t>≥95%</w:t>
            </w:r>
          </w:p>
        </w:tc>
        <w:tc>
          <w:tcPr>
            <w:tcW w:w="851"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计划标准</w:t>
            </w:r>
          </w:p>
        </w:tc>
        <w:tc>
          <w:tcPr>
            <w:tcW w:w="5812"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各行业安全生产培训覆盖率达到95%以上，计5分，每降低5%，扣1分。</w:t>
            </w:r>
          </w:p>
        </w:tc>
      </w:tr>
      <w:tr>
        <w:tblPrEx>
          <w:tblCellMar>
            <w:top w:w="0" w:type="dxa"/>
            <w:left w:w="108" w:type="dxa"/>
            <w:bottom w:w="0" w:type="dxa"/>
            <w:right w:w="108" w:type="dxa"/>
          </w:tblCellMar>
        </w:tblPrEx>
        <w:trPr>
          <w:trHeight w:val="1260"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Arial Narrow" w:cs="宋体"/>
                <w:kern w:val="0"/>
                <w:sz w:val="24"/>
              </w:rPr>
            </w:pPr>
          </w:p>
        </w:tc>
        <w:tc>
          <w:tcPr>
            <w:tcW w:w="1564" w:type="dxa"/>
            <w:tcBorders>
              <w:top w:val="nil"/>
              <w:left w:val="nil"/>
              <w:bottom w:val="single" w:color="auto" w:sz="4" w:space="0"/>
              <w:right w:val="single" w:color="auto" w:sz="4" w:space="0"/>
            </w:tcBorders>
            <w:shd w:val="clear" w:color="auto" w:fill="auto"/>
            <w:vAlign w:val="center"/>
          </w:tcPr>
          <w:p>
            <w:pPr>
              <w:widowControl/>
              <w:jc w:val="center"/>
              <w:rPr>
                <w:rFonts w:hint="eastAsia" w:ascii="Arial Narrow" w:hAnsi="Arial Narrow" w:eastAsia="仿宋_GB2312" w:cs="宋体"/>
                <w:kern w:val="0"/>
                <w:sz w:val="24"/>
                <w:lang w:eastAsia="zh-CN"/>
              </w:rPr>
            </w:pPr>
            <w:r>
              <w:rPr>
                <w:rFonts w:ascii="Arial Narrow" w:hAnsi="Arial Narrow" w:cs="宋体"/>
                <w:kern w:val="0"/>
                <w:sz w:val="24"/>
              </w:rPr>
              <w:t>安全生产宣传多样化</w:t>
            </w:r>
          </w:p>
          <w:p>
            <w:pPr>
              <w:widowControl/>
              <w:jc w:val="center"/>
              <w:rPr>
                <w:rFonts w:ascii="Arial Narrow" w:hAnsi="Arial Narrow" w:cs="宋体"/>
                <w:kern w:val="0"/>
                <w:sz w:val="24"/>
              </w:rPr>
            </w:pPr>
            <w:r>
              <w:rPr>
                <w:rFonts w:ascii="Arial Narrow" w:hAnsi="Arial Narrow" w:cs="宋体"/>
                <w:kern w:val="0"/>
                <w:sz w:val="24"/>
              </w:rPr>
              <w:t>（5）</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Arial Narrow" w:hAnsi="Arial Narrow" w:cs="宋体"/>
                <w:kern w:val="0"/>
                <w:sz w:val="24"/>
              </w:rPr>
            </w:pPr>
            <w:r>
              <w:rPr>
                <w:rFonts w:ascii="Arial Narrow" w:hAnsi="Arial Narrow" w:cs="宋体"/>
                <w:kern w:val="0"/>
                <w:sz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　</w:t>
            </w:r>
          </w:p>
        </w:tc>
        <w:tc>
          <w:tcPr>
            <w:tcW w:w="5812" w:type="dxa"/>
            <w:tcBorders>
              <w:top w:val="nil"/>
              <w:left w:val="nil"/>
              <w:bottom w:val="single" w:color="auto" w:sz="4" w:space="0"/>
              <w:right w:val="single" w:color="auto" w:sz="4" w:space="0"/>
            </w:tcBorders>
            <w:shd w:val="clear" w:color="auto" w:fill="auto"/>
            <w:vAlign w:val="center"/>
          </w:tcPr>
          <w:p>
            <w:pPr>
              <w:widowControl/>
              <w:spacing w:after="240"/>
              <w:jc w:val="left"/>
              <w:rPr>
                <w:rFonts w:ascii="Arial Narrow" w:hAnsi="Arial Narrow" w:cs="宋体"/>
                <w:kern w:val="0"/>
                <w:sz w:val="24"/>
              </w:rPr>
            </w:pPr>
            <w:r>
              <w:rPr>
                <w:rFonts w:ascii="Arial Narrow" w:hAnsi="Arial Narrow" w:cs="宋体"/>
                <w:kern w:val="0"/>
                <w:sz w:val="24"/>
              </w:rPr>
              <w:t>项目实施单位通过悬挂横幅、电视广告、报刊媒体、网络、张贴海报等进行安全生产宣传，计4分，宣传范围广加计1分，否则计0分。</w:t>
            </w:r>
          </w:p>
        </w:tc>
      </w:tr>
      <w:tr>
        <w:tblPrEx>
          <w:tblCellMar>
            <w:top w:w="0" w:type="dxa"/>
            <w:left w:w="108" w:type="dxa"/>
            <w:bottom w:w="0" w:type="dxa"/>
            <w:right w:w="108" w:type="dxa"/>
          </w:tblCellMar>
        </w:tblPrEx>
        <w:trPr>
          <w:trHeight w:val="1090"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Arial Narrow" w:cs="宋体"/>
                <w:kern w:val="0"/>
                <w:sz w:val="24"/>
              </w:rPr>
            </w:pPr>
          </w:p>
        </w:tc>
        <w:tc>
          <w:tcPr>
            <w:tcW w:w="1564" w:type="dxa"/>
            <w:tcBorders>
              <w:top w:val="nil"/>
              <w:left w:val="nil"/>
              <w:bottom w:val="single" w:color="auto" w:sz="4" w:space="0"/>
              <w:right w:val="single" w:color="auto" w:sz="4" w:space="0"/>
            </w:tcBorders>
            <w:shd w:val="clear" w:color="auto" w:fill="auto"/>
            <w:vAlign w:val="center"/>
          </w:tcPr>
          <w:p>
            <w:pPr>
              <w:widowControl/>
              <w:jc w:val="center"/>
              <w:rPr>
                <w:rFonts w:hint="eastAsia" w:ascii="Arial Narrow" w:hAnsi="Arial Narrow" w:eastAsia="仿宋_GB2312" w:cs="宋体"/>
                <w:kern w:val="0"/>
                <w:sz w:val="24"/>
                <w:lang w:eastAsia="zh-CN"/>
              </w:rPr>
            </w:pPr>
            <w:r>
              <w:rPr>
                <w:rFonts w:ascii="Arial Narrow" w:hAnsi="Arial Narrow" w:cs="宋体"/>
                <w:kern w:val="0"/>
                <w:sz w:val="24"/>
              </w:rPr>
              <w:t>通航水域水质无污染率</w:t>
            </w:r>
          </w:p>
          <w:p>
            <w:pPr>
              <w:widowControl/>
              <w:jc w:val="center"/>
              <w:rPr>
                <w:rFonts w:ascii="Arial Narrow" w:hAnsi="Arial Narrow" w:cs="宋体"/>
                <w:kern w:val="0"/>
                <w:sz w:val="24"/>
              </w:rPr>
            </w:pPr>
            <w:r>
              <w:rPr>
                <w:rFonts w:ascii="Arial Narrow" w:hAnsi="Arial Narrow" w:cs="宋体"/>
                <w:kern w:val="0"/>
                <w:sz w:val="24"/>
              </w:rPr>
              <w:t>（5）</w:t>
            </w:r>
          </w:p>
        </w:tc>
        <w:tc>
          <w:tcPr>
            <w:tcW w:w="850" w:type="dxa"/>
            <w:tcBorders>
              <w:top w:val="nil"/>
              <w:left w:val="nil"/>
              <w:bottom w:val="single" w:color="auto" w:sz="4" w:space="0"/>
              <w:right w:val="single" w:color="auto" w:sz="4" w:space="0"/>
            </w:tcBorders>
            <w:shd w:val="clear" w:color="auto" w:fill="auto"/>
            <w:noWrap/>
            <w:vAlign w:val="center"/>
          </w:tcPr>
          <w:p>
            <w:pPr>
              <w:widowControl/>
              <w:jc w:val="center"/>
              <w:rPr>
                <w:rFonts w:ascii="Arial Narrow" w:hAnsi="Arial Narrow" w:cs="宋体"/>
                <w:kern w:val="0"/>
                <w:sz w:val="24"/>
              </w:rPr>
            </w:pPr>
            <w:r>
              <w:rPr>
                <w:rFonts w:ascii="Arial Narrow" w:hAnsi="Arial Narrow" w:cs="宋体"/>
                <w:kern w:val="0"/>
                <w:sz w:val="24"/>
              </w:rPr>
              <w:t>≥95%</w:t>
            </w:r>
          </w:p>
        </w:tc>
        <w:tc>
          <w:tcPr>
            <w:tcW w:w="851"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　</w:t>
            </w:r>
          </w:p>
        </w:tc>
        <w:tc>
          <w:tcPr>
            <w:tcW w:w="5812"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通航水域水质无污染度得到有效保障计5分。</w:t>
            </w:r>
          </w:p>
        </w:tc>
      </w:tr>
      <w:tr>
        <w:tblPrEx>
          <w:tblCellMar>
            <w:top w:w="0" w:type="dxa"/>
            <w:left w:w="108" w:type="dxa"/>
            <w:bottom w:w="0" w:type="dxa"/>
            <w:right w:w="108" w:type="dxa"/>
          </w:tblCellMar>
        </w:tblPrEx>
        <w:trPr>
          <w:trHeight w:val="1530"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Arial Narrow" w:cs="宋体"/>
                <w:kern w:val="0"/>
                <w:sz w:val="24"/>
              </w:rPr>
            </w:pPr>
          </w:p>
        </w:tc>
        <w:tc>
          <w:tcPr>
            <w:tcW w:w="1564" w:type="dxa"/>
            <w:tcBorders>
              <w:top w:val="nil"/>
              <w:left w:val="nil"/>
              <w:bottom w:val="single" w:color="auto" w:sz="4" w:space="0"/>
              <w:right w:val="single" w:color="auto" w:sz="4" w:space="0"/>
            </w:tcBorders>
            <w:shd w:val="clear" w:color="auto" w:fill="auto"/>
            <w:vAlign w:val="center"/>
          </w:tcPr>
          <w:p>
            <w:pPr>
              <w:widowControl/>
              <w:jc w:val="center"/>
              <w:rPr>
                <w:rFonts w:hint="eastAsia" w:ascii="Arial Narrow" w:hAnsi="Arial Narrow" w:eastAsia="仿宋_GB2312" w:cs="宋体"/>
                <w:kern w:val="0"/>
                <w:sz w:val="24"/>
                <w:lang w:eastAsia="zh-CN"/>
              </w:rPr>
            </w:pPr>
            <w:r>
              <w:rPr>
                <w:rFonts w:ascii="Arial Narrow" w:hAnsi="Arial Narrow" w:cs="宋体"/>
                <w:kern w:val="0"/>
                <w:sz w:val="24"/>
              </w:rPr>
              <w:t>安全事故减少</w:t>
            </w:r>
          </w:p>
          <w:p>
            <w:pPr>
              <w:widowControl/>
              <w:jc w:val="center"/>
              <w:rPr>
                <w:rFonts w:ascii="Arial Narrow" w:hAnsi="Arial Narrow" w:cs="宋体"/>
                <w:kern w:val="0"/>
                <w:sz w:val="24"/>
              </w:rPr>
            </w:pPr>
            <w:r>
              <w:rPr>
                <w:rFonts w:ascii="Arial Narrow" w:hAnsi="Arial Narrow" w:cs="宋体"/>
                <w:kern w:val="0"/>
                <w:sz w:val="24"/>
              </w:rPr>
              <w:t>（5）</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Arial Narrow" w:hAnsi="Arial Narrow" w:cs="宋体"/>
                <w:kern w:val="0"/>
                <w:sz w:val="24"/>
              </w:rPr>
            </w:pPr>
            <w:r>
              <w:rPr>
                <w:rFonts w:ascii="Arial Narrow" w:hAnsi="Arial Narrow" w:cs="宋体"/>
                <w:kern w:val="0"/>
                <w:sz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Arial Narrow" w:hAnsi="Arial Narrow" w:cs="宋体"/>
                <w:kern w:val="0"/>
                <w:sz w:val="24"/>
              </w:rPr>
            </w:pPr>
            <w:r>
              <w:rPr>
                <w:rFonts w:ascii="Arial Narrow" w:hAnsi="Arial Narrow" w:cs="宋体"/>
                <w:kern w:val="0"/>
                <w:sz w:val="24"/>
              </w:rPr>
              <w:t>　</w:t>
            </w:r>
          </w:p>
        </w:tc>
        <w:tc>
          <w:tcPr>
            <w:tcW w:w="5812"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发生安全事故减少率=（上年度发生安全事故次数-本年度发生安全事故次数/上年度发生安全事故次数）×100%，超过90%得5分，每降低5%扣1分。</w:t>
            </w:r>
          </w:p>
        </w:tc>
      </w:tr>
      <w:tr>
        <w:tblPrEx>
          <w:tblCellMar>
            <w:top w:w="0" w:type="dxa"/>
            <w:left w:w="108" w:type="dxa"/>
            <w:bottom w:w="0" w:type="dxa"/>
            <w:right w:w="108" w:type="dxa"/>
          </w:tblCellMar>
        </w:tblPrEx>
        <w:trPr>
          <w:trHeight w:val="1280"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Arial Narrow" w:cs="宋体"/>
                <w:kern w:val="0"/>
                <w:sz w:val="24"/>
              </w:rPr>
            </w:pPr>
          </w:p>
        </w:tc>
        <w:tc>
          <w:tcPr>
            <w:tcW w:w="1564" w:type="dxa"/>
            <w:tcBorders>
              <w:top w:val="nil"/>
              <w:left w:val="nil"/>
              <w:bottom w:val="single" w:color="auto" w:sz="4" w:space="0"/>
              <w:right w:val="single" w:color="auto" w:sz="4" w:space="0"/>
            </w:tcBorders>
            <w:shd w:val="clear" w:color="auto" w:fill="auto"/>
            <w:vAlign w:val="center"/>
          </w:tcPr>
          <w:p>
            <w:pPr>
              <w:widowControl/>
              <w:jc w:val="center"/>
              <w:rPr>
                <w:rFonts w:hint="eastAsia" w:ascii="Arial Narrow" w:hAnsi="Arial Narrow" w:eastAsia="仿宋_GB2312" w:cs="宋体"/>
                <w:kern w:val="0"/>
                <w:sz w:val="24"/>
                <w:lang w:eastAsia="zh-CN"/>
              </w:rPr>
            </w:pPr>
            <w:r>
              <w:rPr>
                <w:rFonts w:ascii="Arial Narrow" w:hAnsi="Arial Narrow" w:cs="宋体"/>
                <w:kern w:val="0"/>
                <w:sz w:val="24"/>
              </w:rPr>
              <w:t>可持续性</w:t>
            </w:r>
          </w:p>
          <w:p>
            <w:pPr>
              <w:widowControl/>
              <w:jc w:val="center"/>
              <w:rPr>
                <w:rFonts w:ascii="Arial Narrow" w:hAnsi="Arial Narrow" w:cs="宋体"/>
                <w:kern w:val="0"/>
                <w:sz w:val="24"/>
              </w:rPr>
            </w:pPr>
            <w:r>
              <w:rPr>
                <w:rFonts w:ascii="Arial Narrow" w:hAnsi="Arial Narrow" w:cs="宋体"/>
                <w:kern w:val="0"/>
                <w:sz w:val="24"/>
              </w:rPr>
              <w:t>（5）</w:t>
            </w:r>
          </w:p>
        </w:tc>
        <w:tc>
          <w:tcPr>
            <w:tcW w:w="850"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　</w:t>
            </w:r>
          </w:p>
        </w:tc>
        <w:tc>
          <w:tcPr>
            <w:tcW w:w="851"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　</w:t>
            </w:r>
          </w:p>
        </w:tc>
        <w:tc>
          <w:tcPr>
            <w:tcW w:w="5812"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项目实施单位有机构设置和充足的人员配备支持项目实施的后续运行计3分，项目人员分工明确计2分。</w:t>
            </w:r>
          </w:p>
        </w:tc>
      </w:tr>
      <w:tr>
        <w:tblPrEx>
          <w:tblCellMar>
            <w:top w:w="0" w:type="dxa"/>
            <w:left w:w="108" w:type="dxa"/>
            <w:bottom w:w="0" w:type="dxa"/>
            <w:right w:w="108" w:type="dxa"/>
          </w:tblCellMar>
        </w:tblPrEx>
        <w:trPr>
          <w:trHeight w:val="950" w:hRule="atLeast"/>
        </w:trPr>
        <w:tc>
          <w:tcPr>
            <w:tcW w:w="41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Arial Narrow" w:cs="宋体"/>
                <w:kern w:val="0"/>
                <w:sz w:val="24"/>
              </w:rPr>
            </w:pPr>
          </w:p>
        </w:tc>
        <w:tc>
          <w:tcPr>
            <w:tcW w:w="1564" w:type="dxa"/>
            <w:tcBorders>
              <w:top w:val="nil"/>
              <w:left w:val="nil"/>
              <w:bottom w:val="single" w:color="auto" w:sz="4" w:space="0"/>
              <w:right w:val="single" w:color="auto" w:sz="4" w:space="0"/>
            </w:tcBorders>
            <w:shd w:val="clear" w:color="auto" w:fill="auto"/>
            <w:vAlign w:val="center"/>
          </w:tcPr>
          <w:p>
            <w:pPr>
              <w:widowControl/>
              <w:jc w:val="center"/>
              <w:rPr>
                <w:rFonts w:hint="eastAsia" w:ascii="Arial Narrow" w:hAnsi="Arial Narrow" w:eastAsia="仿宋_GB2312" w:cs="宋体"/>
                <w:kern w:val="0"/>
                <w:sz w:val="24"/>
                <w:lang w:eastAsia="zh-CN"/>
              </w:rPr>
            </w:pPr>
            <w:r>
              <w:rPr>
                <w:rFonts w:ascii="Arial Narrow" w:hAnsi="Arial Narrow" w:cs="宋体"/>
                <w:kern w:val="0"/>
                <w:sz w:val="24"/>
              </w:rPr>
              <w:t>社会公众满意度</w:t>
            </w:r>
          </w:p>
          <w:p>
            <w:pPr>
              <w:widowControl/>
              <w:jc w:val="center"/>
              <w:rPr>
                <w:rFonts w:ascii="Arial Narrow" w:hAnsi="Arial Narrow" w:cs="宋体"/>
                <w:kern w:val="0"/>
                <w:sz w:val="24"/>
              </w:rPr>
            </w:pPr>
            <w:r>
              <w:rPr>
                <w:rFonts w:ascii="Arial Narrow" w:hAnsi="Arial Narrow" w:cs="宋体"/>
                <w:kern w:val="0"/>
                <w:sz w:val="24"/>
              </w:rPr>
              <w:t>（5）</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Arial Narrow" w:hAnsi="Arial Narrow" w:cs="宋体"/>
                <w:kern w:val="0"/>
                <w:sz w:val="24"/>
              </w:rPr>
            </w:pPr>
            <w:r>
              <w:rPr>
                <w:rFonts w:ascii="Arial Narrow" w:hAnsi="Arial Narrow" w:cs="宋体"/>
                <w:kern w:val="0"/>
                <w:sz w:val="24"/>
              </w:rPr>
              <w:t>≥85%</w:t>
            </w:r>
          </w:p>
        </w:tc>
        <w:tc>
          <w:tcPr>
            <w:tcW w:w="851"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计划标准</w:t>
            </w:r>
          </w:p>
        </w:tc>
        <w:tc>
          <w:tcPr>
            <w:tcW w:w="5812" w:type="dxa"/>
            <w:tcBorders>
              <w:top w:val="nil"/>
              <w:left w:val="nil"/>
              <w:bottom w:val="single" w:color="auto" w:sz="4" w:space="0"/>
              <w:right w:val="single" w:color="auto" w:sz="4" w:space="0"/>
            </w:tcBorders>
            <w:shd w:val="clear" w:color="auto" w:fill="auto"/>
            <w:vAlign w:val="center"/>
          </w:tcPr>
          <w:p>
            <w:pPr>
              <w:widowControl/>
              <w:jc w:val="left"/>
              <w:rPr>
                <w:rFonts w:ascii="Arial Narrow" w:hAnsi="Arial Narrow" w:cs="宋体"/>
                <w:kern w:val="0"/>
                <w:sz w:val="24"/>
              </w:rPr>
            </w:pPr>
            <w:r>
              <w:rPr>
                <w:rFonts w:ascii="Arial Narrow" w:hAnsi="Arial Narrow" w:cs="宋体"/>
                <w:kern w:val="0"/>
                <w:sz w:val="24"/>
              </w:rPr>
              <w:t>社会公众满意度达到85%以上，计5分，每降低5%，扣1分</w:t>
            </w:r>
          </w:p>
        </w:tc>
      </w:tr>
    </w:tbl>
    <w:p>
      <w:pPr>
        <w:spacing w:line="360" w:lineRule="auto"/>
        <w:ind w:firstLine="482"/>
        <w:rPr>
          <w:rFonts w:ascii="Arial Narrow" w:hAnsi="Arial Narrow" w:cs="仿宋_GB2312"/>
          <w:sz w:val="18"/>
          <w:szCs w:val="18"/>
        </w:rPr>
      </w:pPr>
      <w:r>
        <w:rPr>
          <w:rFonts w:ascii="Arial Narrow" w:hAnsi="Arial Narrow" w:cs="Arial Narrow"/>
          <w:sz w:val="24"/>
          <w:szCs w:val="21"/>
        </w:rPr>
        <w:t>2.3绩效评价指标体系补充说明：</w:t>
      </w:r>
    </w:p>
    <w:p>
      <w:pPr>
        <w:spacing w:line="360" w:lineRule="auto"/>
        <w:ind w:firstLine="482"/>
        <w:rPr>
          <w:rFonts w:ascii="仿宋_GB2312" w:hAnsi="Arial Narrow" w:cs="Arial Narrow"/>
          <w:sz w:val="24"/>
          <w:szCs w:val="21"/>
        </w:rPr>
      </w:pPr>
      <w:r>
        <w:rPr>
          <w:rFonts w:ascii="Arial Narrow" w:hAnsi="Arial Narrow" w:cs="Arial Narrow"/>
          <w:sz w:val="24"/>
          <w:szCs w:val="21"/>
        </w:rPr>
        <w:t>（1）对</w:t>
      </w:r>
      <w:r>
        <w:rPr>
          <w:rFonts w:hint="eastAsia" w:ascii="仿宋_GB2312" w:hAnsi="Arial Narrow" w:cs="Arial Narrow"/>
          <w:sz w:val="24"/>
          <w:szCs w:val="21"/>
        </w:rPr>
        <w:t>照项目年初绩效目标，指标调整情况如下：</w:t>
      </w:r>
    </w:p>
    <w:p>
      <w:pPr>
        <w:spacing w:line="360" w:lineRule="auto"/>
        <w:ind w:firstLine="482"/>
        <w:rPr>
          <w:rFonts w:ascii="仿宋_GB2312" w:hAnsi="Arial Narrow" w:cs="Arial Narrow"/>
          <w:sz w:val="24"/>
          <w:szCs w:val="21"/>
        </w:rPr>
      </w:pPr>
      <w:r>
        <w:rPr>
          <w:rFonts w:hint="eastAsia" w:ascii="仿宋_GB2312" w:hAnsi="Arial Narrow" w:cs="Arial Narrow"/>
          <w:sz w:val="24"/>
          <w:szCs w:val="21"/>
        </w:rPr>
        <w:t>“安全检查活动举办完成率”、“交通运输应急预案编制完成率”、“两客一危”应急预案演习完成率”、“</w:t>
      </w:r>
      <w:r>
        <w:rPr>
          <w:rFonts w:hint="eastAsia" w:ascii="仿宋_GB2312" w:hAnsi="Arial Narrow" w:cs="宋体"/>
          <w:sz w:val="24"/>
          <w:szCs w:val="21"/>
        </w:rPr>
        <w:t>危货</w:t>
      </w:r>
      <w:r>
        <w:rPr>
          <w:rFonts w:hint="eastAsia" w:ascii="仿宋_GB2312" w:hAnsi="Arial Narrow" w:cs="Arial Narrow"/>
          <w:sz w:val="24"/>
          <w:szCs w:val="21"/>
        </w:rPr>
        <w:t>码头巡查落实率”、“隐患排查整治”、“资金使用率”、“安全生产宣传多样化”、“</w:t>
      </w:r>
      <w:r>
        <w:rPr>
          <w:rFonts w:hint="eastAsia" w:ascii="仿宋_GB2312" w:hAnsi="Arial Narrow" w:cs="宋体"/>
          <w:sz w:val="24"/>
          <w:szCs w:val="21"/>
        </w:rPr>
        <w:t>通航水域水质无污染率</w:t>
      </w:r>
      <w:r>
        <w:rPr>
          <w:rFonts w:hint="eastAsia" w:ascii="仿宋_GB2312" w:hAnsi="Arial Narrow" w:cs="Arial Narrow"/>
          <w:sz w:val="24"/>
          <w:szCs w:val="21"/>
        </w:rPr>
        <w:t>”、“安全事故减少”、“可持续性”、“社会公众满意度”为新增指标。新增原因：根据项目实际产出与产出质量、社会效益，新增上述指标以反映项目的质量产出和社会效益。</w:t>
      </w:r>
    </w:p>
    <w:p>
      <w:pPr>
        <w:spacing w:line="360" w:lineRule="auto"/>
        <w:ind w:firstLine="482"/>
        <w:rPr>
          <w:rFonts w:ascii="仿宋_GB2312" w:hAnsi="Arial Narrow" w:cs="Arial Narrow"/>
          <w:sz w:val="24"/>
          <w:szCs w:val="21"/>
        </w:rPr>
      </w:pPr>
      <w:r>
        <w:rPr>
          <w:rFonts w:hint="eastAsia" w:ascii="仿宋_GB2312" w:hAnsi="Arial Narrow" w:cs="Arial Narrow"/>
          <w:sz w:val="24"/>
          <w:szCs w:val="21"/>
        </w:rPr>
        <w:t>（</w:t>
      </w:r>
      <w:r>
        <w:rPr>
          <w:rFonts w:ascii="Arial Narrow" w:hAnsi="Arial Narrow" w:cs="Arial Narrow"/>
          <w:sz w:val="24"/>
          <w:szCs w:val="21"/>
        </w:rPr>
        <w:t>2）评价方</w:t>
      </w:r>
      <w:r>
        <w:rPr>
          <w:rFonts w:hint="eastAsia" w:ascii="仿宋_GB2312" w:hAnsi="Arial Narrow" w:cs="Arial Narrow"/>
          <w:sz w:val="24"/>
          <w:szCs w:val="21"/>
        </w:rPr>
        <w:t>法</w:t>
      </w:r>
    </w:p>
    <w:p>
      <w:pPr>
        <w:spacing w:line="360" w:lineRule="auto"/>
        <w:ind w:firstLine="482"/>
        <w:rPr>
          <w:rFonts w:ascii="仿宋_GB2312" w:hAnsi="Arial Narrow" w:cs="Arial Narrow"/>
          <w:sz w:val="24"/>
          <w:szCs w:val="21"/>
        </w:rPr>
      </w:pPr>
      <w:r>
        <w:rPr>
          <w:rFonts w:hint="eastAsia" w:ascii="仿宋_GB2312" w:hAnsi="Arial Narrow" w:cs="Arial Narrow"/>
          <w:sz w:val="24"/>
          <w:szCs w:val="21"/>
        </w:rPr>
        <w:t>评价方法主要包括成本效益分析法、比较法、最低成本法、公众评判法、统计计算法等。“交通安全专项经费”项目绩效评价根据其特点和评价工作的要求，选择比较法、公众评判法、统计计算法、实地考察等方法进行绩效评价分析，与此同时，我们将收集大量直接的统计资料进行分析研究。</w:t>
      </w:r>
    </w:p>
    <w:p>
      <w:pPr>
        <w:spacing w:line="360" w:lineRule="auto"/>
        <w:ind w:firstLine="482"/>
        <w:rPr>
          <w:rFonts w:ascii="仿宋_GB2312" w:hAnsi="Arial Narrow" w:cs="Arial Narrow"/>
          <w:sz w:val="24"/>
          <w:szCs w:val="21"/>
        </w:rPr>
      </w:pPr>
      <w:r>
        <w:rPr>
          <w:rFonts w:hint="eastAsia" w:ascii="仿宋_GB2312" w:hAnsi="Arial Narrow" w:cs="Arial Narrow"/>
          <w:sz w:val="24"/>
          <w:szCs w:val="21"/>
        </w:rPr>
        <w:t>①比较法。是指通过对绩效目标与实际实施效果的对比，综合分析绩效目标实现程度。项目小组根据收集的资料和实地观察，了解“交通安全专项经费”项目实际情况，与该项目申报时确定的绩效目标进行对比，评价绩效目标的实现程度。</w:t>
      </w:r>
    </w:p>
    <w:p>
      <w:pPr>
        <w:spacing w:line="360" w:lineRule="auto"/>
        <w:ind w:firstLine="482"/>
        <w:rPr>
          <w:rFonts w:ascii="仿宋_GB2312" w:hAnsi="Arial Narrow" w:cs="Arial Narrow"/>
          <w:sz w:val="24"/>
          <w:szCs w:val="21"/>
        </w:rPr>
      </w:pPr>
      <w:r>
        <w:rPr>
          <w:rFonts w:hint="eastAsia" w:ascii="仿宋_GB2312" w:hAnsi="Arial Narrow" w:cs="Arial Narrow"/>
          <w:sz w:val="24"/>
          <w:szCs w:val="21"/>
        </w:rPr>
        <w:t>②公众评判法。是指通过专家评估、公众问卷及抽样调查等对财政支出效果进行评判，评价绩效目标实现程度。项目小组将对具体实施单位进行访谈，同时对受服务的对象进行问卷调查，收集“交通安全专项经费”项目具体实施情况和效果的相关证据，为绩效分析结论提供有力支撑。</w:t>
      </w:r>
    </w:p>
    <w:p>
      <w:pPr>
        <w:spacing w:line="360" w:lineRule="auto"/>
        <w:ind w:firstLine="482"/>
        <w:rPr>
          <w:rFonts w:ascii="仿宋_GB2312" w:hAnsi="Arial Narrow" w:cs="Arial Narrow"/>
          <w:sz w:val="24"/>
          <w:szCs w:val="21"/>
        </w:rPr>
      </w:pPr>
      <w:r>
        <w:rPr>
          <w:rFonts w:hint="eastAsia" w:ascii="仿宋_GB2312" w:hAnsi="Arial Narrow" w:cs="Arial Narrow"/>
          <w:sz w:val="24"/>
          <w:szCs w:val="21"/>
        </w:rPr>
        <w:t>③统计计算法。是指采用各种专业（或专门）指标的计算方法，通过收集交通安全专项经费项目的相关数据，采用统计或核算等方式进行计算实际完成或达到的结果，评价绩效目标实现程度。项目小组根据相关文件依据，设计符合项目特点的评价指标体系，然后采集数据按照计算公式进行计算分析，并根据计算结果分析项目绩效目标实现程度。</w:t>
      </w:r>
    </w:p>
    <w:p>
      <w:pPr>
        <w:spacing w:line="360" w:lineRule="auto"/>
        <w:ind w:firstLine="482"/>
        <w:rPr>
          <w:rFonts w:ascii="仿宋_GB2312" w:hAnsi="Arial Narrow" w:cs="Arial Narrow"/>
          <w:sz w:val="24"/>
          <w:szCs w:val="21"/>
        </w:rPr>
      </w:pPr>
      <w:r>
        <w:rPr>
          <w:rFonts w:hint="eastAsia" w:ascii="仿宋_GB2312" w:hAnsi="Arial Narrow" w:cs="Arial Narrow"/>
          <w:sz w:val="24"/>
          <w:szCs w:val="21"/>
        </w:rPr>
        <w:t>④实地考察。是指前往具体实施地进行考察，了解“交通安全专项经费”项目的实际进展情况，评价项目的绩效目标实现程度。项目小组将前往具体实施地，核实项目实际实施情况，与收集的资料进行验证核对，并拍照留痕。</w:t>
      </w:r>
    </w:p>
    <w:p>
      <w:pPr>
        <w:spacing w:line="360" w:lineRule="auto"/>
        <w:ind w:firstLine="482" w:firstLineChars="200"/>
        <w:outlineLvl w:val="1"/>
        <w:rPr>
          <w:rFonts w:ascii="仿宋_GB2312" w:hAnsi="Arial Narrow" w:cs="Arial Narrow"/>
          <w:b/>
          <w:bCs/>
          <w:color w:val="000000" w:themeColor="text1"/>
          <w:sz w:val="24"/>
          <w14:textFill>
            <w14:solidFill>
              <w14:schemeClr w14:val="tx1"/>
            </w14:solidFill>
          </w14:textFill>
        </w:rPr>
      </w:pPr>
      <w:bookmarkStart w:id="54" w:name="_Toc6717"/>
      <w:bookmarkStart w:id="55" w:name="_Toc7653"/>
      <w:r>
        <w:rPr>
          <w:rFonts w:hint="eastAsia" w:ascii="仿宋_GB2312" w:hAnsi="Arial Narrow" w:cs="Arial Narrow"/>
          <w:b/>
          <w:bCs/>
          <w:color w:val="000000" w:themeColor="text1"/>
          <w:sz w:val="24"/>
          <w14:textFill>
            <w14:solidFill>
              <w14:schemeClr w14:val="tx1"/>
            </w14:solidFill>
          </w14:textFill>
        </w:rPr>
        <w:t>（三）绩效分析及评价结论</w:t>
      </w:r>
      <w:bookmarkEnd w:id="54"/>
      <w:bookmarkEnd w:id="55"/>
    </w:p>
    <w:p>
      <w:pPr>
        <w:snapToGrid w:val="0"/>
        <w:spacing w:line="360" w:lineRule="auto"/>
        <w:ind w:firstLine="480" w:firstLineChars="200"/>
        <w:outlineLvl w:val="2"/>
        <w:rPr>
          <w:rFonts w:ascii="Arial Narrow" w:hAnsi="Arial Narrow" w:cs="Arial Narrow"/>
          <w:color w:val="000000" w:themeColor="text1"/>
          <w:sz w:val="24"/>
          <w14:textFill>
            <w14:solidFill>
              <w14:schemeClr w14:val="tx1"/>
            </w14:solidFill>
          </w14:textFill>
        </w:rPr>
      </w:pPr>
      <w:bookmarkStart w:id="56" w:name="_Toc10975"/>
      <w:bookmarkStart w:id="57" w:name="_Toc28656"/>
      <w:r>
        <w:rPr>
          <w:rFonts w:ascii="Arial Narrow" w:hAnsi="Arial Narrow" w:cs="Arial Narrow"/>
          <w:color w:val="000000" w:themeColor="text1"/>
          <w:sz w:val="24"/>
          <w14:textFill>
            <w14:solidFill>
              <w14:schemeClr w14:val="tx1"/>
            </w14:solidFill>
          </w14:textFill>
        </w:rPr>
        <w:t>1、绩效分析</w:t>
      </w:r>
      <w:bookmarkEnd w:id="56"/>
      <w:bookmarkEnd w:id="57"/>
    </w:p>
    <w:p>
      <w:pPr>
        <w:spacing w:line="360" w:lineRule="auto"/>
        <w:ind w:firstLine="482"/>
        <w:rPr>
          <w:rFonts w:ascii="Arial Narrow" w:hAnsi="Arial Narrow" w:cs="Arial Narrow"/>
          <w:sz w:val="24"/>
          <w:szCs w:val="21"/>
        </w:rPr>
      </w:pPr>
      <w:bookmarkStart w:id="58" w:name="_Toc513828346"/>
      <w:bookmarkStart w:id="59" w:name="_Toc2992"/>
      <w:bookmarkStart w:id="60" w:name="_Toc478501047"/>
      <w:bookmarkStart w:id="61" w:name="_Toc394181010"/>
      <w:bookmarkStart w:id="62" w:name="_Toc361304697"/>
      <w:bookmarkStart w:id="63" w:name="_Toc406666373"/>
      <w:bookmarkStart w:id="64" w:name="_Toc406668047"/>
      <w:bookmarkStart w:id="65" w:name="_Toc361302034"/>
      <w:bookmarkStart w:id="66" w:name="_Toc387957822"/>
      <w:r>
        <w:rPr>
          <w:rFonts w:ascii="Arial Narrow" w:hAnsi="Arial Narrow" w:cs="Arial Narrow"/>
          <w:sz w:val="24"/>
          <w:szCs w:val="21"/>
        </w:rPr>
        <w:t>1.1投入（16分）</w:t>
      </w:r>
      <w:bookmarkEnd w:id="58"/>
      <w:bookmarkEnd w:id="59"/>
      <w:bookmarkEnd w:id="60"/>
      <w:bookmarkEnd w:id="61"/>
    </w:p>
    <w:p>
      <w:pPr>
        <w:spacing w:line="360" w:lineRule="auto"/>
        <w:ind w:firstLine="482"/>
        <w:rPr>
          <w:rFonts w:ascii="仿宋_GB2312" w:hAnsi="Arial Narrow" w:cs="Arial Narrow"/>
          <w:sz w:val="24"/>
          <w:szCs w:val="21"/>
        </w:rPr>
      </w:pPr>
      <w:bookmarkStart w:id="67" w:name="_Toc394490596"/>
      <w:bookmarkStart w:id="68" w:name="_Toc513828347"/>
      <w:bookmarkStart w:id="69" w:name="_Toc394181009"/>
      <w:r>
        <w:rPr>
          <w:rFonts w:ascii="Arial Narrow" w:hAnsi="Arial Narrow" w:cs="Arial Narrow"/>
          <w:sz w:val="24"/>
          <w:szCs w:val="21"/>
        </w:rPr>
        <w:t>根据评价原则，项目决策评价得分为14分，评价</w:t>
      </w:r>
      <w:r>
        <w:rPr>
          <w:rFonts w:hint="eastAsia" w:ascii="仿宋_GB2312" w:hAnsi="Arial Narrow" w:cs="Arial Narrow"/>
          <w:sz w:val="24"/>
          <w:szCs w:val="21"/>
        </w:rPr>
        <w:t>结果为</w:t>
      </w:r>
      <w:r>
        <w:rPr>
          <w:rFonts w:hint="eastAsia" w:ascii="仿宋_GB2312" w:hAnsi="Arial Narrow" w:cs="宋体"/>
          <w:sz w:val="24"/>
          <w:szCs w:val="21"/>
        </w:rPr>
        <w:t>良</w:t>
      </w:r>
      <w:r>
        <w:rPr>
          <w:rFonts w:hint="eastAsia" w:ascii="仿宋_GB2312" w:hAnsi="Arial Narrow" w:cs="Arial Narrow"/>
          <w:sz w:val="24"/>
          <w:szCs w:val="21"/>
        </w:rPr>
        <w:t>。</w:t>
      </w:r>
      <w:bookmarkEnd w:id="67"/>
      <w:bookmarkEnd w:id="68"/>
      <w:bookmarkEnd w:id="69"/>
      <w:bookmarkStart w:id="70" w:name="_Toc394490597"/>
    </w:p>
    <w:p>
      <w:pPr>
        <w:spacing w:line="360" w:lineRule="auto"/>
        <w:ind w:firstLine="482"/>
        <w:jc w:val="center"/>
        <w:rPr>
          <w:rFonts w:ascii="仿宋_GB2312" w:hAnsi="Arial Narrow" w:cs="Arial Narrow"/>
          <w:sz w:val="24"/>
          <w:szCs w:val="21"/>
        </w:rPr>
      </w:pPr>
      <w:r>
        <w:rPr>
          <w:rFonts w:hint="eastAsia" w:ascii="仿宋_GB2312" w:hAnsi="Arial Narrow"/>
        </w:rPr>
        <w:drawing>
          <wp:inline distT="0" distB="0" distL="0" distR="0">
            <wp:extent cx="4064000" cy="2311400"/>
            <wp:effectExtent l="0" t="0" r="0" b="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360" w:lineRule="auto"/>
        <w:ind w:firstLine="482"/>
        <w:rPr>
          <w:rFonts w:ascii="仿宋_GB2312" w:hAnsi="Arial Narrow" w:cs="Arial Narrow"/>
          <w:sz w:val="24"/>
          <w:szCs w:val="21"/>
        </w:rPr>
      </w:pPr>
      <w:r>
        <w:rPr>
          <w:rFonts w:hint="eastAsia" w:ascii="仿宋_GB2312" w:hAnsi="Arial Narrow" w:cs="Arial Narrow"/>
          <w:sz w:val="24"/>
          <w:szCs w:val="21"/>
        </w:rPr>
        <w:t>投入指标主要评价项目立项和资金落实的实际情况。对于该项的评价，评价小组主要通过案卷研究、访谈、调查问卷等方式对资料进行收集、整理和分析，查看了项目立项的相关资料、财政预算的批复文件，对项目决策涉及的指标进行打分，并逐级加权计算结果。</w:t>
      </w:r>
    </w:p>
    <w:bookmarkEnd w:id="70"/>
    <w:p>
      <w:pPr>
        <w:spacing w:line="360" w:lineRule="auto"/>
        <w:ind w:firstLine="482"/>
        <w:rPr>
          <w:rFonts w:ascii="Arial Narrow" w:hAnsi="Arial Narrow" w:cs="Arial Narrow"/>
          <w:sz w:val="24"/>
          <w:szCs w:val="21"/>
        </w:rPr>
      </w:pPr>
      <w:r>
        <w:rPr>
          <w:rFonts w:ascii="Arial Narrow" w:hAnsi="Arial Narrow" w:cs="Arial Narrow"/>
          <w:sz w:val="24"/>
          <w:szCs w:val="21"/>
        </w:rPr>
        <w:t>（1）项目立项（8分）</w:t>
      </w:r>
    </w:p>
    <w:p>
      <w:pPr>
        <w:spacing w:line="360" w:lineRule="auto"/>
        <w:ind w:firstLine="480" w:firstLineChars="200"/>
        <w:rPr>
          <w:rFonts w:ascii="Arial Narrow" w:hAnsi="Arial Narrow" w:cs="Arial Narrow"/>
          <w:sz w:val="24"/>
          <w:szCs w:val="21"/>
        </w:rPr>
      </w:pPr>
      <w:r>
        <w:rPr>
          <w:rFonts w:ascii="Arial Narrow" w:hAnsi="Arial Narrow" w:cs="Arial Narrow"/>
          <w:sz w:val="24"/>
          <w:szCs w:val="21"/>
        </w:rPr>
        <w:t>该指标</w:t>
      </w:r>
      <w:r>
        <w:rPr>
          <w:rFonts w:ascii="Arial Narrow" w:hAnsi="Arial Narrow" w:cs="宋体"/>
          <w:sz w:val="24"/>
          <w:szCs w:val="21"/>
        </w:rPr>
        <w:t>主要从项目立项规范性、绩效目标合理性两个方面具体评价，用以反映项目立项的规范情况；绩效目标和指标的设定是否符合实际。该项指标评价得6分，评价结果为</w:t>
      </w:r>
      <w:r>
        <w:rPr>
          <w:rFonts w:hint="eastAsia" w:ascii="Arial Narrow" w:hAnsi="Arial Narrow" w:cs="宋体"/>
          <w:sz w:val="24"/>
          <w:szCs w:val="21"/>
        </w:rPr>
        <w:t>中</w:t>
      </w:r>
      <w:r>
        <w:rPr>
          <w:rFonts w:ascii="Arial Narrow" w:hAnsi="Arial Narrow" w:cs="宋体"/>
          <w:sz w:val="24"/>
          <w:szCs w:val="21"/>
        </w:rPr>
        <w:t>。</w:t>
      </w:r>
    </w:p>
    <w:p>
      <w:pPr>
        <w:spacing w:line="360" w:lineRule="auto"/>
        <w:ind w:firstLine="480" w:firstLineChars="200"/>
        <w:rPr>
          <w:rFonts w:ascii="仿宋_GB2312" w:hAnsi="Arial Narrow" w:cs="Arial Narrow"/>
          <w:sz w:val="24"/>
          <w:szCs w:val="21"/>
        </w:rPr>
      </w:pPr>
      <w:r>
        <w:rPr>
          <w:rFonts w:hint="eastAsia" w:ascii="宋体" w:hAnsi="宋体" w:eastAsia="宋体" w:cs="宋体"/>
          <w:sz w:val="24"/>
          <w:szCs w:val="21"/>
        </w:rPr>
        <w:t>①</w:t>
      </w:r>
      <w:r>
        <w:rPr>
          <w:rFonts w:hint="eastAsia" w:ascii="仿宋_GB2312" w:hAnsi="Arial Narrow" w:cs="Arial Narrow"/>
          <w:sz w:val="24"/>
          <w:szCs w:val="21"/>
        </w:rPr>
        <w:t>项目立项规范性，是指项目的申请、设立过程是否符合相关要求，用以反映</w:t>
      </w:r>
      <w:r>
        <w:rPr>
          <w:rFonts w:hint="eastAsia" w:ascii="仿宋_GB2312" w:hAnsi="Arial Narrow" w:cs="宋体"/>
          <w:sz w:val="24"/>
          <w:szCs w:val="21"/>
        </w:rPr>
        <w:t>和</w:t>
      </w:r>
      <w:r>
        <w:rPr>
          <w:rFonts w:hint="eastAsia" w:ascii="仿宋_GB2312" w:hAnsi="Arial Narrow" w:cs="Arial Narrow"/>
          <w:sz w:val="24"/>
          <w:szCs w:val="21"/>
        </w:rPr>
        <w:t>考核项目立项的规范情况。评价小组通过查看《关于开展</w:t>
      </w:r>
      <w:r>
        <w:rPr>
          <w:rFonts w:ascii="Arial Narrow" w:hAnsi="Arial Narrow" w:cs="Arial Narrow"/>
          <w:sz w:val="24"/>
          <w:szCs w:val="21"/>
        </w:rPr>
        <w:t>2018年度全市港口危险货物安全管理工作督察的通知》、《关于进一步加强全市港口危险货物作业安全监管的紧急通知》及《关于认真汲取张家口市“11.28”事故教训立即开展全区危险化学品安全生产大检查的通知》等文件了解到，项目实施单位于2018年向财政局申报当年交通安全专项经费并提交2018年</w:t>
      </w:r>
      <w:r>
        <w:rPr>
          <w:rFonts w:hint="eastAsia" w:ascii="仿宋_GB2312" w:hAnsi="Arial Narrow" w:cs="Arial Narrow"/>
          <w:sz w:val="24"/>
          <w:szCs w:val="21"/>
        </w:rPr>
        <w:t>开发区部门项目申报及绩效目标表</w:t>
      </w:r>
      <w:r>
        <w:rPr>
          <w:rFonts w:hint="eastAsia" w:ascii="仿宋_GB2312" w:hAnsi="宋体" w:cs="宋体"/>
          <w:sz w:val="24"/>
          <w:szCs w:val="21"/>
        </w:rPr>
        <w:t>。</w:t>
      </w:r>
      <w:r>
        <w:rPr>
          <w:rFonts w:hint="eastAsia" w:ascii="仿宋_GB2312" w:hAnsi="Arial Narrow" w:cs="Arial Narrow"/>
          <w:sz w:val="24"/>
          <w:szCs w:val="21"/>
        </w:rPr>
        <w:t xml:space="preserve"> </w:t>
      </w:r>
    </w:p>
    <w:p>
      <w:pPr>
        <w:spacing w:line="360" w:lineRule="auto"/>
        <w:ind w:firstLine="480" w:firstLineChars="200"/>
        <w:rPr>
          <w:rFonts w:ascii="仿宋_GB2312" w:hAnsi="Arial Narrow" w:cs="Arial Narrow"/>
          <w:sz w:val="24"/>
          <w:szCs w:val="21"/>
        </w:rPr>
      </w:pPr>
      <w:r>
        <w:rPr>
          <w:rFonts w:hint="eastAsia" w:ascii="宋体" w:hAnsi="宋体" w:eastAsia="宋体" w:cs="宋体"/>
          <w:sz w:val="24"/>
          <w:szCs w:val="21"/>
        </w:rPr>
        <w:t>②</w:t>
      </w:r>
      <w:r>
        <w:rPr>
          <w:rFonts w:hint="eastAsia" w:ascii="仿宋_GB2312" w:hAnsi="Arial Narrow" w:cs="Arial Narrow"/>
          <w:sz w:val="24"/>
          <w:szCs w:val="21"/>
        </w:rPr>
        <w:t>绩效目标合理性，是指项目所设定的绩效目标是否依据充分，是否符合客观实际，用以反映和考核项目绩效目标与项目实施的相符情况。评价小组通过查看</w:t>
      </w:r>
      <w:r>
        <w:rPr>
          <w:rFonts w:ascii="Arial Narrow" w:hAnsi="Arial Narrow" w:cs="Arial Narrow"/>
          <w:sz w:val="24"/>
          <w:szCs w:val="21"/>
        </w:rPr>
        <w:t>《2018</w:t>
      </w:r>
      <w:r>
        <w:rPr>
          <w:rFonts w:hint="eastAsia" w:ascii="仿宋_GB2312" w:hAnsi="Arial Narrow" w:cs="Arial Narrow"/>
          <w:sz w:val="24"/>
          <w:szCs w:val="21"/>
        </w:rPr>
        <w:t>年开发区部门项目申报及绩效目标表》文件了解到，项目实施单位虽设立了项</w:t>
      </w:r>
      <w:bookmarkStart w:id="124" w:name="_GoBack"/>
      <w:bookmarkEnd w:id="124"/>
      <w:r>
        <w:rPr>
          <w:rFonts w:hint="eastAsia" w:ascii="仿宋_GB2312" w:hAnsi="Arial Narrow" w:cs="Arial Narrow"/>
          <w:sz w:val="24"/>
          <w:szCs w:val="21"/>
        </w:rPr>
        <w:t>目绩效总目标，但未设立年度绩效目标和长期目标，且绩效指标不够清晰、全面，</w:t>
      </w:r>
      <w:r>
        <w:rPr>
          <w:rFonts w:hint="eastAsia" w:ascii="仿宋_GB2312" w:hAnsi="宋体" w:cs="宋体"/>
          <w:sz w:val="24"/>
          <w:szCs w:val="21"/>
        </w:rPr>
        <w:t>部分</w:t>
      </w:r>
      <w:r>
        <w:rPr>
          <w:rFonts w:hint="eastAsia" w:ascii="仿宋_GB2312" w:hAnsi="Arial Narrow" w:cs="Arial Narrow"/>
          <w:sz w:val="24"/>
          <w:szCs w:val="21"/>
        </w:rPr>
        <w:t>指标可测性不高，如港航处专项业务支出项目的“港口经营企业”指标，未准确设置指标值，根据评分准则扣</w:t>
      </w:r>
      <w:r>
        <w:rPr>
          <w:rFonts w:ascii="Arial Narrow" w:hAnsi="Arial Narrow" w:cs="Arial Narrow"/>
          <w:sz w:val="24"/>
          <w:szCs w:val="21"/>
        </w:rPr>
        <w:t>2</w:t>
      </w:r>
      <w:r>
        <w:rPr>
          <w:rFonts w:hint="eastAsia" w:ascii="仿宋_GB2312" w:hAnsi="Arial Narrow" w:cs="Arial Narrow"/>
          <w:sz w:val="24"/>
          <w:szCs w:val="21"/>
        </w:rPr>
        <w:t>分。</w:t>
      </w:r>
    </w:p>
    <w:p>
      <w:pPr>
        <w:spacing w:line="360" w:lineRule="auto"/>
        <w:ind w:firstLine="482"/>
        <w:rPr>
          <w:rFonts w:ascii="Arial Narrow" w:hAnsi="Arial Narrow" w:cs="Arial Narrow"/>
          <w:sz w:val="24"/>
          <w:szCs w:val="21"/>
        </w:rPr>
      </w:pPr>
      <w:r>
        <w:rPr>
          <w:rFonts w:ascii="Arial Narrow" w:hAnsi="Arial Narrow" w:cs="Arial Narrow"/>
          <w:sz w:val="24"/>
          <w:szCs w:val="21"/>
        </w:rPr>
        <w:t>（2）资金落实（8分）</w:t>
      </w:r>
    </w:p>
    <w:p>
      <w:pPr>
        <w:spacing w:line="360" w:lineRule="auto"/>
        <w:ind w:firstLine="482"/>
        <w:rPr>
          <w:rFonts w:ascii="仿宋_GB2312" w:hAnsi="Arial Narrow" w:cs="Arial Narrow"/>
          <w:sz w:val="24"/>
          <w:szCs w:val="21"/>
        </w:rPr>
      </w:pPr>
      <w:r>
        <w:rPr>
          <w:rFonts w:hint="eastAsia" w:ascii="仿宋_GB2312" w:hAnsi="Arial Narrow" w:cs="Arial Narrow"/>
          <w:sz w:val="24"/>
          <w:szCs w:val="21"/>
        </w:rPr>
        <w:t>该指标</w:t>
      </w:r>
      <w:r>
        <w:rPr>
          <w:rFonts w:hint="eastAsia" w:ascii="仿宋_GB2312" w:hAnsi="宋体" w:cs="宋体"/>
          <w:sz w:val="24"/>
          <w:szCs w:val="21"/>
        </w:rPr>
        <w:t>主要考察资金到位率及到位及时率，反映项目资金落实情况对项目实施的保障程度、资金落实的及时性程度。该项指标评价得分</w:t>
      </w:r>
      <w:r>
        <w:rPr>
          <w:rFonts w:ascii="Arial Narrow" w:hAnsi="Arial Narrow" w:cs="宋体"/>
          <w:sz w:val="24"/>
          <w:szCs w:val="21"/>
        </w:rPr>
        <w:t>为8</w:t>
      </w:r>
      <w:r>
        <w:rPr>
          <w:rFonts w:hint="eastAsia" w:ascii="仿宋_GB2312" w:hAnsi="宋体" w:cs="宋体"/>
          <w:sz w:val="24"/>
          <w:szCs w:val="21"/>
        </w:rPr>
        <w:t>分，评级结果为优</w:t>
      </w:r>
      <w:r>
        <w:rPr>
          <w:rFonts w:hint="eastAsia" w:ascii="仿宋_GB2312" w:hAnsi="Arial Narrow" w:cs="Arial Narrow"/>
          <w:sz w:val="24"/>
          <w:szCs w:val="21"/>
        </w:rPr>
        <w:t>。</w:t>
      </w:r>
    </w:p>
    <w:p>
      <w:pPr>
        <w:spacing w:line="360" w:lineRule="auto"/>
        <w:ind w:firstLine="482"/>
        <w:rPr>
          <w:rFonts w:ascii="Arial Narrow" w:hAnsi="Arial Narrow" w:cs="Arial Narrow"/>
          <w:sz w:val="24"/>
          <w:szCs w:val="21"/>
        </w:rPr>
      </w:pPr>
      <w:r>
        <w:rPr>
          <w:rFonts w:hint="eastAsia" w:ascii="仿宋_GB2312" w:hAnsi="宋体" w:cs="宋体"/>
          <w:sz w:val="24"/>
          <w:szCs w:val="21"/>
        </w:rPr>
        <w:t>①</w:t>
      </w:r>
      <w:r>
        <w:rPr>
          <w:rFonts w:hint="eastAsia" w:ascii="仿宋_GB2312" w:hAnsi="Arial Narrow" w:cs="Arial Narrow"/>
          <w:sz w:val="24"/>
          <w:szCs w:val="21"/>
        </w:rPr>
        <w:t>资金到位率是指实际到位资金与计划投入资金的比率，用以反映和考核资金落实情况对项目实施的总体保障程度。项目计划投入资</w:t>
      </w:r>
      <w:r>
        <w:rPr>
          <w:rFonts w:ascii="Arial Narrow" w:hAnsi="Arial Narrow" w:cs="Arial Narrow"/>
          <w:sz w:val="24"/>
          <w:szCs w:val="21"/>
        </w:rPr>
        <w:t>金38.00万元，实际到位资金38.00万元，资金到位率100.00%</w:t>
      </w:r>
      <w:r>
        <w:rPr>
          <w:rFonts w:hint="eastAsia" w:ascii="Arial Narrow" w:hAnsi="Arial Narrow" w:cs="Arial Narrow"/>
          <w:sz w:val="24"/>
          <w:szCs w:val="21"/>
        </w:rPr>
        <w:t>。</w:t>
      </w:r>
    </w:p>
    <w:p>
      <w:pPr>
        <w:spacing w:line="360" w:lineRule="auto"/>
        <w:ind w:firstLine="482"/>
        <w:rPr>
          <w:rFonts w:ascii="Arial Narrow" w:hAnsi="Arial Narrow" w:cs="Arial Narrow"/>
          <w:sz w:val="24"/>
          <w:szCs w:val="21"/>
        </w:rPr>
      </w:pPr>
      <w:r>
        <w:rPr>
          <w:rFonts w:hint="eastAsia" w:ascii="微软雅黑" w:hAnsi="微软雅黑" w:eastAsia="微软雅黑" w:cs="微软雅黑"/>
          <w:sz w:val="24"/>
          <w:szCs w:val="21"/>
        </w:rPr>
        <w:t>②</w:t>
      </w:r>
      <w:r>
        <w:rPr>
          <w:rFonts w:ascii="Arial Narrow" w:hAnsi="Arial Narrow" w:cs="Arial Narrow"/>
          <w:sz w:val="24"/>
          <w:szCs w:val="21"/>
        </w:rPr>
        <w:t>到位及时率是指及时到位资金与应到位资金的比率，用以反映和考核项目资金落实的及时性程度。项目</w:t>
      </w:r>
      <w:r>
        <w:rPr>
          <w:rFonts w:ascii="Arial Narrow" w:hAnsi="Arial Narrow" w:cs="宋体"/>
          <w:sz w:val="24"/>
          <w:szCs w:val="21"/>
        </w:rPr>
        <w:t>资金于2018年2月9日及时到达。</w:t>
      </w:r>
    </w:p>
    <w:bookmarkEnd w:id="62"/>
    <w:bookmarkEnd w:id="63"/>
    <w:bookmarkEnd w:id="64"/>
    <w:bookmarkEnd w:id="65"/>
    <w:bookmarkEnd w:id="66"/>
    <w:p>
      <w:pPr>
        <w:spacing w:line="360" w:lineRule="auto"/>
        <w:ind w:firstLine="482"/>
        <w:rPr>
          <w:rFonts w:ascii="Arial Narrow" w:hAnsi="Arial Narrow" w:cs="Arial Narrow"/>
          <w:sz w:val="24"/>
          <w:szCs w:val="21"/>
        </w:rPr>
      </w:pPr>
      <w:bookmarkStart w:id="71" w:name="_Toc11787"/>
      <w:bookmarkStart w:id="72" w:name="_Toc513828348"/>
      <w:bookmarkStart w:id="73" w:name="_Toc478501048"/>
      <w:bookmarkStart w:id="74" w:name="_Toc387957823"/>
      <w:bookmarkStart w:id="75" w:name="_Toc406668048"/>
      <w:bookmarkStart w:id="76" w:name="_Toc361302036"/>
      <w:bookmarkStart w:id="77" w:name="_Toc361304699"/>
      <w:bookmarkStart w:id="78" w:name="_Toc406666374"/>
      <w:r>
        <w:rPr>
          <w:rFonts w:ascii="Arial Narrow" w:hAnsi="Arial Narrow" w:cs="Arial Narrow"/>
          <w:sz w:val="24"/>
          <w:szCs w:val="21"/>
        </w:rPr>
        <w:t>1.2过程（24分）</w:t>
      </w:r>
      <w:bookmarkEnd w:id="71"/>
      <w:bookmarkEnd w:id="72"/>
      <w:bookmarkEnd w:id="73"/>
    </w:p>
    <w:p>
      <w:pPr>
        <w:spacing w:line="360" w:lineRule="auto"/>
        <w:ind w:firstLine="482"/>
        <w:rPr>
          <w:rFonts w:ascii="仿宋_GB2312" w:hAnsi="Arial Narrow" w:cs="Arial Narrow"/>
          <w:sz w:val="24"/>
          <w:szCs w:val="21"/>
        </w:rPr>
      </w:pPr>
      <w:bookmarkStart w:id="79" w:name="_Toc394490599"/>
      <w:bookmarkStart w:id="80" w:name="_Toc394181012"/>
      <w:r>
        <w:rPr>
          <w:rFonts w:ascii="Arial Narrow" w:hAnsi="Arial Narrow" w:cs="Arial Narrow"/>
          <w:sz w:val="24"/>
          <w:szCs w:val="21"/>
        </w:rPr>
        <w:t>根据评价原则，过程评价得分为24分，评价结果为优。</w:t>
      </w:r>
      <w:bookmarkEnd w:id="79"/>
      <w:bookmarkEnd w:id="80"/>
    </w:p>
    <w:p>
      <w:pPr>
        <w:spacing w:line="360" w:lineRule="auto"/>
        <w:ind w:firstLine="482"/>
        <w:jc w:val="center"/>
        <w:rPr>
          <w:rFonts w:ascii="仿宋_GB2312" w:hAnsi="Arial Narrow" w:cs="Arial Narrow"/>
          <w:sz w:val="24"/>
          <w:szCs w:val="21"/>
        </w:rPr>
      </w:pPr>
      <w:r>
        <w:rPr>
          <w:rFonts w:hint="eastAsia" w:ascii="仿宋_GB2312" w:hAnsi="Arial Narrow"/>
        </w:rPr>
        <w:drawing>
          <wp:inline distT="0" distB="0" distL="0" distR="0">
            <wp:extent cx="3930650" cy="2397125"/>
            <wp:effectExtent l="0" t="0" r="0" b="3175"/>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360" w:lineRule="auto"/>
        <w:ind w:firstLine="482"/>
        <w:rPr>
          <w:rFonts w:ascii="仿宋_GB2312" w:hAnsi="Arial Narrow" w:cs="Arial Narrow"/>
          <w:sz w:val="24"/>
          <w:szCs w:val="21"/>
        </w:rPr>
      </w:pPr>
      <w:r>
        <w:rPr>
          <w:rFonts w:hint="eastAsia" w:ascii="仿宋_GB2312" w:hAnsi="Arial Narrow" w:cs="Arial Narrow"/>
          <w:sz w:val="24"/>
          <w:szCs w:val="21"/>
        </w:rPr>
        <w:t>项目过程指标主要从项目管理、财务管理来具体评价，主要考核管理制度健全性、制度执行有效性、项目质量可控性、财务制度健全性、资金使用合规性、财务监控有效性。对于该项的评价，评价小组主要采取了案卷研究</w:t>
      </w:r>
      <w:r>
        <w:rPr>
          <w:rFonts w:hint="eastAsia" w:ascii="仿宋_GB2312" w:hAnsi="Arial Narrow" w:cs="宋体"/>
          <w:sz w:val="24"/>
          <w:szCs w:val="21"/>
        </w:rPr>
        <w:t>的</w:t>
      </w:r>
      <w:r>
        <w:rPr>
          <w:rFonts w:hint="eastAsia" w:ascii="仿宋_GB2312" w:hAnsi="Arial Narrow" w:cs="Arial Narrow"/>
          <w:sz w:val="24"/>
          <w:szCs w:val="21"/>
        </w:rPr>
        <w:t>方式进行资料收集、整理、核实和分析，收集了项目具体实施单位相关文件和项目档案资料管理相关文件；了解项目实施单位工作内容、形式和要求；对项目管理涉及的指标进行打分，并逐级加权计算结果。</w:t>
      </w:r>
    </w:p>
    <w:p>
      <w:pPr>
        <w:spacing w:line="360" w:lineRule="auto"/>
        <w:ind w:firstLine="482"/>
        <w:rPr>
          <w:rFonts w:ascii="Arial Narrow" w:hAnsi="Arial Narrow" w:cs="Arial Narrow"/>
          <w:sz w:val="24"/>
          <w:szCs w:val="21"/>
        </w:rPr>
      </w:pPr>
      <w:r>
        <w:rPr>
          <w:rFonts w:ascii="Arial Narrow" w:hAnsi="Arial Narrow" w:cs="Arial Narrow"/>
          <w:sz w:val="24"/>
          <w:szCs w:val="21"/>
        </w:rPr>
        <w:t>（1）项目管理（12分）</w:t>
      </w:r>
    </w:p>
    <w:p>
      <w:pPr>
        <w:spacing w:line="360" w:lineRule="auto"/>
        <w:ind w:firstLine="482"/>
        <w:rPr>
          <w:rFonts w:ascii="Arial Narrow" w:hAnsi="Arial Narrow" w:cs="Arial Narrow"/>
          <w:sz w:val="24"/>
          <w:szCs w:val="21"/>
        </w:rPr>
      </w:pPr>
      <w:r>
        <w:rPr>
          <w:rFonts w:ascii="Arial Narrow" w:hAnsi="Arial Narrow" w:cs="Arial Narrow"/>
          <w:sz w:val="24"/>
          <w:szCs w:val="21"/>
        </w:rPr>
        <w:t>该</w:t>
      </w:r>
      <w:r>
        <w:rPr>
          <w:rFonts w:ascii="Arial Narrow" w:hAnsi="Arial Narrow" w:cs="宋体"/>
          <w:sz w:val="24"/>
          <w:szCs w:val="21"/>
        </w:rPr>
        <w:t>指标主要</w:t>
      </w:r>
      <w:r>
        <w:rPr>
          <w:rFonts w:ascii="Arial Narrow" w:hAnsi="Arial Narrow" w:cs="Arial Narrow"/>
          <w:sz w:val="24"/>
          <w:szCs w:val="21"/>
        </w:rPr>
        <w:t>从管理制度健全性、制度执行有效性、项目质量可控性三个方面具体评价。</w:t>
      </w:r>
      <w:r>
        <w:rPr>
          <w:rFonts w:ascii="Arial Narrow" w:hAnsi="Arial Narrow" w:cs="宋体"/>
          <w:sz w:val="24"/>
          <w:szCs w:val="21"/>
        </w:rPr>
        <w:t>用以反映和考核业务管理制度对项目顺利实施的保障情况，业务管理制度的有效执行情况及项目实施单位对项目质量的控制情况。</w:t>
      </w:r>
      <w:r>
        <w:rPr>
          <w:rFonts w:ascii="Arial Narrow" w:hAnsi="Arial Narrow" w:cs="Arial Narrow"/>
          <w:sz w:val="24"/>
          <w:szCs w:val="21"/>
        </w:rPr>
        <w:t>该</w:t>
      </w:r>
      <w:r>
        <w:rPr>
          <w:rFonts w:ascii="Arial Narrow" w:hAnsi="Arial Narrow" w:cs="宋体"/>
          <w:sz w:val="24"/>
          <w:szCs w:val="21"/>
        </w:rPr>
        <w:t>项</w:t>
      </w:r>
      <w:r>
        <w:rPr>
          <w:rFonts w:ascii="Arial Narrow" w:hAnsi="Arial Narrow" w:cs="Arial Narrow"/>
          <w:sz w:val="24"/>
          <w:szCs w:val="21"/>
        </w:rPr>
        <w:t>指标评价得分为1</w:t>
      </w:r>
      <w:r>
        <w:rPr>
          <w:rFonts w:hint="eastAsia" w:ascii="Arial Narrow" w:hAnsi="Arial Narrow" w:cs="Arial Narrow"/>
          <w:sz w:val="24"/>
          <w:szCs w:val="21"/>
        </w:rPr>
        <w:t>2</w:t>
      </w:r>
      <w:r>
        <w:rPr>
          <w:rFonts w:ascii="Arial Narrow" w:hAnsi="Arial Narrow" w:cs="Arial Narrow"/>
          <w:sz w:val="24"/>
          <w:szCs w:val="21"/>
        </w:rPr>
        <w:t>分</w:t>
      </w:r>
      <w:r>
        <w:rPr>
          <w:rFonts w:ascii="Arial Narrow" w:hAnsi="Arial Narrow" w:cs="宋体"/>
          <w:sz w:val="24"/>
          <w:szCs w:val="21"/>
        </w:rPr>
        <w:t>，评价为优。</w:t>
      </w:r>
    </w:p>
    <w:p>
      <w:pPr>
        <w:spacing w:line="360" w:lineRule="auto"/>
        <w:ind w:firstLine="482"/>
        <w:rPr>
          <w:rFonts w:ascii="仿宋_GB2312" w:hAnsi="Arial Narrow" w:cs="Arial Narrow"/>
          <w:sz w:val="24"/>
          <w:szCs w:val="21"/>
        </w:rPr>
      </w:pPr>
      <w:r>
        <w:rPr>
          <w:rFonts w:hint="eastAsia" w:ascii="仿宋_GB2312" w:hAnsi="宋体" w:cs="宋体"/>
          <w:sz w:val="24"/>
          <w:szCs w:val="21"/>
        </w:rPr>
        <w:t>①</w:t>
      </w:r>
      <w:r>
        <w:rPr>
          <w:rFonts w:hint="eastAsia" w:ascii="仿宋_GB2312" w:hAnsi="Arial Narrow" w:cs="Arial Narrow"/>
          <w:sz w:val="24"/>
          <w:szCs w:val="21"/>
        </w:rPr>
        <w:t>管理制度健全性，是指项目实施单位的业务管理制度是否健全，用以反映和考核业务管理制度对项目顺利实施的保障情况。项目实施单位制定了《全市载运危险货物安全综合治理行动暨国内航行油船和散装液体化学品船舶专项整治活动工作方案》、经开处</w:t>
      </w:r>
      <w:r>
        <w:rPr>
          <w:rFonts w:hint="eastAsia" w:ascii="仿宋_GB2312" w:hAnsi="宋体" w:cs="宋体"/>
          <w:sz w:val="24"/>
          <w:szCs w:val="21"/>
        </w:rPr>
        <w:t>《</w:t>
      </w:r>
      <w:r>
        <w:rPr>
          <w:rFonts w:hint="eastAsia" w:ascii="仿宋_GB2312" w:hAnsi="Arial Narrow" w:cs="Arial Narrow"/>
          <w:sz w:val="24"/>
          <w:szCs w:val="21"/>
        </w:rPr>
        <w:t>关于立即开展危险化学品水路交通运输安全生产大检查的工作方案、《汉南区港航海事处</w:t>
      </w:r>
      <w:r>
        <w:rPr>
          <w:rFonts w:ascii="Arial Narrow" w:hAnsi="Arial Narrow" w:cs="Arial Narrow"/>
          <w:sz w:val="24"/>
          <w:szCs w:val="21"/>
        </w:rPr>
        <w:t>2018年</w:t>
      </w:r>
      <w:r>
        <w:rPr>
          <w:rFonts w:hint="eastAsia" w:ascii="仿宋_GB2312" w:hAnsi="Arial Narrow" w:cs="Arial Narrow"/>
          <w:sz w:val="24"/>
          <w:szCs w:val="21"/>
        </w:rPr>
        <w:t>“安全生产月”活动方案》，其中介绍了各项活动的工作目标、工作重点，并确定了具体项目实施内容和工作实施计划，所制定的业务方案合法、合规、完整。</w:t>
      </w:r>
    </w:p>
    <w:p>
      <w:pPr>
        <w:spacing w:line="360" w:lineRule="auto"/>
        <w:ind w:firstLine="482"/>
        <w:rPr>
          <w:rFonts w:ascii="仿宋_GB2312" w:hAnsi="Arial Narrow" w:cs="Arial Narrow"/>
          <w:sz w:val="24"/>
          <w:szCs w:val="21"/>
        </w:rPr>
      </w:pPr>
      <w:r>
        <w:rPr>
          <w:rFonts w:hint="eastAsia" w:ascii="仿宋_GB2312" w:hAnsi="微软雅黑" w:cs="微软雅黑"/>
          <w:sz w:val="24"/>
          <w:szCs w:val="21"/>
        </w:rPr>
        <w:t>②</w:t>
      </w:r>
      <w:r>
        <w:rPr>
          <w:rFonts w:hint="eastAsia" w:ascii="仿宋_GB2312" w:hAnsi="Arial Narrow" w:cs="Arial Narrow"/>
          <w:sz w:val="24"/>
          <w:szCs w:val="21"/>
        </w:rPr>
        <w:t>制度执行有效性，是指项目实施是否符合相关业务管理规定，用以反映和考核业务管理制度的有效执行情况。评价小组通过查看相关文件了解到，项目实施过程中，各项活动遵守相关法律法规；并按计划执行，未发生调整；且项目的计划、流程、总结等相关资料齐全并及时归档并安排了专门的活动领导小组与活动工作组，活动场地设备与信息也落实到位。</w:t>
      </w:r>
    </w:p>
    <w:p>
      <w:pPr>
        <w:spacing w:line="360" w:lineRule="auto"/>
        <w:ind w:firstLine="482"/>
        <w:rPr>
          <w:rFonts w:ascii="仿宋_GB2312" w:hAnsi="Arial Narrow" w:cs="Arial Narrow"/>
          <w:sz w:val="24"/>
          <w:szCs w:val="21"/>
        </w:rPr>
      </w:pPr>
      <w:r>
        <w:rPr>
          <w:rFonts w:hint="eastAsia" w:ascii="仿宋_GB2312" w:hAnsi="微软雅黑" w:cs="微软雅黑"/>
          <w:sz w:val="24"/>
          <w:szCs w:val="21"/>
        </w:rPr>
        <w:t>③</w:t>
      </w:r>
      <w:r>
        <w:rPr>
          <w:rFonts w:hint="eastAsia" w:ascii="仿宋_GB2312" w:hAnsi="Arial Narrow" w:cs="Arial Narrow"/>
          <w:sz w:val="24"/>
          <w:szCs w:val="21"/>
        </w:rPr>
        <w:t>项目质量可控性，是指项目实施单位是否为达到项目质量要求而采取了必需的措施，用以反映和考核项目实施单位对项目质量的控制情况。评价小组通过查看相关文件了解到，项目实施单位在项目实施前规定了各项活动的工作要求，对项目的完成制定了相关标准，如：坚持“安全第一、预防为主、综合管理”的方针，坚守安全红线坚守，采取了相应的项目质量检查措施，其中主要包括查看资料台账、现场抽查和暗访等。</w:t>
      </w:r>
    </w:p>
    <w:p>
      <w:pPr>
        <w:spacing w:line="360" w:lineRule="auto"/>
        <w:ind w:firstLine="482"/>
        <w:rPr>
          <w:rFonts w:ascii="Arial Narrow" w:hAnsi="Arial Narrow" w:cs="Arial Narrow"/>
          <w:sz w:val="24"/>
          <w:szCs w:val="21"/>
        </w:rPr>
      </w:pPr>
      <w:r>
        <w:rPr>
          <w:rFonts w:ascii="Arial Narrow" w:hAnsi="Arial Narrow" w:cs="Arial Narrow"/>
          <w:sz w:val="24"/>
          <w:szCs w:val="21"/>
        </w:rPr>
        <w:t>（2）财务管理（12分）</w:t>
      </w:r>
    </w:p>
    <w:p>
      <w:pPr>
        <w:spacing w:line="360" w:lineRule="auto"/>
        <w:ind w:firstLine="482"/>
        <w:rPr>
          <w:rFonts w:ascii="Arial Narrow" w:hAnsi="Arial Narrow" w:cs="Arial Narrow"/>
          <w:sz w:val="24"/>
          <w:szCs w:val="21"/>
        </w:rPr>
      </w:pPr>
      <w:r>
        <w:rPr>
          <w:rFonts w:ascii="Arial Narrow" w:hAnsi="Arial Narrow" w:cs="Arial Narrow"/>
          <w:sz w:val="24"/>
          <w:szCs w:val="21"/>
        </w:rPr>
        <w:t>该</w:t>
      </w:r>
      <w:r>
        <w:rPr>
          <w:rFonts w:ascii="Arial Narrow" w:hAnsi="Arial Narrow" w:cs="宋体"/>
          <w:sz w:val="24"/>
          <w:szCs w:val="21"/>
        </w:rPr>
        <w:t>指标主要</w:t>
      </w:r>
      <w:r>
        <w:rPr>
          <w:rFonts w:ascii="Arial Narrow" w:hAnsi="Arial Narrow" w:cs="Arial Narrow"/>
          <w:sz w:val="24"/>
          <w:szCs w:val="21"/>
        </w:rPr>
        <w:t>从财务管理制度健全性、资金使用合规性和财务监控有效性三方面具体评价。用以反映和考核财务管理制度对资金规范、安全运行的保障情况，项目资金的规范运行情况及项目实施单位对资金的监控情况。该指标评价得分为12分</w:t>
      </w:r>
      <w:r>
        <w:rPr>
          <w:rFonts w:ascii="Arial Narrow" w:hAnsi="Arial Narrow" w:cs="宋体"/>
          <w:sz w:val="24"/>
          <w:szCs w:val="21"/>
        </w:rPr>
        <w:t>，评价结果为优。</w:t>
      </w:r>
    </w:p>
    <w:p>
      <w:pPr>
        <w:spacing w:line="360" w:lineRule="auto"/>
        <w:ind w:firstLine="482"/>
        <w:rPr>
          <w:rFonts w:ascii="仿宋_GB2312" w:hAnsi="Arial Narrow" w:cs="Arial Narrow"/>
          <w:sz w:val="24"/>
          <w:szCs w:val="21"/>
        </w:rPr>
      </w:pPr>
      <w:r>
        <w:rPr>
          <w:rFonts w:hint="eastAsia" w:ascii="仿宋_GB2312" w:hAnsi="微软雅黑" w:cs="微软雅黑"/>
          <w:sz w:val="24"/>
          <w:szCs w:val="21"/>
        </w:rPr>
        <w:t>①</w:t>
      </w:r>
      <w:r>
        <w:rPr>
          <w:rFonts w:hint="eastAsia" w:ascii="仿宋_GB2312" w:hAnsi="Arial Narrow" w:cs="Arial Narrow"/>
          <w:sz w:val="24"/>
          <w:szCs w:val="21"/>
        </w:rPr>
        <w:t>财务管理制度健全性，是指项目实施单位的财务制度是否健全，用以反映和考核财务管理制度对资金规范、安全运行的保障情况。项目实施单位制定了财务管理制度，财政票据管理办法，支出管理办法等项目资金管理办法，其中对资金拨付、报账管理等程序进行规定，如各项活动经费申请，支出审批，履行正常报批手续予以报销等，项目制定的相关制度合法、合规、完整。</w:t>
      </w:r>
    </w:p>
    <w:p>
      <w:pPr>
        <w:spacing w:line="360" w:lineRule="auto"/>
        <w:ind w:firstLine="482"/>
        <w:rPr>
          <w:rFonts w:ascii="仿宋_GB2312" w:hAnsi="Arial Narrow" w:cs="Arial Narrow"/>
          <w:sz w:val="24"/>
          <w:szCs w:val="21"/>
        </w:rPr>
      </w:pPr>
      <w:r>
        <w:rPr>
          <w:rFonts w:hint="eastAsia" w:ascii="仿宋_GB2312" w:hAnsi="微软雅黑" w:cs="微软雅黑"/>
          <w:sz w:val="24"/>
          <w:szCs w:val="21"/>
        </w:rPr>
        <w:t>②</w:t>
      </w:r>
      <w:r>
        <w:rPr>
          <w:rFonts w:hint="eastAsia" w:ascii="仿宋_GB2312" w:hAnsi="Arial Narrow" w:cs="Arial Narrow"/>
          <w:sz w:val="24"/>
          <w:szCs w:val="21"/>
        </w:rPr>
        <w:t>资金使用合规性，是指项目资金使用是否符合相关的财务管理制度规定，用以反映和考核项目资金的规范运行情况。项目支出符合国家财经法规和财务管理制度以及《收支管理制度》，评论小组通过查看经费支出明细、相关支出凭证等，了解到项目资金的拨付有完整的审批程序和手续，且符合项目预算批复的用途，不存在截留、挤占、挪用、虚列支出等情况。</w:t>
      </w:r>
    </w:p>
    <w:p>
      <w:pPr>
        <w:spacing w:line="360" w:lineRule="auto"/>
        <w:ind w:firstLine="482"/>
        <w:rPr>
          <w:rFonts w:ascii="仿宋_GB2312" w:hAnsi="Arial Narrow" w:cs="Arial Narrow"/>
          <w:sz w:val="24"/>
          <w:szCs w:val="21"/>
        </w:rPr>
      </w:pPr>
      <w:r>
        <w:rPr>
          <w:rFonts w:hint="eastAsia" w:ascii="仿宋_GB2312" w:hAnsi="微软雅黑" w:cs="微软雅黑"/>
          <w:sz w:val="24"/>
          <w:szCs w:val="21"/>
        </w:rPr>
        <w:t>③</w:t>
      </w:r>
      <w:r>
        <w:rPr>
          <w:rFonts w:hint="eastAsia" w:ascii="仿宋_GB2312" w:hAnsi="Arial Narrow" w:cs="Arial Narrow"/>
          <w:sz w:val="24"/>
          <w:szCs w:val="21"/>
        </w:rPr>
        <w:t>财务监控有效性，是指项目实施单位是否为保障资金的安全、规范运行而采取了必要的监控措施，用以反映和考核项目实施单位对资金运行的控制情况。</w:t>
      </w:r>
      <w:bookmarkEnd w:id="74"/>
      <w:bookmarkEnd w:id="75"/>
      <w:bookmarkEnd w:id="76"/>
      <w:bookmarkEnd w:id="77"/>
      <w:bookmarkEnd w:id="78"/>
      <w:bookmarkStart w:id="81" w:name="_Toc513828349"/>
      <w:bookmarkStart w:id="82" w:name="_Toc478501049"/>
      <w:bookmarkStart w:id="83" w:name="_Toc5732"/>
      <w:bookmarkStart w:id="84" w:name="_Toc387957824"/>
      <w:bookmarkStart w:id="85" w:name="_Toc406668049"/>
      <w:bookmarkStart w:id="86" w:name="_Toc406666375"/>
      <w:r>
        <w:rPr>
          <w:rFonts w:hint="eastAsia" w:ascii="仿宋_GB2312" w:hAnsi="Arial Narrow" w:cs="Arial Narrow"/>
          <w:sz w:val="24"/>
          <w:szCs w:val="21"/>
        </w:rPr>
        <w:t>项目实施单位在支出管理制度中明确了相应的监控机制，如项目支出的报销，必须按规定的程序和权限审核、审批，并有具体经办人、证明人、审批人签字，在执行过程按照资金申请由科室申报，上交领导签字通过后，交由财务审核批款，采取了必要的监控手段。</w:t>
      </w:r>
    </w:p>
    <w:p>
      <w:pPr>
        <w:spacing w:line="360" w:lineRule="auto"/>
        <w:ind w:firstLine="482"/>
        <w:rPr>
          <w:rFonts w:ascii="Arial Narrow" w:hAnsi="Arial Narrow" w:cs="Arial Narrow"/>
          <w:sz w:val="24"/>
          <w:szCs w:val="21"/>
        </w:rPr>
      </w:pPr>
      <w:r>
        <w:rPr>
          <w:rFonts w:ascii="Arial Narrow" w:hAnsi="Arial Narrow" w:cs="Arial Narrow"/>
          <w:sz w:val="24"/>
          <w:szCs w:val="21"/>
        </w:rPr>
        <w:t>1.3产出（30分）</w:t>
      </w:r>
      <w:bookmarkEnd w:id="81"/>
      <w:bookmarkEnd w:id="82"/>
      <w:bookmarkEnd w:id="83"/>
    </w:p>
    <w:p>
      <w:pPr>
        <w:spacing w:line="360" w:lineRule="auto"/>
        <w:ind w:firstLine="482"/>
        <w:rPr>
          <w:rFonts w:ascii="仿宋_GB2312" w:hAnsi="Arial Narrow" w:cs="Arial Narrow"/>
          <w:sz w:val="24"/>
          <w:szCs w:val="21"/>
        </w:rPr>
      </w:pPr>
      <w:bookmarkStart w:id="87" w:name="_Toc394181015"/>
      <w:bookmarkStart w:id="88" w:name="_Toc4489"/>
      <w:bookmarkStart w:id="89" w:name="_Toc394490602"/>
      <w:r>
        <w:rPr>
          <w:rFonts w:ascii="Arial Narrow" w:hAnsi="Arial Narrow" w:cs="Arial Narrow"/>
          <w:sz w:val="24"/>
          <w:szCs w:val="21"/>
        </w:rPr>
        <w:t>根据评价原则，绩效评价得分2</w:t>
      </w:r>
      <w:r>
        <w:rPr>
          <w:rFonts w:hint="eastAsia" w:ascii="Arial Narrow" w:hAnsi="Arial Narrow" w:cs="Arial Narrow"/>
          <w:sz w:val="24"/>
          <w:szCs w:val="21"/>
        </w:rPr>
        <w:t>6</w:t>
      </w:r>
      <w:r>
        <w:rPr>
          <w:rFonts w:ascii="Arial Narrow" w:hAnsi="Arial Narrow" w:cs="Arial Narrow"/>
          <w:sz w:val="24"/>
          <w:szCs w:val="21"/>
        </w:rPr>
        <w:t>分，评价</w:t>
      </w:r>
      <w:r>
        <w:rPr>
          <w:rFonts w:hint="eastAsia" w:ascii="仿宋_GB2312" w:hAnsi="Arial Narrow" w:cs="Arial Narrow"/>
          <w:sz w:val="24"/>
          <w:szCs w:val="21"/>
        </w:rPr>
        <w:t>结果为</w:t>
      </w:r>
      <w:bookmarkEnd w:id="87"/>
      <w:bookmarkEnd w:id="88"/>
      <w:bookmarkEnd w:id="89"/>
      <w:r>
        <w:rPr>
          <w:rFonts w:hint="eastAsia" w:ascii="仿宋_GB2312" w:hAnsi="Arial Narrow" w:cs="Arial Narrow"/>
          <w:sz w:val="24"/>
          <w:szCs w:val="21"/>
        </w:rPr>
        <w:t>良</w:t>
      </w:r>
      <w:r>
        <w:rPr>
          <w:rFonts w:hint="eastAsia" w:ascii="仿宋_GB2312" w:hAnsi="宋体" w:cs="宋体"/>
          <w:sz w:val="24"/>
          <w:szCs w:val="21"/>
        </w:rPr>
        <w:t>。</w:t>
      </w:r>
    </w:p>
    <w:p>
      <w:pPr>
        <w:spacing w:line="360" w:lineRule="auto"/>
        <w:ind w:firstLine="482"/>
        <w:jc w:val="center"/>
        <w:rPr>
          <w:rFonts w:ascii="仿宋_GB2312" w:hAnsi="Arial Narrow" w:cs="Arial Narrow"/>
          <w:sz w:val="24"/>
          <w:szCs w:val="21"/>
        </w:rPr>
      </w:pPr>
      <w:r>
        <w:drawing>
          <wp:inline distT="0" distB="0" distL="114300" distR="114300">
            <wp:extent cx="3790950" cy="2378075"/>
            <wp:effectExtent l="0" t="0" r="6350" b="9525"/>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360" w:lineRule="auto"/>
        <w:ind w:firstLine="482"/>
        <w:rPr>
          <w:rFonts w:ascii="仿宋_GB2312" w:hAnsi="Arial Narrow" w:cs="Arial Narrow"/>
          <w:sz w:val="24"/>
          <w:szCs w:val="21"/>
        </w:rPr>
      </w:pPr>
    </w:p>
    <w:p>
      <w:pPr>
        <w:spacing w:line="360" w:lineRule="auto"/>
        <w:ind w:firstLine="482"/>
        <w:rPr>
          <w:rFonts w:ascii="仿宋_GB2312" w:hAnsi="Arial Narrow" w:cs="Arial Narrow"/>
          <w:sz w:val="24"/>
          <w:szCs w:val="21"/>
        </w:rPr>
      </w:pPr>
      <w:r>
        <w:rPr>
          <w:rFonts w:hint="eastAsia" w:ascii="仿宋_GB2312" w:hAnsi="Arial Narrow" w:cs="Arial Narrow"/>
          <w:sz w:val="24"/>
          <w:szCs w:val="21"/>
        </w:rPr>
        <w:t>项目产出方面主要评价安全检查活动举办完成率、交通运输应急预案编制完成率、“两客一危”应急预案演习完成率、</w:t>
      </w:r>
      <w:r>
        <w:rPr>
          <w:rFonts w:hint="eastAsia" w:ascii="仿宋_GB2312" w:hAnsi="Arial Narrow" w:cs="宋体"/>
          <w:sz w:val="24"/>
          <w:szCs w:val="21"/>
        </w:rPr>
        <w:t>危货</w:t>
      </w:r>
      <w:r>
        <w:rPr>
          <w:rFonts w:hint="eastAsia" w:ascii="仿宋_GB2312" w:hAnsi="Arial Narrow" w:cs="Arial Narrow"/>
          <w:sz w:val="24"/>
          <w:szCs w:val="21"/>
        </w:rPr>
        <w:t>码头巡查落实率、隐患排查整治、资金使用率。对于该项的评价，评价小组主要采取了案卷研究、</w:t>
      </w:r>
      <w:r>
        <w:rPr>
          <w:rFonts w:hint="eastAsia" w:ascii="仿宋_GB2312" w:hAnsi="Arial Narrow" w:cs="宋体"/>
          <w:sz w:val="24"/>
          <w:szCs w:val="21"/>
        </w:rPr>
        <w:t>现场</w:t>
      </w:r>
      <w:r>
        <w:rPr>
          <w:rFonts w:hint="eastAsia" w:ascii="仿宋_GB2312" w:hAnsi="Arial Narrow" w:cs="Arial Narrow"/>
          <w:sz w:val="24"/>
          <w:szCs w:val="21"/>
        </w:rPr>
        <w:t>访谈等方式进行资料收集、整理和分析，查看了项目实施方案及活动记录、财政资金拨付凭证、业务管理制度等，对项目投入涉及的指标进行打分，并逐级加权计算结果。</w:t>
      </w:r>
    </w:p>
    <w:bookmarkEnd w:id="84"/>
    <w:bookmarkEnd w:id="85"/>
    <w:bookmarkEnd w:id="86"/>
    <w:p>
      <w:pPr>
        <w:spacing w:line="360" w:lineRule="auto"/>
        <w:ind w:firstLine="482"/>
        <w:rPr>
          <w:rFonts w:ascii="Arial Narrow" w:hAnsi="Arial Narrow" w:cs="Arial Narrow"/>
          <w:sz w:val="24"/>
          <w:szCs w:val="21"/>
        </w:rPr>
      </w:pPr>
      <w:bookmarkStart w:id="90" w:name="_Toc394181022"/>
      <w:r>
        <w:rPr>
          <w:rFonts w:hint="eastAsia" w:ascii="仿宋_GB2312" w:hAnsi="微软雅黑" w:cs="微软雅黑"/>
          <w:sz w:val="24"/>
          <w:szCs w:val="21"/>
        </w:rPr>
        <w:t>①</w:t>
      </w:r>
      <w:r>
        <w:rPr>
          <w:rFonts w:hint="eastAsia" w:ascii="仿宋_GB2312" w:hAnsi="Arial Narrow" w:cs="Arial Narrow"/>
          <w:sz w:val="24"/>
          <w:szCs w:val="21"/>
        </w:rPr>
        <w:t>安全检查活动举办完成率是指项目实施过程中根据区安委会、市交通运输委安监处、区政府办桥梁安全管理等上级行业部门要求实际安全检查次数与计划安全检查次数的比率，用以反映和考核项目产出数量目标的实现程度。评价小组通过现场访谈和查看安全检查</w:t>
      </w:r>
      <w:r>
        <w:rPr>
          <w:rFonts w:hint="eastAsia" w:ascii="仿宋_GB2312" w:hAnsi="宋体" w:cs="宋体"/>
          <w:sz w:val="24"/>
          <w:szCs w:val="21"/>
        </w:rPr>
        <w:t>相关</w:t>
      </w:r>
      <w:r>
        <w:rPr>
          <w:rFonts w:hint="eastAsia" w:ascii="仿宋_GB2312" w:hAnsi="Arial Narrow" w:cs="Arial Narrow"/>
          <w:sz w:val="24"/>
          <w:szCs w:val="21"/>
        </w:rPr>
        <w:t>资料了解到，项目实施单位计划开展安全检查</w:t>
      </w:r>
      <w:r>
        <w:rPr>
          <w:rFonts w:ascii="Arial Narrow" w:hAnsi="Arial Narrow" w:cs="Arial Narrow"/>
          <w:sz w:val="24"/>
          <w:szCs w:val="21"/>
        </w:rPr>
        <w:t>12次，实际开展时根据上级要求及突发情况，开展安全检查次数大于12次,安全检查完成率超过100.00%。</w:t>
      </w:r>
    </w:p>
    <w:p>
      <w:pPr>
        <w:spacing w:line="360" w:lineRule="auto"/>
        <w:ind w:firstLine="482"/>
        <w:rPr>
          <w:rFonts w:ascii="仿宋_GB2312" w:hAnsi="Arial Narrow" w:cs="Arial Narrow"/>
          <w:sz w:val="24"/>
          <w:szCs w:val="21"/>
        </w:rPr>
      </w:pPr>
      <w:r>
        <w:rPr>
          <w:rFonts w:hint="eastAsia" w:ascii="仿宋_GB2312" w:hAnsi="微软雅黑" w:cs="微软雅黑"/>
          <w:sz w:val="24"/>
          <w:szCs w:val="21"/>
        </w:rPr>
        <w:t>②</w:t>
      </w:r>
      <w:r>
        <w:rPr>
          <w:rFonts w:hint="eastAsia" w:ascii="仿宋_GB2312" w:hAnsi="Arial Narrow" w:cs="Arial Narrow"/>
          <w:sz w:val="24"/>
          <w:szCs w:val="21"/>
        </w:rPr>
        <w:t>交通运输应急预案编制完成率是指项目实施过程中编制完成交通运输应急预案程度，用以反映和考核项目产出质量目标的实现程度。评价小组通过查看交通运输应急预案编制</w:t>
      </w:r>
      <w:r>
        <w:rPr>
          <w:rFonts w:hint="eastAsia" w:ascii="仿宋_GB2312" w:hAnsi="宋体" w:cs="宋体"/>
          <w:sz w:val="24"/>
          <w:szCs w:val="21"/>
        </w:rPr>
        <w:t>相关</w:t>
      </w:r>
      <w:r>
        <w:rPr>
          <w:rFonts w:hint="eastAsia" w:ascii="仿宋_GB2312" w:hAnsi="Arial Narrow" w:cs="Arial Narrow"/>
          <w:sz w:val="24"/>
          <w:szCs w:val="21"/>
        </w:rPr>
        <w:t>资料，了解到项目实施单位聘请第三方专业机构，进行全区建设、交通系统应急预案的调查、编制、评审、备案工作，该应急预案可以继续沿用，所以不需要再次编制。</w:t>
      </w:r>
    </w:p>
    <w:p>
      <w:pPr>
        <w:spacing w:line="360" w:lineRule="auto"/>
        <w:ind w:firstLine="482"/>
        <w:rPr>
          <w:rFonts w:ascii="Arial Narrow" w:hAnsi="Arial Narrow" w:cs="Arial Narrow"/>
          <w:sz w:val="24"/>
          <w:szCs w:val="21"/>
        </w:rPr>
      </w:pPr>
      <w:r>
        <w:rPr>
          <w:rFonts w:hint="eastAsia" w:ascii="仿宋_GB2312" w:hAnsi="微软雅黑" w:cs="微软雅黑"/>
          <w:sz w:val="24"/>
          <w:szCs w:val="21"/>
        </w:rPr>
        <w:t>③</w:t>
      </w:r>
      <w:r>
        <w:rPr>
          <w:rFonts w:hint="eastAsia" w:ascii="仿宋_GB2312" w:hAnsi="Arial Narrow" w:cs="Arial Narrow"/>
          <w:sz w:val="24"/>
          <w:szCs w:val="21"/>
        </w:rPr>
        <w:t>“</w:t>
      </w:r>
      <w:r>
        <w:rPr>
          <w:rFonts w:hint="eastAsia" w:ascii="仿宋_GB2312" w:hAnsi="宋体" w:cs="宋体"/>
          <w:sz w:val="24"/>
          <w:szCs w:val="21"/>
        </w:rPr>
        <w:t>两客一危</w:t>
      </w:r>
      <w:r>
        <w:rPr>
          <w:rFonts w:hint="eastAsia" w:ascii="仿宋_GB2312" w:hAnsi="Arial Narrow" w:cs="Arial Narrow"/>
          <w:sz w:val="24"/>
          <w:szCs w:val="21"/>
        </w:rPr>
        <w:t>”应急预案演习完成率是指项目实施过程中实际开展“两客一危”应急预案演习次数与计划“两客一危”应急预案演习次数的比率，用以反映和考核项目产出数量目标的实现程度。评价小组通过访谈和查看应急预案演习</w:t>
      </w:r>
      <w:r>
        <w:rPr>
          <w:rFonts w:hint="eastAsia" w:ascii="仿宋_GB2312" w:hAnsi="宋体" w:cs="宋体"/>
          <w:sz w:val="24"/>
          <w:szCs w:val="21"/>
        </w:rPr>
        <w:t>相关</w:t>
      </w:r>
      <w:r>
        <w:rPr>
          <w:rFonts w:hint="eastAsia" w:ascii="仿宋_GB2312" w:hAnsi="Arial Narrow" w:cs="Arial Narrow"/>
          <w:sz w:val="24"/>
          <w:szCs w:val="21"/>
        </w:rPr>
        <w:t>资料了解到，项目实施单位计划开展“两客一危”应急预案演习</w:t>
      </w:r>
      <w:r>
        <w:rPr>
          <w:rFonts w:ascii="Arial Narrow" w:hAnsi="Arial Narrow" w:cs="Arial Narrow"/>
          <w:sz w:val="24"/>
          <w:szCs w:val="21"/>
        </w:rPr>
        <w:t>1次，实际开展1次，应急预案演习完成率达100.00%。</w:t>
      </w:r>
    </w:p>
    <w:p>
      <w:pPr>
        <w:spacing w:line="360" w:lineRule="auto"/>
        <w:ind w:firstLine="482"/>
        <w:rPr>
          <w:rFonts w:ascii="仿宋_GB2312" w:hAnsi="Arial Narrow" w:cs="Arial Narrow"/>
          <w:sz w:val="24"/>
          <w:szCs w:val="21"/>
        </w:rPr>
      </w:pPr>
      <w:r>
        <w:rPr>
          <w:rFonts w:hint="eastAsia" w:ascii="仿宋_GB2312" w:hAnsi="微软雅黑" w:cs="微软雅黑"/>
          <w:sz w:val="24"/>
          <w:szCs w:val="21"/>
        </w:rPr>
        <w:t>④</w:t>
      </w:r>
      <w:r>
        <w:rPr>
          <w:rFonts w:hint="eastAsia" w:ascii="仿宋_GB2312" w:hAnsi="Arial Narrow" w:cs="宋体"/>
          <w:sz w:val="24"/>
          <w:szCs w:val="21"/>
        </w:rPr>
        <w:t>危货</w:t>
      </w:r>
      <w:r>
        <w:rPr>
          <w:rFonts w:hint="eastAsia" w:ascii="仿宋_GB2312" w:hAnsi="Arial Narrow" w:cs="Arial Narrow"/>
          <w:sz w:val="24"/>
          <w:szCs w:val="21"/>
        </w:rPr>
        <w:t>码头巡查落实率是指项目实施过程中按照计划对</w:t>
      </w:r>
      <w:r>
        <w:rPr>
          <w:rFonts w:hint="eastAsia" w:ascii="仿宋_GB2312" w:hAnsi="Arial Narrow" w:cs="宋体"/>
          <w:sz w:val="24"/>
          <w:szCs w:val="21"/>
        </w:rPr>
        <w:t>危货</w:t>
      </w:r>
      <w:r>
        <w:rPr>
          <w:rFonts w:hint="eastAsia" w:ascii="仿宋_GB2312" w:hAnsi="Arial Narrow" w:cs="Arial Narrow"/>
          <w:sz w:val="24"/>
          <w:szCs w:val="21"/>
        </w:rPr>
        <w:t>码头巡查，用以反映和考核项目产出质量目标的实现程度。评价小组通过访谈和查看港口危货码头管理</w:t>
      </w:r>
      <w:r>
        <w:rPr>
          <w:rFonts w:hint="eastAsia" w:ascii="仿宋_GB2312" w:hAnsi="宋体" w:cs="宋体"/>
          <w:sz w:val="24"/>
          <w:szCs w:val="21"/>
        </w:rPr>
        <w:t>相关</w:t>
      </w:r>
      <w:r>
        <w:rPr>
          <w:rFonts w:hint="eastAsia" w:ascii="仿宋_GB2312" w:hAnsi="Arial Narrow" w:cs="Arial Narrow"/>
          <w:sz w:val="24"/>
          <w:szCs w:val="21"/>
        </w:rPr>
        <w:t>资料，了解到项目实施单位对危货码头定期进行检查，并有巡查值班留痕记录。</w:t>
      </w:r>
    </w:p>
    <w:p>
      <w:pPr>
        <w:spacing w:line="360" w:lineRule="auto"/>
        <w:ind w:firstLine="482"/>
        <w:rPr>
          <w:rFonts w:ascii="仿宋_GB2312" w:hAnsi="Arial Narrow" w:cs="Arial Narrow"/>
          <w:sz w:val="24"/>
          <w:szCs w:val="21"/>
        </w:rPr>
      </w:pPr>
      <w:r>
        <w:rPr>
          <w:rFonts w:hint="eastAsia" w:ascii="仿宋_GB2312" w:hAnsi="微软雅黑" w:cs="微软雅黑"/>
          <w:sz w:val="24"/>
          <w:szCs w:val="21"/>
        </w:rPr>
        <w:t>⑤</w:t>
      </w:r>
      <w:r>
        <w:rPr>
          <w:rFonts w:hint="eastAsia" w:ascii="仿宋_GB2312" w:hAnsi="Arial Narrow" w:cs="Arial Narrow"/>
          <w:sz w:val="24"/>
          <w:szCs w:val="21"/>
        </w:rPr>
        <w:t>隐患排查整治是指项目实施后，对各行业安全隐患排查整治的程度，用以反映和考核项目的实施社会效益。评价小组通过查看</w:t>
      </w:r>
      <w:r>
        <w:rPr>
          <w:rFonts w:ascii="Arial Narrow" w:hAnsi="Arial Narrow" w:cs="Arial Narrow"/>
          <w:sz w:val="24"/>
          <w:szCs w:val="21"/>
        </w:rPr>
        <w:t>2018年安</w:t>
      </w:r>
      <w:r>
        <w:rPr>
          <w:rFonts w:hint="eastAsia" w:ascii="仿宋_GB2312" w:hAnsi="Arial Narrow" w:cs="Arial Narrow"/>
          <w:sz w:val="24"/>
          <w:szCs w:val="21"/>
        </w:rPr>
        <w:t>全生产总结了解到，项目实施单位围绕重点行业、重点企业、重点部位、重点时段，加强安全生产监管，强化源头治理，彻查安全隐患，现场安全隐患排查整改能够落实到位，但是由于专业水平</w:t>
      </w:r>
      <w:r>
        <w:rPr>
          <w:rFonts w:hint="eastAsia" w:ascii="仿宋_GB2312" w:hAnsi="宋体" w:cs="宋体"/>
          <w:sz w:val="24"/>
          <w:szCs w:val="21"/>
        </w:rPr>
        <w:t>受限</w:t>
      </w:r>
      <w:r>
        <w:rPr>
          <w:rFonts w:hint="eastAsia" w:ascii="仿宋_GB2312" w:hAnsi="Arial Narrow" w:cs="Arial Narrow"/>
          <w:sz w:val="24"/>
          <w:szCs w:val="21"/>
        </w:rPr>
        <w:t>，导致一些问题和隐患不能及时发现和治理，扣</w:t>
      </w:r>
      <w:r>
        <w:rPr>
          <w:rFonts w:ascii="Arial Narrow" w:hAnsi="Arial Narrow" w:cs="Arial Narrow"/>
          <w:sz w:val="24"/>
          <w:szCs w:val="21"/>
        </w:rPr>
        <w:t>2</w:t>
      </w:r>
      <w:r>
        <w:rPr>
          <w:rFonts w:hint="eastAsia" w:ascii="仿宋_GB2312" w:hAnsi="Arial Narrow" w:cs="Arial Narrow"/>
          <w:sz w:val="24"/>
          <w:szCs w:val="21"/>
        </w:rPr>
        <w:t>分。</w:t>
      </w:r>
    </w:p>
    <w:p>
      <w:pPr>
        <w:spacing w:line="360" w:lineRule="auto"/>
        <w:ind w:firstLine="482"/>
        <w:rPr>
          <w:rFonts w:ascii="Arial Narrow" w:hAnsi="Arial Narrow" w:cs="Arial Narrow"/>
          <w:color w:val="FF0000"/>
          <w:sz w:val="24"/>
          <w:szCs w:val="21"/>
        </w:rPr>
      </w:pPr>
      <w:r>
        <w:rPr>
          <w:rFonts w:hint="eastAsia" w:ascii="仿宋_GB2312" w:hAnsi="微软雅黑" w:cs="微软雅黑"/>
          <w:sz w:val="24"/>
          <w:szCs w:val="21"/>
        </w:rPr>
        <w:t>⑥</w:t>
      </w:r>
      <w:r>
        <w:rPr>
          <w:rFonts w:hint="eastAsia" w:ascii="仿宋_GB2312" w:hAnsi="Arial Narrow" w:cs="Arial Narrow"/>
          <w:sz w:val="24"/>
          <w:szCs w:val="21"/>
        </w:rPr>
        <w:t>资金使用率是指项目实际支出与项目到位资金的比率，用以反映和考核项目资金使用情况。</w:t>
      </w:r>
      <w:r>
        <w:rPr>
          <w:rFonts w:ascii="Arial Narrow" w:hAnsi="Arial Narrow" w:cs="Arial Narrow"/>
          <w:sz w:val="24"/>
          <w:szCs w:val="21"/>
        </w:rPr>
        <w:t>2018年交通安全专项经费预算为38.00万，项目实施单位实际支出25.32万，资金使用率66.63%，根据评分标准，扣</w:t>
      </w:r>
      <w:r>
        <w:rPr>
          <w:rFonts w:hint="eastAsia" w:ascii="Arial Narrow" w:hAnsi="Arial Narrow" w:cs="Arial Narrow"/>
          <w:sz w:val="24"/>
          <w:szCs w:val="21"/>
        </w:rPr>
        <w:t>2</w:t>
      </w:r>
      <w:r>
        <w:rPr>
          <w:rFonts w:ascii="Arial Narrow" w:hAnsi="Arial Narrow" w:cs="Arial Narrow"/>
          <w:sz w:val="24"/>
          <w:szCs w:val="21"/>
        </w:rPr>
        <w:t>分。</w:t>
      </w:r>
    </w:p>
    <w:p>
      <w:pPr>
        <w:spacing w:line="360" w:lineRule="auto"/>
        <w:ind w:firstLine="482"/>
        <w:rPr>
          <w:rFonts w:ascii="Arial Narrow" w:hAnsi="Arial Narrow" w:cs="Arial Narrow"/>
          <w:sz w:val="24"/>
          <w:szCs w:val="21"/>
        </w:rPr>
      </w:pPr>
      <w:bookmarkStart w:id="91" w:name="_Toc513828350"/>
      <w:r>
        <w:rPr>
          <w:rFonts w:ascii="Arial Narrow" w:hAnsi="Arial Narrow" w:cs="Arial Narrow"/>
          <w:sz w:val="24"/>
          <w:szCs w:val="21"/>
        </w:rPr>
        <w:t>1.4效果（30分）</w:t>
      </w:r>
      <w:bookmarkEnd w:id="91"/>
    </w:p>
    <w:p>
      <w:pPr>
        <w:spacing w:line="360" w:lineRule="auto"/>
        <w:ind w:firstLine="482"/>
        <w:rPr>
          <w:rFonts w:ascii="Arial Narrow" w:hAnsi="Arial Narrow" w:cs="Arial Narrow"/>
          <w:sz w:val="24"/>
          <w:szCs w:val="21"/>
        </w:rPr>
      </w:pPr>
      <w:r>
        <w:rPr>
          <w:rFonts w:ascii="Arial Narrow" w:hAnsi="Arial Narrow" w:cs="Arial Narrow"/>
          <w:sz w:val="24"/>
          <w:szCs w:val="21"/>
        </w:rPr>
        <w:t>该指标评价得分为28分，评价结果为优。</w:t>
      </w:r>
    </w:p>
    <w:p>
      <w:pPr>
        <w:widowControl/>
        <w:spacing w:line="360" w:lineRule="auto"/>
        <w:jc w:val="center"/>
        <w:rPr>
          <w:rFonts w:ascii="仿宋_GB2312" w:hAnsi="Arial Narrow"/>
        </w:rPr>
      </w:pPr>
      <w:r>
        <w:rPr>
          <w:rFonts w:hint="eastAsia" w:ascii="仿宋_GB2312" w:hAnsi="Arial Narrow"/>
        </w:rPr>
        <w:drawing>
          <wp:inline distT="0" distB="0" distL="0" distR="0">
            <wp:extent cx="3765550" cy="2425700"/>
            <wp:effectExtent l="0" t="0" r="6350" b="0"/>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spacing w:line="360" w:lineRule="auto"/>
        <w:ind w:firstLine="482"/>
        <w:rPr>
          <w:rFonts w:ascii="仿宋_GB2312" w:hAnsi="Arial Narrow" w:cs="Arial Narrow"/>
          <w:sz w:val="24"/>
          <w:szCs w:val="21"/>
        </w:rPr>
      </w:pPr>
      <w:r>
        <w:rPr>
          <w:rFonts w:hint="eastAsia" w:ascii="仿宋_GB2312" w:hAnsi="Arial Narrow" w:cs="Arial Narrow"/>
          <w:sz w:val="24"/>
          <w:szCs w:val="21"/>
        </w:rPr>
        <w:t>该指标主要通过安全生产培训覆盖率、安全生产宣传多样化、</w:t>
      </w:r>
      <w:r>
        <w:rPr>
          <w:rFonts w:hint="eastAsia" w:ascii="仿宋_GB2312" w:hAnsi="Arial Narrow" w:cs="宋体"/>
          <w:sz w:val="24"/>
          <w:szCs w:val="21"/>
        </w:rPr>
        <w:t>通航水域水质无污染率</w:t>
      </w:r>
      <w:r>
        <w:rPr>
          <w:rFonts w:hint="eastAsia" w:ascii="仿宋_GB2312" w:hAnsi="Arial Narrow" w:cs="Arial Narrow"/>
          <w:sz w:val="24"/>
          <w:szCs w:val="21"/>
        </w:rPr>
        <w:t>、安全事故减少、可持续性、社会公众满意度六个方面来评价，用以反映项目实施后所产生的社会效益及服务对象的受益程度。</w:t>
      </w:r>
    </w:p>
    <w:p>
      <w:pPr>
        <w:spacing w:line="360" w:lineRule="auto"/>
        <w:ind w:firstLine="482"/>
        <w:rPr>
          <w:rFonts w:ascii="Arial Narrow" w:hAnsi="Arial Narrow" w:cs="Arial Narrow"/>
          <w:sz w:val="24"/>
          <w:szCs w:val="21"/>
        </w:rPr>
      </w:pPr>
      <w:r>
        <w:rPr>
          <w:rFonts w:hint="eastAsia" w:ascii="仿宋_GB2312" w:hAnsi="微软雅黑" w:cs="微软雅黑"/>
          <w:sz w:val="24"/>
          <w:szCs w:val="21"/>
        </w:rPr>
        <w:t>①</w:t>
      </w:r>
      <w:r>
        <w:rPr>
          <w:rFonts w:hint="eastAsia" w:ascii="仿宋_GB2312" w:hAnsi="Arial Narrow" w:cs="Arial Narrow"/>
          <w:sz w:val="24"/>
          <w:szCs w:val="21"/>
        </w:rPr>
        <w:t>安全生产培训覆盖率是指项目实施后，各行业安全生产培训是否覆盖，用以反映和考核项目实施后的可持续影响效益。评价小组通过查看</w:t>
      </w:r>
      <w:r>
        <w:rPr>
          <w:rFonts w:ascii="Arial Narrow" w:hAnsi="Arial Narrow" w:cs="Arial Narrow"/>
          <w:sz w:val="24"/>
          <w:szCs w:val="21"/>
        </w:rPr>
        <w:t>2018年安全生产工作总结了解到，项目实施单位于2018年6月和8月对区内各施工企业的安全负责人、在建项目经理、总监、安全员等相关人员进行了安全生产培训，覆盖率达100.00%。</w:t>
      </w:r>
    </w:p>
    <w:p>
      <w:pPr>
        <w:spacing w:line="360" w:lineRule="auto"/>
        <w:ind w:firstLine="482"/>
        <w:rPr>
          <w:rFonts w:ascii="仿宋_GB2312" w:hAnsi="Arial Narrow" w:cs="Arial Narrow"/>
          <w:sz w:val="24"/>
          <w:szCs w:val="21"/>
        </w:rPr>
      </w:pPr>
      <w:r>
        <w:rPr>
          <w:rFonts w:hint="eastAsia" w:ascii="仿宋_GB2312" w:hAnsi="微软雅黑" w:cs="微软雅黑"/>
          <w:sz w:val="24"/>
          <w:szCs w:val="21"/>
        </w:rPr>
        <w:t>②</w:t>
      </w:r>
      <w:r>
        <w:rPr>
          <w:rFonts w:hint="eastAsia" w:ascii="仿宋_GB2312" w:hAnsi="Arial Narrow" w:cs="Arial Narrow"/>
          <w:sz w:val="24"/>
          <w:szCs w:val="21"/>
        </w:rPr>
        <w:t>安全生产宣传多样化是指项目实施后，安全生产宣传方式的多样化，用以反映和考核项目的社会效益。评价小组通过现场访谈和查看工作总结了解到，项目实施单位在全区在建工地、经开万达广场、汉南客运站均设立了安全生产宣传咨询点，面向企业员工、社区居民、在校学生集中开展宣传咨询活动。通过悬挂横幅、张贴各类海报、安全标语、赠送各类安全小画册、口袋书、配送安全生产月标识的环保袋及网络平台等方式，对企业员工、广大市民宣传日常安全知识，宣传方式多样，宣传范围广。</w:t>
      </w:r>
    </w:p>
    <w:p>
      <w:pPr>
        <w:spacing w:line="360" w:lineRule="auto"/>
        <w:ind w:firstLine="482"/>
        <w:rPr>
          <w:rFonts w:ascii="仿宋_GB2312" w:hAnsi="Arial Narrow" w:cs="Arial Narrow"/>
          <w:sz w:val="24"/>
          <w:szCs w:val="21"/>
        </w:rPr>
      </w:pPr>
      <w:r>
        <w:rPr>
          <w:rFonts w:hint="eastAsia" w:ascii="仿宋_GB2312" w:hAnsi="微软雅黑" w:cs="微软雅黑"/>
          <w:sz w:val="24"/>
          <w:szCs w:val="21"/>
        </w:rPr>
        <w:t>③</w:t>
      </w:r>
      <w:r>
        <w:rPr>
          <w:rFonts w:hint="eastAsia" w:ascii="仿宋_GB2312" w:hAnsi="Arial Narrow" w:cs="宋体"/>
          <w:sz w:val="24"/>
          <w:szCs w:val="21"/>
        </w:rPr>
        <w:t>通航水域水质</w:t>
      </w:r>
      <w:r>
        <w:rPr>
          <w:rFonts w:hint="eastAsia" w:ascii="仿宋_GB2312" w:hAnsi="Arial Narrow" w:cs="Arial Narrow"/>
          <w:sz w:val="24"/>
          <w:szCs w:val="21"/>
        </w:rPr>
        <w:t>是指项目实施后，对通航水域水质保障的程度，用以反映和考核项目实施后的可持续影响效益。评价小组通过现场访谈和查看通航水域水质检查记录了解到，项目实施单位通过在船上设置垃圾桶，禁止将垃圾扔进江中，监督船只的用油情况从源头控制、编制突发环境事件紧急预案并加强培训教育、深化打非治违、开展多次专项整治检查工作，有效控制通航水域水质的污染度，使通航水域水质的无污染率得到有效保障。</w:t>
      </w:r>
    </w:p>
    <w:p>
      <w:pPr>
        <w:spacing w:line="360" w:lineRule="auto"/>
        <w:ind w:firstLine="482"/>
        <w:rPr>
          <w:rFonts w:ascii="仿宋_GB2312" w:hAnsi="Arial Narrow" w:cs="Arial Narrow"/>
          <w:sz w:val="24"/>
          <w:szCs w:val="21"/>
        </w:rPr>
      </w:pPr>
      <w:r>
        <w:rPr>
          <w:rFonts w:hint="eastAsia" w:ascii="仿宋_GB2312" w:hAnsi="微软雅黑" w:cs="微软雅黑"/>
          <w:sz w:val="24"/>
          <w:szCs w:val="21"/>
        </w:rPr>
        <w:t>④</w:t>
      </w:r>
      <w:r>
        <w:rPr>
          <w:rFonts w:hint="eastAsia" w:ascii="仿宋_GB2312" w:hAnsi="Arial Narrow" w:cs="Arial Narrow"/>
          <w:sz w:val="24"/>
          <w:szCs w:val="21"/>
        </w:rPr>
        <w:t>安全事故减少是指项目实施后，交通安全事故是否存减少等情况，用以反映和考核项目实施后的社会效益。评价小组通过访谈和查看</w:t>
      </w:r>
      <w:r>
        <w:rPr>
          <w:rFonts w:ascii="Arial Narrow" w:hAnsi="Arial Narrow" w:cs="Arial Narrow"/>
          <w:sz w:val="24"/>
          <w:szCs w:val="21"/>
        </w:rPr>
        <w:t>2018年安全生产工作总结了解到，项目实施单位2018年全局未发生较大以上安全事故，生产安全形势较为稳定，但是仍存在较小的安全事故，安全事故减少率没有得到保障，扣2分。</w:t>
      </w:r>
    </w:p>
    <w:p>
      <w:pPr>
        <w:spacing w:line="360" w:lineRule="auto"/>
        <w:ind w:firstLine="482"/>
        <w:rPr>
          <w:rFonts w:ascii="仿宋_GB2312" w:hAnsi="Arial Narrow" w:cs="Arial Narrow"/>
          <w:sz w:val="24"/>
          <w:szCs w:val="21"/>
        </w:rPr>
      </w:pPr>
      <w:r>
        <w:rPr>
          <w:rFonts w:hint="eastAsia" w:ascii="仿宋_GB2312" w:hAnsi="微软雅黑" w:cs="微软雅黑"/>
          <w:sz w:val="24"/>
          <w:szCs w:val="21"/>
        </w:rPr>
        <w:t>⑤</w:t>
      </w:r>
      <w:r>
        <w:rPr>
          <w:rFonts w:hint="eastAsia" w:ascii="仿宋_GB2312" w:hAnsi="Arial Narrow" w:cs="Arial Narrow"/>
          <w:sz w:val="24"/>
          <w:szCs w:val="21"/>
        </w:rPr>
        <w:t>可持续性是指项目实施单位、公众是否支持项目长期运行，项目实施单位有机构设置和充足的人员配备支持项目实施的后续运行，用以反映和考核项目的可持续性。评价小组通过访谈和</w:t>
      </w:r>
      <w:r>
        <w:rPr>
          <w:rFonts w:ascii="Arial Narrow" w:hAnsi="Arial Narrow" w:cs="Arial Narrow"/>
          <w:sz w:val="24"/>
          <w:szCs w:val="21"/>
        </w:rPr>
        <w:t>2018年安全生产总结了解到，项目实施单位有专门部门和充足的人员，项目由武汉开发区（汉南区）城乡建设局主管，由</w:t>
      </w:r>
      <w:r>
        <w:rPr>
          <w:rFonts w:hint="eastAsia" w:ascii="仿宋_GB2312" w:hAnsi="Arial Narrow" w:cs="Arial Narrow"/>
          <w:sz w:val="24"/>
          <w:szCs w:val="21"/>
        </w:rPr>
        <w:t>安全科、汉南区港航管理处实施执行，项目单位配备充足人手进行项目跟踪管理，保障可持续性，项目人员分工较为明确。</w:t>
      </w:r>
    </w:p>
    <w:p>
      <w:pPr>
        <w:spacing w:line="360" w:lineRule="auto"/>
        <w:ind w:firstLine="482"/>
        <w:rPr>
          <w:rFonts w:ascii="Arial Narrow" w:hAnsi="Arial Narrow" w:cs="Arial Narrow"/>
          <w:sz w:val="24"/>
          <w:szCs w:val="21"/>
        </w:rPr>
      </w:pPr>
      <w:r>
        <w:rPr>
          <w:rFonts w:hint="eastAsia" w:ascii="仿宋_GB2312" w:hAnsi="微软雅黑" w:cs="微软雅黑"/>
          <w:sz w:val="24"/>
          <w:szCs w:val="21"/>
        </w:rPr>
        <w:t>⑥</w:t>
      </w:r>
      <w:r>
        <w:rPr>
          <w:rFonts w:hint="eastAsia" w:ascii="仿宋_GB2312" w:hAnsi="Arial Narrow" w:cs="Arial Narrow"/>
          <w:sz w:val="24"/>
          <w:szCs w:val="21"/>
        </w:rPr>
        <w:t>社会公众满意度是指社会公众对项目实施效果的满意程度。</w:t>
      </w:r>
      <w:bookmarkEnd w:id="90"/>
      <w:bookmarkStart w:id="92" w:name="_Toc23241"/>
      <w:bookmarkStart w:id="93" w:name="_Toc17670"/>
      <w:r>
        <w:rPr>
          <w:rFonts w:hint="eastAsia" w:ascii="仿宋_GB2312" w:hAnsi="Arial Narrow" w:cs="Arial Narrow"/>
          <w:sz w:val="24"/>
          <w:szCs w:val="21"/>
        </w:rPr>
        <w:t>对社会公众发放的</w:t>
      </w:r>
      <w:r>
        <w:rPr>
          <w:rFonts w:ascii="Arial Narrow" w:hAnsi="Arial Narrow" w:cs="Arial Narrow"/>
          <w:sz w:val="24"/>
          <w:szCs w:val="21"/>
        </w:rPr>
        <w:t>30份有</w:t>
      </w:r>
      <w:r>
        <w:rPr>
          <w:rFonts w:hint="eastAsia" w:ascii="仿宋_GB2312" w:hAnsi="Arial Narrow" w:cs="Arial Narrow"/>
          <w:sz w:val="24"/>
          <w:szCs w:val="21"/>
        </w:rPr>
        <w:t>效问卷中，30份均显示满意，其满意程度为</w:t>
      </w:r>
      <w:r>
        <w:rPr>
          <w:rFonts w:ascii="Arial Narrow" w:hAnsi="Arial Narrow" w:cs="Arial Narrow"/>
          <w:sz w:val="24"/>
          <w:szCs w:val="21"/>
        </w:rPr>
        <w:t>100.00%，根据评分准则，计5分。</w:t>
      </w:r>
    </w:p>
    <w:p>
      <w:pPr>
        <w:spacing w:line="360" w:lineRule="auto"/>
        <w:ind w:firstLine="482"/>
        <w:rPr>
          <w:rFonts w:ascii="Arial Narrow" w:hAnsi="Arial Narrow" w:cs="Arial Narrow"/>
          <w:bCs/>
          <w:color w:val="000000" w:themeColor="text1"/>
          <w:sz w:val="24"/>
          <w14:textFill>
            <w14:solidFill>
              <w14:schemeClr w14:val="tx1"/>
            </w14:solidFill>
          </w14:textFill>
        </w:rPr>
      </w:pPr>
      <w:r>
        <w:rPr>
          <w:rFonts w:ascii="Arial Narrow" w:hAnsi="Arial Narrow" w:cs="Arial Narrow"/>
          <w:bCs/>
          <w:color w:val="000000" w:themeColor="text1"/>
          <w:sz w:val="24"/>
          <w14:textFill>
            <w14:solidFill>
              <w14:schemeClr w14:val="tx1"/>
            </w14:solidFill>
          </w14:textFill>
        </w:rPr>
        <w:t>2、评价结论</w:t>
      </w:r>
      <w:bookmarkEnd w:id="92"/>
      <w:bookmarkEnd w:id="93"/>
    </w:p>
    <w:p>
      <w:pPr>
        <w:snapToGrid w:val="0"/>
        <w:spacing w:line="360" w:lineRule="auto"/>
        <w:ind w:firstLine="480" w:firstLineChars="200"/>
        <w:rPr>
          <w:rFonts w:ascii="Arial Narrow" w:hAnsi="Arial Narrow" w:cs="Arial Narrow"/>
          <w:bCs/>
          <w:color w:val="000000" w:themeColor="text1"/>
          <w:sz w:val="24"/>
          <w14:textFill>
            <w14:solidFill>
              <w14:schemeClr w14:val="tx1"/>
            </w14:solidFill>
          </w14:textFill>
        </w:rPr>
      </w:pPr>
      <w:r>
        <w:rPr>
          <w:rFonts w:ascii="Arial Narrow" w:hAnsi="Arial Narrow" w:cs="Arial Narrow"/>
          <w:bCs/>
          <w:color w:val="000000" w:themeColor="text1"/>
          <w:sz w:val="24"/>
          <w14:textFill>
            <w14:solidFill>
              <w14:schemeClr w14:val="tx1"/>
            </w14:solidFill>
          </w14:textFill>
        </w:rPr>
        <w:t>2.1评分结果</w:t>
      </w:r>
    </w:p>
    <w:p>
      <w:pPr>
        <w:spacing w:line="360" w:lineRule="auto"/>
        <w:ind w:firstLine="482"/>
        <w:rPr>
          <w:rFonts w:ascii="Arial Narrow" w:hAnsi="Arial Narrow" w:cs="Arial Narrow"/>
          <w:sz w:val="24"/>
          <w:szCs w:val="21"/>
        </w:rPr>
      </w:pPr>
      <w:r>
        <w:rPr>
          <w:rFonts w:ascii="Arial Narrow" w:hAnsi="Arial Narrow" w:cs="Arial Narrow"/>
          <w:sz w:val="24"/>
          <w:szCs w:val="21"/>
        </w:rPr>
        <w:t>项目绩效评价综合得分为9</w:t>
      </w:r>
      <w:r>
        <w:rPr>
          <w:rFonts w:hint="eastAsia" w:ascii="Arial Narrow" w:hAnsi="Arial Narrow" w:cs="Arial Narrow"/>
          <w:sz w:val="24"/>
          <w:szCs w:val="21"/>
        </w:rPr>
        <w:t>2</w:t>
      </w:r>
      <w:r>
        <w:rPr>
          <w:rFonts w:ascii="Arial Narrow" w:hAnsi="Arial Narrow" w:cs="Arial Narrow"/>
          <w:sz w:val="24"/>
          <w:szCs w:val="21"/>
        </w:rPr>
        <w:t>分。其中投入得分14分，过程得分24分，产出得分2</w:t>
      </w:r>
      <w:r>
        <w:rPr>
          <w:rFonts w:hint="eastAsia" w:ascii="Arial Narrow" w:hAnsi="Arial Narrow" w:cs="Arial Narrow"/>
          <w:sz w:val="24"/>
          <w:szCs w:val="21"/>
        </w:rPr>
        <w:t>6</w:t>
      </w:r>
      <w:r>
        <w:rPr>
          <w:rFonts w:ascii="Arial Narrow" w:hAnsi="Arial Narrow" w:cs="Arial Narrow"/>
          <w:sz w:val="24"/>
          <w:szCs w:val="21"/>
        </w:rPr>
        <w:t>分，效果得分28分。</w:t>
      </w:r>
    </w:p>
    <w:p>
      <w:pPr>
        <w:spacing w:line="360" w:lineRule="auto"/>
        <w:ind w:firstLine="482"/>
        <w:jc w:val="center"/>
        <w:rPr>
          <w:rFonts w:ascii="仿宋_GB2312" w:hAnsi="Arial Narrow" w:cs="Arial Narrow"/>
          <w:sz w:val="24"/>
          <w:szCs w:val="21"/>
        </w:rPr>
      </w:pPr>
      <w:r>
        <w:drawing>
          <wp:inline distT="0" distB="0" distL="114300" distR="114300">
            <wp:extent cx="3829050" cy="2387600"/>
            <wp:effectExtent l="4445" t="4445" r="14605" b="8255"/>
            <wp:docPr id="3"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pPr>
        <w:widowControl/>
        <w:spacing w:line="360" w:lineRule="auto"/>
        <w:jc w:val="center"/>
        <w:rPr>
          <w:rFonts w:ascii="仿宋_GB2312" w:hAnsi="Arial Narrow"/>
        </w:rPr>
      </w:pPr>
    </w:p>
    <w:p>
      <w:pPr>
        <w:snapToGrid w:val="0"/>
        <w:spacing w:line="360" w:lineRule="auto"/>
        <w:ind w:firstLine="480" w:firstLineChars="200"/>
        <w:rPr>
          <w:rFonts w:ascii="Arial Narrow" w:hAnsi="Arial Narrow" w:cs="Arial Narrow"/>
          <w:bCs/>
          <w:color w:val="000000" w:themeColor="text1"/>
          <w:sz w:val="24"/>
          <w14:textFill>
            <w14:solidFill>
              <w14:schemeClr w14:val="tx1"/>
            </w14:solidFill>
          </w14:textFill>
        </w:rPr>
      </w:pPr>
      <w:r>
        <w:rPr>
          <w:rFonts w:ascii="Arial Narrow" w:hAnsi="Arial Narrow" w:cs="Arial Narrow"/>
          <w:bCs/>
          <w:color w:val="000000" w:themeColor="text1"/>
          <w:sz w:val="24"/>
          <w14:textFill>
            <w14:solidFill>
              <w14:schemeClr w14:val="tx1"/>
            </w14:solidFill>
          </w14:textFill>
        </w:rPr>
        <w:t>2.2主要结论。</w:t>
      </w:r>
    </w:p>
    <w:p>
      <w:pPr>
        <w:spacing w:line="360" w:lineRule="auto"/>
        <w:ind w:firstLine="482"/>
        <w:rPr>
          <w:rFonts w:ascii="Arial Narrow" w:hAnsi="Arial Narrow" w:cs="Arial Narrow"/>
          <w:color w:val="000000" w:themeColor="text1"/>
          <w:sz w:val="24"/>
          <w14:textFill>
            <w14:solidFill>
              <w14:schemeClr w14:val="tx1"/>
            </w14:solidFill>
          </w14:textFill>
        </w:rPr>
      </w:pPr>
      <w:bookmarkStart w:id="94" w:name="_Toc26213"/>
      <w:bookmarkStart w:id="95" w:name="_Toc18549"/>
      <w:r>
        <w:rPr>
          <w:rFonts w:ascii="Arial Narrow" w:hAnsi="Arial Narrow" w:cs="Arial Narrow"/>
          <w:color w:val="000000" w:themeColor="text1"/>
          <w:sz w:val="24"/>
          <w14:textFill>
            <w14:solidFill>
              <w14:schemeClr w14:val="tx1"/>
            </w14:solidFill>
          </w14:textFill>
        </w:rPr>
        <w:t>（1）投入。项目投入评价得分为</w:t>
      </w:r>
      <w:r>
        <w:rPr>
          <w:rFonts w:ascii="Arial Narrow" w:hAnsi="Arial Narrow" w:cs="Arial Narrow"/>
          <w:sz w:val="24"/>
        </w:rPr>
        <w:t>14分，评价等级为</w:t>
      </w:r>
      <w:r>
        <w:rPr>
          <w:rFonts w:hint="eastAsia" w:ascii="Arial Narrow" w:hAnsi="Arial Narrow" w:cs="Arial Narrow"/>
          <w:sz w:val="24"/>
        </w:rPr>
        <w:t>良</w:t>
      </w:r>
      <w:r>
        <w:rPr>
          <w:rFonts w:ascii="Arial Narrow" w:hAnsi="Arial Narrow" w:cs="Arial Narrow"/>
          <w:color w:val="000000" w:themeColor="text1"/>
          <w:sz w:val="24"/>
          <w14:textFill>
            <w14:solidFill>
              <w14:schemeClr w14:val="tx1"/>
            </w14:solidFill>
          </w14:textFill>
        </w:rPr>
        <w:t>。项目立项规范，申报资料较为齐全，资金及时落实到位；项目设立了项目绩效总目标，但未设立年度绩效目标</w:t>
      </w:r>
      <w:r>
        <w:rPr>
          <w:rFonts w:ascii="Arial Narrow" w:hAnsi="Arial Narrow" w:cs="宋体"/>
          <w:color w:val="000000" w:themeColor="text1"/>
          <w:sz w:val="24"/>
          <w14:textFill>
            <w14:solidFill>
              <w14:schemeClr w14:val="tx1"/>
            </w14:solidFill>
          </w14:textFill>
        </w:rPr>
        <w:t>和长期目标</w:t>
      </w:r>
      <w:r>
        <w:rPr>
          <w:rFonts w:ascii="Arial Narrow" w:hAnsi="Arial Narrow" w:cs="Arial Narrow"/>
          <w:color w:val="000000" w:themeColor="text1"/>
          <w:sz w:val="24"/>
          <w14:textFill>
            <w14:solidFill>
              <w14:schemeClr w14:val="tx1"/>
            </w14:solidFill>
          </w14:textFill>
        </w:rPr>
        <w:t>，且绩效指标不够清晰、全面，指标可测性不高。</w:t>
      </w:r>
    </w:p>
    <w:p>
      <w:pPr>
        <w:spacing w:line="360" w:lineRule="auto"/>
        <w:ind w:firstLine="482"/>
        <w:rPr>
          <w:rFonts w:ascii="仿宋_GB2312" w:hAnsi="Arial Narrow" w:cs="Arial Narrow"/>
          <w:sz w:val="24"/>
          <w:szCs w:val="21"/>
        </w:rPr>
      </w:pPr>
      <w:r>
        <w:rPr>
          <w:rFonts w:ascii="Arial Narrow" w:hAnsi="Arial Narrow" w:cs="Arial Narrow"/>
          <w:color w:val="000000" w:themeColor="text1"/>
          <w:sz w:val="24"/>
          <w14:textFill>
            <w14:solidFill>
              <w14:schemeClr w14:val="tx1"/>
            </w14:solidFill>
          </w14:textFill>
        </w:rPr>
        <w:t>（2）过程。项目过程评价得分为24分，评价</w:t>
      </w:r>
      <w:r>
        <w:rPr>
          <w:rFonts w:hint="eastAsia" w:ascii="仿宋_GB2312" w:hAnsi="Arial Narrow" w:cs="Arial Narrow"/>
          <w:color w:val="000000" w:themeColor="text1"/>
          <w:sz w:val="24"/>
          <w14:textFill>
            <w14:solidFill>
              <w14:schemeClr w14:val="tx1"/>
            </w14:solidFill>
          </w14:textFill>
        </w:rPr>
        <w:t>等级为优。</w:t>
      </w:r>
      <w:r>
        <w:rPr>
          <w:rFonts w:hint="eastAsia" w:ascii="仿宋_GB2312" w:hAnsi="Arial Narrow" w:cs="Arial Narrow"/>
          <w:sz w:val="24"/>
          <w:szCs w:val="21"/>
        </w:rPr>
        <w:t>项目单位制定了工作计划与实施方案，质量标准，所制定的业务方案合法、合规、完整；项目实施过程中按照各活动工作方案与工作计划实施执行，未发生调整，遵守相关法律法规，采取了相应的项目质量检查措施，项目实施过程中的活动场地设备与信息落实到位，项目计划、流程、总结等相关资料齐全并及时归档。财务管理方面，</w:t>
      </w:r>
      <w:r>
        <w:rPr>
          <w:rFonts w:hint="eastAsia" w:ascii="仿宋_GB2312" w:hAnsi="Arial Narrow" w:cs="Arial Narrow"/>
          <w:sz w:val="24"/>
          <w:szCs w:val="28"/>
        </w:rPr>
        <w:t>财务制度健全且符合规定，项目重要支出事前均经过申请审批，资金的拨付有完整的审批程序和手续，资金使用符合合同规定的用途，并采取了必要的监控手段。</w:t>
      </w:r>
    </w:p>
    <w:p>
      <w:pPr>
        <w:spacing w:line="360" w:lineRule="auto"/>
        <w:ind w:firstLine="480" w:firstLineChars="200"/>
        <w:rPr>
          <w:rFonts w:ascii="Arial Narrow" w:hAnsi="Arial Narrow" w:cs="Arial Narrow"/>
          <w:sz w:val="24"/>
          <w:szCs w:val="21"/>
        </w:rPr>
      </w:pPr>
      <w:r>
        <w:rPr>
          <w:rFonts w:ascii="Arial Narrow" w:hAnsi="Arial Narrow" w:cs="Arial Narrow"/>
          <w:color w:val="000000" w:themeColor="text1"/>
          <w:sz w:val="24"/>
          <w14:textFill>
            <w14:solidFill>
              <w14:schemeClr w14:val="tx1"/>
            </w14:solidFill>
          </w14:textFill>
        </w:rPr>
        <w:t>（3）产出。项目产出评价得分为2</w:t>
      </w:r>
      <w:r>
        <w:rPr>
          <w:rFonts w:hint="eastAsia" w:ascii="Arial Narrow" w:hAnsi="Arial Narrow" w:cs="Arial Narrow"/>
          <w:color w:val="000000" w:themeColor="text1"/>
          <w:sz w:val="24"/>
          <w14:textFill>
            <w14:solidFill>
              <w14:schemeClr w14:val="tx1"/>
            </w14:solidFill>
          </w14:textFill>
        </w:rPr>
        <w:t>6</w:t>
      </w:r>
      <w:r>
        <w:rPr>
          <w:rFonts w:ascii="Arial Narrow" w:hAnsi="Arial Narrow" w:cs="Arial Narrow"/>
          <w:color w:val="000000" w:themeColor="text1"/>
          <w:sz w:val="24"/>
          <w14:textFill>
            <w14:solidFill>
              <w14:schemeClr w14:val="tx1"/>
            </w14:solidFill>
          </w14:textFill>
        </w:rPr>
        <w:t>分，评价等级为</w:t>
      </w:r>
      <w:r>
        <w:rPr>
          <w:rFonts w:hint="eastAsia" w:ascii="Arial Narrow" w:hAnsi="Arial Narrow" w:cs="Arial Narrow"/>
          <w:color w:val="000000" w:themeColor="text1"/>
          <w:sz w:val="24"/>
          <w14:textFill>
            <w14:solidFill>
              <w14:schemeClr w14:val="tx1"/>
            </w14:solidFill>
          </w14:textFill>
        </w:rPr>
        <w:t>良。</w:t>
      </w:r>
      <w:r>
        <w:rPr>
          <w:rFonts w:ascii="Arial Narrow" w:hAnsi="Arial Narrow" w:cs="Arial Narrow"/>
          <w:sz w:val="24"/>
          <w:szCs w:val="21"/>
        </w:rPr>
        <w:t>项目实施单位</w:t>
      </w:r>
      <w:r>
        <w:rPr>
          <w:rFonts w:ascii="Arial Narrow" w:hAnsi="Arial Narrow" w:cs="宋体"/>
          <w:sz w:val="24"/>
          <w:szCs w:val="21"/>
        </w:rPr>
        <w:t>实际</w:t>
      </w:r>
      <w:r>
        <w:rPr>
          <w:rFonts w:ascii="Arial Narrow" w:hAnsi="Arial Narrow" w:cs="Arial Narrow"/>
          <w:sz w:val="24"/>
          <w:szCs w:val="21"/>
        </w:rPr>
        <w:t>开展交通安全检查</w:t>
      </w:r>
      <w:r>
        <w:rPr>
          <w:rFonts w:ascii="Arial Narrow" w:hAnsi="Arial Narrow" w:cs="宋体"/>
          <w:sz w:val="24"/>
          <w:szCs w:val="21"/>
        </w:rPr>
        <w:t>大于</w:t>
      </w:r>
      <w:r>
        <w:rPr>
          <w:rFonts w:ascii="Arial Narrow" w:hAnsi="Arial Narrow" w:cs="Arial Narrow"/>
          <w:sz w:val="24"/>
          <w:szCs w:val="21"/>
        </w:rPr>
        <w:t>12次，于2017年12月前编制完成了全区建设、交通系统应急预案</w:t>
      </w:r>
      <w:r>
        <w:rPr>
          <w:rFonts w:ascii="Arial Narrow" w:hAnsi="Arial Narrow" w:cs="宋体"/>
          <w:sz w:val="24"/>
          <w:szCs w:val="21"/>
        </w:rPr>
        <w:t>，该预案按规定可沿用至2018年</w:t>
      </w:r>
      <w:r>
        <w:rPr>
          <w:rFonts w:hint="eastAsia" w:ascii="仿宋_GB2312" w:hAnsi="Arial Narrow" w:cs="Arial Narrow"/>
          <w:sz w:val="24"/>
          <w:szCs w:val="21"/>
        </w:rPr>
        <w:t>；开展“两客一危”应急预案演</w:t>
      </w:r>
      <w:r>
        <w:rPr>
          <w:rFonts w:ascii="Arial Narrow" w:hAnsi="Arial Narrow" w:cs="Arial Narrow"/>
          <w:sz w:val="24"/>
          <w:szCs w:val="21"/>
        </w:rPr>
        <w:t>习1次</w:t>
      </w:r>
      <w:r>
        <w:rPr>
          <w:rFonts w:hint="eastAsia" w:ascii="仿宋_GB2312" w:hAnsi="Arial Narrow" w:cs="Arial Narrow"/>
          <w:sz w:val="24"/>
          <w:szCs w:val="21"/>
        </w:rPr>
        <w:t>；对</w:t>
      </w:r>
      <w:r>
        <w:rPr>
          <w:rFonts w:hint="eastAsia" w:ascii="仿宋_GB2312" w:hAnsi="Arial Narrow" w:cs="宋体"/>
          <w:sz w:val="24"/>
          <w:szCs w:val="21"/>
        </w:rPr>
        <w:t>危货</w:t>
      </w:r>
      <w:r>
        <w:rPr>
          <w:rFonts w:hint="eastAsia" w:ascii="仿宋_GB2312" w:hAnsi="Arial Narrow" w:cs="Arial Narrow"/>
          <w:sz w:val="24"/>
          <w:szCs w:val="21"/>
        </w:rPr>
        <w:t>码头</w:t>
      </w:r>
      <w:r>
        <w:rPr>
          <w:rFonts w:hint="eastAsia" w:ascii="仿宋_GB2312" w:hAnsi="Arial Narrow" w:cs="宋体"/>
          <w:sz w:val="24"/>
          <w:szCs w:val="21"/>
        </w:rPr>
        <w:t>定期</w:t>
      </w:r>
      <w:r>
        <w:rPr>
          <w:rFonts w:hint="eastAsia" w:ascii="仿宋_GB2312" w:hAnsi="Arial Narrow" w:cs="Arial Narrow"/>
          <w:sz w:val="24"/>
          <w:szCs w:val="21"/>
        </w:rPr>
        <w:t>进行检查；彻查安全隐患，大部分</w:t>
      </w:r>
      <w:r>
        <w:rPr>
          <w:rFonts w:hint="eastAsia" w:ascii="仿宋_GB2312" w:hAnsi="Arial Narrow" w:cs="宋体"/>
          <w:sz w:val="24"/>
          <w:szCs w:val="21"/>
        </w:rPr>
        <w:t>发现的</w:t>
      </w:r>
      <w:r>
        <w:rPr>
          <w:rFonts w:hint="eastAsia" w:ascii="仿宋_GB2312" w:hAnsi="Arial Narrow" w:cs="Arial Narrow"/>
          <w:sz w:val="24"/>
          <w:szCs w:val="21"/>
        </w:rPr>
        <w:t>隐患能够及时整治，但是</w:t>
      </w:r>
      <w:r>
        <w:rPr>
          <w:rFonts w:hint="eastAsia" w:ascii="仿宋_GB2312" w:hAnsi="Arial Narrow" w:cs="宋体"/>
          <w:sz w:val="24"/>
          <w:szCs w:val="21"/>
        </w:rPr>
        <w:t>由于</w:t>
      </w:r>
      <w:r>
        <w:rPr>
          <w:rFonts w:hint="eastAsia" w:ascii="仿宋_GB2312" w:hAnsi="宋体" w:cs="宋体"/>
          <w:sz w:val="24"/>
          <w:szCs w:val="21"/>
        </w:rPr>
        <w:t>受</w:t>
      </w:r>
      <w:r>
        <w:rPr>
          <w:rFonts w:hint="eastAsia" w:ascii="仿宋_GB2312" w:hAnsi="Arial Narrow" w:cs="宋体"/>
          <w:sz w:val="24"/>
          <w:szCs w:val="21"/>
        </w:rPr>
        <w:t>专业水平的制约</w:t>
      </w:r>
      <w:r>
        <w:rPr>
          <w:rFonts w:hint="eastAsia" w:ascii="仿宋_GB2312" w:hAnsi="Arial Narrow" w:cs="Arial Narrow"/>
          <w:sz w:val="24"/>
          <w:szCs w:val="21"/>
        </w:rPr>
        <w:t>，</w:t>
      </w:r>
      <w:r>
        <w:rPr>
          <w:rFonts w:hint="eastAsia" w:ascii="仿宋_GB2312" w:hAnsi="Arial Narrow" w:cs="宋体"/>
          <w:sz w:val="24"/>
          <w:szCs w:val="21"/>
        </w:rPr>
        <w:t>导致一些问题和隐患得不到及时发现和治理，</w:t>
      </w:r>
      <w:r>
        <w:rPr>
          <w:rFonts w:hint="eastAsia" w:ascii="仿宋_GB2312" w:hAnsi="Arial Narrow" w:cs="Arial Narrow"/>
          <w:sz w:val="24"/>
          <w:szCs w:val="21"/>
        </w:rPr>
        <w:t>日常安全隐患排查体系没有真正建立起来。</w:t>
      </w:r>
    </w:p>
    <w:p>
      <w:pPr>
        <w:spacing w:line="360" w:lineRule="auto"/>
        <w:ind w:firstLine="480" w:firstLineChars="200"/>
        <w:rPr>
          <w:rFonts w:ascii="仿宋_GB2312" w:hAnsi="Arial Narrow" w:cs="Arial Narrow"/>
          <w:bCs/>
          <w:color w:val="000000" w:themeColor="text1"/>
          <w:sz w:val="24"/>
          <w14:textFill>
            <w14:solidFill>
              <w14:schemeClr w14:val="tx1"/>
            </w14:solidFill>
          </w14:textFill>
        </w:rPr>
      </w:pPr>
      <w:r>
        <w:rPr>
          <w:rFonts w:ascii="Arial Narrow" w:hAnsi="Arial Narrow" w:cs="Arial Narrow"/>
          <w:color w:val="000000" w:themeColor="text1"/>
          <w:sz w:val="24"/>
          <w14:textFill>
            <w14:solidFill>
              <w14:schemeClr w14:val="tx1"/>
            </w14:solidFill>
          </w14:textFill>
        </w:rPr>
        <w:t>（4</w:t>
      </w:r>
      <w:r>
        <w:rPr>
          <w:rFonts w:ascii="Arial Narrow" w:hAnsi="Arial Narrow" w:cs="Arial Narrow"/>
          <w:bCs/>
          <w:color w:val="000000" w:themeColor="text1"/>
          <w:sz w:val="24"/>
          <w14:textFill>
            <w14:solidFill>
              <w14:schemeClr w14:val="tx1"/>
            </w14:solidFill>
          </w14:textFill>
        </w:rPr>
        <w:t>）效果。项目效果评价得分为28分，评</w:t>
      </w:r>
      <w:r>
        <w:rPr>
          <w:rFonts w:hint="eastAsia" w:ascii="仿宋_GB2312" w:hAnsi="Arial Narrow" w:cs="Arial Narrow"/>
          <w:bCs/>
          <w:color w:val="000000" w:themeColor="text1"/>
          <w:sz w:val="24"/>
          <w14:textFill>
            <w14:solidFill>
              <w14:schemeClr w14:val="tx1"/>
            </w14:solidFill>
          </w14:textFill>
        </w:rPr>
        <w:t>价等级为优。项目实施单</w:t>
      </w:r>
      <w:r>
        <w:rPr>
          <w:rFonts w:ascii="Arial Narrow" w:hAnsi="Arial Narrow" w:cs="Arial Narrow"/>
          <w:bCs/>
          <w:color w:val="000000" w:themeColor="text1"/>
          <w:sz w:val="24"/>
          <w14:textFill>
            <w14:solidFill>
              <w14:schemeClr w14:val="tx1"/>
            </w14:solidFill>
          </w14:textFill>
        </w:rPr>
        <w:t>位于2018</w:t>
      </w:r>
      <w:r>
        <w:rPr>
          <w:rFonts w:hint="eastAsia" w:ascii="仿宋_GB2312" w:hAnsi="Arial Narrow" w:cs="Arial Narrow"/>
          <w:bCs/>
          <w:color w:val="000000" w:themeColor="text1"/>
          <w:sz w:val="24"/>
          <w14:textFill>
            <w14:solidFill>
              <w14:schemeClr w14:val="tx1"/>
            </w14:solidFill>
          </w14:textFill>
        </w:rPr>
        <w:t>年</w:t>
      </w:r>
      <w:r>
        <w:rPr>
          <w:rFonts w:ascii="Arial Narrow" w:hAnsi="Arial Narrow" w:cs="Arial Narrow"/>
          <w:bCs/>
          <w:color w:val="000000" w:themeColor="text1"/>
          <w:sz w:val="24"/>
          <w14:textFill>
            <w14:solidFill>
              <w14:schemeClr w14:val="tx1"/>
            </w14:solidFill>
          </w14:textFill>
        </w:rPr>
        <w:t>6</w:t>
      </w:r>
      <w:r>
        <w:rPr>
          <w:rFonts w:ascii="Arial Narrow" w:hAnsi="Arial Narrow" w:cs="宋体"/>
          <w:bCs/>
          <w:color w:val="000000" w:themeColor="text1"/>
          <w:sz w:val="24"/>
          <w14:textFill>
            <w14:solidFill>
              <w14:schemeClr w14:val="tx1"/>
            </w14:solidFill>
          </w14:textFill>
        </w:rPr>
        <w:t>月和8月集中组织</w:t>
      </w:r>
      <w:r>
        <w:rPr>
          <w:rFonts w:ascii="Arial Narrow" w:hAnsi="Arial Narrow" w:cs="Arial Narrow"/>
          <w:bCs/>
          <w:color w:val="000000" w:themeColor="text1"/>
          <w:sz w:val="24"/>
          <w14:textFill>
            <w14:solidFill>
              <w14:schemeClr w14:val="tx1"/>
            </w14:solidFill>
          </w14:textFill>
        </w:rPr>
        <w:t>建管、运管、港航、公路、物流部门及各下属企业，进行安全生产培训，各行业基本覆盖，</w:t>
      </w:r>
      <w:r>
        <w:rPr>
          <w:rFonts w:hint="eastAsia" w:ascii="仿宋_GB2312" w:hAnsi="Arial Narrow" w:cs="Arial Narrow"/>
          <w:bCs/>
          <w:color w:val="000000" w:themeColor="text1"/>
          <w:sz w:val="24"/>
          <w14:textFill>
            <w14:solidFill>
              <w14:schemeClr w14:val="tx1"/>
            </w14:solidFill>
          </w14:textFill>
        </w:rPr>
        <w:t>通过悬挂横幅、张贴各类海报、</w:t>
      </w:r>
      <w:r>
        <w:rPr>
          <w:rFonts w:hint="eastAsia" w:ascii="仿宋_GB2312" w:hAnsi="Arial Narrow" w:cs="宋体"/>
          <w:bCs/>
          <w:color w:val="000000" w:themeColor="text1"/>
          <w:sz w:val="24"/>
          <w14:textFill>
            <w14:solidFill>
              <w14:schemeClr w14:val="tx1"/>
            </w14:solidFill>
          </w14:textFill>
        </w:rPr>
        <w:t>安全标语、</w:t>
      </w:r>
      <w:r>
        <w:rPr>
          <w:rFonts w:hint="eastAsia" w:ascii="仿宋_GB2312" w:hAnsi="Arial Narrow" w:cs="Arial Narrow"/>
          <w:bCs/>
          <w:color w:val="000000" w:themeColor="text1"/>
          <w:sz w:val="24"/>
          <w14:textFill>
            <w14:solidFill>
              <w14:schemeClr w14:val="tx1"/>
            </w14:solidFill>
          </w14:textFill>
        </w:rPr>
        <w:t>赠送</w:t>
      </w:r>
      <w:r>
        <w:rPr>
          <w:rFonts w:hint="eastAsia" w:ascii="仿宋_GB2312" w:hAnsi="Arial Narrow" w:cs="宋体"/>
          <w:bCs/>
          <w:color w:val="000000" w:themeColor="text1"/>
          <w:sz w:val="24"/>
          <w14:textFill>
            <w14:solidFill>
              <w14:schemeClr w14:val="tx1"/>
            </w14:solidFill>
          </w14:textFill>
        </w:rPr>
        <w:t>各类安全小画册、口袋书</w:t>
      </w:r>
      <w:r>
        <w:rPr>
          <w:rFonts w:hint="eastAsia" w:ascii="仿宋_GB2312" w:hAnsi="Arial Narrow" w:cs="Arial Narrow"/>
          <w:bCs/>
          <w:color w:val="000000" w:themeColor="text1"/>
          <w:sz w:val="24"/>
          <w14:textFill>
            <w14:solidFill>
              <w14:schemeClr w14:val="tx1"/>
            </w14:solidFill>
          </w14:textFill>
        </w:rPr>
        <w:t>、配送安全生产月标识的环保袋等方式，对企业员工、广大市民宣传日常安全知识，宣传方式多样，宣传范围广，并通过加强培训教育、深化打非治违、开展多次专项整治检查工作，</w:t>
      </w:r>
      <w:r>
        <w:rPr>
          <w:rFonts w:hint="eastAsia" w:ascii="仿宋_GB2312" w:hAnsi="Arial Narrow" w:cs="宋体"/>
          <w:bCs/>
          <w:color w:val="000000" w:themeColor="text1"/>
          <w:sz w:val="24"/>
          <w14:textFill>
            <w14:solidFill>
              <w14:schemeClr w14:val="tx1"/>
            </w14:solidFill>
          </w14:textFill>
        </w:rPr>
        <w:t>减少</w:t>
      </w:r>
      <w:r>
        <w:rPr>
          <w:rFonts w:hint="eastAsia" w:ascii="仿宋_GB2312" w:hAnsi="Arial Narrow" w:cs="Arial Narrow"/>
          <w:bCs/>
          <w:color w:val="000000" w:themeColor="text1"/>
          <w:sz w:val="24"/>
          <w14:textFill>
            <w14:solidFill>
              <w14:schemeClr w14:val="tx1"/>
            </w14:solidFill>
          </w14:textFill>
        </w:rPr>
        <w:t>道路安全隐患，道路安全畅通得到有效保障，</w:t>
      </w:r>
      <w:r>
        <w:rPr>
          <w:rFonts w:hint="eastAsia" w:ascii="仿宋_GB2312" w:hAnsi="Arial Narrow" w:cs="宋体"/>
          <w:bCs/>
          <w:color w:val="000000" w:themeColor="text1"/>
          <w:sz w:val="24"/>
          <w14:textFill>
            <w14:solidFill>
              <w14:schemeClr w14:val="tx1"/>
            </w14:solidFill>
          </w14:textFill>
        </w:rPr>
        <w:t>全年未发生较大及以上安全生产事故，</w:t>
      </w:r>
      <w:r>
        <w:rPr>
          <w:rFonts w:hint="eastAsia" w:ascii="仿宋_GB2312" w:hAnsi="Arial Narrow" w:cs="Arial Narrow"/>
          <w:bCs/>
          <w:color w:val="000000" w:themeColor="text1"/>
          <w:sz w:val="24"/>
          <w14:textFill>
            <w14:solidFill>
              <w14:schemeClr w14:val="tx1"/>
            </w14:solidFill>
          </w14:textFill>
        </w:rPr>
        <w:t>生产安全形势较为稳定，项目由武汉开发区（汉南区）城乡建设局主管，由</w:t>
      </w:r>
      <w:r>
        <w:rPr>
          <w:rFonts w:hint="eastAsia" w:ascii="仿宋_GB2312" w:hAnsi="Arial Narrow" w:cs="宋体"/>
          <w:bCs/>
          <w:color w:val="000000" w:themeColor="text1"/>
          <w:sz w:val="24"/>
          <w14:textFill>
            <w14:solidFill>
              <w14:schemeClr w14:val="tx1"/>
            </w14:solidFill>
          </w14:textFill>
        </w:rPr>
        <w:t>局</w:t>
      </w:r>
      <w:r>
        <w:rPr>
          <w:rFonts w:hint="eastAsia" w:ascii="仿宋_GB2312" w:hAnsi="Arial Narrow" w:cs="Arial Narrow"/>
          <w:bCs/>
          <w:color w:val="000000" w:themeColor="text1"/>
          <w:sz w:val="24"/>
          <w14:textFill>
            <w14:solidFill>
              <w14:schemeClr w14:val="tx1"/>
            </w14:solidFill>
          </w14:textFill>
        </w:rPr>
        <w:t>安全科、汉南区港航管理处实施执行，人员配备充足，且分工较为明确，保障了项目实施的后续运行。</w:t>
      </w:r>
    </w:p>
    <w:p>
      <w:pPr>
        <w:snapToGrid w:val="0"/>
        <w:spacing w:line="360" w:lineRule="auto"/>
        <w:ind w:firstLine="482" w:firstLineChars="200"/>
        <w:jc w:val="left"/>
        <w:outlineLvl w:val="1"/>
        <w:rPr>
          <w:rFonts w:ascii="仿宋_GB2312" w:hAnsi="Arial Narrow" w:cs="Arial Narrow"/>
          <w:b/>
          <w:color w:val="000000" w:themeColor="text1"/>
          <w:sz w:val="24"/>
          <w14:textFill>
            <w14:solidFill>
              <w14:schemeClr w14:val="tx1"/>
            </w14:solidFill>
          </w14:textFill>
        </w:rPr>
      </w:pPr>
      <w:r>
        <w:rPr>
          <w:rFonts w:hint="eastAsia" w:ascii="仿宋_GB2312" w:hAnsi="Arial Narrow" w:cs="Arial Narrow"/>
          <w:b/>
          <w:color w:val="000000" w:themeColor="text1"/>
          <w:sz w:val="24"/>
          <w14:textFill>
            <w14:solidFill>
              <w14:schemeClr w14:val="tx1"/>
            </w14:solidFill>
          </w14:textFill>
        </w:rPr>
        <w:t>（四）主要经验及做法、存在的问题和建议</w:t>
      </w:r>
      <w:bookmarkEnd w:id="94"/>
      <w:bookmarkEnd w:id="95"/>
    </w:p>
    <w:p>
      <w:pPr>
        <w:snapToGrid w:val="0"/>
        <w:spacing w:line="360" w:lineRule="auto"/>
        <w:ind w:firstLine="480" w:firstLineChars="200"/>
        <w:outlineLvl w:val="2"/>
        <w:rPr>
          <w:rFonts w:ascii="Arial Narrow" w:hAnsi="Arial Narrow" w:cs="Arial Narrow"/>
          <w:bCs/>
          <w:color w:val="000000" w:themeColor="text1"/>
          <w:sz w:val="24"/>
          <w14:textFill>
            <w14:solidFill>
              <w14:schemeClr w14:val="tx1"/>
            </w14:solidFill>
          </w14:textFill>
        </w:rPr>
      </w:pPr>
      <w:bookmarkStart w:id="96" w:name="_Toc16744"/>
      <w:bookmarkStart w:id="97" w:name="_Toc30416"/>
      <w:r>
        <w:rPr>
          <w:rFonts w:ascii="Arial Narrow" w:hAnsi="Arial Narrow" w:cs="Arial Narrow"/>
          <w:bCs/>
          <w:color w:val="000000" w:themeColor="text1"/>
          <w:sz w:val="24"/>
          <w14:textFill>
            <w14:solidFill>
              <w14:schemeClr w14:val="tx1"/>
            </w14:solidFill>
          </w14:textFill>
        </w:rPr>
        <w:t>1、主要经验及做法</w:t>
      </w:r>
      <w:bookmarkEnd w:id="96"/>
      <w:bookmarkEnd w:id="97"/>
      <w:bookmarkStart w:id="98" w:name="_Toc1986"/>
    </w:p>
    <w:p>
      <w:pPr>
        <w:snapToGrid w:val="0"/>
        <w:spacing w:line="360" w:lineRule="auto"/>
        <w:ind w:firstLine="480" w:firstLineChars="200"/>
        <w:rPr>
          <w:rFonts w:ascii="仿宋_GB2312" w:hAnsi="Arial Narrow" w:cs="Arial Narrow"/>
          <w:bCs/>
          <w:color w:val="000000" w:themeColor="text1"/>
          <w:sz w:val="24"/>
          <w14:textFill>
            <w14:solidFill>
              <w14:schemeClr w14:val="tx1"/>
            </w14:solidFill>
          </w14:textFill>
        </w:rPr>
      </w:pPr>
      <w:r>
        <w:rPr>
          <w:rFonts w:ascii="Arial Narrow" w:hAnsi="Arial Narrow" w:cs="宋体"/>
          <w:bCs/>
          <w:color w:val="000000" w:themeColor="text1"/>
          <w:sz w:val="24"/>
          <w14:textFill>
            <w14:solidFill>
              <w14:schemeClr w14:val="tx1"/>
            </w14:solidFill>
          </w14:textFill>
        </w:rPr>
        <w:t>（</w:t>
      </w:r>
      <w:r>
        <w:rPr>
          <w:rFonts w:ascii="Arial Narrow" w:hAnsi="Arial Narrow" w:cs="Arial Narrow"/>
          <w:bCs/>
          <w:color w:val="000000" w:themeColor="text1"/>
          <w:sz w:val="24"/>
          <w14:textFill>
            <w14:solidFill>
              <w14:schemeClr w14:val="tx1"/>
            </w14:solidFill>
          </w14:textFill>
        </w:rPr>
        <w:t>1</w:t>
      </w:r>
      <w:r>
        <w:rPr>
          <w:rFonts w:ascii="Arial Narrow" w:hAnsi="Arial Narrow" w:cs="宋体"/>
          <w:bCs/>
          <w:color w:val="000000" w:themeColor="text1"/>
          <w:sz w:val="24"/>
          <w14:textFill>
            <w14:solidFill>
              <w14:schemeClr w14:val="tx1"/>
            </w14:solidFill>
          </w14:textFill>
        </w:rPr>
        <w:t>）</w:t>
      </w:r>
      <w:r>
        <w:rPr>
          <w:rFonts w:hint="eastAsia" w:ascii="仿宋_GB2312" w:hAnsi="Arial Narrow" w:cs="宋体"/>
          <w:bCs/>
          <w:color w:val="000000" w:themeColor="text1"/>
          <w:sz w:val="24"/>
          <w14:textFill>
            <w14:solidFill>
              <w14:schemeClr w14:val="tx1"/>
            </w14:solidFill>
          </w14:textFill>
        </w:rPr>
        <w:t>加强组织领导，强化责任落实。</w:t>
      </w:r>
      <w:r>
        <w:rPr>
          <w:rFonts w:hint="eastAsia" w:ascii="仿宋_GB2312" w:hAnsi="Arial Narrow" w:cs="Arial Narrow"/>
          <w:bCs/>
          <w:color w:val="000000" w:themeColor="text1"/>
          <w:sz w:val="24"/>
          <w14:textFill>
            <w14:solidFill>
              <w14:schemeClr w14:val="tx1"/>
            </w14:solidFill>
          </w14:textFill>
        </w:rPr>
        <w:t>认真贯彻落实党中央、国务院以及省、市、区关于加强安全生产工作的一系列决策部署。严格落实“党政同责、一岗双责、齐抓共管、失职追责”和“三管三必须”的工作要求，切实增强“红线意识”，全面落实安全生产目标管理责任制，强化企业落实主体责任，完善安全生产监管体制，夯实基层监管基础。全局广泛深入开展安全专项整治，强化安全隐患排查整改，有效遏制较大以上事故，确保安全生产形势，以“全面落实企业安全生产主体责任”主题，强化红线意识，普及安全知识，弘扬安全文化，落实安全责任，在全局各行业范围</w:t>
      </w:r>
      <w:r>
        <w:rPr>
          <w:rFonts w:hint="eastAsia" w:ascii="仿宋_GB2312" w:hAnsi="Arial Narrow" w:cs="宋体"/>
          <w:bCs/>
          <w:color w:val="000000" w:themeColor="text1"/>
          <w:sz w:val="24"/>
          <w14:textFill>
            <w14:solidFill>
              <w14:schemeClr w14:val="tx1"/>
            </w14:solidFill>
          </w14:textFill>
        </w:rPr>
        <w:t>积极</w:t>
      </w:r>
      <w:r>
        <w:rPr>
          <w:rFonts w:hint="eastAsia" w:ascii="仿宋_GB2312" w:hAnsi="Arial Narrow" w:cs="Arial Narrow"/>
          <w:bCs/>
          <w:color w:val="000000" w:themeColor="text1"/>
          <w:sz w:val="24"/>
          <w14:textFill>
            <w14:solidFill>
              <w14:schemeClr w14:val="tx1"/>
            </w14:solidFill>
          </w14:textFill>
        </w:rPr>
        <w:t>开展了安全生产月活动。</w:t>
      </w:r>
    </w:p>
    <w:p>
      <w:pPr>
        <w:spacing w:line="360" w:lineRule="auto"/>
        <w:ind w:firstLine="480" w:firstLineChars="200"/>
        <w:rPr>
          <w:rFonts w:ascii="仿宋_GB2312" w:hAnsi="Arial Narrow" w:cs="宋体"/>
          <w:bCs/>
          <w:color w:val="000000" w:themeColor="text1"/>
          <w:sz w:val="24"/>
          <w14:textFill>
            <w14:solidFill>
              <w14:schemeClr w14:val="tx1"/>
            </w14:solidFill>
          </w14:textFill>
        </w:rPr>
      </w:pPr>
      <w:r>
        <w:rPr>
          <w:rFonts w:ascii="Arial Narrow" w:hAnsi="Arial Narrow" w:cs="Arial Narrow"/>
          <w:bCs/>
          <w:color w:val="000000" w:themeColor="text1"/>
          <w:sz w:val="24"/>
          <w14:textFill>
            <w14:solidFill>
              <w14:schemeClr w14:val="tx1"/>
            </w14:solidFill>
          </w14:textFill>
        </w:rPr>
        <w:t>（2）</w:t>
      </w:r>
      <w:r>
        <w:rPr>
          <w:rFonts w:ascii="Arial Narrow" w:hAnsi="Arial Narrow" w:cs="宋体"/>
          <w:bCs/>
          <w:color w:val="000000" w:themeColor="text1"/>
          <w:sz w:val="24"/>
          <w14:textFill>
            <w14:solidFill>
              <w14:schemeClr w14:val="tx1"/>
            </w14:solidFill>
          </w14:textFill>
        </w:rPr>
        <w:t>强</w:t>
      </w:r>
      <w:r>
        <w:rPr>
          <w:rFonts w:hint="eastAsia" w:ascii="仿宋_GB2312" w:hAnsi="Arial Narrow" w:cs="宋体"/>
          <w:bCs/>
          <w:color w:val="000000" w:themeColor="text1"/>
          <w:sz w:val="24"/>
          <w14:textFill>
            <w14:solidFill>
              <w14:schemeClr w14:val="tx1"/>
            </w14:solidFill>
          </w14:textFill>
        </w:rPr>
        <w:t>化源头治理。</w:t>
      </w:r>
      <w:r>
        <w:rPr>
          <w:rFonts w:hint="eastAsia" w:ascii="仿宋_GB2312" w:hAnsi="Arial Narrow" w:cs="Arial Narrow"/>
          <w:bCs/>
          <w:color w:val="000000" w:themeColor="text1"/>
          <w:sz w:val="24"/>
          <w14:textFill>
            <w14:solidFill>
              <w14:schemeClr w14:val="tx1"/>
            </w14:solidFill>
          </w14:textFill>
        </w:rPr>
        <w:t>围绕“全面落实企业安全生产主体责任”主题，开展宣传活动，强化红线意识，加强安全法治，落实安全责任，普及安全知识，提升全民安全素质，深入到水运企业、港口</w:t>
      </w:r>
      <w:r>
        <w:rPr>
          <w:rFonts w:hint="eastAsia" w:ascii="仿宋_GB2312" w:hAnsi="Arial Narrow" w:cs="宋体"/>
          <w:bCs/>
          <w:color w:val="000000" w:themeColor="text1"/>
          <w:sz w:val="24"/>
          <w14:textFill>
            <w14:solidFill>
              <w14:schemeClr w14:val="tx1"/>
            </w14:solidFill>
          </w14:textFill>
        </w:rPr>
        <w:t>危货</w:t>
      </w:r>
      <w:r>
        <w:rPr>
          <w:rFonts w:hint="eastAsia" w:ascii="仿宋_GB2312" w:hAnsi="Arial Narrow" w:cs="Arial Narrow"/>
          <w:bCs/>
          <w:color w:val="000000" w:themeColor="text1"/>
          <w:sz w:val="24"/>
          <w14:textFill>
            <w14:solidFill>
              <w14:schemeClr w14:val="tx1"/>
            </w14:solidFill>
          </w14:textFill>
        </w:rPr>
        <w:t>码头进一步宣传水运安全法规，倡导水运安全管理理念</w:t>
      </w:r>
      <w:r>
        <w:rPr>
          <w:rFonts w:hint="eastAsia" w:ascii="仿宋_GB2312" w:hAnsi="Arial Narrow" w:cs="宋体"/>
          <w:bCs/>
          <w:color w:val="000000" w:themeColor="text1"/>
          <w:sz w:val="24"/>
          <w14:textFill>
            <w14:solidFill>
              <w14:schemeClr w14:val="tx1"/>
            </w14:solidFill>
          </w14:textFill>
        </w:rPr>
        <w:t>，同时围绕重点行业、重点企业、重点部位、重点时段加强安全生产监管，彻查安全隐患，堵塞管理漏洞。</w:t>
      </w:r>
    </w:p>
    <w:p>
      <w:pPr>
        <w:spacing w:line="360" w:lineRule="auto"/>
        <w:ind w:firstLine="480" w:firstLineChars="200"/>
        <w:rPr>
          <w:rFonts w:ascii="仿宋_GB2312" w:hAnsi="Arial Narrow" w:cs="宋体"/>
          <w:bCs/>
          <w:color w:val="000000" w:themeColor="text1"/>
          <w:sz w:val="24"/>
          <w14:textFill>
            <w14:solidFill>
              <w14:schemeClr w14:val="tx1"/>
            </w14:solidFill>
          </w14:textFill>
        </w:rPr>
      </w:pPr>
      <w:r>
        <w:rPr>
          <w:rFonts w:ascii="Arial Narrow" w:hAnsi="Arial Narrow" w:cs="宋体"/>
          <w:bCs/>
          <w:color w:val="000000" w:themeColor="text1"/>
          <w:sz w:val="24"/>
          <w14:textFill>
            <w14:solidFill>
              <w14:schemeClr w14:val="tx1"/>
            </w14:solidFill>
          </w14:textFill>
        </w:rPr>
        <w:t>（3）深化打非治违，严格监管执法。始终坚持问题向导，采取定点检查与流动检查，定时检</w:t>
      </w:r>
      <w:r>
        <w:rPr>
          <w:rFonts w:hint="eastAsia" w:ascii="仿宋_GB2312" w:hAnsi="Arial Narrow" w:cs="宋体"/>
          <w:bCs/>
          <w:color w:val="000000" w:themeColor="text1"/>
          <w:sz w:val="24"/>
          <w14:textFill>
            <w14:solidFill>
              <w14:schemeClr w14:val="tx1"/>
            </w14:solidFill>
          </w14:textFill>
        </w:rPr>
        <w:t>查与随时抽查，部门联动与分组检查相结合的方式，开展重点行业领域安全专项整治。</w:t>
      </w:r>
    </w:p>
    <w:p>
      <w:pPr>
        <w:snapToGrid w:val="0"/>
        <w:spacing w:line="360" w:lineRule="auto"/>
        <w:ind w:firstLine="480" w:firstLineChars="200"/>
        <w:outlineLvl w:val="2"/>
        <w:rPr>
          <w:rFonts w:ascii="仿宋_GB2312" w:hAnsi="Arial Narrow" w:cs="Arial Narrow"/>
          <w:bCs/>
          <w:color w:val="000000" w:themeColor="text1"/>
          <w:sz w:val="24"/>
          <w14:textFill>
            <w14:solidFill>
              <w14:schemeClr w14:val="tx1"/>
            </w14:solidFill>
          </w14:textFill>
        </w:rPr>
      </w:pPr>
      <w:bookmarkStart w:id="99" w:name="_Toc8733"/>
      <w:r>
        <w:rPr>
          <w:rFonts w:ascii="Arial Narrow" w:hAnsi="Arial Narrow" w:cs="Arial Narrow"/>
          <w:bCs/>
          <w:color w:val="000000" w:themeColor="text1"/>
          <w:sz w:val="24"/>
          <w14:textFill>
            <w14:solidFill>
              <w14:schemeClr w14:val="tx1"/>
            </w14:solidFill>
          </w14:textFill>
        </w:rPr>
        <w:t>2</w:t>
      </w:r>
      <w:r>
        <w:rPr>
          <w:rFonts w:hint="eastAsia" w:ascii="仿宋_GB2312" w:hAnsi="宋体" w:cs="宋体"/>
          <w:bCs/>
          <w:color w:val="000000" w:themeColor="text1"/>
          <w:sz w:val="24"/>
          <w14:textFill>
            <w14:solidFill>
              <w14:schemeClr w14:val="tx1"/>
            </w14:solidFill>
          </w14:textFill>
        </w:rPr>
        <w:t>、</w:t>
      </w:r>
      <w:r>
        <w:rPr>
          <w:rFonts w:hint="eastAsia" w:ascii="仿宋_GB2312" w:hAnsi="Arial Narrow" w:cs="Arial Narrow"/>
          <w:bCs/>
          <w:color w:val="000000" w:themeColor="text1"/>
          <w:sz w:val="24"/>
          <w14:textFill>
            <w14:solidFill>
              <w14:schemeClr w14:val="tx1"/>
            </w14:solidFill>
          </w14:textFill>
        </w:rPr>
        <w:t>存在的问题及原因分析</w:t>
      </w:r>
      <w:bookmarkEnd w:id="98"/>
      <w:bookmarkEnd w:id="99"/>
    </w:p>
    <w:p>
      <w:pPr>
        <w:snapToGrid w:val="0"/>
        <w:spacing w:line="360" w:lineRule="auto"/>
        <w:ind w:firstLine="480" w:firstLineChars="200"/>
        <w:rPr>
          <w:rFonts w:ascii="仿宋_GB2312" w:hAnsi="Arial Narrow" w:cs="Arial Narrow"/>
          <w:bCs/>
          <w:color w:val="000000" w:themeColor="text1"/>
          <w:sz w:val="24"/>
          <w14:textFill>
            <w14:solidFill>
              <w14:schemeClr w14:val="tx1"/>
            </w14:solidFill>
          </w14:textFill>
        </w:rPr>
      </w:pPr>
      <w:bookmarkStart w:id="100" w:name="_Toc10496"/>
      <w:bookmarkStart w:id="101" w:name="_Toc26215"/>
      <w:r>
        <w:rPr>
          <w:rFonts w:ascii="Arial Narrow" w:hAnsi="Arial Narrow" w:cs="宋体"/>
          <w:bCs/>
          <w:color w:val="000000" w:themeColor="text1"/>
          <w:sz w:val="24"/>
          <w14:textFill>
            <w14:solidFill>
              <w14:schemeClr w14:val="tx1"/>
            </w14:solidFill>
          </w14:textFill>
        </w:rPr>
        <w:t>（1）</w:t>
      </w:r>
      <w:r>
        <w:rPr>
          <w:rFonts w:ascii="Arial Narrow" w:hAnsi="Arial Narrow" w:cs="Arial Narrow"/>
          <w:bCs/>
          <w:color w:val="000000" w:themeColor="text1"/>
          <w:sz w:val="24"/>
          <w14:textFill>
            <w14:solidFill>
              <w14:schemeClr w14:val="tx1"/>
            </w14:solidFill>
          </w14:textFill>
        </w:rPr>
        <w:t>隐患排查整治不够彻底。项目实施单位</w:t>
      </w:r>
      <w:r>
        <w:rPr>
          <w:rFonts w:ascii="Arial Narrow" w:hAnsi="Arial Narrow" w:cs="宋体"/>
          <w:bCs/>
          <w:color w:val="000000" w:themeColor="text1"/>
          <w:sz w:val="24"/>
          <w14:textFill>
            <w14:solidFill>
              <w14:schemeClr w14:val="tx1"/>
            </w14:solidFill>
          </w14:textFill>
        </w:rPr>
        <w:t>按建管、运管、港航、房屋、公路、</w:t>
      </w:r>
      <w:r>
        <w:rPr>
          <w:rFonts w:hint="eastAsia" w:ascii="仿宋_GB2312" w:hAnsi="Arial Narrow" w:cs="宋体"/>
          <w:bCs/>
          <w:color w:val="000000" w:themeColor="text1"/>
          <w:sz w:val="24"/>
          <w14:textFill>
            <w14:solidFill>
              <w14:schemeClr w14:val="tx1"/>
            </w14:solidFill>
          </w14:textFill>
        </w:rPr>
        <w:t>民防、物流、重点办和基础设施指挥部各行业部门共分</w:t>
      </w:r>
      <w:r>
        <w:rPr>
          <w:rFonts w:ascii="Arial Narrow" w:hAnsi="Arial Narrow" w:cs="宋体"/>
          <w:bCs/>
          <w:color w:val="000000" w:themeColor="text1"/>
          <w:sz w:val="24"/>
          <w14:textFill>
            <w14:solidFill>
              <w14:schemeClr w14:val="tx1"/>
            </w14:solidFill>
          </w14:textFill>
        </w:rPr>
        <w:t>7个检查</w:t>
      </w:r>
      <w:r>
        <w:rPr>
          <w:rFonts w:hint="eastAsia" w:ascii="仿宋_GB2312" w:hAnsi="Arial Narrow" w:cs="宋体"/>
          <w:bCs/>
          <w:color w:val="000000" w:themeColor="text1"/>
          <w:sz w:val="24"/>
          <w14:textFill>
            <w14:solidFill>
              <w14:schemeClr w14:val="tx1"/>
            </w14:solidFill>
          </w14:textFill>
        </w:rPr>
        <w:t>组，</w:t>
      </w:r>
      <w:r>
        <w:rPr>
          <w:rFonts w:hint="eastAsia" w:ascii="仿宋_GB2312" w:hAnsi="Arial Narrow" w:cs="Arial Narrow"/>
          <w:bCs/>
          <w:color w:val="000000" w:themeColor="text1"/>
          <w:sz w:val="24"/>
          <w14:textFill>
            <w14:solidFill>
              <w14:schemeClr w14:val="tx1"/>
            </w14:solidFill>
          </w14:textFill>
        </w:rPr>
        <w:t>围绕重点行业、重点企业、重点部位、重点时段，加强安全生产监管，强化源头治理，彻查安全隐患，大部分隐患能够及时整治，但是</w:t>
      </w:r>
      <w:r>
        <w:rPr>
          <w:rFonts w:hint="eastAsia" w:ascii="仿宋_GB2312" w:hAnsi="Arial Narrow" w:cs="宋体"/>
          <w:bCs/>
          <w:color w:val="000000" w:themeColor="text1"/>
          <w:sz w:val="24"/>
          <w14:textFill>
            <w14:solidFill>
              <w14:schemeClr w14:val="tx1"/>
            </w14:solidFill>
          </w14:textFill>
        </w:rPr>
        <w:t>由于受专业水平的制约，导致一些问题和隐患不能得到及时发现和治理，执法能力亟待加强</w:t>
      </w:r>
      <w:r>
        <w:rPr>
          <w:rFonts w:hint="eastAsia" w:ascii="仿宋_GB2312" w:hAnsi="Arial Narrow" w:cs="Arial Narrow"/>
          <w:bCs/>
          <w:color w:val="000000" w:themeColor="text1"/>
          <w:sz w:val="24"/>
          <w14:textFill>
            <w14:solidFill>
              <w14:schemeClr w14:val="tx1"/>
            </w14:solidFill>
          </w14:textFill>
        </w:rPr>
        <w:t>。</w:t>
      </w:r>
    </w:p>
    <w:p>
      <w:pPr>
        <w:snapToGrid w:val="0"/>
        <w:spacing w:line="360" w:lineRule="auto"/>
        <w:ind w:firstLine="480" w:firstLineChars="200"/>
        <w:rPr>
          <w:rFonts w:ascii="Arial Narrow" w:hAnsi="Arial Narrow" w:cs="Arial Narrow"/>
          <w:bCs/>
          <w:color w:val="000000" w:themeColor="text1"/>
          <w:sz w:val="24"/>
          <w14:textFill>
            <w14:solidFill>
              <w14:schemeClr w14:val="tx1"/>
            </w14:solidFill>
          </w14:textFill>
        </w:rPr>
      </w:pPr>
      <w:r>
        <w:rPr>
          <w:rFonts w:hint="eastAsia" w:ascii="仿宋_GB2312" w:hAnsi="宋体" w:cs="宋体"/>
          <w:bCs/>
          <w:color w:val="000000" w:themeColor="text1"/>
          <w:sz w:val="24"/>
          <w14:textFill>
            <w14:solidFill>
              <w14:schemeClr w14:val="tx1"/>
            </w14:solidFill>
          </w14:textFill>
        </w:rPr>
        <w:t>（</w:t>
      </w:r>
      <w:r>
        <w:rPr>
          <w:rFonts w:ascii="Arial Narrow" w:hAnsi="Arial Narrow" w:cs="宋体"/>
          <w:bCs/>
          <w:color w:val="000000" w:themeColor="text1"/>
          <w:sz w:val="24"/>
          <w14:textFill>
            <w14:solidFill>
              <w14:schemeClr w14:val="tx1"/>
            </w14:solidFill>
          </w14:textFill>
        </w:rPr>
        <w:t>2）</w:t>
      </w:r>
      <w:r>
        <w:rPr>
          <w:rFonts w:ascii="Arial Narrow" w:hAnsi="Arial Narrow" w:cs="Arial Narrow"/>
          <w:bCs/>
          <w:color w:val="000000" w:themeColor="text1"/>
          <w:sz w:val="24"/>
          <w14:textFill>
            <w14:solidFill>
              <w14:schemeClr w14:val="tx1"/>
            </w14:solidFill>
          </w14:textFill>
        </w:rPr>
        <w:t>安全生产培训</w:t>
      </w:r>
      <w:r>
        <w:rPr>
          <w:rFonts w:ascii="Arial Narrow" w:hAnsi="Arial Narrow" w:cs="宋体"/>
          <w:bCs/>
          <w:color w:val="000000" w:themeColor="text1"/>
          <w:sz w:val="24"/>
          <w14:textFill>
            <w14:solidFill>
              <w14:schemeClr w14:val="tx1"/>
            </w14:solidFill>
          </w14:textFill>
        </w:rPr>
        <w:t>效果不佳</w:t>
      </w:r>
      <w:r>
        <w:rPr>
          <w:rFonts w:ascii="Arial Narrow" w:hAnsi="Arial Narrow" w:cs="Arial Narrow"/>
          <w:bCs/>
          <w:color w:val="000000" w:themeColor="text1"/>
          <w:sz w:val="24"/>
          <w14:textFill>
            <w14:solidFill>
              <w14:schemeClr w14:val="tx1"/>
            </w14:solidFill>
          </w14:textFill>
        </w:rPr>
        <w:t>。项目实施单位于2018年6月</w:t>
      </w:r>
      <w:r>
        <w:rPr>
          <w:rFonts w:ascii="Arial Narrow" w:hAnsi="Arial Narrow" w:cs="宋体"/>
          <w:bCs/>
          <w:color w:val="000000" w:themeColor="text1"/>
          <w:sz w:val="24"/>
          <w14:textFill>
            <w14:solidFill>
              <w14:schemeClr w14:val="tx1"/>
            </w14:solidFill>
          </w14:textFill>
        </w:rPr>
        <w:t>及8月</w:t>
      </w:r>
      <w:r>
        <w:rPr>
          <w:rFonts w:ascii="Arial Narrow" w:hAnsi="Arial Narrow" w:cs="Arial Narrow"/>
          <w:bCs/>
          <w:color w:val="000000" w:themeColor="text1"/>
          <w:sz w:val="24"/>
          <w14:textFill>
            <w14:solidFill>
              <w14:schemeClr w14:val="tx1"/>
            </w14:solidFill>
          </w14:textFill>
        </w:rPr>
        <w:t>组织建管、运管、港航、公路、物流部门及各下属企业，进行安全生产培训</w:t>
      </w:r>
      <w:r>
        <w:rPr>
          <w:rFonts w:hint="eastAsia" w:ascii="仿宋_GB2312" w:hAnsi="Arial Narrow" w:cs="Arial Narrow"/>
          <w:bCs/>
          <w:color w:val="000000" w:themeColor="text1"/>
          <w:sz w:val="24"/>
          <w14:textFill>
            <w14:solidFill>
              <w14:schemeClr w14:val="tx1"/>
            </w14:solidFill>
          </w14:textFill>
        </w:rPr>
        <w:t>，各行业基本覆盖，</w:t>
      </w:r>
      <w:r>
        <w:rPr>
          <w:rFonts w:hint="eastAsia" w:ascii="仿宋_GB2312" w:hAnsi="Arial Narrow" w:cs="宋体"/>
          <w:bCs/>
          <w:color w:val="000000" w:themeColor="text1"/>
          <w:sz w:val="24"/>
          <w14:textFill>
            <w14:solidFill>
              <w14:schemeClr w14:val="tx1"/>
            </w14:solidFill>
          </w14:textFill>
        </w:rPr>
        <w:t>安全生产覆盖率良好，</w:t>
      </w:r>
      <w:r>
        <w:rPr>
          <w:rFonts w:hint="eastAsia" w:ascii="仿宋_GB2312" w:hAnsi="Arial Narrow" w:cs="Arial Narrow"/>
          <w:bCs/>
          <w:color w:val="000000" w:themeColor="text1"/>
          <w:sz w:val="24"/>
          <w14:textFill>
            <w14:solidFill>
              <w14:schemeClr w14:val="tx1"/>
            </w14:solidFill>
          </w14:textFill>
        </w:rPr>
        <w:t>但是个别企业存在“重效益，轻安全”、麻痹大意的思想，对安全教育培</w:t>
      </w:r>
      <w:r>
        <w:rPr>
          <w:rFonts w:ascii="Arial Narrow" w:hAnsi="Arial Narrow" w:cs="Arial Narrow"/>
          <w:bCs/>
          <w:color w:val="000000" w:themeColor="text1"/>
          <w:sz w:val="24"/>
          <w14:textFill>
            <w14:solidFill>
              <w14:schemeClr w14:val="tx1"/>
            </w14:solidFill>
          </w14:textFill>
        </w:rPr>
        <w:t>训投入不足，</w:t>
      </w:r>
      <w:r>
        <w:rPr>
          <w:rFonts w:ascii="Arial Narrow" w:hAnsi="Arial Narrow" w:cs="宋体"/>
          <w:bCs/>
          <w:color w:val="000000" w:themeColor="text1"/>
          <w:sz w:val="24"/>
          <w14:textFill>
            <w14:solidFill>
              <w14:schemeClr w14:val="tx1"/>
            </w14:solidFill>
          </w14:textFill>
        </w:rPr>
        <w:t>未达到开展培训活动的效果</w:t>
      </w:r>
      <w:r>
        <w:rPr>
          <w:rFonts w:ascii="Arial Narrow" w:hAnsi="Arial Narrow" w:cs="Arial Narrow"/>
          <w:bCs/>
          <w:color w:val="000000" w:themeColor="text1"/>
          <w:sz w:val="24"/>
          <w14:textFill>
            <w14:solidFill>
              <w14:schemeClr w14:val="tx1"/>
            </w14:solidFill>
          </w14:textFill>
        </w:rPr>
        <w:t>。</w:t>
      </w:r>
    </w:p>
    <w:p>
      <w:pPr>
        <w:snapToGrid w:val="0"/>
        <w:spacing w:line="360" w:lineRule="auto"/>
        <w:ind w:firstLine="480" w:firstLineChars="200"/>
        <w:rPr>
          <w:rFonts w:ascii="Arial Narrow" w:hAnsi="Arial Narrow" w:cs="Arial Narrow"/>
          <w:bCs/>
          <w:color w:val="000000" w:themeColor="text1"/>
          <w:sz w:val="24"/>
          <w14:textFill>
            <w14:solidFill>
              <w14:schemeClr w14:val="tx1"/>
            </w14:solidFill>
          </w14:textFill>
        </w:rPr>
      </w:pPr>
      <w:r>
        <w:rPr>
          <w:rFonts w:ascii="Arial Narrow" w:hAnsi="Arial Narrow" w:cs="宋体"/>
          <w:bCs/>
          <w:color w:val="000000" w:themeColor="text1"/>
          <w:sz w:val="24"/>
          <w14:textFill>
            <w14:solidFill>
              <w14:schemeClr w14:val="tx1"/>
            </w14:solidFill>
          </w14:textFill>
        </w:rPr>
        <w:t>（3）</w:t>
      </w:r>
      <w:r>
        <w:rPr>
          <w:rFonts w:ascii="Arial Narrow" w:hAnsi="Arial Narrow" w:cs="Arial Narrow"/>
          <w:bCs/>
          <w:color w:val="000000" w:themeColor="text1"/>
          <w:sz w:val="24"/>
          <w14:textFill>
            <w14:solidFill>
              <w14:schemeClr w14:val="tx1"/>
            </w14:solidFill>
          </w14:textFill>
        </w:rPr>
        <w:t>目标</w:t>
      </w:r>
      <w:r>
        <w:rPr>
          <w:rFonts w:hint="eastAsia" w:ascii="Arial Narrow" w:hAnsi="Arial Narrow" w:cs="Arial Narrow"/>
          <w:bCs/>
          <w:color w:val="000000" w:themeColor="text1"/>
          <w:sz w:val="24"/>
          <w14:textFill>
            <w14:solidFill>
              <w14:schemeClr w14:val="tx1"/>
            </w14:solidFill>
          </w14:textFill>
        </w:rPr>
        <w:t>设置不够明确</w:t>
      </w:r>
      <w:r>
        <w:rPr>
          <w:rFonts w:ascii="Arial Narrow" w:hAnsi="Arial Narrow" w:cs="Arial Narrow"/>
          <w:bCs/>
          <w:color w:val="000000" w:themeColor="text1"/>
          <w:sz w:val="24"/>
          <w14:textFill>
            <w14:solidFill>
              <w14:schemeClr w14:val="tx1"/>
            </w14:solidFill>
          </w14:textFill>
        </w:rPr>
        <w:t>。项目实施单位虽设立了项目绩效总目标，但未设立年度绩效目标</w:t>
      </w:r>
      <w:r>
        <w:rPr>
          <w:rFonts w:ascii="Arial Narrow" w:hAnsi="Arial Narrow" w:cs="宋体"/>
          <w:bCs/>
          <w:color w:val="000000" w:themeColor="text1"/>
          <w:sz w:val="24"/>
          <w14:textFill>
            <w14:solidFill>
              <w14:schemeClr w14:val="tx1"/>
            </w14:solidFill>
          </w14:textFill>
        </w:rPr>
        <w:t>和长期目标</w:t>
      </w:r>
      <w:r>
        <w:rPr>
          <w:rFonts w:ascii="Arial Narrow" w:hAnsi="Arial Narrow" w:cs="Arial Narrow"/>
          <w:bCs/>
          <w:color w:val="000000" w:themeColor="text1"/>
          <w:sz w:val="24"/>
          <w14:textFill>
            <w14:solidFill>
              <w14:schemeClr w14:val="tx1"/>
            </w14:solidFill>
          </w14:textFill>
        </w:rPr>
        <w:t>，且绩效指标不够清晰、全面，</w:t>
      </w:r>
      <w:r>
        <w:rPr>
          <w:rFonts w:ascii="Arial Narrow" w:hAnsi="Arial Narrow" w:cs="宋体"/>
          <w:bCs/>
          <w:color w:val="000000" w:themeColor="text1"/>
          <w:sz w:val="24"/>
          <w14:textFill>
            <w14:solidFill>
              <w14:schemeClr w14:val="tx1"/>
            </w14:solidFill>
          </w14:textFill>
        </w:rPr>
        <w:t>部分</w:t>
      </w:r>
      <w:r>
        <w:rPr>
          <w:rFonts w:ascii="Arial Narrow" w:hAnsi="Arial Narrow" w:cs="Arial Narrow"/>
          <w:bCs/>
          <w:color w:val="000000" w:themeColor="text1"/>
          <w:sz w:val="24"/>
          <w14:textFill>
            <w14:solidFill>
              <w14:schemeClr w14:val="tx1"/>
            </w14:solidFill>
          </w14:textFill>
        </w:rPr>
        <w:t>指标可测性不高。</w:t>
      </w:r>
    </w:p>
    <w:p>
      <w:pPr>
        <w:snapToGrid w:val="0"/>
        <w:spacing w:line="360" w:lineRule="auto"/>
        <w:ind w:firstLine="480" w:firstLineChars="200"/>
        <w:outlineLvl w:val="2"/>
        <w:rPr>
          <w:rFonts w:ascii="Arial Narrow" w:hAnsi="Arial Narrow" w:cs="Arial Narrow"/>
          <w:bCs/>
          <w:color w:val="000000" w:themeColor="text1"/>
          <w:sz w:val="24"/>
          <w14:textFill>
            <w14:solidFill>
              <w14:schemeClr w14:val="tx1"/>
            </w14:solidFill>
          </w14:textFill>
        </w:rPr>
      </w:pPr>
      <w:r>
        <w:rPr>
          <w:rFonts w:ascii="Arial Narrow" w:hAnsi="Arial Narrow" w:cs="Arial Narrow"/>
          <w:bCs/>
          <w:color w:val="000000" w:themeColor="text1"/>
          <w:sz w:val="24"/>
          <w14:textFill>
            <w14:solidFill>
              <w14:schemeClr w14:val="tx1"/>
            </w14:solidFill>
          </w14:textFill>
        </w:rPr>
        <w:t>3</w:t>
      </w:r>
      <w:r>
        <w:rPr>
          <w:rFonts w:ascii="Arial Narrow" w:hAnsi="Arial Narrow" w:cs="宋体"/>
          <w:bCs/>
          <w:color w:val="000000" w:themeColor="text1"/>
          <w:sz w:val="24"/>
          <w14:textFill>
            <w14:solidFill>
              <w14:schemeClr w14:val="tx1"/>
            </w14:solidFill>
          </w14:textFill>
        </w:rPr>
        <w:t>、</w:t>
      </w:r>
      <w:r>
        <w:rPr>
          <w:rFonts w:ascii="Arial Narrow" w:hAnsi="Arial Narrow" w:cs="Arial Narrow"/>
          <w:bCs/>
          <w:color w:val="000000" w:themeColor="text1"/>
          <w:sz w:val="24"/>
          <w14:textFill>
            <w14:solidFill>
              <w14:schemeClr w14:val="tx1"/>
            </w14:solidFill>
          </w14:textFill>
        </w:rPr>
        <w:t>建议</w:t>
      </w:r>
      <w:bookmarkEnd w:id="100"/>
      <w:bookmarkEnd w:id="101"/>
    </w:p>
    <w:p>
      <w:pPr>
        <w:spacing w:line="360" w:lineRule="auto"/>
        <w:ind w:firstLine="480" w:firstLineChars="200"/>
        <w:rPr>
          <w:rFonts w:ascii="仿宋_GB2312" w:hAnsi="Arial Narrow" w:cs="Arial Narrow"/>
          <w:bCs/>
          <w:color w:val="000000" w:themeColor="text1"/>
          <w:sz w:val="24"/>
          <w14:textFill>
            <w14:solidFill>
              <w14:schemeClr w14:val="tx1"/>
            </w14:solidFill>
          </w14:textFill>
        </w:rPr>
      </w:pPr>
      <w:r>
        <w:rPr>
          <w:rFonts w:ascii="Arial Narrow" w:hAnsi="Arial Narrow" w:cs="宋体"/>
          <w:bCs/>
          <w:color w:val="000000" w:themeColor="text1"/>
          <w:sz w:val="24"/>
          <w14:textFill>
            <w14:solidFill>
              <w14:schemeClr w14:val="tx1"/>
            </w14:solidFill>
          </w14:textFill>
        </w:rPr>
        <w:t>（1）</w:t>
      </w:r>
      <w:r>
        <w:rPr>
          <w:rFonts w:ascii="Arial Narrow" w:hAnsi="Arial Narrow" w:cs="Arial Narrow"/>
          <w:bCs/>
          <w:color w:val="000000" w:themeColor="text1"/>
          <w:sz w:val="24"/>
          <w14:textFill>
            <w14:solidFill>
              <w14:schemeClr w14:val="tx1"/>
            </w14:solidFill>
          </w14:textFill>
        </w:rPr>
        <w:t>深入推进隐患排查整治。建议年度安排1-2次专项排查，深入开展隐患排查治理建立，健</w:t>
      </w:r>
      <w:r>
        <w:rPr>
          <w:rFonts w:hint="eastAsia" w:ascii="仿宋_GB2312" w:hAnsi="Arial Narrow" w:cs="Arial Narrow"/>
          <w:bCs/>
          <w:color w:val="000000" w:themeColor="text1"/>
          <w:sz w:val="24"/>
          <w14:textFill>
            <w14:solidFill>
              <w14:schemeClr w14:val="tx1"/>
            </w14:solidFill>
          </w14:textFill>
        </w:rPr>
        <w:t>全隐患排查治理长效机制，与街道社区建立联动机制完善日常安全隐患排查体系</w:t>
      </w:r>
      <w:r>
        <w:rPr>
          <w:rFonts w:hint="eastAsia" w:ascii="仿宋_GB2312" w:hAnsi="Arial Narrow" w:cs="宋体"/>
          <w:bCs/>
          <w:color w:val="000000" w:themeColor="text1"/>
          <w:sz w:val="24"/>
          <w14:textFill>
            <w14:solidFill>
              <w14:schemeClr w14:val="tx1"/>
            </w14:solidFill>
          </w14:textFill>
        </w:rPr>
        <w:t>；定期组织执法人员学习、培训，使执法人员详细了解执法行业、企业等可能存在的隐患点及相应解决方法。</w:t>
      </w:r>
    </w:p>
    <w:p>
      <w:pPr>
        <w:adjustRightInd w:val="0"/>
        <w:snapToGrid w:val="0"/>
        <w:spacing w:line="360" w:lineRule="auto"/>
        <w:ind w:firstLine="480" w:firstLineChars="200"/>
        <w:rPr>
          <w:rFonts w:ascii="仿宋_GB2312" w:hAnsi="Arial Narrow" w:cs="Arial Narrow"/>
          <w:bCs/>
          <w:color w:val="000000" w:themeColor="text1"/>
          <w:sz w:val="24"/>
          <w14:textFill>
            <w14:solidFill>
              <w14:schemeClr w14:val="tx1"/>
            </w14:solidFill>
          </w14:textFill>
        </w:rPr>
      </w:pPr>
      <w:r>
        <w:rPr>
          <w:rFonts w:ascii="Arial Narrow" w:hAnsi="Arial Narrow" w:cs="宋体"/>
          <w:bCs/>
          <w:color w:val="000000" w:themeColor="text1"/>
          <w:sz w:val="24"/>
          <w14:textFill>
            <w14:solidFill>
              <w14:schemeClr w14:val="tx1"/>
            </w14:solidFill>
          </w14:textFill>
        </w:rPr>
        <w:t>（2）强</w:t>
      </w:r>
      <w:r>
        <w:rPr>
          <w:rFonts w:hint="eastAsia" w:ascii="仿宋_GB2312" w:hAnsi="Arial Narrow" w:cs="宋体"/>
          <w:bCs/>
          <w:color w:val="000000" w:themeColor="text1"/>
          <w:sz w:val="24"/>
          <w14:textFill>
            <w14:solidFill>
              <w14:schemeClr w14:val="tx1"/>
            </w14:solidFill>
          </w14:textFill>
        </w:rPr>
        <w:t>化</w:t>
      </w:r>
      <w:r>
        <w:rPr>
          <w:rFonts w:hint="eastAsia" w:ascii="仿宋_GB2312" w:hAnsi="Arial Narrow" w:cs="Arial Narrow"/>
          <w:bCs/>
          <w:color w:val="000000" w:themeColor="text1"/>
          <w:sz w:val="24"/>
          <w14:textFill>
            <w14:solidFill>
              <w14:schemeClr w14:val="tx1"/>
            </w14:solidFill>
          </w14:textFill>
        </w:rPr>
        <w:t>安全生产培训</w:t>
      </w:r>
      <w:r>
        <w:rPr>
          <w:rFonts w:hint="eastAsia" w:ascii="仿宋_GB2312" w:hAnsi="Arial Narrow" w:cs="宋体"/>
          <w:bCs/>
          <w:color w:val="000000" w:themeColor="text1"/>
          <w:sz w:val="24"/>
          <w14:textFill>
            <w14:solidFill>
              <w14:schemeClr w14:val="tx1"/>
            </w14:solidFill>
          </w14:textFill>
        </w:rPr>
        <w:t>效果</w:t>
      </w:r>
      <w:r>
        <w:rPr>
          <w:rFonts w:hint="eastAsia" w:ascii="仿宋_GB2312" w:hAnsi="Arial Narrow" w:cs="Arial Narrow"/>
          <w:bCs/>
          <w:color w:val="000000" w:themeColor="text1"/>
          <w:sz w:val="24"/>
          <w14:textFill>
            <w14:solidFill>
              <w14:schemeClr w14:val="tx1"/>
            </w14:solidFill>
          </w14:textFill>
        </w:rPr>
        <w:t>。在辖区各行业企业中积极营造氛围，持续开展安全生产知识宣传，安全事故警示教育活动，通过报刊、网络等进行安全教育讨论活动普及相关安全法制理念，</w:t>
      </w:r>
      <w:r>
        <w:rPr>
          <w:rFonts w:hint="eastAsia" w:ascii="仿宋_GB2312" w:hAnsi="宋体" w:cs="宋体"/>
          <w:bCs/>
          <w:color w:val="000000" w:themeColor="text1"/>
          <w:sz w:val="24"/>
          <w14:textFill>
            <w14:solidFill>
              <w14:schemeClr w14:val="tx1"/>
            </w14:solidFill>
          </w14:textFill>
        </w:rPr>
        <w:t>也可以通过考核机制，</w:t>
      </w:r>
      <w:r>
        <w:rPr>
          <w:rFonts w:hint="eastAsia" w:ascii="仿宋_GB2312" w:hAnsi="Arial Narrow" w:cs="Arial Narrow"/>
          <w:bCs/>
          <w:color w:val="000000" w:themeColor="text1"/>
          <w:sz w:val="24"/>
          <w14:textFill>
            <w14:solidFill>
              <w14:schemeClr w14:val="tx1"/>
            </w14:solidFill>
          </w14:textFill>
        </w:rPr>
        <w:t>使企业员工克服麻痹思想和松懈情绪，增强紧迫感和责任感。</w:t>
      </w:r>
    </w:p>
    <w:p>
      <w:pPr>
        <w:spacing w:line="360" w:lineRule="auto"/>
        <w:ind w:firstLine="480" w:firstLineChars="200"/>
        <w:rPr>
          <w:rFonts w:ascii="仿宋_GB2312" w:hAnsi="Arial Narrow" w:cs="Arial Narrow"/>
          <w:bCs/>
          <w:color w:val="000000" w:themeColor="text1"/>
          <w:sz w:val="24"/>
          <w14:textFill>
            <w14:solidFill>
              <w14:schemeClr w14:val="tx1"/>
            </w14:solidFill>
          </w14:textFill>
        </w:rPr>
      </w:pPr>
      <w:r>
        <w:rPr>
          <w:rFonts w:ascii="Arial Narrow" w:hAnsi="Arial Narrow" w:cs="宋体"/>
          <w:bCs/>
          <w:color w:val="000000" w:themeColor="text1"/>
          <w:sz w:val="24"/>
          <w14:textFill>
            <w14:solidFill>
              <w14:schemeClr w14:val="tx1"/>
            </w14:solidFill>
          </w14:textFill>
        </w:rPr>
        <w:t>（3）</w:t>
      </w:r>
      <w:r>
        <w:rPr>
          <w:rFonts w:ascii="Arial Narrow" w:hAnsi="Arial Narrow" w:cs="Arial Narrow"/>
          <w:bCs/>
          <w:color w:val="000000" w:themeColor="text1"/>
          <w:sz w:val="24"/>
          <w14:textFill>
            <w14:solidFill>
              <w14:schemeClr w14:val="tx1"/>
            </w14:solidFill>
          </w14:textFill>
        </w:rPr>
        <w:t>健</w:t>
      </w:r>
      <w:r>
        <w:rPr>
          <w:rFonts w:hint="eastAsia" w:ascii="仿宋_GB2312" w:hAnsi="Arial Narrow" w:cs="Arial Narrow"/>
          <w:bCs/>
          <w:color w:val="000000" w:themeColor="text1"/>
          <w:sz w:val="24"/>
          <w14:textFill>
            <w14:solidFill>
              <w14:schemeClr w14:val="tx1"/>
            </w14:solidFill>
          </w14:textFill>
        </w:rPr>
        <w:t>全绩效指标体系，设置明确绩效目标。根据绩效目标设置个性化的绩效指标。如设置安全检查活动举办完成率、交通运输应急预案编制完成率、“两客一危”应急预案演习完成率等指标来反映项目的产出情况，设置安全生产培训覆盖率、安全生产宣传多样化等反应项目社会效益的具体指标，同时根据历史完成数据或预算支出明细制定符合客观、实际的指标值，以规范绩效考核工作。</w:t>
      </w:r>
    </w:p>
    <w:p>
      <w:pPr>
        <w:snapToGrid w:val="0"/>
        <w:spacing w:line="360" w:lineRule="auto"/>
        <w:ind w:firstLine="482" w:firstLineChars="200"/>
        <w:jc w:val="left"/>
        <w:outlineLvl w:val="1"/>
        <w:rPr>
          <w:rFonts w:ascii="仿宋_GB2312" w:hAnsi="Arial Narrow" w:cs="Arial Narrow"/>
          <w:b/>
          <w:color w:val="000000" w:themeColor="text1"/>
          <w:sz w:val="24"/>
          <w14:textFill>
            <w14:solidFill>
              <w14:schemeClr w14:val="tx1"/>
            </w14:solidFill>
          </w14:textFill>
        </w:rPr>
      </w:pPr>
      <w:bookmarkStart w:id="102" w:name="_Toc13887"/>
      <w:bookmarkStart w:id="103" w:name="_Toc5090"/>
      <w:r>
        <w:rPr>
          <w:rFonts w:hint="eastAsia" w:ascii="仿宋_GB2312" w:hAnsi="Arial Narrow" w:cs="Arial Narrow"/>
          <w:b/>
          <w:color w:val="000000" w:themeColor="text1"/>
          <w:sz w:val="24"/>
          <w14:textFill>
            <w14:solidFill>
              <w14:schemeClr w14:val="tx1"/>
            </w14:solidFill>
          </w14:textFill>
        </w:rPr>
        <w:t>（五）其他需说明的问题</w:t>
      </w:r>
      <w:bookmarkEnd w:id="102"/>
      <w:bookmarkEnd w:id="103"/>
    </w:p>
    <w:p>
      <w:pPr>
        <w:spacing w:line="360" w:lineRule="auto"/>
        <w:ind w:firstLine="482"/>
        <w:outlineLvl w:val="2"/>
        <w:rPr>
          <w:rFonts w:ascii="Arial Narrow" w:hAnsi="Arial Narrow" w:cs="Arial Narrow"/>
          <w:sz w:val="24"/>
          <w:szCs w:val="21"/>
        </w:rPr>
      </w:pPr>
      <w:bookmarkStart w:id="104" w:name="_Toc4602"/>
      <w:bookmarkStart w:id="105" w:name="_Toc513828359"/>
      <w:bookmarkStart w:id="106" w:name="_Toc6580"/>
      <w:bookmarkStart w:id="107" w:name="_Toc11142"/>
      <w:r>
        <w:rPr>
          <w:rFonts w:ascii="Arial Narrow" w:hAnsi="Arial Narrow" w:cs="Arial Narrow"/>
          <w:sz w:val="24"/>
          <w:szCs w:val="21"/>
        </w:rPr>
        <w:t>1、关于评价责任的说明</w:t>
      </w:r>
      <w:bookmarkEnd w:id="104"/>
      <w:bookmarkEnd w:id="105"/>
      <w:bookmarkEnd w:id="106"/>
      <w:bookmarkEnd w:id="107"/>
    </w:p>
    <w:p>
      <w:pPr>
        <w:spacing w:line="360" w:lineRule="auto"/>
        <w:ind w:firstLine="482"/>
        <w:rPr>
          <w:rFonts w:ascii="仿宋_GB2312" w:hAnsi="Arial Narrow" w:cs="Arial Narrow"/>
          <w:sz w:val="24"/>
          <w:szCs w:val="21"/>
        </w:rPr>
      </w:pPr>
      <w:r>
        <w:rPr>
          <w:rFonts w:ascii="Arial Narrow" w:hAnsi="Arial Narrow" w:cs="Arial Narrow"/>
          <w:sz w:val="24"/>
          <w:szCs w:val="21"/>
        </w:rPr>
        <w:t>本评</w:t>
      </w:r>
      <w:r>
        <w:rPr>
          <w:rFonts w:hint="eastAsia" w:ascii="仿宋_GB2312" w:hAnsi="Arial Narrow" w:cs="Arial Narrow"/>
          <w:sz w:val="24"/>
          <w:szCs w:val="21"/>
        </w:rPr>
        <w:t>价结果依据评价客体提供的各项基础资料，运用规定的评价方法，评价工作组保证本次评价工作全过程的公正和公平，各项评价基础资料的真实性与完整性由评价客体负责，未经评价组织机构同意，任何单位和个人不得将本评价结果对外公布。</w:t>
      </w:r>
    </w:p>
    <w:p>
      <w:pPr>
        <w:spacing w:line="360" w:lineRule="auto"/>
        <w:ind w:firstLine="482"/>
        <w:outlineLvl w:val="2"/>
        <w:rPr>
          <w:rFonts w:ascii="Arial Narrow" w:hAnsi="Arial Narrow" w:cs="Arial Narrow"/>
          <w:sz w:val="24"/>
          <w:szCs w:val="21"/>
        </w:rPr>
      </w:pPr>
      <w:bookmarkStart w:id="108" w:name="_Toc17876"/>
      <w:bookmarkStart w:id="109" w:name="_Toc30933"/>
      <w:bookmarkStart w:id="110" w:name="_Toc19152"/>
      <w:bookmarkStart w:id="111" w:name="_Toc513828360"/>
      <w:r>
        <w:rPr>
          <w:rFonts w:ascii="Arial Narrow" w:hAnsi="Arial Narrow" w:cs="Arial Narrow"/>
          <w:sz w:val="24"/>
          <w:szCs w:val="21"/>
        </w:rPr>
        <w:t>2、关于本项目评价中局限性的说明</w:t>
      </w:r>
      <w:bookmarkEnd w:id="108"/>
      <w:bookmarkEnd w:id="109"/>
      <w:bookmarkEnd w:id="110"/>
      <w:bookmarkEnd w:id="111"/>
    </w:p>
    <w:p>
      <w:pPr>
        <w:snapToGrid w:val="0"/>
        <w:spacing w:line="360" w:lineRule="auto"/>
        <w:ind w:firstLine="480" w:firstLineChars="200"/>
        <w:rPr>
          <w:rFonts w:ascii="仿宋_GB2312" w:hAnsi="Arial Narrow" w:cs="Arial Narrow"/>
          <w:bCs/>
          <w:color w:val="000000" w:themeColor="text1"/>
          <w:sz w:val="24"/>
          <w14:textFill>
            <w14:solidFill>
              <w14:schemeClr w14:val="tx1"/>
            </w14:solidFill>
          </w14:textFill>
        </w:rPr>
      </w:pPr>
      <w:r>
        <w:rPr>
          <w:rFonts w:ascii="Arial Narrow" w:hAnsi="Arial Narrow" w:cs="Arial Narrow"/>
          <w:bCs/>
          <w:color w:val="000000" w:themeColor="text1"/>
          <w:sz w:val="24"/>
          <w14:textFill>
            <w14:solidFill>
              <w14:schemeClr w14:val="tx1"/>
            </w14:solidFill>
          </w14:textFill>
        </w:rPr>
        <w:t>（1）评价结论</w:t>
      </w:r>
      <w:r>
        <w:rPr>
          <w:rFonts w:hint="eastAsia" w:ascii="仿宋_GB2312" w:hAnsi="Arial Narrow" w:cs="Arial Narrow"/>
          <w:bCs/>
          <w:color w:val="000000" w:themeColor="text1"/>
          <w:sz w:val="24"/>
          <w14:textFill>
            <w14:solidFill>
              <w14:schemeClr w14:val="tx1"/>
            </w14:solidFill>
          </w14:textFill>
        </w:rPr>
        <w:t>是致同会计师事务所（特殊普通合伙）武汉分所出具的，受具体参加本次项目的评价人员的水平和能力的限制。鉴于这种评价工作存在资料的有限性和调查、分析、判断的局限性，因此，评价结论无法考虑影响资金使用的所有因素，评价结论存在一定的局限性。</w:t>
      </w:r>
    </w:p>
    <w:p>
      <w:pPr>
        <w:snapToGrid w:val="0"/>
        <w:spacing w:line="360" w:lineRule="auto"/>
        <w:ind w:firstLine="480" w:firstLineChars="200"/>
        <w:rPr>
          <w:rFonts w:ascii="仿宋_GB2312" w:hAnsi="Arial Narrow" w:cs="Arial Narrow"/>
          <w:bCs/>
          <w:color w:val="000000" w:themeColor="text1"/>
          <w:sz w:val="24"/>
          <w14:textFill>
            <w14:solidFill>
              <w14:schemeClr w14:val="tx1"/>
            </w14:solidFill>
          </w14:textFill>
        </w:rPr>
      </w:pPr>
      <w:r>
        <w:rPr>
          <w:rFonts w:ascii="Arial Narrow" w:hAnsi="Arial Narrow" w:cs="Arial Narrow"/>
          <w:bCs/>
          <w:color w:val="000000" w:themeColor="text1"/>
          <w:sz w:val="24"/>
          <w14:textFill>
            <w14:solidFill>
              <w14:schemeClr w14:val="tx1"/>
            </w14:solidFill>
          </w14:textFill>
        </w:rPr>
        <w:t>（2）本项目</w:t>
      </w:r>
      <w:r>
        <w:rPr>
          <w:rFonts w:hint="eastAsia" w:ascii="仿宋_GB2312" w:hAnsi="Arial Narrow" w:cs="Arial Narrow"/>
          <w:bCs/>
          <w:color w:val="000000" w:themeColor="text1"/>
          <w:sz w:val="24"/>
          <w14:textFill>
            <w14:solidFill>
              <w14:schemeClr w14:val="tx1"/>
            </w14:solidFill>
          </w14:textFill>
        </w:rPr>
        <w:t>是专项资金使用项目，受具体参加本次项目的评价人员的专业能力的影响，对专业指标设定和问题、建议提出的全面性可能存在一定的局限性。</w:t>
      </w:r>
    </w:p>
    <w:p>
      <w:pPr>
        <w:snapToGrid w:val="0"/>
        <w:spacing w:line="360" w:lineRule="auto"/>
        <w:ind w:firstLine="480" w:firstLineChars="200"/>
        <w:rPr>
          <w:rFonts w:ascii="仿宋_GB2312" w:hAnsi="Arial Narrow" w:cs="Arial Narrow"/>
          <w:bCs/>
          <w:sz w:val="24"/>
        </w:rPr>
      </w:pPr>
      <w:r>
        <w:rPr>
          <w:rFonts w:ascii="Arial Narrow" w:hAnsi="Arial Narrow" w:cs="Arial Narrow"/>
          <w:bCs/>
          <w:sz w:val="24"/>
        </w:rPr>
        <w:t>（3）对于绩效</w:t>
      </w:r>
      <w:r>
        <w:rPr>
          <w:rFonts w:hint="eastAsia" w:ascii="仿宋_GB2312" w:hAnsi="Arial Narrow" w:cs="Arial Narrow"/>
          <w:bCs/>
          <w:sz w:val="24"/>
        </w:rPr>
        <w:t>评价框架中的部分定性指标，无法根据量化的数据评价并得出分数，评议结果主要依据评价人员的职业判断。</w:t>
      </w:r>
    </w:p>
    <w:p>
      <w:pPr>
        <w:snapToGrid w:val="0"/>
        <w:spacing w:line="360" w:lineRule="auto"/>
        <w:ind w:firstLine="480" w:firstLineChars="200"/>
        <w:rPr>
          <w:rFonts w:ascii="仿宋_GB2312" w:hAnsi="Arial Narrow" w:cs="Arial Narrow"/>
          <w:bCs/>
          <w:sz w:val="24"/>
        </w:rPr>
      </w:pPr>
      <w:r>
        <w:rPr>
          <w:rFonts w:ascii="Arial Narrow" w:hAnsi="Arial Narrow" w:cs="Arial Narrow"/>
          <w:bCs/>
          <w:sz w:val="24"/>
        </w:rPr>
        <w:t>（4）</w:t>
      </w:r>
      <w:r>
        <w:rPr>
          <w:rFonts w:hint="eastAsia" w:ascii="仿宋_GB2312" w:hAnsi="Arial Narrow" w:cs="Arial Narrow"/>
          <w:bCs/>
          <w:sz w:val="24"/>
        </w:rPr>
        <w:t>社会公众满意度我们主要采取对社会公众进行问卷的方式进行的，</w:t>
      </w:r>
      <w:r>
        <w:rPr>
          <w:rFonts w:ascii="Arial Narrow" w:hAnsi="Arial Narrow" w:cs="Arial Narrow"/>
          <w:bCs/>
          <w:sz w:val="24"/>
        </w:rPr>
        <w:t>因本次绩效评价调查问卷对象范围太广，但是评价小组时间及人力、精力有限只收集到30份有效问卷，收集的信息存在一定的局限性和片面性，对评价结果产生一定的影响。</w:t>
      </w:r>
    </w:p>
    <w:p>
      <w:pPr>
        <w:snapToGrid w:val="0"/>
        <w:spacing w:line="360" w:lineRule="auto"/>
        <w:ind w:firstLine="480" w:firstLineChars="200"/>
        <w:rPr>
          <w:rFonts w:ascii="仿宋_GB2312" w:hAnsi="Arial Narrow" w:cs="Arial Narrow"/>
          <w:bCs/>
          <w:sz w:val="24"/>
        </w:rPr>
      </w:pPr>
    </w:p>
    <w:p>
      <w:pPr>
        <w:snapToGrid w:val="0"/>
        <w:spacing w:line="360" w:lineRule="auto"/>
        <w:rPr>
          <w:rFonts w:ascii="仿宋_GB2312" w:hAnsi="Arial Narrow" w:cs="Arial Narrow"/>
          <w:bCs/>
          <w:sz w:val="24"/>
        </w:rPr>
      </w:pPr>
    </w:p>
    <w:p>
      <w:pPr>
        <w:snapToGrid w:val="0"/>
        <w:spacing w:line="360" w:lineRule="auto"/>
        <w:rPr>
          <w:rFonts w:ascii="仿宋_GB2312" w:hAnsi="Arial Narrow" w:cs="Arial Narrow"/>
          <w:b/>
          <w:color w:val="000000" w:themeColor="text1"/>
          <w:sz w:val="24"/>
          <w14:textFill>
            <w14:solidFill>
              <w14:schemeClr w14:val="tx1"/>
            </w14:solidFill>
          </w14:textFill>
        </w:rPr>
      </w:pPr>
      <w:bookmarkStart w:id="112" w:name="_Toc2254"/>
    </w:p>
    <w:p>
      <w:pPr>
        <w:snapToGrid w:val="0"/>
        <w:spacing w:line="360" w:lineRule="auto"/>
        <w:outlineLvl w:val="1"/>
        <w:rPr>
          <w:rFonts w:ascii="仿宋_GB2312" w:hAnsi="Arial Narrow" w:cs="Arial Narrow"/>
          <w:b/>
          <w:color w:val="000000" w:themeColor="text1"/>
          <w:sz w:val="24"/>
          <w14:textFill>
            <w14:solidFill>
              <w14:schemeClr w14:val="tx1"/>
            </w14:solidFill>
          </w14:textFill>
        </w:rPr>
      </w:pPr>
      <w:r>
        <w:rPr>
          <w:rFonts w:hint="eastAsia" w:ascii="仿宋_GB2312" w:hAnsi="Arial Narrow" w:cs="Arial Narrow"/>
          <w:b/>
          <w:color w:val="000000" w:themeColor="text1"/>
          <w:sz w:val="24"/>
          <w14:textFill>
            <w14:solidFill>
              <w14:schemeClr w14:val="tx1"/>
            </w14:solidFill>
          </w14:textFill>
        </w:rPr>
        <w:t>附件：</w:t>
      </w:r>
      <w:bookmarkEnd w:id="112"/>
    </w:p>
    <w:p>
      <w:pPr>
        <w:adjustRightInd w:val="0"/>
        <w:snapToGrid w:val="0"/>
        <w:spacing w:line="360" w:lineRule="auto"/>
        <w:rPr>
          <w:rFonts w:ascii="Arial Narrow" w:hAnsi="Arial Narrow" w:cs="Arial Narrow"/>
          <w:bCs/>
          <w:color w:val="000000" w:themeColor="text1"/>
          <w:sz w:val="24"/>
          <w14:textFill>
            <w14:solidFill>
              <w14:schemeClr w14:val="tx1"/>
            </w14:solidFill>
          </w14:textFill>
        </w:rPr>
      </w:pPr>
      <w:bookmarkStart w:id="113" w:name="_Toc19157_WPSOffice_Level1"/>
      <w:r>
        <w:rPr>
          <w:rFonts w:ascii="Arial Narrow" w:hAnsi="Arial Narrow" w:cs="Arial Narrow"/>
          <w:bCs/>
          <w:color w:val="000000" w:themeColor="text1"/>
          <w:sz w:val="24"/>
          <w14:textFill>
            <w14:solidFill>
              <w14:schemeClr w14:val="tx1"/>
            </w14:solidFill>
          </w14:textFill>
        </w:rPr>
        <w:t>附件1：</w:t>
      </w:r>
      <w:r>
        <w:rPr>
          <w:rFonts w:hint="eastAsia" w:ascii="Arial Narrow" w:hAnsi="Arial Narrow" w:cs="Arial Narrow"/>
          <w:bCs/>
          <w:color w:val="000000" w:themeColor="text1"/>
          <w:sz w:val="24"/>
          <w14:textFill>
            <w14:solidFill>
              <w14:schemeClr w14:val="tx1"/>
            </w14:solidFill>
          </w14:textFill>
        </w:rPr>
        <w:t>项目</w:t>
      </w:r>
      <w:r>
        <w:rPr>
          <w:rFonts w:ascii="Arial Narrow" w:hAnsi="Arial Narrow" w:cs="Arial Narrow"/>
          <w:bCs/>
          <w:color w:val="000000" w:themeColor="text1"/>
          <w:sz w:val="24"/>
          <w14:textFill>
            <w14:solidFill>
              <w14:schemeClr w14:val="tx1"/>
            </w14:solidFill>
          </w14:textFill>
        </w:rPr>
        <w:t>绩效评价评分明细表</w:t>
      </w:r>
      <w:bookmarkEnd w:id="113"/>
      <w:r>
        <w:rPr>
          <w:rFonts w:hint="eastAsia" w:ascii="Arial Narrow" w:hAnsi="Arial Narrow" w:cs="Arial Narrow"/>
          <w:bCs/>
          <w:color w:val="000000" w:themeColor="text1"/>
          <w:sz w:val="24"/>
          <w14:textFill>
            <w14:solidFill>
              <w14:schemeClr w14:val="tx1"/>
            </w14:solidFill>
          </w14:textFill>
        </w:rPr>
        <w:t>及说明</w:t>
      </w:r>
    </w:p>
    <w:p>
      <w:pPr>
        <w:adjustRightInd w:val="0"/>
        <w:snapToGrid w:val="0"/>
        <w:spacing w:line="360" w:lineRule="auto"/>
        <w:rPr>
          <w:rFonts w:ascii="Arial Narrow" w:hAnsi="Arial Narrow" w:cs="Arial Narrow"/>
          <w:bCs/>
          <w:color w:val="000000" w:themeColor="text1"/>
          <w:sz w:val="24"/>
          <w14:textFill>
            <w14:solidFill>
              <w14:schemeClr w14:val="tx1"/>
            </w14:solidFill>
          </w14:textFill>
        </w:rPr>
      </w:pPr>
      <w:bookmarkStart w:id="114" w:name="_Toc24874_WPSOffice_Level1"/>
      <w:r>
        <w:rPr>
          <w:rFonts w:ascii="Arial Narrow" w:hAnsi="Arial Narrow" w:cs="Arial Narrow"/>
          <w:bCs/>
          <w:color w:val="000000" w:themeColor="text1"/>
          <w:sz w:val="24"/>
          <w14:textFill>
            <w14:solidFill>
              <w14:schemeClr w14:val="tx1"/>
            </w14:solidFill>
          </w14:textFill>
        </w:rPr>
        <w:t>附件2：绩效目标完成情况对比表</w:t>
      </w:r>
      <w:bookmarkEnd w:id="114"/>
    </w:p>
    <w:p>
      <w:pPr>
        <w:adjustRightInd w:val="0"/>
        <w:snapToGrid w:val="0"/>
        <w:spacing w:line="360" w:lineRule="auto"/>
        <w:rPr>
          <w:rFonts w:ascii="Arial Narrow" w:hAnsi="Arial Narrow" w:cs="Arial Narrow"/>
          <w:bCs/>
          <w:color w:val="000000" w:themeColor="text1"/>
          <w:sz w:val="24"/>
          <w14:textFill>
            <w14:solidFill>
              <w14:schemeClr w14:val="tx1"/>
            </w14:solidFill>
          </w14:textFill>
        </w:rPr>
      </w:pPr>
      <w:bookmarkStart w:id="115" w:name="_Toc13417_WPSOffice_Level1"/>
      <w:r>
        <w:rPr>
          <w:rFonts w:ascii="Arial Narrow" w:hAnsi="Arial Narrow" w:cs="Arial Narrow"/>
          <w:bCs/>
          <w:color w:val="000000" w:themeColor="text1"/>
          <w:sz w:val="24"/>
          <w14:textFill>
            <w14:solidFill>
              <w14:schemeClr w14:val="tx1"/>
            </w14:solidFill>
          </w14:textFill>
        </w:rPr>
        <w:t>附件3：基础数据表</w:t>
      </w:r>
      <w:bookmarkEnd w:id="115"/>
    </w:p>
    <w:p>
      <w:pPr>
        <w:adjustRightInd w:val="0"/>
        <w:snapToGrid w:val="0"/>
        <w:spacing w:line="360" w:lineRule="auto"/>
        <w:rPr>
          <w:rFonts w:ascii="仿宋_GB2312" w:hAnsi="Arial Narrow" w:cs="Arial Narrow"/>
          <w:bCs/>
          <w:color w:val="000000" w:themeColor="text1"/>
          <w:sz w:val="24"/>
          <w14:textFill>
            <w14:solidFill>
              <w14:schemeClr w14:val="tx1"/>
            </w14:solidFill>
          </w14:textFill>
        </w:rPr>
      </w:pPr>
      <w:bookmarkStart w:id="116" w:name="_Toc27302_WPSOffice_Level1"/>
      <w:r>
        <w:rPr>
          <w:rFonts w:ascii="Arial Narrow" w:hAnsi="Arial Narrow" w:cs="Arial Narrow"/>
          <w:bCs/>
          <w:color w:val="000000" w:themeColor="text1"/>
          <w:sz w:val="24"/>
          <w14:textFill>
            <w14:solidFill>
              <w14:schemeClr w14:val="tx1"/>
            </w14:solidFill>
          </w14:textFill>
        </w:rPr>
        <w:t>附件4：</w:t>
      </w:r>
      <w:r>
        <w:rPr>
          <w:rFonts w:hint="eastAsia" w:ascii="仿宋_GB2312" w:hAnsi="Arial Narrow" w:cs="Arial Narrow"/>
          <w:bCs/>
          <w:color w:val="000000" w:themeColor="text1"/>
          <w:sz w:val="24"/>
          <w14:textFill>
            <w14:solidFill>
              <w14:schemeClr w14:val="tx1"/>
            </w14:solidFill>
          </w14:textFill>
        </w:rPr>
        <w:t>访谈</w:t>
      </w:r>
      <w:bookmarkEnd w:id="116"/>
      <w:r>
        <w:rPr>
          <w:rFonts w:hint="eastAsia" w:ascii="仿宋_GB2312" w:hAnsi="宋体" w:cs="宋体"/>
          <w:bCs/>
          <w:color w:val="000000" w:themeColor="text1"/>
          <w:sz w:val="24"/>
          <w14:textFill>
            <w14:solidFill>
              <w14:schemeClr w14:val="tx1"/>
            </w14:solidFill>
          </w14:textFill>
        </w:rPr>
        <w:t>记录</w:t>
      </w:r>
    </w:p>
    <w:p>
      <w:pPr>
        <w:adjustRightInd w:val="0"/>
        <w:snapToGrid w:val="0"/>
        <w:spacing w:line="360" w:lineRule="auto"/>
        <w:rPr>
          <w:rFonts w:ascii="Arial Narrow" w:hAnsi="Arial Narrow" w:cs="Arial Narrow"/>
          <w:bCs/>
          <w:color w:val="000000" w:themeColor="text1"/>
          <w:sz w:val="24"/>
          <w14:textFill>
            <w14:solidFill>
              <w14:schemeClr w14:val="tx1"/>
            </w14:solidFill>
          </w14:textFill>
        </w:rPr>
      </w:pPr>
      <w:bookmarkStart w:id="117" w:name="_Toc8180_WPSOffice_Level1"/>
      <w:r>
        <w:rPr>
          <w:rFonts w:ascii="Arial Narrow" w:hAnsi="Arial Narrow" w:cs="Arial Narrow"/>
          <w:bCs/>
          <w:color w:val="000000" w:themeColor="text1"/>
          <w:sz w:val="24"/>
          <w14:textFill>
            <w14:solidFill>
              <w14:schemeClr w14:val="tx1"/>
            </w14:solidFill>
          </w14:textFill>
        </w:rPr>
        <w:t>附件5：调查问卷</w:t>
      </w:r>
      <w:bookmarkEnd w:id="117"/>
    </w:p>
    <w:p>
      <w:pPr>
        <w:adjustRightInd w:val="0"/>
        <w:snapToGrid w:val="0"/>
        <w:spacing w:line="360" w:lineRule="auto"/>
        <w:rPr>
          <w:rFonts w:ascii="Arial Narrow" w:hAnsi="Arial Narrow" w:cs="Arial Narrow"/>
          <w:bCs/>
          <w:color w:val="000000" w:themeColor="text1"/>
          <w:sz w:val="24"/>
          <w14:textFill>
            <w14:solidFill>
              <w14:schemeClr w14:val="tx1"/>
            </w14:solidFill>
          </w14:textFill>
        </w:rPr>
      </w:pPr>
      <w:bookmarkStart w:id="118" w:name="_Toc45_WPSOffice_Level1"/>
      <w:r>
        <w:rPr>
          <w:rFonts w:ascii="Arial Narrow" w:hAnsi="Arial Narrow" w:cs="Arial Narrow"/>
          <w:bCs/>
          <w:color w:val="000000" w:themeColor="text1"/>
          <w:sz w:val="24"/>
          <w14:textFill>
            <w14:solidFill>
              <w14:schemeClr w14:val="tx1"/>
            </w14:solidFill>
          </w14:textFill>
        </w:rPr>
        <w:t>附件6：调查问卷</w:t>
      </w:r>
      <w:bookmarkEnd w:id="118"/>
      <w:r>
        <w:rPr>
          <w:rFonts w:hint="eastAsia" w:ascii="Arial Narrow" w:hAnsi="Arial Narrow" w:cs="Arial Narrow"/>
          <w:bCs/>
          <w:color w:val="000000" w:themeColor="text1"/>
          <w:sz w:val="24"/>
          <w14:textFill>
            <w14:solidFill>
              <w14:schemeClr w14:val="tx1"/>
            </w14:solidFill>
          </w14:textFill>
        </w:rPr>
        <w:t>分析</w:t>
      </w:r>
    </w:p>
    <w:p>
      <w:pPr>
        <w:adjustRightInd w:val="0"/>
        <w:snapToGrid w:val="0"/>
        <w:spacing w:line="360" w:lineRule="auto"/>
        <w:rPr>
          <w:rFonts w:ascii="Arial Narrow" w:hAnsi="Arial Narrow" w:cs="Arial Narrow"/>
          <w:bCs/>
          <w:color w:val="000000" w:themeColor="text1"/>
          <w:sz w:val="24"/>
          <w14:textFill>
            <w14:solidFill>
              <w14:schemeClr w14:val="tx1"/>
            </w14:solidFill>
          </w14:textFill>
        </w:rPr>
      </w:pPr>
      <w:bookmarkStart w:id="119" w:name="_Toc1673_WPSOffice_Level1"/>
      <w:r>
        <w:rPr>
          <w:rFonts w:ascii="Arial Narrow" w:hAnsi="Arial Narrow" w:cs="Arial Narrow"/>
          <w:bCs/>
          <w:color w:val="000000" w:themeColor="text1"/>
          <w:sz w:val="24"/>
          <w14:textFill>
            <w14:solidFill>
              <w14:schemeClr w14:val="tx1"/>
            </w14:solidFill>
          </w14:textFill>
        </w:rPr>
        <w:t>附件7：评价</w:t>
      </w:r>
      <w:r>
        <w:rPr>
          <w:rFonts w:hint="eastAsia" w:ascii="Arial Narrow" w:hAnsi="Arial Narrow" w:cs="Arial Narrow"/>
          <w:bCs/>
          <w:color w:val="000000" w:themeColor="text1"/>
          <w:sz w:val="24"/>
          <w14:textFill>
            <w14:solidFill>
              <w14:schemeClr w14:val="tx1"/>
            </w14:solidFill>
          </w14:textFill>
        </w:rPr>
        <w:t>现场</w:t>
      </w:r>
      <w:r>
        <w:rPr>
          <w:rFonts w:ascii="Arial Narrow" w:hAnsi="Arial Narrow" w:cs="Arial Narrow"/>
          <w:bCs/>
          <w:color w:val="000000" w:themeColor="text1"/>
          <w:sz w:val="24"/>
          <w14:textFill>
            <w14:solidFill>
              <w14:schemeClr w14:val="tx1"/>
            </w14:solidFill>
          </w14:textFill>
        </w:rPr>
        <w:t>照片</w:t>
      </w:r>
      <w:bookmarkEnd w:id="119"/>
    </w:p>
    <w:p>
      <w:pPr>
        <w:adjustRightInd w:val="0"/>
        <w:snapToGrid w:val="0"/>
        <w:spacing w:line="360" w:lineRule="auto"/>
        <w:rPr>
          <w:rFonts w:ascii="Arial Narrow" w:hAnsi="Arial Narrow" w:cs="Arial Narrow"/>
          <w:bCs/>
          <w:color w:val="000000" w:themeColor="text1"/>
          <w:sz w:val="24"/>
          <w14:textFill>
            <w14:solidFill>
              <w14:schemeClr w14:val="tx1"/>
            </w14:solidFill>
          </w14:textFill>
        </w:rPr>
      </w:pPr>
      <w:bookmarkStart w:id="120" w:name="_Toc18448_WPSOffice_Level1"/>
      <w:r>
        <w:rPr>
          <w:rFonts w:ascii="Arial Narrow" w:hAnsi="Arial Narrow" w:cs="Arial Narrow"/>
          <w:bCs/>
          <w:color w:val="000000" w:themeColor="text1"/>
          <w:sz w:val="24"/>
          <w14:textFill>
            <w14:solidFill>
              <w14:schemeClr w14:val="tx1"/>
            </w14:solidFill>
          </w14:textFill>
        </w:rPr>
        <w:t>附件8：评价依据目录</w:t>
      </w:r>
      <w:bookmarkEnd w:id="120"/>
    </w:p>
    <w:p>
      <w:pPr>
        <w:adjustRightInd w:val="0"/>
        <w:snapToGrid w:val="0"/>
        <w:spacing w:line="360" w:lineRule="auto"/>
        <w:rPr>
          <w:rFonts w:ascii="Arial Narrow" w:hAnsi="Arial Narrow" w:cs="Arial Narrow"/>
          <w:bCs/>
          <w:color w:val="000000" w:themeColor="text1"/>
          <w:sz w:val="24"/>
          <w14:textFill>
            <w14:solidFill>
              <w14:schemeClr w14:val="tx1"/>
            </w14:solidFill>
          </w14:textFill>
        </w:rPr>
      </w:pPr>
      <w:bookmarkStart w:id="121" w:name="_Toc26774_WPSOffice_Level1"/>
      <w:r>
        <w:rPr>
          <w:rFonts w:ascii="Arial Narrow" w:hAnsi="Arial Narrow" w:cs="Arial Narrow"/>
          <w:bCs/>
          <w:color w:val="000000" w:themeColor="text1"/>
          <w:sz w:val="24"/>
          <w14:textFill>
            <w14:solidFill>
              <w14:schemeClr w14:val="tx1"/>
            </w14:solidFill>
          </w14:textFill>
        </w:rPr>
        <w:t>附件9：绩效评价实施方案</w:t>
      </w:r>
      <w:bookmarkEnd w:id="121"/>
    </w:p>
    <w:p>
      <w:pPr>
        <w:adjustRightInd w:val="0"/>
        <w:snapToGrid w:val="0"/>
        <w:spacing w:line="360" w:lineRule="auto"/>
        <w:rPr>
          <w:rFonts w:ascii="Arial Narrow" w:hAnsi="Arial Narrow" w:cs="Arial Narrow"/>
          <w:bCs/>
          <w:color w:val="000000" w:themeColor="text1"/>
          <w:sz w:val="24"/>
          <w14:textFill>
            <w14:solidFill>
              <w14:schemeClr w14:val="tx1"/>
            </w14:solidFill>
          </w14:textFill>
        </w:rPr>
      </w:pPr>
      <w:bookmarkStart w:id="122" w:name="_Toc28386_WPSOffice_Level1"/>
      <w:r>
        <w:rPr>
          <w:rFonts w:ascii="Arial Narrow" w:hAnsi="Arial Narrow" w:cs="Arial Narrow"/>
          <w:bCs/>
          <w:color w:val="000000" w:themeColor="text1"/>
          <w:sz w:val="24"/>
          <w14:textFill>
            <w14:solidFill>
              <w14:schemeClr w14:val="tx1"/>
            </w14:solidFill>
          </w14:textFill>
        </w:rPr>
        <w:t>附件10：评价机构营业执照（复印件）</w:t>
      </w:r>
      <w:bookmarkEnd w:id="122"/>
    </w:p>
    <w:p>
      <w:pPr>
        <w:adjustRightInd w:val="0"/>
        <w:snapToGrid w:val="0"/>
        <w:spacing w:line="360" w:lineRule="auto"/>
        <w:rPr>
          <w:rFonts w:ascii="Arial Narrow" w:hAnsi="Arial Narrow" w:cs="Arial Narrow"/>
          <w:bCs/>
          <w:color w:val="000000" w:themeColor="text1"/>
          <w:sz w:val="24"/>
          <w14:textFill>
            <w14:solidFill>
              <w14:schemeClr w14:val="tx1"/>
            </w14:solidFill>
          </w14:textFill>
        </w:rPr>
      </w:pPr>
      <w:bookmarkStart w:id="123" w:name="_Toc7897_WPSOffice_Level1"/>
      <w:r>
        <w:rPr>
          <w:rFonts w:ascii="Arial Narrow" w:hAnsi="Arial Narrow" w:cs="Arial Narrow"/>
          <w:bCs/>
          <w:color w:val="000000" w:themeColor="text1"/>
          <w:sz w:val="24"/>
          <w14:textFill>
            <w14:solidFill>
              <w14:schemeClr w14:val="tx1"/>
            </w14:solidFill>
          </w14:textFill>
        </w:rPr>
        <w:t>附件11：相关评价人员职业证明文件（复印件）</w:t>
      </w:r>
      <w:bookmarkEnd w:id="123"/>
    </w:p>
    <w:p>
      <w:pPr>
        <w:adjustRightInd w:val="0"/>
        <w:snapToGrid w:val="0"/>
        <w:spacing w:line="360" w:lineRule="auto"/>
        <w:rPr>
          <w:rFonts w:ascii="Arial Narrow" w:hAnsi="Arial Narrow" w:cs="Arial Narrow"/>
          <w:bCs/>
          <w:color w:val="000000" w:themeColor="text1"/>
          <w:sz w:val="24"/>
          <w14:textFill>
            <w14:solidFill>
              <w14:schemeClr w14:val="tx1"/>
            </w14:solidFill>
          </w14:textFill>
        </w:rPr>
      </w:pPr>
    </w:p>
    <w:p>
      <w:pPr>
        <w:spacing w:line="360" w:lineRule="auto"/>
        <w:ind w:firstLine="480" w:firstLineChars="200"/>
        <w:outlineLvl w:val="0"/>
        <w:rPr>
          <w:rFonts w:ascii="仿宋_GB2312" w:hAnsi="Arial Narrow"/>
          <w:color w:val="000000" w:themeColor="text1"/>
          <w:sz w:val="24"/>
          <w14:textFill>
            <w14:solidFill>
              <w14:schemeClr w14:val="tx1"/>
            </w14:solidFill>
          </w14:textFill>
        </w:rPr>
      </w:pPr>
    </w:p>
    <w:p>
      <w:pPr>
        <w:spacing w:line="360" w:lineRule="auto"/>
        <w:ind w:firstLine="480" w:firstLineChars="200"/>
        <w:outlineLvl w:val="0"/>
        <w:rPr>
          <w:rFonts w:ascii="仿宋_GB2312" w:hAnsi="Arial Narrow"/>
          <w:color w:val="000000" w:themeColor="text1"/>
          <w:sz w:val="24"/>
          <w14:textFill>
            <w14:solidFill>
              <w14:schemeClr w14:val="tx1"/>
            </w14:solidFill>
          </w14:textFill>
        </w:rPr>
      </w:pPr>
    </w:p>
    <w:p>
      <w:pPr>
        <w:spacing w:line="360" w:lineRule="auto"/>
        <w:jc w:val="right"/>
        <w:rPr>
          <w:rFonts w:ascii="仿宋_GB2312" w:hAnsi="Arial Narrow" w:cs="仿宋"/>
          <w:color w:val="000000" w:themeColor="text1"/>
          <w:sz w:val="24"/>
          <w14:textFill>
            <w14:solidFill>
              <w14:schemeClr w14:val="tx1"/>
            </w14:solidFill>
          </w14:textFill>
        </w:rPr>
      </w:pPr>
      <w:r>
        <w:rPr>
          <w:rFonts w:hint="eastAsia" w:ascii="仿宋_GB2312" w:hAnsi="Arial Narrow" w:cs="仿宋"/>
          <w:color w:val="000000" w:themeColor="text1"/>
          <w:sz w:val="24"/>
          <w14:textFill>
            <w14:solidFill>
              <w14:schemeClr w14:val="tx1"/>
            </w14:solidFill>
          </w14:textFill>
        </w:rPr>
        <w:t>致同会计师事务所（特殊普通合伙）</w:t>
      </w:r>
    </w:p>
    <w:p>
      <w:pPr>
        <w:spacing w:line="360" w:lineRule="auto"/>
        <w:jc w:val="right"/>
        <w:rPr>
          <w:rFonts w:ascii="仿宋_GB2312" w:hAnsi="Arial Narrow" w:cs="仿宋"/>
          <w:color w:val="000000" w:themeColor="text1"/>
          <w:sz w:val="24"/>
          <w14:textFill>
            <w14:solidFill>
              <w14:schemeClr w14:val="tx1"/>
            </w14:solidFill>
          </w14:textFill>
        </w:rPr>
      </w:pPr>
      <w:r>
        <w:rPr>
          <w:rFonts w:hint="eastAsia" w:ascii="仿宋_GB2312" w:hAnsi="Arial Narrow" w:cs="仿宋"/>
          <w:color w:val="000000" w:themeColor="text1"/>
          <w:sz w:val="24"/>
          <w14:textFill>
            <w14:solidFill>
              <w14:schemeClr w14:val="tx1"/>
            </w14:solidFill>
          </w14:textFill>
        </w:rPr>
        <w:t>武汉分所</w:t>
      </w:r>
    </w:p>
    <w:p>
      <w:pPr>
        <w:spacing w:line="360" w:lineRule="auto"/>
        <w:jc w:val="right"/>
        <w:rPr>
          <w:rFonts w:ascii="Arial Narrow" w:hAnsi="Arial Narrow" w:cs="仿宋"/>
          <w:color w:val="000000" w:themeColor="text1"/>
          <w:sz w:val="24"/>
          <w14:textFill>
            <w14:solidFill>
              <w14:schemeClr w14:val="tx1"/>
            </w14:solidFill>
          </w14:textFill>
        </w:rPr>
      </w:pPr>
      <w:r>
        <w:rPr>
          <w:rFonts w:ascii="Arial Narrow" w:hAnsi="Arial Narrow" w:cs="仿宋"/>
          <w:color w:val="000000" w:themeColor="text1"/>
          <w:sz w:val="24"/>
          <w14:textFill>
            <w14:solidFill>
              <w14:schemeClr w14:val="tx1"/>
            </w14:solidFill>
          </w14:textFill>
        </w:rPr>
        <w:t>2019年7月</w:t>
      </w:r>
      <w:r>
        <w:rPr>
          <w:rFonts w:hint="eastAsia" w:ascii="Arial Narrow" w:hAnsi="Arial Narrow" w:cs="仿宋"/>
          <w:color w:val="000000" w:themeColor="text1"/>
          <w:sz w:val="24"/>
          <w14:textFill>
            <w14:solidFill>
              <w14:schemeClr w14:val="tx1"/>
            </w14:solidFill>
          </w14:textFill>
        </w:rPr>
        <w:t>26</w:t>
      </w:r>
      <w:r>
        <w:rPr>
          <w:rFonts w:ascii="Arial Narrow" w:hAnsi="Arial Narrow" w:cs="仿宋"/>
          <w:color w:val="000000" w:themeColor="text1"/>
          <w:sz w:val="24"/>
          <w14:textFill>
            <w14:solidFill>
              <w14:schemeClr w14:val="tx1"/>
            </w14:solidFill>
          </w14:textFill>
        </w:rPr>
        <w:t>日</w:t>
      </w:r>
    </w:p>
    <w:sectPr>
      <w:headerReference r:id="rId7" w:type="default"/>
      <w:footerReference r:id="rId8" w:type="default"/>
      <w:pgSz w:w="11906" w:h="16838"/>
      <w:pgMar w:top="2098" w:right="1531" w:bottom="1985" w:left="1531"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1" w:csb1="00000000"/>
  </w:font>
  <w:font w:name="楷体_GB2312">
    <w:altName w:val="楷体"/>
    <w:panose1 w:val="02010609030101010101"/>
    <w:charset w:val="86"/>
    <w:family w:val="modern"/>
    <w:pitch w:val="default"/>
    <w:sig w:usb0="00000000" w:usb1="00000000" w:usb2="00000010" w:usb3="00000000" w:csb0="00040001" w:csb1="00000000"/>
  </w:font>
  <w:font w:name="Arial Narrow">
    <w:altName w:val="Arial"/>
    <w:panose1 w:val="020B0606020202030204"/>
    <w:charset w:val="00"/>
    <w:family w:val="swiss"/>
    <w:pitch w:val="default"/>
    <w:sig w:usb0="00000000" w:usb1="00000000" w:usb2="00000000" w:usb3="00000000" w:csb0="0000009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1065126"/>
    </w:sdtPr>
    <w:sdtContent>
      <w:p>
        <w:pPr>
          <w:pStyle w:val="6"/>
          <w:jc w:val="center"/>
        </w:pPr>
      </w:p>
    </w:sdtContent>
  </w:sdt>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79642654"/>
    </w:sdtPr>
    <w:sdtContent>
      <w:p>
        <w:pPr>
          <w:pStyle w:val="6"/>
          <w:jc w:val="center"/>
        </w:pPr>
        <w:r>
          <w:fldChar w:fldCharType="begin"/>
        </w:r>
        <w:r>
          <w:instrText xml:space="preserve">PAGE   \* MERGEFORMAT</w:instrText>
        </w:r>
        <w:r>
          <w:fldChar w:fldCharType="separate"/>
        </w:r>
        <w:r>
          <w:rPr>
            <w:lang w:val="zh-CN"/>
          </w:rPr>
          <w:t>2</w:t>
        </w:r>
        <w:r>
          <w:fldChar w:fldCharType="end"/>
        </w:r>
      </w:p>
    </w:sdtContent>
  </w:sdt>
  <w:p>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pPr>
    <w:r>
      <mc:AlternateContent>
        <mc:Choice Requires="wps">
          <w:drawing>
            <wp:anchor distT="0" distB="0" distL="114300" distR="114300" simplePos="0" relativeHeight="251660288" behindDoc="0" locked="0" layoutInCell="1" allowOverlap="1">
              <wp:simplePos x="0" y="0"/>
              <wp:positionH relativeFrom="column">
                <wp:posOffset>3692525</wp:posOffset>
              </wp:positionH>
              <wp:positionV relativeFrom="paragraph">
                <wp:posOffset>-201295</wp:posOffset>
              </wp:positionV>
              <wp:extent cx="1939925" cy="982345"/>
              <wp:effectExtent l="0" t="0" r="3175" b="0"/>
              <wp:wrapNone/>
              <wp:docPr id="8" name="文本框 8"/>
              <wp:cNvGraphicFramePr/>
              <a:graphic xmlns:a="http://schemas.openxmlformats.org/drawingml/2006/main">
                <a:graphicData uri="http://schemas.microsoft.com/office/word/2010/wordprocessingShape">
                  <wps:wsp>
                    <wps:cNvSpPr txBox="1"/>
                    <wps:spPr>
                      <a:xfrm>
                        <a:off x="0" y="0"/>
                        <a:ext cx="1939925" cy="982133"/>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spacing w:after="0"/>
                            <w:ind w:firstLine="281"/>
                            <w:rPr>
                              <w:rFonts w:ascii="黑体" w:hAnsi="黑体" w:eastAsia="黑体"/>
                              <w:b/>
                              <w:sz w:val="14"/>
                              <w:szCs w:val="14"/>
                            </w:rPr>
                          </w:pPr>
                          <w:r>
                            <w:rPr>
                              <w:rFonts w:hint="eastAsia" w:ascii="黑体" w:hAnsi="黑体" w:eastAsia="黑体"/>
                              <w:b/>
                              <w:sz w:val="14"/>
                              <w:szCs w:val="14"/>
                            </w:rPr>
                            <w:t>致同会计师事务所（特殊普通合伙）</w:t>
                          </w:r>
                        </w:p>
                        <w:p>
                          <w:pPr>
                            <w:spacing w:after="0"/>
                            <w:ind w:firstLine="281"/>
                            <w:rPr>
                              <w:rFonts w:ascii="黑体" w:hAnsi="黑体" w:eastAsia="黑体"/>
                              <w:b/>
                              <w:sz w:val="14"/>
                              <w:szCs w:val="14"/>
                            </w:rPr>
                          </w:pPr>
                          <w:r>
                            <w:rPr>
                              <w:rFonts w:hint="eastAsia" w:ascii="黑体" w:hAnsi="黑体" w:eastAsia="黑体"/>
                              <w:b/>
                              <w:sz w:val="14"/>
                              <w:szCs w:val="14"/>
                            </w:rPr>
                            <w:t>武汉分所</w:t>
                          </w:r>
                        </w:p>
                        <w:p>
                          <w:pPr>
                            <w:spacing w:after="0"/>
                            <w:ind w:left="276" w:leftChars="92"/>
                            <w:rPr>
                              <w:rFonts w:ascii="黑体" w:hAnsi="黑体" w:eastAsia="黑体"/>
                              <w:sz w:val="14"/>
                              <w:szCs w:val="14"/>
                            </w:rPr>
                          </w:pPr>
                          <w:r>
                            <w:rPr>
                              <w:rFonts w:hint="eastAsia" w:ascii="黑体" w:hAnsi="黑体" w:eastAsia="黑体"/>
                              <w:sz w:val="14"/>
                              <w:szCs w:val="14"/>
                            </w:rPr>
                            <w:t>中国武汉武昌区中北路58号汉街总部国际E座29层邮编</w:t>
                          </w:r>
                          <w:r>
                            <w:rPr>
                              <w:rFonts w:ascii="黑体" w:hAnsi="黑体" w:eastAsia="黑体"/>
                              <w:sz w:val="14"/>
                              <w:szCs w:val="14"/>
                            </w:rPr>
                            <w:t>430071</w:t>
                          </w:r>
                        </w:p>
                        <w:p>
                          <w:pPr>
                            <w:spacing w:after="0"/>
                            <w:ind w:firstLine="280"/>
                            <w:rPr>
                              <w:rFonts w:ascii="黑体" w:hAnsi="黑体" w:eastAsia="黑体"/>
                              <w:sz w:val="14"/>
                              <w:szCs w:val="14"/>
                            </w:rPr>
                          </w:pPr>
                          <w:r>
                            <w:rPr>
                              <w:rFonts w:hint="eastAsia" w:ascii="黑体" w:hAnsi="黑体" w:eastAsia="黑体"/>
                              <w:sz w:val="14"/>
                              <w:szCs w:val="14"/>
                            </w:rPr>
                            <w:t>电话</w:t>
                          </w:r>
                          <w:r>
                            <w:rPr>
                              <w:rFonts w:ascii="黑体" w:hAnsi="黑体" w:eastAsia="黑体"/>
                              <w:sz w:val="14"/>
                              <w:szCs w:val="14"/>
                            </w:rPr>
                            <w:t xml:space="preserve"> +86 27 87819677</w:t>
                          </w:r>
                        </w:p>
                        <w:p>
                          <w:pPr>
                            <w:spacing w:after="0"/>
                            <w:ind w:firstLine="280"/>
                          </w:pPr>
                          <w:r>
                            <w:rPr>
                              <w:rFonts w:hint="eastAsia" w:eastAsia="黑体"/>
                              <w:sz w:val="14"/>
                              <w:szCs w:val="14"/>
                            </w:rPr>
                            <w:t>传真</w:t>
                          </w:r>
                          <w:r>
                            <w:rPr>
                              <w:rFonts w:eastAsia="黑体"/>
                              <w:sz w:val="14"/>
                              <w:szCs w:val="14"/>
                            </w:rPr>
                            <w:t xml:space="preserve"> +86 27 87812377</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0.75pt;margin-top:-15.85pt;height:77.35pt;width:152.75pt;z-index:251660288;mso-width-relative:page;mso-height-relative:page;" fillcolor="#FFFFFF [3201]" filled="t" stroked="f" coordsize="21600,21600" o:gfxdata="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BiMn7f1wAAAAsBAAAPAAAA&#10;AAAAAAEAIAAAACIAAABkcnMvZG93bnJldi54bWxQSwECFAAUAAAACACHTuJAvxMbOU8CAACPBAAA&#10;DgAAAAAAAAABACAAAAAmAQAAZHJzL2Uyb0RvYy54bWxQSwUGAAAAAAYABgBZAQAA5wUAAAAA&#10;">
              <v:fill on="t" focussize="0,0"/>
              <v:stroke on="f" weight="0.5pt"/>
              <v:imagedata o:title=""/>
              <o:lock v:ext="edit" aspectratio="f"/>
              <v:textbox>
                <w:txbxContent>
                  <w:p>
                    <w:pPr>
                      <w:spacing w:after="0"/>
                      <w:ind w:firstLine="281"/>
                      <w:rPr>
                        <w:rFonts w:ascii="黑体" w:hAnsi="黑体" w:eastAsia="黑体"/>
                        <w:b/>
                        <w:sz w:val="14"/>
                        <w:szCs w:val="14"/>
                      </w:rPr>
                    </w:pPr>
                    <w:r>
                      <w:rPr>
                        <w:rFonts w:hint="eastAsia" w:ascii="黑体" w:hAnsi="黑体" w:eastAsia="黑体"/>
                        <w:b/>
                        <w:sz w:val="14"/>
                        <w:szCs w:val="14"/>
                      </w:rPr>
                      <w:t>致同会计师事务所（特殊普通合伙）</w:t>
                    </w:r>
                  </w:p>
                  <w:p>
                    <w:pPr>
                      <w:spacing w:after="0"/>
                      <w:ind w:firstLine="281"/>
                      <w:rPr>
                        <w:rFonts w:ascii="黑体" w:hAnsi="黑体" w:eastAsia="黑体"/>
                        <w:b/>
                        <w:sz w:val="14"/>
                        <w:szCs w:val="14"/>
                      </w:rPr>
                    </w:pPr>
                    <w:r>
                      <w:rPr>
                        <w:rFonts w:hint="eastAsia" w:ascii="黑体" w:hAnsi="黑体" w:eastAsia="黑体"/>
                        <w:b/>
                        <w:sz w:val="14"/>
                        <w:szCs w:val="14"/>
                      </w:rPr>
                      <w:t>武汉分所</w:t>
                    </w:r>
                  </w:p>
                  <w:p>
                    <w:pPr>
                      <w:spacing w:after="0"/>
                      <w:ind w:left="276" w:leftChars="92"/>
                      <w:rPr>
                        <w:rFonts w:ascii="黑体" w:hAnsi="黑体" w:eastAsia="黑体"/>
                        <w:sz w:val="14"/>
                        <w:szCs w:val="14"/>
                      </w:rPr>
                    </w:pPr>
                    <w:r>
                      <w:rPr>
                        <w:rFonts w:hint="eastAsia" w:ascii="黑体" w:hAnsi="黑体" w:eastAsia="黑体"/>
                        <w:sz w:val="14"/>
                        <w:szCs w:val="14"/>
                      </w:rPr>
                      <w:t>中国武汉武昌区中北路58号汉街总部国际E座29层邮编</w:t>
                    </w:r>
                    <w:r>
                      <w:rPr>
                        <w:rFonts w:ascii="黑体" w:hAnsi="黑体" w:eastAsia="黑体"/>
                        <w:sz w:val="14"/>
                        <w:szCs w:val="14"/>
                      </w:rPr>
                      <w:t>430071</w:t>
                    </w:r>
                  </w:p>
                  <w:p>
                    <w:pPr>
                      <w:spacing w:after="0"/>
                      <w:ind w:firstLine="280"/>
                      <w:rPr>
                        <w:rFonts w:ascii="黑体" w:hAnsi="黑体" w:eastAsia="黑体"/>
                        <w:sz w:val="14"/>
                        <w:szCs w:val="14"/>
                      </w:rPr>
                    </w:pPr>
                    <w:r>
                      <w:rPr>
                        <w:rFonts w:hint="eastAsia" w:ascii="黑体" w:hAnsi="黑体" w:eastAsia="黑体"/>
                        <w:sz w:val="14"/>
                        <w:szCs w:val="14"/>
                      </w:rPr>
                      <w:t>电话</w:t>
                    </w:r>
                    <w:r>
                      <w:rPr>
                        <w:rFonts w:ascii="黑体" w:hAnsi="黑体" w:eastAsia="黑体"/>
                        <w:sz w:val="14"/>
                        <w:szCs w:val="14"/>
                      </w:rPr>
                      <w:t xml:space="preserve"> +86 27 87819677</w:t>
                    </w:r>
                  </w:p>
                  <w:p>
                    <w:pPr>
                      <w:spacing w:after="0"/>
                      <w:ind w:firstLine="280"/>
                    </w:pPr>
                    <w:r>
                      <w:rPr>
                        <w:rFonts w:hint="eastAsia" w:eastAsia="黑体"/>
                        <w:sz w:val="14"/>
                        <w:szCs w:val="14"/>
                      </w:rPr>
                      <w:t>传真</w:t>
                    </w:r>
                    <w:r>
                      <w:rPr>
                        <w:rFonts w:eastAsia="黑体"/>
                        <w:sz w:val="14"/>
                        <w:szCs w:val="14"/>
                      </w:rPr>
                      <w:t xml:space="preserve"> +86 27 87812377</w:t>
                    </w:r>
                  </w:p>
                </w:txbxContent>
              </v:textbox>
            </v:shape>
          </w:pict>
        </mc:Fallback>
      </mc:AlternateContent>
    </w:r>
    <w:r>
      <w:drawing>
        <wp:anchor distT="0" distB="0" distL="114300" distR="114300" simplePos="0" relativeHeight="251659264" behindDoc="0" locked="0" layoutInCell="1" allowOverlap="1">
          <wp:simplePos x="0" y="0"/>
          <wp:positionH relativeFrom="page">
            <wp:posOffset>990600</wp:posOffset>
          </wp:positionH>
          <wp:positionV relativeFrom="page">
            <wp:posOffset>320675</wp:posOffset>
          </wp:positionV>
          <wp:extent cx="2203450" cy="636905"/>
          <wp:effectExtent l="0" t="0" r="6350" b="10795"/>
          <wp:wrapNone/>
          <wp:docPr id="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4"/>
                  <pic:cNvPicPr>
                    <a:picLocks noChangeAspect="1" noChangeArrowheads="1"/>
                  </pic:cNvPicPr>
                </pic:nvPicPr>
                <pic:blipFill>
                  <a:blip r:embed="rId1"/>
                  <a:srcRect/>
                  <a:stretch>
                    <a:fillRect/>
                  </a:stretch>
                </pic:blipFill>
                <pic:spPr>
                  <a:xfrm>
                    <a:off x="0" y="0"/>
                    <a:ext cx="2203450" cy="63690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543297"/>
    <w:multiLevelType w:val="singleLevel"/>
    <w:tmpl w:val="DE543297"/>
    <w:lvl w:ilvl="0" w:tentative="0">
      <w:start w:val="1"/>
      <w:numFmt w:val="decimal"/>
      <w:suff w:val="nothing"/>
      <w:lvlText w:val="（%1）"/>
      <w:lvlJc w:val="left"/>
      <w:rPr>
        <w:rFonts w:hint="default" w:ascii="Arial Narrow" w:hAnsi="Arial Narrow"/>
      </w:rPr>
    </w:lvl>
  </w:abstractNum>
  <w:abstractNum w:abstractNumId="1">
    <w:nsid w:val="58CF905B"/>
    <w:multiLevelType w:val="singleLevel"/>
    <w:tmpl w:val="58CF905B"/>
    <w:lvl w:ilvl="0" w:tentative="0">
      <w:start w:val="2"/>
      <w:numFmt w:val="decimal"/>
      <w:suff w:val="nothing"/>
      <w:lvlText w:val="（%1）"/>
      <w:lvlJc w:val="left"/>
      <w:rPr>
        <w:rFonts w:hint="default" w:ascii="Arial Narrow" w:hAnsi="Arial Narrow"/>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4YmI0OTE1YTE2MGJlNjY4YmQ1MTgwYzIxYTM1N2YifQ=="/>
    <w:docVar w:name="KSO_WPS_MARK_KEY" w:val="4f6e29c2-bde1-4257-97e4-e9e700b56c33"/>
  </w:docVars>
  <w:rsids>
    <w:rsidRoot w:val="003227C6"/>
    <w:rsid w:val="00043304"/>
    <w:rsid w:val="000654B0"/>
    <w:rsid w:val="000B2121"/>
    <w:rsid w:val="000C469A"/>
    <w:rsid w:val="000C4ACB"/>
    <w:rsid w:val="00131E66"/>
    <w:rsid w:val="00153394"/>
    <w:rsid w:val="001C787C"/>
    <w:rsid w:val="00247B25"/>
    <w:rsid w:val="00264D80"/>
    <w:rsid w:val="00281FF9"/>
    <w:rsid w:val="00282B0B"/>
    <w:rsid w:val="00287831"/>
    <w:rsid w:val="00292C4A"/>
    <w:rsid w:val="002A1B2A"/>
    <w:rsid w:val="002D3781"/>
    <w:rsid w:val="003227C6"/>
    <w:rsid w:val="00345AC4"/>
    <w:rsid w:val="00394D9F"/>
    <w:rsid w:val="003B1D89"/>
    <w:rsid w:val="003C7F3D"/>
    <w:rsid w:val="003D17E1"/>
    <w:rsid w:val="003E2D58"/>
    <w:rsid w:val="00467D05"/>
    <w:rsid w:val="00486FFA"/>
    <w:rsid w:val="00507420"/>
    <w:rsid w:val="005B089E"/>
    <w:rsid w:val="005D19F1"/>
    <w:rsid w:val="0065472B"/>
    <w:rsid w:val="00656F61"/>
    <w:rsid w:val="00660FAE"/>
    <w:rsid w:val="00674B79"/>
    <w:rsid w:val="006803D8"/>
    <w:rsid w:val="006C1D23"/>
    <w:rsid w:val="006E2DAD"/>
    <w:rsid w:val="006E3C84"/>
    <w:rsid w:val="007103A7"/>
    <w:rsid w:val="00751989"/>
    <w:rsid w:val="0078588F"/>
    <w:rsid w:val="00805206"/>
    <w:rsid w:val="00817987"/>
    <w:rsid w:val="00856AAB"/>
    <w:rsid w:val="00897874"/>
    <w:rsid w:val="008B4299"/>
    <w:rsid w:val="008F3EC5"/>
    <w:rsid w:val="009156C3"/>
    <w:rsid w:val="00924313"/>
    <w:rsid w:val="009369AD"/>
    <w:rsid w:val="0096467E"/>
    <w:rsid w:val="009701A0"/>
    <w:rsid w:val="00970DCD"/>
    <w:rsid w:val="009851B0"/>
    <w:rsid w:val="00A42629"/>
    <w:rsid w:val="00AB4ED7"/>
    <w:rsid w:val="00AD060D"/>
    <w:rsid w:val="00AD229A"/>
    <w:rsid w:val="00AD645B"/>
    <w:rsid w:val="00B33ADA"/>
    <w:rsid w:val="00B43A51"/>
    <w:rsid w:val="00B4579B"/>
    <w:rsid w:val="00B50383"/>
    <w:rsid w:val="00B74865"/>
    <w:rsid w:val="00B83B83"/>
    <w:rsid w:val="00BE61CC"/>
    <w:rsid w:val="00C55F1F"/>
    <w:rsid w:val="00C676C8"/>
    <w:rsid w:val="00CB0317"/>
    <w:rsid w:val="00D07F87"/>
    <w:rsid w:val="00D10EBE"/>
    <w:rsid w:val="00D401B9"/>
    <w:rsid w:val="00D41316"/>
    <w:rsid w:val="00D57A51"/>
    <w:rsid w:val="00D94F15"/>
    <w:rsid w:val="00DA74A7"/>
    <w:rsid w:val="00DC4F41"/>
    <w:rsid w:val="00DC5AB0"/>
    <w:rsid w:val="00DF4C52"/>
    <w:rsid w:val="00E5787F"/>
    <w:rsid w:val="00F03115"/>
    <w:rsid w:val="00F17A1B"/>
    <w:rsid w:val="00F33255"/>
    <w:rsid w:val="00F41E2D"/>
    <w:rsid w:val="00F4620E"/>
    <w:rsid w:val="00FB7622"/>
    <w:rsid w:val="00FD6C9F"/>
    <w:rsid w:val="01A333C2"/>
    <w:rsid w:val="02110BAB"/>
    <w:rsid w:val="023A7D35"/>
    <w:rsid w:val="02D302CD"/>
    <w:rsid w:val="02D57904"/>
    <w:rsid w:val="035D43D9"/>
    <w:rsid w:val="039E6FA2"/>
    <w:rsid w:val="03B73B18"/>
    <w:rsid w:val="03F82994"/>
    <w:rsid w:val="043F3495"/>
    <w:rsid w:val="04446913"/>
    <w:rsid w:val="0468495B"/>
    <w:rsid w:val="04765624"/>
    <w:rsid w:val="04D85A95"/>
    <w:rsid w:val="04DC06A3"/>
    <w:rsid w:val="04FA1858"/>
    <w:rsid w:val="05104842"/>
    <w:rsid w:val="0563583A"/>
    <w:rsid w:val="05692ED7"/>
    <w:rsid w:val="069835FB"/>
    <w:rsid w:val="06A81AA2"/>
    <w:rsid w:val="06FD7915"/>
    <w:rsid w:val="076247AC"/>
    <w:rsid w:val="079D074B"/>
    <w:rsid w:val="07DB2C01"/>
    <w:rsid w:val="08444FCA"/>
    <w:rsid w:val="08A94BD7"/>
    <w:rsid w:val="08D93DA5"/>
    <w:rsid w:val="094B6EF0"/>
    <w:rsid w:val="09603D51"/>
    <w:rsid w:val="09CF551A"/>
    <w:rsid w:val="09DA530B"/>
    <w:rsid w:val="0A143178"/>
    <w:rsid w:val="0A694270"/>
    <w:rsid w:val="0AC040D8"/>
    <w:rsid w:val="0AD61A60"/>
    <w:rsid w:val="0B817A57"/>
    <w:rsid w:val="0B8C59F9"/>
    <w:rsid w:val="0BA51BE9"/>
    <w:rsid w:val="0BE006C0"/>
    <w:rsid w:val="0BEB32AF"/>
    <w:rsid w:val="0C571A8A"/>
    <w:rsid w:val="0CC307E8"/>
    <w:rsid w:val="0CD2697F"/>
    <w:rsid w:val="0D4F0205"/>
    <w:rsid w:val="0E3D157B"/>
    <w:rsid w:val="0EFE74B9"/>
    <w:rsid w:val="0F210630"/>
    <w:rsid w:val="0F635A46"/>
    <w:rsid w:val="0F924CC4"/>
    <w:rsid w:val="0FC115B9"/>
    <w:rsid w:val="0FCD1187"/>
    <w:rsid w:val="10743FC0"/>
    <w:rsid w:val="109D1939"/>
    <w:rsid w:val="109D2B16"/>
    <w:rsid w:val="11736FBD"/>
    <w:rsid w:val="11D21284"/>
    <w:rsid w:val="12942CA3"/>
    <w:rsid w:val="131419B2"/>
    <w:rsid w:val="140C51C1"/>
    <w:rsid w:val="141C597F"/>
    <w:rsid w:val="14371E17"/>
    <w:rsid w:val="143B0800"/>
    <w:rsid w:val="144E2768"/>
    <w:rsid w:val="14AF39AC"/>
    <w:rsid w:val="14C957D3"/>
    <w:rsid w:val="14D07AD1"/>
    <w:rsid w:val="162A1039"/>
    <w:rsid w:val="16863FF6"/>
    <w:rsid w:val="16B359FC"/>
    <w:rsid w:val="16EA10D3"/>
    <w:rsid w:val="170D3CB7"/>
    <w:rsid w:val="17273413"/>
    <w:rsid w:val="18701647"/>
    <w:rsid w:val="1897751C"/>
    <w:rsid w:val="19600BED"/>
    <w:rsid w:val="196833BE"/>
    <w:rsid w:val="19AE50AC"/>
    <w:rsid w:val="19CD23D0"/>
    <w:rsid w:val="1AA87103"/>
    <w:rsid w:val="1AD960D5"/>
    <w:rsid w:val="1AEB2A0F"/>
    <w:rsid w:val="1B604883"/>
    <w:rsid w:val="1B7A311D"/>
    <w:rsid w:val="1BD96796"/>
    <w:rsid w:val="1BE13924"/>
    <w:rsid w:val="1C04652C"/>
    <w:rsid w:val="1C302054"/>
    <w:rsid w:val="1CC02B29"/>
    <w:rsid w:val="1D1A49BC"/>
    <w:rsid w:val="1D27389D"/>
    <w:rsid w:val="1D424688"/>
    <w:rsid w:val="1DF51C39"/>
    <w:rsid w:val="1E116339"/>
    <w:rsid w:val="1EC2226C"/>
    <w:rsid w:val="1F5A2345"/>
    <w:rsid w:val="1FD040D4"/>
    <w:rsid w:val="201D1465"/>
    <w:rsid w:val="20261177"/>
    <w:rsid w:val="20B80D37"/>
    <w:rsid w:val="21676015"/>
    <w:rsid w:val="21863108"/>
    <w:rsid w:val="21B028E3"/>
    <w:rsid w:val="235014DE"/>
    <w:rsid w:val="23751175"/>
    <w:rsid w:val="238D2119"/>
    <w:rsid w:val="24011AE8"/>
    <w:rsid w:val="242770AD"/>
    <w:rsid w:val="24F27296"/>
    <w:rsid w:val="25466EAA"/>
    <w:rsid w:val="255B2F1C"/>
    <w:rsid w:val="25980292"/>
    <w:rsid w:val="26153DDA"/>
    <w:rsid w:val="262A0E5F"/>
    <w:rsid w:val="2697717E"/>
    <w:rsid w:val="275766AB"/>
    <w:rsid w:val="28115F46"/>
    <w:rsid w:val="28666EFB"/>
    <w:rsid w:val="286F3B65"/>
    <w:rsid w:val="28C668FB"/>
    <w:rsid w:val="28E02B7F"/>
    <w:rsid w:val="29296117"/>
    <w:rsid w:val="29A5022F"/>
    <w:rsid w:val="29AA2C38"/>
    <w:rsid w:val="2A1B5388"/>
    <w:rsid w:val="2A1D4F8E"/>
    <w:rsid w:val="2A2B2962"/>
    <w:rsid w:val="2A4662BF"/>
    <w:rsid w:val="2A535EC9"/>
    <w:rsid w:val="2A777DA9"/>
    <w:rsid w:val="2A824BF3"/>
    <w:rsid w:val="2ABA723A"/>
    <w:rsid w:val="2B0642EE"/>
    <w:rsid w:val="2B275243"/>
    <w:rsid w:val="2B297634"/>
    <w:rsid w:val="2B5803D0"/>
    <w:rsid w:val="2BDD5719"/>
    <w:rsid w:val="2BF567ED"/>
    <w:rsid w:val="2BFE5527"/>
    <w:rsid w:val="2C7A2B5E"/>
    <w:rsid w:val="2CB5560A"/>
    <w:rsid w:val="2D5E5180"/>
    <w:rsid w:val="2ECC18AA"/>
    <w:rsid w:val="2FBE1D9E"/>
    <w:rsid w:val="2FC53245"/>
    <w:rsid w:val="2FD44F04"/>
    <w:rsid w:val="30331CF8"/>
    <w:rsid w:val="30E42DAD"/>
    <w:rsid w:val="31063F91"/>
    <w:rsid w:val="310B38D1"/>
    <w:rsid w:val="31295769"/>
    <w:rsid w:val="31570F26"/>
    <w:rsid w:val="31C17F4B"/>
    <w:rsid w:val="322F3BDB"/>
    <w:rsid w:val="32821BB4"/>
    <w:rsid w:val="32AC1EDB"/>
    <w:rsid w:val="32CF06EE"/>
    <w:rsid w:val="331914AC"/>
    <w:rsid w:val="3386040B"/>
    <w:rsid w:val="33BA60AB"/>
    <w:rsid w:val="33CC1D2A"/>
    <w:rsid w:val="33D02FD8"/>
    <w:rsid w:val="34022A49"/>
    <w:rsid w:val="342B6162"/>
    <w:rsid w:val="356F77A5"/>
    <w:rsid w:val="35704AF6"/>
    <w:rsid w:val="357A57AC"/>
    <w:rsid w:val="35876963"/>
    <w:rsid w:val="358C2103"/>
    <w:rsid w:val="36DA7131"/>
    <w:rsid w:val="36E87364"/>
    <w:rsid w:val="378C25B3"/>
    <w:rsid w:val="37A025D5"/>
    <w:rsid w:val="38380CBC"/>
    <w:rsid w:val="388F5F6D"/>
    <w:rsid w:val="38BB2EDA"/>
    <w:rsid w:val="38CD0919"/>
    <w:rsid w:val="38DC54F8"/>
    <w:rsid w:val="38EC093D"/>
    <w:rsid w:val="39196B56"/>
    <w:rsid w:val="39360D8D"/>
    <w:rsid w:val="3984110F"/>
    <w:rsid w:val="3A6B31E4"/>
    <w:rsid w:val="3B0F4249"/>
    <w:rsid w:val="3B4462A0"/>
    <w:rsid w:val="3BA43723"/>
    <w:rsid w:val="3BC52F4C"/>
    <w:rsid w:val="3C860B5B"/>
    <w:rsid w:val="3CAB137D"/>
    <w:rsid w:val="3D6205B5"/>
    <w:rsid w:val="3E077ED1"/>
    <w:rsid w:val="3E5B7F1E"/>
    <w:rsid w:val="3E5C341C"/>
    <w:rsid w:val="3EF97CB1"/>
    <w:rsid w:val="3F315E80"/>
    <w:rsid w:val="3F7460A0"/>
    <w:rsid w:val="3F7A5530"/>
    <w:rsid w:val="3FA650E7"/>
    <w:rsid w:val="401B4EAC"/>
    <w:rsid w:val="40200657"/>
    <w:rsid w:val="406D2A3E"/>
    <w:rsid w:val="41835F9C"/>
    <w:rsid w:val="419419C3"/>
    <w:rsid w:val="41CF5F7E"/>
    <w:rsid w:val="41D63B8B"/>
    <w:rsid w:val="41E569BE"/>
    <w:rsid w:val="423F3346"/>
    <w:rsid w:val="42EA176C"/>
    <w:rsid w:val="43B22946"/>
    <w:rsid w:val="43FC0942"/>
    <w:rsid w:val="44A71C3D"/>
    <w:rsid w:val="44F24E40"/>
    <w:rsid w:val="4565116D"/>
    <w:rsid w:val="458F290D"/>
    <w:rsid w:val="45971921"/>
    <w:rsid w:val="463177C9"/>
    <w:rsid w:val="463752DD"/>
    <w:rsid w:val="46415A85"/>
    <w:rsid w:val="468A5E03"/>
    <w:rsid w:val="46E91009"/>
    <w:rsid w:val="46FD4BA6"/>
    <w:rsid w:val="47056F5C"/>
    <w:rsid w:val="47F14992"/>
    <w:rsid w:val="48015711"/>
    <w:rsid w:val="486367B6"/>
    <w:rsid w:val="48B361A2"/>
    <w:rsid w:val="49084C3E"/>
    <w:rsid w:val="490A73EC"/>
    <w:rsid w:val="495E1DD7"/>
    <w:rsid w:val="49613C25"/>
    <w:rsid w:val="498C06DE"/>
    <w:rsid w:val="4A1C4763"/>
    <w:rsid w:val="4A1E5531"/>
    <w:rsid w:val="4A61626B"/>
    <w:rsid w:val="4A8B1BEE"/>
    <w:rsid w:val="4A997AF5"/>
    <w:rsid w:val="4A9C58A8"/>
    <w:rsid w:val="4ABF315C"/>
    <w:rsid w:val="4BBB6964"/>
    <w:rsid w:val="4C8A3E65"/>
    <w:rsid w:val="4CB258E3"/>
    <w:rsid w:val="4CE5693B"/>
    <w:rsid w:val="4CF44CBA"/>
    <w:rsid w:val="4D98374A"/>
    <w:rsid w:val="4E6039FB"/>
    <w:rsid w:val="4E9321E4"/>
    <w:rsid w:val="4ED165F3"/>
    <w:rsid w:val="4ED74D6B"/>
    <w:rsid w:val="4EF97E14"/>
    <w:rsid w:val="4F760C67"/>
    <w:rsid w:val="4F9A22D1"/>
    <w:rsid w:val="4F9D09BF"/>
    <w:rsid w:val="4FFE19A3"/>
    <w:rsid w:val="50061A39"/>
    <w:rsid w:val="505032CA"/>
    <w:rsid w:val="5090770B"/>
    <w:rsid w:val="50AD0098"/>
    <w:rsid w:val="50B172F8"/>
    <w:rsid w:val="50F90E83"/>
    <w:rsid w:val="51484721"/>
    <w:rsid w:val="515F2782"/>
    <w:rsid w:val="52426EF9"/>
    <w:rsid w:val="52534FD3"/>
    <w:rsid w:val="52BE72FE"/>
    <w:rsid w:val="52E0675F"/>
    <w:rsid w:val="536A7C05"/>
    <w:rsid w:val="5379400B"/>
    <w:rsid w:val="53CD0E03"/>
    <w:rsid w:val="54612CF4"/>
    <w:rsid w:val="548759C7"/>
    <w:rsid w:val="54CA0F72"/>
    <w:rsid w:val="54DF561B"/>
    <w:rsid w:val="54ED7BD7"/>
    <w:rsid w:val="54EE3C3C"/>
    <w:rsid w:val="55F357F4"/>
    <w:rsid w:val="560776DF"/>
    <w:rsid w:val="5634069A"/>
    <w:rsid w:val="5636611B"/>
    <w:rsid w:val="567D7B54"/>
    <w:rsid w:val="56814717"/>
    <w:rsid w:val="56C045A2"/>
    <w:rsid w:val="57600101"/>
    <w:rsid w:val="57A27007"/>
    <w:rsid w:val="57F65F4B"/>
    <w:rsid w:val="584D10C9"/>
    <w:rsid w:val="58892153"/>
    <w:rsid w:val="58F106A7"/>
    <w:rsid w:val="590213FA"/>
    <w:rsid w:val="59BF2BCD"/>
    <w:rsid w:val="59CD2FF1"/>
    <w:rsid w:val="59D94E5A"/>
    <w:rsid w:val="5AE14F32"/>
    <w:rsid w:val="5B03010C"/>
    <w:rsid w:val="5B211BC0"/>
    <w:rsid w:val="5B23209F"/>
    <w:rsid w:val="5B3E28F6"/>
    <w:rsid w:val="5B787406"/>
    <w:rsid w:val="5BC11929"/>
    <w:rsid w:val="5BFF60FD"/>
    <w:rsid w:val="5C6A1C46"/>
    <w:rsid w:val="5C9836DE"/>
    <w:rsid w:val="5CD749F7"/>
    <w:rsid w:val="5CE34CEC"/>
    <w:rsid w:val="5D5F2AD4"/>
    <w:rsid w:val="5D6A535F"/>
    <w:rsid w:val="5E2666C0"/>
    <w:rsid w:val="5E754B6D"/>
    <w:rsid w:val="5E7B52FA"/>
    <w:rsid w:val="5EBB73C1"/>
    <w:rsid w:val="5ED6596B"/>
    <w:rsid w:val="5F4551AF"/>
    <w:rsid w:val="5FC70E0D"/>
    <w:rsid w:val="5FF33F25"/>
    <w:rsid w:val="60175313"/>
    <w:rsid w:val="60247D97"/>
    <w:rsid w:val="6066776D"/>
    <w:rsid w:val="60C27FBE"/>
    <w:rsid w:val="60C92525"/>
    <w:rsid w:val="60DA245A"/>
    <w:rsid w:val="613121AC"/>
    <w:rsid w:val="61817D9E"/>
    <w:rsid w:val="61976D39"/>
    <w:rsid w:val="61AC5104"/>
    <w:rsid w:val="61C914E2"/>
    <w:rsid w:val="62555527"/>
    <w:rsid w:val="63EF4EF4"/>
    <w:rsid w:val="64010535"/>
    <w:rsid w:val="6450114D"/>
    <w:rsid w:val="64DD21C4"/>
    <w:rsid w:val="64DE4B65"/>
    <w:rsid w:val="64FF0DBB"/>
    <w:rsid w:val="6512226C"/>
    <w:rsid w:val="65961FDB"/>
    <w:rsid w:val="65A77CDC"/>
    <w:rsid w:val="65CC40FD"/>
    <w:rsid w:val="660E575C"/>
    <w:rsid w:val="661553DD"/>
    <w:rsid w:val="676D6CD8"/>
    <w:rsid w:val="68453209"/>
    <w:rsid w:val="68494B33"/>
    <w:rsid w:val="6892678B"/>
    <w:rsid w:val="6926705E"/>
    <w:rsid w:val="692C5785"/>
    <w:rsid w:val="697E51C5"/>
    <w:rsid w:val="698C2EBC"/>
    <w:rsid w:val="69B931E4"/>
    <w:rsid w:val="69ED729E"/>
    <w:rsid w:val="6A2A55F0"/>
    <w:rsid w:val="6A5000C3"/>
    <w:rsid w:val="6AB55809"/>
    <w:rsid w:val="6AF75A28"/>
    <w:rsid w:val="6AFF5C09"/>
    <w:rsid w:val="6B3562B1"/>
    <w:rsid w:val="6C0C480C"/>
    <w:rsid w:val="6C202929"/>
    <w:rsid w:val="6C5F4325"/>
    <w:rsid w:val="6C8B24FF"/>
    <w:rsid w:val="6CEF01FA"/>
    <w:rsid w:val="6DF57CD7"/>
    <w:rsid w:val="6DFA19DB"/>
    <w:rsid w:val="6EE44548"/>
    <w:rsid w:val="6F02693C"/>
    <w:rsid w:val="6F3B0A4F"/>
    <w:rsid w:val="6FAC04F9"/>
    <w:rsid w:val="6FC55C27"/>
    <w:rsid w:val="70E5557D"/>
    <w:rsid w:val="720110A1"/>
    <w:rsid w:val="723B10BE"/>
    <w:rsid w:val="72605AD8"/>
    <w:rsid w:val="73BF4A32"/>
    <w:rsid w:val="73C116F9"/>
    <w:rsid w:val="73C246FB"/>
    <w:rsid w:val="73D82B5A"/>
    <w:rsid w:val="74585BD6"/>
    <w:rsid w:val="74913ABD"/>
    <w:rsid w:val="74980AE3"/>
    <w:rsid w:val="7573179A"/>
    <w:rsid w:val="75B43769"/>
    <w:rsid w:val="76531975"/>
    <w:rsid w:val="766012D4"/>
    <w:rsid w:val="766D700F"/>
    <w:rsid w:val="767A4E67"/>
    <w:rsid w:val="767E60F8"/>
    <w:rsid w:val="76986B10"/>
    <w:rsid w:val="76FC463E"/>
    <w:rsid w:val="774E038E"/>
    <w:rsid w:val="777B3319"/>
    <w:rsid w:val="77E32367"/>
    <w:rsid w:val="781C6AED"/>
    <w:rsid w:val="7A675578"/>
    <w:rsid w:val="7A914832"/>
    <w:rsid w:val="7AD52445"/>
    <w:rsid w:val="7B35671E"/>
    <w:rsid w:val="7B7C7259"/>
    <w:rsid w:val="7B996657"/>
    <w:rsid w:val="7BCA6B14"/>
    <w:rsid w:val="7C1026A7"/>
    <w:rsid w:val="7C1A3F5D"/>
    <w:rsid w:val="7C3657AD"/>
    <w:rsid w:val="7C4E0DFE"/>
    <w:rsid w:val="7C525876"/>
    <w:rsid w:val="7D033165"/>
    <w:rsid w:val="7DB17A5A"/>
    <w:rsid w:val="7DB86711"/>
    <w:rsid w:val="7DF47F76"/>
    <w:rsid w:val="7E4549C1"/>
    <w:rsid w:val="7ECD3A3D"/>
    <w:rsid w:val="7EEE4870"/>
    <w:rsid w:val="7F74523C"/>
    <w:rsid w:val="7FD0449E"/>
    <w:rsid w:val="7FF429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仿宋_GB2312" w:cs="Times New Roman"/>
      <w:kern w:val="2"/>
      <w:sz w:val="30"/>
      <w:szCs w:val="24"/>
      <w:lang w:val="en-US" w:eastAsia="zh-CN" w:bidi="ar-SA"/>
    </w:rPr>
  </w:style>
  <w:style w:type="paragraph" w:styleId="2">
    <w:name w:val="heading 3"/>
    <w:basedOn w:val="1"/>
    <w:next w:val="1"/>
    <w:semiHidden/>
    <w:unhideWhenUsed/>
    <w:qFormat/>
    <w:uiPriority w:val="9"/>
    <w:pPr>
      <w:keepNext/>
      <w:keepLines/>
      <w:jc w:val="left"/>
      <w:outlineLvl w:val="2"/>
    </w:pPr>
    <w:rPr>
      <w:b/>
      <w:bCs/>
      <w:szCs w:val="32"/>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toc 3"/>
    <w:basedOn w:val="1"/>
    <w:next w:val="1"/>
    <w:semiHidden/>
    <w:unhideWhenUsed/>
    <w:qFormat/>
    <w:uiPriority w:val="39"/>
    <w:pPr>
      <w:ind w:left="840" w:leftChars="400"/>
    </w:pPr>
  </w:style>
  <w:style w:type="paragraph" w:styleId="5">
    <w:name w:val="Balloon Text"/>
    <w:basedOn w:val="1"/>
    <w:link w:val="26"/>
    <w:semiHidden/>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toc 1"/>
    <w:basedOn w:val="1"/>
    <w:next w:val="1"/>
    <w:semiHidden/>
    <w:unhideWhenUsed/>
    <w:qFormat/>
    <w:uiPriority w:val="39"/>
  </w:style>
  <w:style w:type="paragraph" w:styleId="9">
    <w:name w:val="toc 2"/>
    <w:basedOn w:val="1"/>
    <w:next w:val="1"/>
    <w:semiHidden/>
    <w:unhideWhenUsed/>
    <w:qFormat/>
    <w:uiPriority w:val="39"/>
    <w:pPr>
      <w:ind w:left="420" w:leftChars="200"/>
    </w:pPr>
  </w:style>
  <w:style w:type="character" w:styleId="12">
    <w:name w:val="annotation reference"/>
    <w:basedOn w:val="11"/>
    <w:semiHidden/>
    <w:unhideWhenUsed/>
    <w:qFormat/>
    <w:uiPriority w:val="99"/>
    <w:rPr>
      <w:sz w:val="21"/>
      <w:szCs w:val="21"/>
    </w:rPr>
  </w:style>
  <w:style w:type="character" w:customStyle="1" w:styleId="13">
    <w:name w:val="页眉 字符"/>
    <w:basedOn w:val="11"/>
    <w:link w:val="7"/>
    <w:qFormat/>
    <w:uiPriority w:val="99"/>
    <w:rPr>
      <w:sz w:val="18"/>
      <w:szCs w:val="18"/>
    </w:rPr>
  </w:style>
  <w:style w:type="character" w:customStyle="1" w:styleId="14">
    <w:name w:val="页脚 字符"/>
    <w:basedOn w:val="11"/>
    <w:link w:val="6"/>
    <w:qFormat/>
    <w:uiPriority w:val="99"/>
    <w:rPr>
      <w:sz w:val="18"/>
      <w:szCs w:val="18"/>
    </w:rPr>
  </w:style>
  <w:style w:type="paragraph" w:customStyle="1" w:styleId="15">
    <w:name w:val="正文1"/>
    <w:basedOn w:val="16"/>
    <w:qFormat/>
    <w:uiPriority w:val="0"/>
    <w:pPr>
      <w:jc w:val="both"/>
    </w:pPr>
    <w:rPr>
      <w:rFonts w:ascii="Calibri" w:hAnsi="Calibri" w:eastAsia="Calibri"/>
      <w:sz w:val="21"/>
    </w:rPr>
  </w:style>
  <w:style w:type="paragraph" w:customStyle="1" w:styleId="16">
    <w:name w:val="[Normal]"/>
    <w:qFormat/>
    <w:uiPriority w:val="6"/>
    <w:pPr>
      <w:spacing w:after="160" w:line="278" w:lineRule="auto"/>
    </w:pPr>
    <w:rPr>
      <w:rFonts w:ascii="宋体" w:hAnsi="宋体" w:eastAsia="宋体" w:cstheme="minorBidi"/>
      <w:sz w:val="24"/>
      <w:szCs w:val="22"/>
      <w:lang w:val="zh-CN" w:eastAsia="zh-CN" w:bidi="ar-SA"/>
    </w:rPr>
  </w:style>
  <w:style w:type="character" w:customStyle="1" w:styleId="17">
    <w:name w:val="font21"/>
    <w:basedOn w:val="11"/>
    <w:qFormat/>
    <w:uiPriority w:val="0"/>
    <w:rPr>
      <w:rFonts w:ascii="楷体_GB2312" w:eastAsia="楷体_GB2312" w:cs="楷体_GB2312"/>
      <w:color w:val="000000"/>
      <w:sz w:val="20"/>
      <w:szCs w:val="20"/>
      <w:u w:val="none"/>
    </w:rPr>
  </w:style>
  <w:style w:type="character" w:customStyle="1" w:styleId="18">
    <w:name w:val="font11"/>
    <w:basedOn w:val="11"/>
    <w:qFormat/>
    <w:uiPriority w:val="0"/>
    <w:rPr>
      <w:rFonts w:hint="default" w:ascii="楷体_GB2312" w:eastAsia="楷体_GB2312" w:cs="楷体_GB2312"/>
      <w:color w:val="000000"/>
      <w:sz w:val="20"/>
      <w:szCs w:val="20"/>
      <w:u w:val="none"/>
    </w:rPr>
  </w:style>
  <w:style w:type="character" w:customStyle="1" w:styleId="19">
    <w:name w:val="font31"/>
    <w:basedOn w:val="11"/>
    <w:qFormat/>
    <w:uiPriority w:val="0"/>
    <w:rPr>
      <w:rFonts w:hint="eastAsia" w:ascii="宋体" w:hAnsi="宋体" w:eastAsia="宋体" w:cs="宋体"/>
      <w:color w:val="000000"/>
      <w:sz w:val="20"/>
      <w:szCs w:val="20"/>
      <w:u w:val="none"/>
    </w:rPr>
  </w:style>
  <w:style w:type="character" w:customStyle="1" w:styleId="20">
    <w:name w:val="font61"/>
    <w:basedOn w:val="11"/>
    <w:qFormat/>
    <w:uiPriority w:val="0"/>
    <w:rPr>
      <w:rFonts w:hint="default" w:ascii="楷体_GB2312" w:eastAsia="楷体_GB2312" w:cs="楷体_GB2312"/>
      <w:color w:val="000000"/>
      <w:sz w:val="20"/>
      <w:szCs w:val="20"/>
      <w:u w:val="none"/>
    </w:rPr>
  </w:style>
  <w:style w:type="paragraph" w:customStyle="1" w:styleId="21">
    <w:name w:val="WPSOffice手动目录 1"/>
    <w:qFormat/>
    <w:uiPriority w:val="0"/>
    <w:pPr>
      <w:spacing w:after="160" w:line="278" w:lineRule="auto"/>
    </w:pPr>
    <w:rPr>
      <w:rFonts w:ascii="Times New Roman" w:hAnsi="Times New Roman" w:eastAsia="宋体" w:cs="Times New Roman"/>
      <w:lang w:val="en-US" w:eastAsia="zh-CN" w:bidi="ar-SA"/>
    </w:rPr>
  </w:style>
  <w:style w:type="paragraph" w:customStyle="1" w:styleId="22">
    <w:name w:val="WPSOffice手动目录 2"/>
    <w:qFormat/>
    <w:uiPriority w:val="0"/>
    <w:pPr>
      <w:spacing w:after="160" w:line="278" w:lineRule="auto"/>
      <w:ind w:left="200" w:leftChars="200"/>
    </w:pPr>
    <w:rPr>
      <w:rFonts w:ascii="Times New Roman" w:hAnsi="Times New Roman" w:eastAsia="宋体" w:cs="Times New Roman"/>
      <w:lang w:val="en-US" w:eastAsia="zh-CN" w:bidi="ar-SA"/>
    </w:rPr>
  </w:style>
  <w:style w:type="paragraph" w:customStyle="1" w:styleId="23">
    <w:name w:val="WPSOffice手动目录 3"/>
    <w:qFormat/>
    <w:uiPriority w:val="0"/>
    <w:pPr>
      <w:spacing w:after="160" w:line="278" w:lineRule="auto"/>
      <w:ind w:left="400" w:leftChars="400"/>
    </w:pPr>
    <w:rPr>
      <w:rFonts w:ascii="Times New Roman" w:hAnsi="Times New Roman" w:eastAsia="宋体" w:cs="Times New Roman"/>
      <w:lang w:val="en-US" w:eastAsia="zh-CN" w:bidi="ar-SA"/>
    </w:rPr>
  </w:style>
  <w:style w:type="character" w:customStyle="1" w:styleId="24">
    <w:name w:val="font41"/>
    <w:basedOn w:val="11"/>
    <w:qFormat/>
    <w:uiPriority w:val="0"/>
    <w:rPr>
      <w:rFonts w:hint="eastAsia" w:ascii="宋体" w:hAnsi="宋体" w:eastAsia="宋体" w:cs="宋体"/>
      <w:color w:val="000000"/>
      <w:sz w:val="20"/>
      <w:szCs w:val="20"/>
      <w:u w:val="none"/>
    </w:rPr>
  </w:style>
  <w:style w:type="paragraph" w:styleId="25">
    <w:name w:val="List Paragraph"/>
    <w:basedOn w:val="1"/>
    <w:qFormat/>
    <w:uiPriority w:val="99"/>
    <w:pPr>
      <w:ind w:firstLine="420" w:firstLineChars="200"/>
    </w:pPr>
  </w:style>
  <w:style w:type="character" w:customStyle="1" w:styleId="26">
    <w:name w:val="批注框文本 字符"/>
    <w:basedOn w:val="11"/>
    <w:link w:val="5"/>
    <w:semiHidden/>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chart" Target="charts/chart6.xml"/><Relationship Id="rId15" Type="http://schemas.openxmlformats.org/officeDocument/2006/relationships/chart" Target="charts/chart5.xml"/><Relationship Id="rId14" Type="http://schemas.openxmlformats.org/officeDocument/2006/relationships/chart" Target="charts/chart4.xml"/><Relationship Id="rId13" Type="http://schemas.openxmlformats.org/officeDocument/2006/relationships/chart" Target="charts/chart3.xml"/><Relationship Id="rId12" Type="http://schemas.openxmlformats.org/officeDocument/2006/relationships/chart" Target="charts/chart2.xml"/><Relationship Id="rId11" Type="http://schemas.openxmlformats.org/officeDocument/2006/relationships/image" Target="media/image2.png"/><Relationship Id="rId10" Type="http://schemas.openxmlformats.org/officeDocument/2006/relationships/chart" Target="charts/chart1.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1" Type="http://schemas.openxmlformats.org/officeDocument/2006/relationships/oleObject" Target="file:///C:\Users\ahhhy\Desktop\&#32489;&#25928;&#35780;&#20215;&#25351;&#26631;&#24213;&#31295;.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hhhy\Desktop\&#32489;&#25928;&#35780;&#20215;&#25351;&#26631;&#24213;&#31295;.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hhhy\Desktop\&#32489;&#25928;&#35780;&#20215;&#25351;&#26631;&#24213;&#31295;.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ahhhy\Desktop\&#32489;&#25928;&#35780;&#20215;&#25351;&#26631;&#24213;&#31295;.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ahhhy\Desktop\&#32489;&#25928;&#35780;&#20215;&#25351;&#26631;&#24213;&#31295;.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ahhhy\Desktop\&#32489;&#25928;&#35780;&#20215;&#25351;&#26631;&#24213;&#3129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b="0"/>
              <a:t>项目总体得分情况</a:t>
            </a:r>
            <a:endParaRPr lang="zh-CN" altLang="en-US" b="0"/>
          </a:p>
        </c:rich>
      </c:tx>
      <c:layout/>
      <c:overlay val="0"/>
    </c:title>
    <c:autoTitleDeleted val="0"/>
    <c:plotArea>
      <c:layout/>
      <c:barChart>
        <c:barDir val="col"/>
        <c:grouping val="clustered"/>
        <c:varyColors val="0"/>
        <c:ser>
          <c:idx val="0"/>
          <c:order val="0"/>
          <c:tx>
            <c:strRef>
              <c:f>[绩效评价指标底稿.xlsx]项目总体得分!$B$1</c:f>
              <c:strCache>
                <c:ptCount val="1"/>
                <c:pt idx="0">
                  <c:v>权重</c:v>
                </c:pt>
              </c:strCache>
            </c:strRef>
          </c:tx>
          <c:spPr>
            <a:solidFill>
              <a:schemeClr val="accent1"/>
            </a:solidFill>
            <a:ln>
              <a:noFill/>
            </a:ln>
            <a:effectLst/>
          </c:spPr>
          <c:invertIfNegative val="0"/>
          <c:dLbls>
            <c:delete val="1"/>
          </c:dLbls>
          <c:cat>
            <c:strRef>
              <c:f>[绩效评价指标底稿.xlsx]项目总体得分!$A$2:$A$9</c:f>
              <c:strCache>
                <c:ptCount val="5"/>
                <c:pt idx="0">
                  <c:v>投入</c:v>
                </c:pt>
                <c:pt idx="1">
                  <c:v>过程</c:v>
                </c:pt>
                <c:pt idx="2">
                  <c:v>产出</c:v>
                </c:pt>
                <c:pt idx="3">
                  <c:v>效果</c:v>
                </c:pt>
                <c:pt idx="4">
                  <c:v>总分</c:v>
                </c:pt>
              </c:strCache>
            </c:strRef>
          </c:cat>
          <c:val>
            <c:numRef>
              <c:f>项目总体得分!$B$2:$B$9</c:f>
              <c:numCache>
                <c:formatCode>General</c:formatCode>
                <c:ptCount val="5"/>
                <c:pt idx="0">
                  <c:v>16</c:v>
                </c:pt>
                <c:pt idx="1">
                  <c:v>24</c:v>
                </c:pt>
                <c:pt idx="2">
                  <c:v>30</c:v>
                </c:pt>
                <c:pt idx="3">
                  <c:v>30</c:v>
                </c:pt>
                <c:pt idx="4">
                  <c:v>100</c:v>
                </c:pt>
              </c:numCache>
            </c:numRef>
          </c:val>
        </c:ser>
        <c:ser>
          <c:idx val="1"/>
          <c:order val="1"/>
          <c:tx>
            <c:strRef>
              <c:f>[绩效评价指标底稿.xlsx]项目总体得分!$C$1</c:f>
              <c:strCache>
                <c:ptCount val="1"/>
                <c:pt idx="0">
                  <c:v>分数</c:v>
                </c:pt>
              </c:strCache>
            </c:strRef>
          </c:tx>
          <c:spPr>
            <a:solidFill>
              <a:schemeClr val="accent2"/>
            </a:solidFill>
            <a:ln>
              <a:noFill/>
            </a:ln>
            <a:effectLst/>
          </c:spPr>
          <c:invertIfNegative val="0"/>
          <c:dLbls>
            <c:delete val="1"/>
          </c:dLbls>
          <c:cat>
            <c:strRef>
              <c:f>[绩效评价指标底稿.xlsx]项目总体得分!$A$2:$A$9</c:f>
              <c:strCache>
                <c:ptCount val="5"/>
                <c:pt idx="0">
                  <c:v>投入</c:v>
                </c:pt>
                <c:pt idx="1">
                  <c:v>过程</c:v>
                </c:pt>
                <c:pt idx="2">
                  <c:v>产出</c:v>
                </c:pt>
                <c:pt idx="3">
                  <c:v>效果</c:v>
                </c:pt>
                <c:pt idx="4">
                  <c:v>总分</c:v>
                </c:pt>
              </c:strCache>
            </c:strRef>
          </c:cat>
          <c:val>
            <c:numRef>
              <c:f>项目总体得分!$C$2:$C$9</c:f>
              <c:numCache>
                <c:formatCode>General</c:formatCode>
                <c:ptCount val="5"/>
                <c:pt idx="0">
                  <c:v>14</c:v>
                </c:pt>
                <c:pt idx="1">
                  <c:v>24</c:v>
                </c:pt>
                <c:pt idx="2">
                  <c:v>26</c:v>
                </c:pt>
                <c:pt idx="3">
                  <c:v>28</c:v>
                </c:pt>
                <c:pt idx="4">
                  <c:v>92</c:v>
                </c:pt>
              </c:numCache>
            </c:numRef>
          </c:val>
        </c:ser>
        <c:dLbls>
          <c:showLegendKey val="0"/>
          <c:showVal val="0"/>
          <c:showCatName val="0"/>
          <c:showSerName val="0"/>
          <c:showPercent val="0"/>
          <c:showBubbleSize val="0"/>
        </c:dLbls>
        <c:gapWidth val="150"/>
        <c:axId val="336307712"/>
        <c:axId val="336309248"/>
      </c:barChart>
      <c:catAx>
        <c:axId val="33630771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36309248"/>
        <c:crosses val="autoZero"/>
        <c:auto val="1"/>
        <c:lblAlgn val="ctr"/>
        <c:lblOffset val="100"/>
        <c:noMultiLvlLbl val="0"/>
      </c:catAx>
      <c:valAx>
        <c:axId val="33630924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36307712"/>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solidFill>
                  <a:sysClr val="windowText" lastClr="000000"/>
                </a:solidFill>
              </a:rPr>
              <a:t>投入指标评分情况</a:t>
            </a:r>
            <a:endParaRPr lang="zh-CN" altLang="en-US">
              <a:solidFill>
                <a:sysClr val="windowText" lastClr="000000"/>
              </a:solidFill>
            </a:endParaRPr>
          </a:p>
        </c:rich>
      </c:tx>
      <c:layout/>
      <c:overlay val="0"/>
      <c:spPr>
        <a:noFill/>
        <a:ln>
          <a:noFill/>
        </a:ln>
        <a:effectLst/>
      </c:spPr>
    </c:title>
    <c:autoTitleDeleted val="0"/>
    <c:plotArea>
      <c:layout/>
      <c:barChart>
        <c:barDir val="col"/>
        <c:grouping val="clustered"/>
        <c:varyColors val="0"/>
        <c:ser>
          <c:idx val="0"/>
          <c:order val="0"/>
          <c:tx>
            <c:strRef>
              <c:f>投入!$B$1</c:f>
              <c:strCache>
                <c:ptCount val="1"/>
                <c:pt idx="0">
                  <c:v>标准分值</c:v>
                </c:pt>
              </c:strCache>
            </c:strRef>
          </c:tx>
          <c:spPr>
            <a:solidFill>
              <a:schemeClr val="accent1"/>
            </a:solidFill>
            <a:ln>
              <a:noFill/>
            </a:ln>
            <a:effectLst/>
          </c:spPr>
          <c:invertIfNegative val="0"/>
          <c:dLbls>
            <c:delete val="1"/>
          </c:dLbls>
          <c:cat>
            <c:strRef>
              <c:f>投入!$A$2:$A$5</c:f>
              <c:strCache>
                <c:ptCount val="4"/>
                <c:pt idx="0">
                  <c:v>项目立项规范性</c:v>
                </c:pt>
                <c:pt idx="1">
                  <c:v>绩效目标合理性</c:v>
                </c:pt>
                <c:pt idx="2">
                  <c:v>资金到位率</c:v>
                </c:pt>
                <c:pt idx="3">
                  <c:v>到位及时率</c:v>
                </c:pt>
              </c:strCache>
            </c:strRef>
          </c:cat>
          <c:val>
            <c:numRef>
              <c:f>投入!$B$2:$B$5</c:f>
              <c:numCache>
                <c:formatCode>General</c:formatCode>
                <c:ptCount val="4"/>
                <c:pt idx="0">
                  <c:v>4</c:v>
                </c:pt>
                <c:pt idx="1">
                  <c:v>4</c:v>
                </c:pt>
                <c:pt idx="2">
                  <c:v>4</c:v>
                </c:pt>
                <c:pt idx="3">
                  <c:v>4</c:v>
                </c:pt>
              </c:numCache>
            </c:numRef>
          </c:val>
        </c:ser>
        <c:dLbls>
          <c:showLegendKey val="0"/>
          <c:showVal val="0"/>
          <c:showCatName val="0"/>
          <c:showSerName val="0"/>
          <c:showPercent val="0"/>
          <c:showBubbleSize val="0"/>
        </c:dLbls>
        <c:gapWidth val="150"/>
        <c:axId val="336963072"/>
        <c:axId val="336964608"/>
      </c:barChart>
      <c:lineChart>
        <c:grouping val="standard"/>
        <c:varyColors val="0"/>
        <c:ser>
          <c:idx val="1"/>
          <c:order val="1"/>
          <c:tx>
            <c:strRef>
              <c:f>投入!$C$1</c:f>
              <c:strCache>
                <c:ptCount val="1"/>
                <c:pt idx="0">
                  <c:v>得分</c:v>
                </c:pt>
              </c:strCache>
            </c:strRef>
          </c:tx>
          <c:spPr>
            <a:ln w="28575" cap="rnd" cmpd="sng" algn="ctr">
              <a:solidFill>
                <a:schemeClr val="accent2"/>
              </a:solidFill>
              <a:prstDash val="solid"/>
              <a:round/>
            </a:ln>
            <a:effectLst/>
          </c:spPr>
          <c:marker>
            <c:symbol val="none"/>
          </c:marker>
          <c:dLbls>
            <c:delete val="1"/>
          </c:dLbls>
          <c:cat>
            <c:strRef>
              <c:f>投入!$A$2:$A$5</c:f>
              <c:strCache>
                <c:ptCount val="4"/>
                <c:pt idx="0">
                  <c:v>项目立项规范性</c:v>
                </c:pt>
                <c:pt idx="1">
                  <c:v>绩效目标合理性</c:v>
                </c:pt>
                <c:pt idx="2">
                  <c:v>资金到位率</c:v>
                </c:pt>
                <c:pt idx="3">
                  <c:v>到位及时率</c:v>
                </c:pt>
              </c:strCache>
            </c:strRef>
          </c:cat>
          <c:val>
            <c:numRef>
              <c:f>投入!$C$2:$C$5</c:f>
              <c:numCache>
                <c:formatCode>General</c:formatCode>
                <c:ptCount val="4"/>
                <c:pt idx="0">
                  <c:v>4</c:v>
                </c:pt>
                <c:pt idx="1">
                  <c:v>2</c:v>
                </c:pt>
                <c:pt idx="2">
                  <c:v>4</c:v>
                </c:pt>
                <c:pt idx="3">
                  <c:v>4</c:v>
                </c:pt>
              </c:numCache>
            </c:numRef>
          </c:val>
          <c:smooth val="0"/>
        </c:ser>
        <c:dLbls>
          <c:showLegendKey val="0"/>
          <c:showVal val="0"/>
          <c:showCatName val="0"/>
          <c:showSerName val="0"/>
          <c:showPercent val="0"/>
          <c:showBubbleSize val="0"/>
        </c:dLbls>
        <c:marker val="0"/>
        <c:smooth val="0"/>
        <c:axId val="336963072"/>
        <c:axId val="336964608"/>
      </c:lineChart>
      <c:catAx>
        <c:axId val="33696307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36964608"/>
        <c:crosses val="autoZero"/>
        <c:auto val="1"/>
        <c:lblAlgn val="ctr"/>
        <c:lblOffset val="100"/>
        <c:noMultiLvlLbl val="0"/>
      </c:catAx>
      <c:valAx>
        <c:axId val="33696460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36963072"/>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no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solidFill>
                  <a:sysClr val="windowText" lastClr="000000"/>
                </a:solidFill>
              </a:rPr>
              <a:t>过程指标评分情况</a:t>
            </a:r>
            <a:endParaRPr lang="zh-CN" altLang="en-US">
              <a:solidFill>
                <a:sysClr val="windowText" lastClr="000000"/>
              </a:solidFill>
            </a:endParaRPr>
          </a:p>
        </c:rich>
      </c:tx>
      <c:layout/>
      <c:overlay val="0"/>
      <c:spPr>
        <a:noFill/>
        <a:ln>
          <a:noFill/>
        </a:ln>
        <a:effectLst/>
      </c:spPr>
    </c:title>
    <c:autoTitleDeleted val="0"/>
    <c:plotArea>
      <c:layout/>
      <c:barChart>
        <c:barDir val="col"/>
        <c:grouping val="clustered"/>
        <c:varyColors val="0"/>
        <c:ser>
          <c:idx val="0"/>
          <c:order val="0"/>
          <c:tx>
            <c:strRef>
              <c:f>过程!$B$1</c:f>
              <c:strCache>
                <c:ptCount val="1"/>
                <c:pt idx="0">
                  <c:v>标准分值</c:v>
                </c:pt>
              </c:strCache>
            </c:strRef>
          </c:tx>
          <c:spPr>
            <a:solidFill>
              <a:schemeClr val="accent1"/>
            </a:solidFill>
            <a:ln>
              <a:noFill/>
            </a:ln>
            <a:effectLst/>
          </c:spPr>
          <c:invertIfNegative val="0"/>
          <c:dLbls>
            <c:delete val="1"/>
          </c:dLbls>
          <c:cat>
            <c:strRef>
              <c:f>过程!$A$2:$A$8</c:f>
              <c:strCache>
                <c:ptCount val="6"/>
                <c:pt idx="0">
                  <c:v>管理制度健全性</c:v>
                </c:pt>
                <c:pt idx="1">
                  <c:v>制度执行有效性</c:v>
                </c:pt>
                <c:pt idx="2">
                  <c:v>项目质量可控性</c:v>
                </c:pt>
                <c:pt idx="3">
                  <c:v>财务制度健全性</c:v>
                </c:pt>
                <c:pt idx="4">
                  <c:v>资金使用合规性</c:v>
                </c:pt>
                <c:pt idx="5">
                  <c:v>财务监控有效性</c:v>
                </c:pt>
              </c:strCache>
            </c:strRef>
          </c:cat>
          <c:val>
            <c:numRef>
              <c:f>过程!$B$2:$B$8</c:f>
              <c:numCache>
                <c:formatCode>General</c:formatCode>
                <c:ptCount val="7"/>
                <c:pt idx="0">
                  <c:v>4</c:v>
                </c:pt>
                <c:pt idx="1">
                  <c:v>4</c:v>
                </c:pt>
                <c:pt idx="2">
                  <c:v>4</c:v>
                </c:pt>
                <c:pt idx="3">
                  <c:v>4</c:v>
                </c:pt>
                <c:pt idx="4">
                  <c:v>4</c:v>
                </c:pt>
                <c:pt idx="5">
                  <c:v>4</c:v>
                </c:pt>
              </c:numCache>
            </c:numRef>
          </c:val>
        </c:ser>
        <c:dLbls>
          <c:showLegendKey val="0"/>
          <c:showVal val="0"/>
          <c:showCatName val="0"/>
          <c:showSerName val="0"/>
          <c:showPercent val="0"/>
          <c:showBubbleSize val="0"/>
        </c:dLbls>
        <c:gapWidth val="150"/>
        <c:axId val="338134912"/>
        <c:axId val="338136448"/>
      </c:barChart>
      <c:lineChart>
        <c:grouping val="standard"/>
        <c:varyColors val="0"/>
        <c:ser>
          <c:idx val="1"/>
          <c:order val="1"/>
          <c:tx>
            <c:strRef>
              <c:f>过程!$C$1</c:f>
              <c:strCache>
                <c:ptCount val="1"/>
                <c:pt idx="0">
                  <c:v>得分</c:v>
                </c:pt>
              </c:strCache>
            </c:strRef>
          </c:tx>
          <c:spPr>
            <a:ln w="28575" cap="rnd" cmpd="sng" algn="ctr">
              <a:solidFill>
                <a:schemeClr val="accent2"/>
              </a:solidFill>
              <a:prstDash val="solid"/>
              <a:round/>
            </a:ln>
            <a:effectLst/>
          </c:spPr>
          <c:marker>
            <c:symbol val="none"/>
          </c:marker>
          <c:dLbls>
            <c:delete val="1"/>
          </c:dLbls>
          <c:cat>
            <c:strRef>
              <c:f>过程!$A$2:$A$8</c:f>
              <c:strCache>
                <c:ptCount val="6"/>
                <c:pt idx="0">
                  <c:v>管理制度健全性</c:v>
                </c:pt>
                <c:pt idx="1">
                  <c:v>制度执行有效性</c:v>
                </c:pt>
                <c:pt idx="2">
                  <c:v>项目质量可控性</c:v>
                </c:pt>
                <c:pt idx="3">
                  <c:v>财务制度健全性</c:v>
                </c:pt>
                <c:pt idx="4">
                  <c:v>资金使用合规性</c:v>
                </c:pt>
                <c:pt idx="5">
                  <c:v>财务监控有效性</c:v>
                </c:pt>
              </c:strCache>
            </c:strRef>
          </c:cat>
          <c:val>
            <c:numRef>
              <c:f>过程!$C$2:$C$8</c:f>
              <c:numCache>
                <c:formatCode>General</c:formatCode>
                <c:ptCount val="7"/>
                <c:pt idx="0">
                  <c:v>4</c:v>
                </c:pt>
                <c:pt idx="1">
                  <c:v>4</c:v>
                </c:pt>
                <c:pt idx="2">
                  <c:v>4</c:v>
                </c:pt>
                <c:pt idx="3">
                  <c:v>4</c:v>
                </c:pt>
                <c:pt idx="4">
                  <c:v>4</c:v>
                </c:pt>
                <c:pt idx="5">
                  <c:v>4</c:v>
                </c:pt>
              </c:numCache>
            </c:numRef>
          </c:val>
          <c:smooth val="0"/>
        </c:ser>
        <c:dLbls>
          <c:showLegendKey val="0"/>
          <c:showVal val="0"/>
          <c:showCatName val="0"/>
          <c:showSerName val="0"/>
          <c:showPercent val="0"/>
          <c:showBubbleSize val="0"/>
        </c:dLbls>
        <c:marker val="0"/>
        <c:smooth val="0"/>
        <c:axId val="338134912"/>
        <c:axId val="338136448"/>
      </c:lineChart>
      <c:catAx>
        <c:axId val="33813491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38136448"/>
        <c:crosses val="autoZero"/>
        <c:auto val="1"/>
        <c:lblAlgn val="ctr"/>
        <c:lblOffset val="100"/>
        <c:noMultiLvlLbl val="0"/>
      </c:catAx>
      <c:valAx>
        <c:axId val="338136448"/>
        <c:scaling>
          <c:orientation val="minMax"/>
        </c:scaling>
        <c:delete val="0"/>
        <c:axPos val="l"/>
        <c:majorGridlines>
          <c:spPr>
            <a:ln w="9525" cap="flat" cmpd="sng" algn="ctr">
              <a:solidFill>
                <a:schemeClr val="tx1">
                  <a:lumMod val="15000"/>
                  <a:lumOff val="85000"/>
                </a:schemeClr>
              </a:solidFill>
              <a:prstDash val="solid"/>
              <a:round/>
            </a:ln>
            <a:effectLst/>
          </c:spPr>
        </c:majorGridlines>
        <c:minorGridlines>
          <c:spPr>
            <a:ln w="6350" cap="flat" cmpd="sng" algn="ctr">
              <a:noFill/>
              <a:prstDash val="solid"/>
              <a:round/>
            </a:ln>
          </c:spPr>
        </c:min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38134912"/>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dTable>
      <c:spPr>
        <a:effectLst/>
      </c:spPr>
    </c:plotArea>
    <c:plotVisOnly val="1"/>
    <c:dispBlanksAs val="gap"/>
    <c:showDLblsOverMax val="0"/>
  </c:chart>
  <c:spPr>
    <a:solidFill>
      <a:schemeClr val="bg1"/>
    </a:solidFill>
    <a:ln w="9525" cap="flat" cmpd="sng" algn="ctr">
      <a:no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ysClr val="windowText" lastClr="000000"/>
                </a:solidFill>
                <a:latin typeface="+mn-lt"/>
                <a:ea typeface="+mn-ea"/>
                <a:cs typeface="+mn-cs"/>
              </a:defRPr>
            </a:pPr>
            <a:r>
              <a:rPr lang="zh-CN" altLang="en-US">
                <a:solidFill>
                  <a:sysClr val="windowText" lastClr="000000"/>
                </a:solidFill>
              </a:rPr>
              <a:t>产出指标得分情况</a:t>
            </a:r>
            <a:endParaRPr lang="zh-CN" altLang="en-US">
              <a:solidFill>
                <a:sysClr val="windowText" lastClr="000000"/>
              </a:solidFill>
            </a:endParaRPr>
          </a:p>
        </c:rich>
      </c:tx>
      <c:layout/>
      <c:overlay val="0"/>
      <c:spPr>
        <a:noFill/>
        <a:ln>
          <a:noFill/>
        </a:ln>
        <a:effectLst/>
      </c:spPr>
    </c:title>
    <c:autoTitleDeleted val="0"/>
    <c:plotArea>
      <c:layout/>
      <c:barChart>
        <c:barDir val="col"/>
        <c:grouping val="clustered"/>
        <c:varyColors val="0"/>
        <c:ser>
          <c:idx val="0"/>
          <c:order val="0"/>
          <c:tx>
            <c:strRef>
              <c:f>[绩效评价指标底稿.xlsx]产出!$B$1</c:f>
              <c:strCache>
                <c:ptCount val="1"/>
                <c:pt idx="0">
                  <c:v>标准分值</c:v>
                </c:pt>
              </c:strCache>
            </c:strRef>
          </c:tx>
          <c:spPr>
            <a:solidFill>
              <a:schemeClr val="accent1"/>
            </a:solidFill>
            <a:ln>
              <a:noFill/>
            </a:ln>
            <a:effectLst/>
          </c:spPr>
          <c:invertIfNegative val="0"/>
          <c:dLbls>
            <c:delete val="1"/>
          </c:dLbls>
          <c:cat>
            <c:strRef>
              <c:f>[绩效评价指标底稿.xlsx]产出!$A$2:$A$8</c:f>
              <c:strCache>
                <c:ptCount val="6"/>
                <c:pt idx="0">
                  <c:v>安全检查活动完成率</c:v>
                </c:pt>
                <c:pt idx="1">
                  <c:v>交通运输应急预案编制完成率</c:v>
                </c:pt>
                <c:pt idx="2">
                  <c:v>“两客一危”应急预案演习完成率</c:v>
                </c:pt>
                <c:pt idx="3">
                  <c:v>危货码头巡查落实率</c:v>
                </c:pt>
                <c:pt idx="4">
                  <c:v>隐患排查整治</c:v>
                </c:pt>
                <c:pt idx="5">
                  <c:v>资金使用率</c:v>
                </c:pt>
              </c:strCache>
            </c:strRef>
          </c:cat>
          <c:val>
            <c:numRef>
              <c:f>产出!$B$2:$B$8</c:f>
              <c:numCache>
                <c:formatCode>General</c:formatCode>
                <c:ptCount val="6"/>
                <c:pt idx="0">
                  <c:v>5</c:v>
                </c:pt>
                <c:pt idx="1">
                  <c:v>5</c:v>
                </c:pt>
                <c:pt idx="2">
                  <c:v>5</c:v>
                </c:pt>
                <c:pt idx="3">
                  <c:v>5</c:v>
                </c:pt>
                <c:pt idx="4">
                  <c:v>5</c:v>
                </c:pt>
                <c:pt idx="5">
                  <c:v>5</c:v>
                </c:pt>
              </c:numCache>
            </c:numRef>
          </c:val>
        </c:ser>
        <c:dLbls>
          <c:showLegendKey val="0"/>
          <c:showVal val="0"/>
          <c:showCatName val="0"/>
          <c:showSerName val="0"/>
          <c:showPercent val="0"/>
          <c:showBubbleSize val="0"/>
        </c:dLbls>
        <c:gapWidth val="150"/>
        <c:axId val="341313792"/>
        <c:axId val="341323776"/>
      </c:barChart>
      <c:lineChart>
        <c:grouping val="standard"/>
        <c:varyColors val="0"/>
        <c:ser>
          <c:idx val="1"/>
          <c:order val="1"/>
          <c:tx>
            <c:strRef>
              <c:f>[绩效评价指标底稿.xlsx]产出!$C$1</c:f>
              <c:strCache>
                <c:ptCount val="1"/>
                <c:pt idx="0">
                  <c:v>得分</c:v>
                </c:pt>
              </c:strCache>
            </c:strRef>
          </c:tx>
          <c:spPr>
            <a:ln w="28575" cap="rnd" cmpd="sng" algn="ctr">
              <a:solidFill>
                <a:schemeClr val="accent2"/>
              </a:solidFill>
              <a:prstDash val="solid"/>
              <a:round/>
            </a:ln>
            <a:effectLst/>
          </c:spPr>
          <c:marker>
            <c:symbol val="none"/>
          </c:marker>
          <c:dLbls>
            <c:delete val="1"/>
          </c:dLbls>
          <c:cat>
            <c:strRef>
              <c:f>[绩效评价指标底稿.xlsx]产出!$A$2:$A$8</c:f>
              <c:strCache>
                <c:ptCount val="6"/>
                <c:pt idx="0">
                  <c:v>安全检查活动完成率</c:v>
                </c:pt>
                <c:pt idx="1">
                  <c:v>交通运输应急预案编制完成率</c:v>
                </c:pt>
                <c:pt idx="2">
                  <c:v>“两客一危”应急预案演习完成率</c:v>
                </c:pt>
                <c:pt idx="3">
                  <c:v>危货码头巡查落实率</c:v>
                </c:pt>
                <c:pt idx="4">
                  <c:v>隐患排查整治</c:v>
                </c:pt>
                <c:pt idx="5">
                  <c:v>资金使用率</c:v>
                </c:pt>
              </c:strCache>
            </c:strRef>
          </c:cat>
          <c:val>
            <c:numRef>
              <c:f>产出!$C$2:$C$8</c:f>
              <c:numCache>
                <c:formatCode>General</c:formatCode>
                <c:ptCount val="6"/>
                <c:pt idx="0">
                  <c:v>5</c:v>
                </c:pt>
                <c:pt idx="1">
                  <c:v>5</c:v>
                </c:pt>
                <c:pt idx="2">
                  <c:v>5</c:v>
                </c:pt>
                <c:pt idx="3">
                  <c:v>5</c:v>
                </c:pt>
                <c:pt idx="4">
                  <c:v>3</c:v>
                </c:pt>
                <c:pt idx="5">
                  <c:v>3</c:v>
                </c:pt>
              </c:numCache>
            </c:numRef>
          </c:val>
          <c:smooth val="0"/>
        </c:ser>
        <c:dLbls>
          <c:showLegendKey val="0"/>
          <c:showVal val="0"/>
          <c:showCatName val="0"/>
          <c:showSerName val="0"/>
          <c:showPercent val="0"/>
          <c:showBubbleSize val="0"/>
        </c:dLbls>
        <c:marker val="0"/>
        <c:smooth val="0"/>
        <c:axId val="341313792"/>
        <c:axId val="341323776"/>
      </c:lineChart>
      <c:catAx>
        <c:axId val="34131379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1323776"/>
        <c:crosses val="autoZero"/>
        <c:auto val="1"/>
        <c:lblAlgn val="ctr"/>
        <c:lblOffset val="100"/>
        <c:noMultiLvlLbl val="0"/>
      </c:catAx>
      <c:valAx>
        <c:axId val="34132377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1313792"/>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p>
        </c:txPr>
      </c:dTable>
    </c:plotArea>
    <c:plotVisOnly val="1"/>
    <c:dispBlanksAs val="gap"/>
    <c:showDLblsOverMax val="0"/>
  </c:chart>
  <c:spPr>
    <a:solidFill>
      <a:schemeClr val="bg1"/>
    </a:solidFill>
    <a:ln w="9525" cap="flat" cmpd="sng" algn="ctr">
      <a:noFill/>
      <a:prstDash val="solid"/>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solidFill>
                  <a:sysClr val="windowText" lastClr="000000"/>
                </a:solidFill>
              </a:rPr>
              <a:t>效果指标得分情况</a:t>
            </a:r>
            <a:endParaRPr lang="zh-CN" altLang="en-US">
              <a:solidFill>
                <a:sysClr val="windowText" lastClr="000000"/>
              </a:solidFill>
            </a:endParaRPr>
          </a:p>
        </c:rich>
      </c:tx>
      <c:layout>
        <c:manualLayout>
          <c:xMode val="edge"/>
          <c:yMode val="edge"/>
          <c:x val="0.414444444444444"/>
          <c:y val="0.0243055555555556"/>
        </c:manualLayout>
      </c:layout>
      <c:overlay val="0"/>
      <c:spPr>
        <a:noFill/>
        <a:ln>
          <a:noFill/>
        </a:ln>
        <a:effectLst/>
      </c:spPr>
    </c:title>
    <c:autoTitleDeleted val="0"/>
    <c:plotArea>
      <c:layout/>
      <c:barChart>
        <c:barDir val="col"/>
        <c:grouping val="clustered"/>
        <c:varyColors val="0"/>
        <c:ser>
          <c:idx val="0"/>
          <c:order val="0"/>
          <c:tx>
            <c:strRef>
              <c:f>效果!$B$1</c:f>
              <c:strCache>
                <c:ptCount val="1"/>
                <c:pt idx="0">
                  <c:v>标准分值</c:v>
                </c:pt>
              </c:strCache>
            </c:strRef>
          </c:tx>
          <c:spPr>
            <a:solidFill>
              <a:schemeClr val="accent1"/>
            </a:solidFill>
            <a:ln>
              <a:noFill/>
            </a:ln>
            <a:effectLst/>
          </c:spPr>
          <c:invertIfNegative val="0"/>
          <c:dLbls>
            <c:delete val="1"/>
          </c:dLbls>
          <c:cat>
            <c:strRef>
              <c:f>效果!$A$2:$A$7</c:f>
              <c:strCache>
                <c:ptCount val="6"/>
                <c:pt idx="0">
                  <c:v>安全生产培训覆盖率</c:v>
                </c:pt>
                <c:pt idx="1">
                  <c:v>安全生产宣传多样化</c:v>
                </c:pt>
                <c:pt idx="2">
                  <c:v>通航水域水质无污染率</c:v>
                </c:pt>
                <c:pt idx="3">
                  <c:v>安全事故减少</c:v>
                </c:pt>
                <c:pt idx="4">
                  <c:v>可持续性</c:v>
                </c:pt>
                <c:pt idx="5">
                  <c:v>社会公众满意度</c:v>
                </c:pt>
              </c:strCache>
            </c:strRef>
          </c:cat>
          <c:val>
            <c:numRef>
              <c:f>效果!$B$2:$B$7</c:f>
              <c:numCache>
                <c:formatCode>General</c:formatCode>
                <c:ptCount val="6"/>
                <c:pt idx="0">
                  <c:v>5</c:v>
                </c:pt>
                <c:pt idx="1">
                  <c:v>5</c:v>
                </c:pt>
                <c:pt idx="2">
                  <c:v>5</c:v>
                </c:pt>
                <c:pt idx="3">
                  <c:v>5</c:v>
                </c:pt>
                <c:pt idx="4">
                  <c:v>5</c:v>
                </c:pt>
                <c:pt idx="5">
                  <c:v>5</c:v>
                </c:pt>
              </c:numCache>
            </c:numRef>
          </c:val>
        </c:ser>
        <c:dLbls>
          <c:showLegendKey val="0"/>
          <c:showVal val="0"/>
          <c:showCatName val="0"/>
          <c:showSerName val="0"/>
          <c:showPercent val="0"/>
          <c:showBubbleSize val="0"/>
        </c:dLbls>
        <c:gapWidth val="150"/>
        <c:axId val="341379712"/>
        <c:axId val="341381504"/>
      </c:barChart>
      <c:lineChart>
        <c:grouping val="standard"/>
        <c:varyColors val="0"/>
        <c:ser>
          <c:idx val="1"/>
          <c:order val="1"/>
          <c:tx>
            <c:strRef>
              <c:f>效果!$C$1</c:f>
              <c:strCache>
                <c:ptCount val="1"/>
                <c:pt idx="0">
                  <c:v>得分</c:v>
                </c:pt>
              </c:strCache>
            </c:strRef>
          </c:tx>
          <c:spPr>
            <a:ln w="28575" cap="rnd" cmpd="sng" algn="ctr">
              <a:solidFill>
                <a:schemeClr val="accent2"/>
              </a:solidFill>
              <a:prstDash val="solid"/>
              <a:round/>
            </a:ln>
            <a:effectLst/>
          </c:spPr>
          <c:marker>
            <c:symbol val="none"/>
          </c:marker>
          <c:dLbls>
            <c:delete val="1"/>
          </c:dLbls>
          <c:cat>
            <c:strRef>
              <c:f>效果!$A$2:$A$7</c:f>
              <c:strCache>
                <c:ptCount val="6"/>
                <c:pt idx="0">
                  <c:v>安全生产培训覆盖率</c:v>
                </c:pt>
                <c:pt idx="1">
                  <c:v>安全生产宣传多样化</c:v>
                </c:pt>
                <c:pt idx="2">
                  <c:v>通航水域水质无污染率</c:v>
                </c:pt>
                <c:pt idx="3">
                  <c:v>安全事故减少</c:v>
                </c:pt>
                <c:pt idx="4">
                  <c:v>可持续性</c:v>
                </c:pt>
                <c:pt idx="5">
                  <c:v>社会公众满意度</c:v>
                </c:pt>
              </c:strCache>
            </c:strRef>
          </c:cat>
          <c:val>
            <c:numRef>
              <c:f>效果!$C$2:$C$7</c:f>
              <c:numCache>
                <c:formatCode>General</c:formatCode>
                <c:ptCount val="6"/>
                <c:pt idx="0">
                  <c:v>5</c:v>
                </c:pt>
                <c:pt idx="1">
                  <c:v>5</c:v>
                </c:pt>
                <c:pt idx="2">
                  <c:v>5</c:v>
                </c:pt>
                <c:pt idx="3">
                  <c:v>3</c:v>
                </c:pt>
                <c:pt idx="4">
                  <c:v>5</c:v>
                </c:pt>
                <c:pt idx="5">
                  <c:v>5</c:v>
                </c:pt>
              </c:numCache>
            </c:numRef>
          </c:val>
          <c:smooth val="0"/>
        </c:ser>
        <c:dLbls>
          <c:showLegendKey val="0"/>
          <c:showVal val="0"/>
          <c:showCatName val="0"/>
          <c:showSerName val="0"/>
          <c:showPercent val="0"/>
          <c:showBubbleSize val="0"/>
        </c:dLbls>
        <c:marker val="0"/>
        <c:smooth val="0"/>
        <c:axId val="341379712"/>
        <c:axId val="341381504"/>
      </c:lineChart>
      <c:catAx>
        <c:axId val="34137971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1381504"/>
        <c:crosses val="autoZero"/>
        <c:auto val="1"/>
        <c:lblAlgn val="ctr"/>
        <c:lblOffset val="100"/>
        <c:noMultiLvlLbl val="0"/>
      </c:catAx>
      <c:valAx>
        <c:axId val="34138150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1379712"/>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noFill/>
      <a:prstDash val="solid"/>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b="0"/>
              <a:t>项目总体得分情况</a:t>
            </a:r>
            <a:endParaRPr lang="zh-CN" altLang="en-US" b="0"/>
          </a:p>
        </c:rich>
      </c:tx>
      <c:layout/>
      <c:overlay val="0"/>
    </c:title>
    <c:autoTitleDeleted val="0"/>
    <c:plotArea>
      <c:layout/>
      <c:barChart>
        <c:barDir val="col"/>
        <c:grouping val="clustered"/>
        <c:varyColors val="0"/>
        <c:ser>
          <c:idx val="0"/>
          <c:order val="0"/>
          <c:tx>
            <c:strRef>
              <c:f>[绩效评价指标底稿.xlsx]项目总体得分!$B$1</c:f>
              <c:strCache>
                <c:ptCount val="1"/>
                <c:pt idx="0">
                  <c:v>权重</c:v>
                </c:pt>
              </c:strCache>
            </c:strRef>
          </c:tx>
          <c:spPr>
            <a:solidFill>
              <a:schemeClr val="accent1"/>
            </a:solidFill>
            <a:ln>
              <a:noFill/>
            </a:ln>
            <a:effectLst/>
          </c:spPr>
          <c:invertIfNegative val="0"/>
          <c:dLbls>
            <c:delete val="1"/>
          </c:dLbls>
          <c:cat>
            <c:strRef>
              <c:f>[绩效评价指标底稿.xlsx]项目总体得分!$A$2:$A$9</c:f>
              <c:strCache>
                <c:ptCount val="5"/>
                <c:pt idx="0">
                  <c:v>投入</c:v>
                </c:pt>
                <c:pt idx="1">
                  <c:v>过程</c:v>
                </c:pt>
                <c:pt idx="2">
                  <c:v>产出</c:v>
                </c:pt>
                <c:pt idx="3">
                  <c:v>效果</c:v>
                </c:pt>
                <c:pt idx="4">
                  <c:v>总分</c:v>
                </c:pt>
              </c:strCache>
            </c:strRef>
          </c:cat>
          <c:val>
            <c:numRef>
              <c:f>项目总体得分!$B$2:$B$9</c:f>
              <c:numCache>
                <c:formatCode>General</c:formatCode>
                <c:ptCount val="5"/>
                <c:pt idx="0">
                  <c:v>16</c:v>
                </c:pt>
                <c:pt idx="1">
                  <c:v>24</c:v>
                </c:pt>
                <c:pt idx="2">
                  <c:v>30</c:v>
                </c:pt>
                <c:pt idx="3">
                  <c:v>30</c:v>
                </c:pt>
                <c:pt idx="4">
                  <c:v>100</c:v>
                </c:pt>
              </c:numCache>
            </c:numRef>
          </c:val>
        </c:ser>
        <c:ser>
          <c:idx val="1"/>
          <c:order val="1"/>
          <c:tx>
            <c:strRef>
              <c:f>[绩效评价指标底稿.xlsx]项目总体得分!$C$1</c:f>
              <c:strCache>
                <c:ptCount val="1"/>
                <c:pt idx="0">
                  <c:v>分数</c:v>
                </c:pt>
              </c:strCache>
            </c:strRef>
          </c:tx>
          <c:spPr>
            <a:solidFill>
              <a:schemeClr val="accent2"/>
            </a:solidFill>
            <a:ln>
              <a:noFill/>
            </a:ln>
            <a:effectLst/>
          </c:spPr>
          <c:invertIfNegative val="0"/>
          <c:dLbls>
            <c:delete val="1"/>
          </c:dLbls>
          <c:cat>
            <c:strRef>
              <c:f>[绩效评价指标底稿.xlsx]项目总体得分!$A$2:$A$9</c:f>
              <c:strCache>
                <c:ptCount val="5"/>
                <c:pt idx="0">
                  <c:v>投入</c:v>
                </c:pt>
                <c:pt idx="1">
                  <c:v>过程</c:v>
                </c:pt>
                <c:pt idx="2">
                  <c:v>产出</c:v>
                </c:pt>
                <c:pt idx="3">
                  <c:v>效果</c:v>
                </c:pt>
                <c:pt idx="4">
                  <c:v>总分</c:v>
                </c:pt>
              </c:strCache>
            </c:strRef>
          </c:cat>
          <c:val>
            <c:numRef>
              <c:f>项目总体得分!$C$2:$C$9</c:f>
              <c:numCache>
                <c:formatCode>General</c:formatCode>
                <c:ptCount val="5"/>
                <c:pt idx="0">
                  <c:v>14</c:v>
                </c:pt>
                <c:pt idx="1">
                  <c:v>24</c:v>
                </c:pt>
                <c:pt idx="2">
                  <c:v>26</c:v>
                </c:pt>
                <c:pt idx="3">
                  <c:v>28</c:v>
                </c:pt>
                <c:pt idx="4">
                  <c:v>92</c:v>
                </c:pt>
              </c:numCache>
            </c:numRef>
          </c:val>
        </c:ser>
        <c:dLbls>
          <c:showLegendKey val="0"/>
          <c:showVal val="0"/>
          <c:showCatName val="0"/>
          <c:showSerName val="0"/>
          <c:showPercent val="0"/>
          <c:showBubbleSize val="0"/>
        </c:dLbls>
        <c:gapWidth val="150"/>
        <c:axId val="336307712"/>
        <c:axId val="336309248"/>
      </c:barChart>
      <c:catAx>
        <c:axId val="33630771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36309248"/>
        <c:crosses val="autoZero"/>
        <c:auto val="1"/>
        <c:lblAlgn val="ctr"/>
        <c:lblOffset val="100"/>
        <c:noMultiLvlLbl val="0"/>
      </c:catAx>
      <c:valAx>
        <c:axId val="33630924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36307712"/>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42</Pages>
  <Words>18467</Words>
  <Characters>19064</Characters>
  <Lines>149</Lines>
  <Paragraphs>42</Paragraphs>
  <TotalTime>38</TotalTime>
  <ScaleCrop>false</ScaleCrop>
  <LinksUpToDate>false</LinksUpToDate>
  <CharactersWithSpaces>19139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2019-07-24T05:04:00Z</dcterms:created>
  <dc:creator>冯妍妍/预算绩效管理处（行资处）/湖北省财政厅</dc:creator>
  <cp:lastModifiedBy>徐茫茫</cp:lastModifiedBy>
  <cp:lastPrinted>2018-05-08T09:18:00Z</cp:lastPrinted>
  <dcterms:modified xsi:type="dcterms:W3CDTF">2025-02-14T02:47:46Z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08F529E4B2DB47158B35295F55410DAF_12</vt:lpwstr>
  </property>
</Properties>
</file>