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364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3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  <w:t>3</w:t>
      </w:r>
    </w:p>
    <w:p w14:paraId="416519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hanging="1100" w:hangingChars="25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auto"/>
        </w:rPr>
        <w:t>农产品仓储保鲜冷链物流设施建设项目</w:t>
      </w:r>
    </w:p>
    <w:p w14:paraId="1BA102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hanging="1100" w:hangingChars="25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auto"/>
        </w:rPr>
        <w:t>管理工作注意事项</w:t>
      </w:r>
    </w:p>
    <w:bookmarkEnd w:id="0"/>
    <w:p w14:paraId="5B9A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宋体"/>
          <w:sz w:val="28"/>
          <w:szCs w:val="28"/>
          <w:shd w:val="clear" w:color="auto" w:fill="auto"/>
        </w:rPr>
      </w:pPr>
    </w:p>
    <w:p w14:paraId="7C5A4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1.建设主体需对项目及资料的真实性、完整性和有效性负责，并承担相关法律责任。经认定存在虚假、瞒报等违规情形，一律取消项目奖补资格。</w:t>
      </w:r>
    </w:p>
    <w:p w14:paraId="59109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建设主体申报的建设项目必须符合产业发展的需求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所使用的农业设施建设用地必须符合现有的政策规定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78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建设主体需选择具有专业资质的施工单位开展建设，需保证资质取得单位、合同签订单位、收款单位、发票开具单位一致。</w:t>
      </w:r>
    </w:p>
    <w:p w14:paraId="2450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4.项目所购置的设备、设施须产品标识清晰、来源可溯、采购渠道正规合法，符合国家相关质量标准与技术规范要求；冷库保温材料防火等级须达到B1级及以上。</w:t>
      </w:r>
    </w:p>
    <w:p w14:paraId="2086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项目施工发票的开具应符合税务部门对项目施工发票的开票要求，税收分类编码应为建筑施工，备注项目名称和项目地点。材料设备购置发票的开具应对各项采购材料设备明细分条列项，备注项目名称和项目地点。发票及发票清单明细应与合同所附采购清单一致。</w:t>
      </w:r>
    </w:p>
    <w:p w14:paraId="7AF4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要求第三方机构验收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对发票真伪查询资料、银行付款凭证真伪查询资料及银行流水资料进行归档。</w:t>
      </w:r>
    </w:p>
    <w:p w14:paraId="5A3D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新购置冷藏运输车辆纳入奖补资金的范围仅包括车辆购买价款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，其他如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冷藏装置加装费用、购置税、保险、服务费等不纳入奖补和总投资范围。</w:t>
      </w:r>
    </w:p>
    <w:p w14:paraId="59230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7.将冷库主体的基础设施建设纳入配套设施范畴。生活、办公等非生产性建设，以及利用原有设施设备、原有基础建设的部分，超出冷库必要合理范围的基础设施建设部分，均不纳入奖补范围及总投资核算范围。</w:t>
      </w:r>
    </w:p>
    <w:p w14:paraId="72527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项目奖补资金计算公式如下：</w:t>
      </w:r>
    </w:p>
    <w:p w14:paraId="73DB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奖补资金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=（冷库主体造价+配套设施设备造价）×30%</w:t>
      </w:r>
    </w:p>
    <w:p w14:paraId="26167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其中，纳入奖补范围的配套设施设备造价≤冷库主体造价。</w:t>
      </w:r>
    </w:p>
    <w:p w14:paraId="2923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例一：冷库主体造价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10万元，配套设施设备造价8万元，奖补资金为（10万元+8万元）×30%=5.4万元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2E03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例二：冷库主体造价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10万元，配套设施设备造价12万元，奖补资金为（10万元+10万元）×30%=6万元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7A64A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D4191"/>
    <w:rsid w:val="4BC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3"/>
    <w:qFormat/>
    <w:uiPriority w:val="99"/>
    <w:pPr>
      <w:keepNext/>
      <w:keepLines/>
      <w:spacing w:before="260" w:after="260" w:line="412" w:lineRule="auto"/>
      <w:outlineLvl w:val="2"/>
    </w:pPr>
    <w:rPr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2026-06-12T07:51:00Z</dcterms:created>
  <dc:creator>IAmGodran</dc:creator>
  <cp:lastModifiedBy>IAmGodran</cp:lastModifiedBy>
  <dcterms:modified xsi:type="dcterms:W3CDTF">2026-06-12T07:52:20Z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6FCDB92F843948DCA0889231E477451F_11</vt:lpwstr>
  </property>
  <property fmtid="{D5CDD505-2E9C-101B-9397-08002B2CF9AE}" pid="4" name="KSOTemplateDocerSaveRecord">
    <vt:lpwstr>eyJoZGlkIjoiNmMzNDE3OWNiMGIzNWQ5NDAzMmEwZTY2YWEyZjg3ZmIiLCJ1c2VySWQiOiIzODM3MDQ5NzEifQ==</vt:lpwstr>
  </property>
</Properties>
</file>