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武汉经济技术开发区（汉南区）机关事务服务中心政务公开标准事项目录</w:t>
      </w:r>
    </w:p>
    <w:tbl>
      <w:tblPr>
        <w:tblStyle w:val="5"/>
        <w:tblW w:w="51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97"/>
        <w:gridCol w:w="754"/>
        <w:gridCol w:w="964"/>
        <w:gridCol w:w="3247"/>
        <w:gridCol w:w="1981"/>
        <w:gridCol w:w="1694"/>
        <w:gridCol w:w="1062"/>
        <w:gridCol w:w="1859"/>
        <w:gridCol w:w="870"/>
        <w:gridCol w:w="845"/>
        <w:gridCol w:w="665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63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序号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公开事项</w:t>
            </w:r>
          </w:p>
        </w:tc>
        <w:tc>
          <w:tcPr>
            <w:tcW w:w="1064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公开内容（要素）</w:t>
            </w:r>
          </w:p>
        </w:tc>
        <w:tc>
          <w:tcPr>
            <w:tcW w:w="649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公开依据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公开时限</w:t>
            </w:r>
          </w:p>
        </w:tc>
        <w:tc>
          <w:tcPr>
            <w:tcW w:w="348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主体</w:t>
            </w:r>
          </w:p>
        </w:tc>
        <w:tc>
          <w:tcPr>
            <w:tcW w:w="609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公开渠道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和载体</w:t>
            </w:r>
          </w:p>
        </w:tc>
        <w:tc>
          <w:tcPr>
            <w:tcW w:w="562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公开对象</w:t>
            </w:r>
          </w:p>
        </w:tc>
        <w:tc>
          <w:tcPr>
            <w:tcW w:w="487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63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4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一级事项</w:t>
            </w: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二级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事项</w:t>
            </w:r>
          </w:p>
        </w:tc>
        <w:tc>
          <w:tcPr>
            <w:tcW w:w="1064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49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348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609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全社会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特定群众</w:t>
            </w: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主动</w:t>
            </w: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综合政务</w:t>
            </w: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文件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本单位制发的行政文件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《中华人民共和国政府信息公开条例》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决策预公开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决策草案、征集时限、反馈渠道等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《关于全面推进政务公开工作的意见》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解读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政策措施的背景依据、目标任务、主要内容、涉及范围、执行标准，以及注意事项、关键词诠释、惠民利民举措、新旧政策差异等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《武汉市人民政府政策文件解读实施方案》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政策公布之后三日内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政策执行和落实情况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执行措施、实施步骤、责任分工、监督方式，根据工作进展公布取得成效、后续举措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《关于全面推进政务公开工作的意见》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机构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职能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主要职责、机构设置、办公地址、办公时间、联系方式、负责人姓名、领导分工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《中华人民共和国政府信息公开条例》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政府信息公开工作年度报告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每年</w:t>
            </w: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仿宋" w:eastAsia="仿宋"/>
                <w:szCs w:val="21"/>
              </w:rPr>
              <w:t>月</w:t>
            </w:r>
            <w:r>
              <w:rPr>
                <w:rFonts w:ascii="Times New Roman" w:hAnsi="Times New Roman" w:eastAsia="仿宋"/>
                <w:szCs w:val="21"/>
              </w:rPr>
              <w:t>31</w:t>
            </w:r>
            <w:r>
              <w:rPr>
                <w:rFonts w:hint="eastAsia" w:ascii="Times New Roman" w:hAnsi="仿宋" w:eastAsia="仿宋"/>
                <w:szCs w:val="21"/>
              </w:rPr>
              <w:t>日前公开公布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7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财政预算、决算信息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预算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收支总体情况表：</w:t>
            </w:r>
            <w:r>
              <w:rPr>
                <w:rFonts w:ascii="Times New Roman" w:hAnsi="仿宋" w:eastAsia="仿宋"/>
                <w:szCs w:val="21"/>
              </w:rPr>
              <w:t>①</w:t>
            </w:r>
            <w:r>
              <w:rPr>
                <w:rFonts w:hint="eastAsia" w:ascii="Times New Roman" w:hAnsi="仿宋" w:eastAsia="仿宋"/>
                <w:szCs w:val="21"/>
              </w:rPr>
              <w:t>部门收支总体情况表。</w:t>
            </w:r>
            <w:r>
              <w:rPr>
                <w:rFonts w:ascii="Times New Roman" w:hAnsi="仿宋" w:eastAsia="仿宋"/>
                <w:szCs w:val="21"/>
              </w:rPr>
              <w:t>②</w:t>
            </w:r>
            <w:r>
              <w:rPr>
                <w:rFonts w:hint="eastAsia" w:ascii="Times New Roman" w:hAnsi="仿宋" w:eastAsia="仿宋"/>
                <w:szCs w:val="21"/>
              </w:rPr>
              <w:t>部门收入总体情况表。</w:t>
            </w:r>
            <w:r>
              <w:rPr>
                <w:rFonts w:ascii="Times New Roman" w:hAnsi="仿宋" w:eastAsia="仿宋"/>
                <w:szCs w:val="21"/>
              </w:rPr>
              <w:t>③</w:t>
            </w:r>
            <w:r>
              <w:rPr>
                <w:rFonts w:hint="eastAsia" w:ascii="Times New Roman" w:hAnsi="仿宋" w:eastAsia="仿宋"/>
                <w:szCs w:val="21"/>
              </w:rPr>
              <w:t>部门支出总体情况表。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《预算法》《中华人民共和国政府信息公开条例》《财政部关于印发</w:t>
            </w:r>
            <w:r>
              <w:rPr>
                <w:rFonts w:ascii="Times New Roman" w:hAnsi="Times New Roman" w:eastAsia="仿宋"/>
                <w:szCs w:val="21"/>
              </w:rPr>
              <w:t>&lt;</w:t>
            </w:r>
            <w:r>
              <w:rPr>
                <w:rFonts w:hint="eastAsia" w:ascii="Times New Roman" w:hAnsi="仿宋" w:eastAsia="仿宋"/>
                <w:szCs w:val="21"/>
              </w:rPr>
              <w:t>地方预决算公开操作规程的通知</w:t>
            </w:r>
            <w:r>
              <w:rPr>
                <w:rFonts w:ascii="Times New Roman" w:hAnsi="Times New Roman" w:eastAsia="仿宋"/>
                <w:szCs w:val="21"/>
              </w:rPr>
              <w:t>&gt;</w:t>
            </w:r>
            <w:r>
              <w:rPr>
                <w:rFonts w:hint="eastAsia" w:ascii="Times New Roman" w:hAnsi="仿宋" w:eastAsia="仿宋"/>
                <w:szCs w:val="21"/>
              </w:rPr>
              <w:t>》等法律法规和文件规定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本级政府财政部门批复后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8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财政拨款收支情况表：</w:t>
            </w:r>
            <w:r>
              <w:rPr>
                <w:rFonts w:ascii="Times New Roman" w:hAnsi="仿宋" w:eastAsia="仿宋"/>
                <w:szCs w:val="21"/>
              </w:rPr>
              <w:t>①</w:t>
            </w:r>
            <w:r>
              <w:rPr>
                <w:rFonts w:hint="eastAsia" w:ascii="Times New Roman" w:hAnsi="仿宋" w:eastAsia="仿宋"/>
                <w:szCs w:val="21"/>
              </w:rPr>
              <w:t>财政拨款收支总体情况表。</w:t>
            </w:r>
            <w:r>
              <w:rPr>
                <w:rFonts w:ascii="Times New Roman" w:hAnsi="仿宋" w:eastAsia="仿宋"/>
                <w:szCs w:val="21"/>
              </w:rPr>
              <w:t>②</w:t>
            </w:r>
            <w:r>
              <w:rPr>
                <w:rFonts w:hint="eastAsia" w:ascii="Times New Roman" w:hAnsi="仿宋" w:eastAsia="仿宋"/>
                <w:szCs w:val="21"/>
              </w:rPr>
              <w:t>一般公共预算支出情况表。</w:t>
            </w:r>
            <w:r>
              <w:rPr>
                <w:rFonts w:ascii="Times New Roman" w:hAnsi="仿宋" w:eastAsia="仿宋"/>
                <w:szCs w:val="21"/>
              </w:rPr>
              <w:t>③</w:t>
            </w:r>
            <w:r>
              <w:rPr>
                <w:rFonts w:hint="eastAsia" w:ascii="Times New Roman" w:hAnsi="仿宋" w:eastAsia="仿宋"/>
                <w:szCs w:val="21"/>
              </w:rPr>
              <w:t>一般公共预算基本支出情况表。</w:t>
            </w:r>
            <w:r>
              <w:rPr>
                <w:rFonts w:ascii="Times New Roman" w:hAnsi="仿宋" w:eastAsia="仿宋"/>
                <w:szCs w:val="21"/>
              </w:rPr>
              <w:t>④</w:t>
            </w:r>
            <w:r>
              <w:rPr>
                <w:rFonts w:hint="eastAsia" w:ascii="Times New Roman" w:hAnsi="仿宋" w:eastAsia="仿宋"/>
                <w:szCs w:val="21"/>
              </w:rPr>
              <w:t>一般公共预算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三公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经费支出情况表。</w:t>
            </w:r>
            <w:r>
              <w:rPr>
                <w:rFonts w:ascii="Times New Roman" w:hAnsi="仿宋" w:eastAsia="仿宋"/>
                <w:szCs w:val="21"/>
              </w:rPr>
              <w:t>⑤</w:t>
            </w:r>
            <w:r>
              <w:rPr>
                <w:rFonts w:hint="eastAsia" w:ascii="Times New Roman" w:hAnsi="仿宋" w:eastAsia="仿宋"/>
                <w:szCs w:val="21"/>
              </w:rPr>
              <w:t>政府性基金预算支出情况表。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9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10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一般公共预算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三公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经费支出表按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因公出国（境）费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公务用车购置及运行费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公务接待费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公开，其中，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公务用车购置及运行费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应当细化到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公务用车购置费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公务用车运行费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两个项目，并对增减变化情况进行说明。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11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财政预算、决算信息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预算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12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没有数据的表格应当列出空表并说明。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13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决算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收支总体情况表：</w:t>
            </w:r>
            <w:r>
              <w:rPr>
                <w:rFonts w:ascii="Times New Roman" w:hAnsi="仿宋" w:eastAsia="仿宋"/>
                <w:szCs w:val="21"/>
              </w:rPr>
              <w:t>①</w:t>
            </w:r>
            <w:r>
              <w:rPr>
                <w:rFonts w:hint="eastAsia" w:ascii="Times New Roman" w:hAnsi="仿宋" w:eastAsia="仿宋"/>
                <w:szCs w:val="21"/>
              </w:rPr>
              <w:t>部门收支总体情况表。</w:t>
            </w:r>
            <w:r>
              <w:rPr>
                <w:rFonts w:ascii="Times New Roman" w:hAnsi="仿宋" w:eastAsia="仿宋"/>
                <w:szCs w:val="21"/>
              </w:rPr>
              <w:t>②</w:t>
            </w:r>
            <w:r>
              <w:rPr>
                <w:rFonts w:hint="eastAsia" w:ascii="Times New Roman" w:hAnsi="仿宋" w:eastAsia="仿宋"/>
                <w:szCs w:val="21"/>
              </w:rPr>
              <w:t>部门收入总体情况表。</w:t>
            </w:r>
            <w:r>
              <w:rPr>
                <w:rFonts w:ascii="Times New Roman" w:hAnsi="仿宋" w:eastAsia="仿宋"/>
                <w:szCs w:val="21"/>
              </w:rPr>
              <w:t>③</w:t>
            </w:r>
            <w:r>
              <w:rPr>
                <w:rFonts w:hint="eastAsia" w:ascii="Times New Roman" w:hAnsi="仿宋" w:eastAsia="仿宋"/>
                <w:szCs w:val="21"/>
              </w:rPr>
              <w:t>部门支出总体情况表。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《预算法》《中华人民共和国政府信息公开条例》《财政部关于印发</w:t>
            </w:r>
            <w:r>
              <w:rPr>
                <w:rFonts w:ascii="Times New Roman" w:hAnsi="Times New Roman" w:eastAsia="仿宋"/>
                <w:szCs w:val="21"/>
              </w:rPr>
              <w:t>&lt;</w:t>
            </w:r>
            <w:r>
              <w:rPr>
                <w:rFonts w:hint="eastAsia" w:ascii="Times New Roman" w:hAnsi="仿宋" w:eastAsia="仿宋"/>
                <w:szCs w:val="21"/>
              </w:rPr>
              <w:t>地方预决算公开操作规程的通知</w:t>
            </w:r>
            <w:r>
              <w:rPr>
                <w:rFonts w:ascii="Times New Roman" w:hAnsi="Times New Roman" w:eastAsia="仿宋"/>
                <w:szCs w:val="21"/>
              </w:rPr>
              <w:t>&gt;</w:t>
            </w:r>
            <w:r>
              <w:rPr>
                <w:rFonts w:hint="eastAsia" w:ascii="Times New Roman" w:hAnsi="仿宋" w:eastAsia="仿宋"/>
                <w:szCs w:val="21"/>
              </w:rPr>
              <w:t>》等法律法规和文件规定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本级政府财政部门批复后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日内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14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财政拨款收支情况表：</w:t>
            </w:r>
            <w:r>
              <w:rPr>
                <w:rFonts w:ascii="Times New Roman" w:hAnsi="仿宋" w:eastAsia="仿宋"/>
                <w:szCs w:val="21"/>
              </w:rPr>
              <w:t>①</w:t>
            </w:r>
            <w:r>
              <w:rPr>
                <w:rFonts w:hint="eastAsia" w:ascii="Times New Roman" w:hAnsi="仿宋" w:eastAsia="仿宋"/>
                <w:szCs w:val="21"/>
              </w:rPr>
              <w:t>财政拨款收支总体情况表。</w:t>
            </w:r>
            <w:r>
              <w:rPr>
                <w:rFonts w:ascii="Times New Roman" w:hAnsi="仿宋" w:eastAsia="仿宋"/>
                <w:szCs w:val="21"/>
              </w:rPr>
              <w:t>②</w:t>
            </w:r>
            <w:r>
              <w:rPr>
                <w:rFonts w:hint="eastAsia" w:ascii="Times New Roman" w:hAnsi="仿宋" w:eastAsia="仿宋"/>
                <w:szCs w:val="21"/>
              </w:rPr>
              <w:t>一般公共预算支出情况表。</w:t>
            </w:r>
            <w:r>
              <w:rPr>
                <w:rFonts w:ascii="Times New Roman" w:hAnsi="仿宋" w:eastAsia="仿宋"/>
                <w:szCs w:val="21"/>
              </w:rPr>
              <w:t>③</w:t>
            </w:r>
            <w:r>
              <w:rPr>
                <w:rFonts w:hint="eastAsia" w:ascii="Times New Roman" w:hAnsi="仿宋" w:eastAsia="仿宋"/>
                <w:szCs w:val="21"/>
              </w:rPr>
              <w:t>一般公共预算基本支出情况表。</w:t>
            </w:r>
            <w:r>
              <w:rPr>
                <w:rFonts w:ascii="Times New Roman" w:hAnsi="仿宋" w:eastAsia="仿宋"/>
                <w:szCs w:val="21"/>
              </w:rPr>
              <w:t>④</w:t>
            </w:r>
            <w:r>
              <w:rPr>
                <w:rFonts w:hint="eastAsia" w:ascii="Times New Roman" w:hAnsi="仿宋" w:eastAsia="仿宋"/>
                <w:szCs w:val="21"/>
              </w:rPr>
              <w:t>一般公共预算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三公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经费支出情况表。</w:t>
            </w:r>
            <w:r>
              <w:rPr>
                <w:rFonts w:ascii="Times New Roman" w:hAnsi="仿宋" w:eastAsia="仿宋"/>
                <w:szCs w:val="21"/>
              </w:rPr>
              <w:t>⑤</w:t>
            </w:r>
            <w:r>
              <w:rPr>
                <w:rFonts w:hint="eastAsia" w:ascii="Times New Roman" w:hAnsi="仿宋" w:eastAsia="仿宋"/>
                <w:szCs w:val="21"/>
              </w:rPr>
              <w:t>政府性基金预算支出情况表。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15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财政预算、决算信息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部门</w:t>
            </w:r>
          </w:p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决算</w:t>
            </w:r>
          </w:p>
        </w:tc>
        <w:tc>
          <w:tcPr>
            <w:tcW w:w="1064" w:type="pct"/>
            <w:vAlign w:val="center"/>
          </w:tcPr>
          <w:p>
            <w:pPr>
              <w:keepNext/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649" w:type="pct"/>
            <w:vAlign w:val="center"/>
          </w:tcPr>
          <w:p>
            <w:pPr>
              <w:keepNext/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keepNext/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keepNext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16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一般公共预算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三公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经费支出表按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因公出国（境）费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公务用车购置及运行费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公务接待费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公开，其中，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公务用车购置及运行费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应当细化到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Times New Roman" w:hAnsi="仿宋" w:eastAsia="仿宋"/>
                <w:szCs w:val="21"/>
              </w:rPr>
              <w:t>公务用车购置费</w:t>
            </w:r>
            <w:r>
              <w:rPr>
                <w:rFonts w:ascii="仿宋" w:hAnsi="仿宋" w:eastAsia="仿宋"/>
                <w:szCs w:val="21"/>
              </w:rPr>
              <w:t>”“</w:t>
            </w:r>
            <w:r>
              <w:rPr>
                <w:rFonts w:hint="eastAsia" w:ascii="Times New Roman" w:hAnsi="仿宋" w:eastAsia="仿宋"/>
                <w:szCs w:val="21"/>
              </w:rPr>
              <w:t>公务用车运行费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hint="eastAsia" w:ascii="Times New Roman" w:hAnsi="仿宋" w:eastAsia="仿宋"/>
                <w:szCs w:val="21"/>
              </w:rPr>
              <w:t>两个项目，并对增减变化情况（与预算对比）进行说明。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17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18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没有数据的表格应当列出空表并说明。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15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19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政府采购</w:t>
            </w: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公开招标公告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  <w:r>
              <w:rPr>
                <w:rFonts w:hint="eastAsia" w:ascii="Times New Roman" w:hAnsi="仿宋" w:eastAsia="仿宋"/>
                <w:szCs w:val="21"/>
              </w:rPr>
              <w:t>个工作日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4208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邀请招标资格预审公告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</w:t>
            </w:r>
            <w:r>
              <w:rPr>
                <w:rFonts w:hint="eastAsia" w:ascii="Times New Roman" w:hAnsi="仿宋" w:eastAsia="仿宋"/>
                <w:szCs w:val="21"/>
              </w:rPr>
              <w:t>个工作日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21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政府采购</w:t>
            </w: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竞争性谈判公告、竞争性磋商公告和询价公告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  <w:r>
              <w:rPr>
                <w:rFonts w:hint="eastAsia" w:ascii="Times New Roman" w:hAnsi="仿宋" w:eastAsia="仿宋"/>
                <w:szCs w:val="21"/>
              </w:rPr>
              <w:t>个工作日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22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中标（成交）结果公告</w:t>
            </w:r>
          </w:p>
        </w:tc>
        <w:tc>
          <w:tcPr>
            <w:tcW w:w="106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</w:tc>
        <w:tc>
          <w:tcPr>
            <w:tcW w:w="64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hint="eastAsia" w:ascii="Times New Roman" w:hAnsi="仿宋" w:eastAsia="仿宋"/>
                <w:szCs w:val="21"/>
              </w:rPr>
              <w:t>个工作日</w:t>
            </w:r>
          </w:p>
        </w:tc>
        <w:tc>
          <w:tcPr>
            <w:tcW w:w="34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23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政府采购</w:t>
            </w: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单一来源公示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及时公开，公示期限不少于</w:t>
            </w:r>
            <w:r>
              <w:rPr>
                <w:rFonts w:ascii="Times New Roman" w:hAnsi="Times New Roman" w:eastAsia="仿宋"/>
                <w:szCs w:val="21"/>
              </w:rPr>
              <w:t>5</w:t>
            </w:r>
            <w:r>
              <w:rPr>
                <w:rFonts w:hint="eastAsia" w:ascii="Times New Roman" w:hAnsi="仿宋" w:eastAsia="仿宋"/>
                <w:szCs w:val="21"/>
              </w:rPr>
              <w:t>个工作日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24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采购信息更正公告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与更正事项公告期限一致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25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采购合同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政府采购合同（合同中涉及到国家秘密、商业秘密的除外）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合同签订之日起</w:t>
            </w:r>
            <w:r>
              <w:rPr>
                <w:rFonts w:ascii="Times New Roman" w:hAnsi="Times New Roman" w:eastAsia="仿宋"/>
                <w:szCs w:val="21"/>
              </w:rPr>
              <w:t>2</w:t>
            </w:r>
            <w:r>
              <w:rPr>
                <w:rFonts w:hint="eastAsia" w:ascii="Times New Roman" w:hAnsi="仿宋" w:eastAsia="仿宋"/>
                <w:szCs w:val="21"/>
              </w:rPr>
              <w:t>个工作日内公告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办公室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湖北省政府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采购网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26</w:t>
            </w:r>
          </w:p>
        </w:tc>
        <w:tc>
          <w:tcPr>
            <w:tcW w:w="24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重点工作</w:t>
            </w: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办公用房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办公用房规划、使用、调配等工作及工委、区委、管委会、区政府委托的党政机关办公用房管理。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《关于全面推进政务公开的意见》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资产管理科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27</w:t>
            </w:r>
          </w:p>
        </w:tc>
        <w:tc>
          <w:tcPr>
            <w:tcW w:w="247" w:type="pct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重点工作</w:t>
            </w: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公务用车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公务车平台、应急和综合执法平台的管理及车辆调度情况。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《关于全面推进政务公开的意见》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物业和车辆管理科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28</w:t>
            </w:r>
          </w:p>
        </w:tc>
        <w:tc>
          <w:tcPr>
            <w:tcW w:w="247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公共机构节能</w:t>
            </w:r>
          </w:p>
        </w:tc>
        <w:tc>
          <w:tcPr>
            <w:tcW w:w="1064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公共机构能耗统计和节能单位评定报送工作；会同相关部门开展公共机构节能宣传、教育工作情况。</w:t>
            </w:r>
          </w:p>
        </w:tc>
        <w:tc>
          <w:tcPr>
            <w:tcW w:w="649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《关于全面推进政务公开的意见》</w:t>
            </w:r>
          </w:p>
        </w:tc>
        <w:tc>
          <w:tcPr>
            <w:tcW w:w="555" w:type="pct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信息形成或者变更之日起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仿宋" w:eastAsia="仿宋"/>
                <w:szCs w:val="21"/>
              </w:rPr>
              <w:t>个工作日内</w:t>
            </w:r>
          </w:p>
        </w:tc>
        <w:tc>
          <w:tcPr>
            <w:tcW w:w="34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物业和车辆管理科</w:t>
            </w:r>
          </w:p>
        </w:tc>
        <w:tc>
          <w:tcPr>
            <w:tcW w:w="60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区政府门户网站</w:t>
            </w:r>
          </w:p>
        </w:tc>
        <w:tc>
          <w:tcPr>
            <w:tcW w:w="285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√</w:t>
            </w:r>
          </w:p>
        </w:tc>
        <w:tc>
          <w:tcPr>
            <w:tcW w:w="277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8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69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Times New Roman" w:hAnsi="Times New Roman"/>
        <w:sz w:val="21"/>
        <w:szCs w:val="21"/>
      </w:rPr>
    </w:pPr>
    <w:r>
      <w:rPr>
        <w:rStyle w:val="7"/>
        <w:rFonts w:ascii="Times New Roman" w:hAnsi="Times New Roman"/>
        <w:sz w:val="21"/>
        <w:szCs w:val="21"/>
      </w:rPr>
      <w:fldChar w:fldCharType="begin"/>
    </w:r>
    <w:r>
      <w:rPr>
        <w:rStyle w:val="7"/>
        <w:rFonts w:ascii="Times New Roman" w:hAnsi="Times New Roman"/>
        <w:sz w:val="21"/>
        <w:szCs w:val="21"/>
      </w:rPr>
      <w:instrText xml:space="preserve">PAGE  </w:instrText>
    </w:r>
    <w:r>
      <w:rPr>
        <w:rStyle w:val="7"/>
        <w:rFonts w:ascii="Times New Roman" w:hAnsi="Times New Roman"/>
        <w:sz w:val="21"/>
        <w:szCs w:val="21"/>
      </w:rPr>
      <w:fldChar w:fldCharType="separate"/>
    </w:r>
    <w:r>
      <w:rPr>
        <w:rStyle w:val="7"/>
        <w:rFonts w:ascii="Times New Roman" w:hAnsi="Times New Roman"/>
        <w:sz w:val="21"/>
        <w:szCs w:val="21"/>
      </w:rPr>
      <w:t>4</w:t>
    </w:r>
    <w:r>
      <w:rPr>
        <w:rStyle w:val="7"/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50"/>
    <w:rsid w:val="00000142"/>
    <w:rsid w:val="00025E8D"/>
    <w:rsid w:val="000944B6"/>
    <w:rsid w:val="001158D3"/>
    <w:rsid w:val="0014651C"/>
    <w:rsid w:val="0016610D"/>
    <w:rsid w:val="00174A3B"/>
    <w:rsid w:val="001B408E"/>
    <w:rsid w:val="002103E3"/>
    <w:rsid w:val="0023053B"/>
    <w:rsid w:val="002A10A1"/>
    <w:rsid w:val="002A278F"/>
    <w:rsid w:val="002B2A1B"/>
    <w:rsid w:val="002C6FA6"/>
    <w:rsid w:val="002E5686"/>
    <w:rsid w:val="002E6AA9"/>
    <w:rsid w:val="003057A3"/>
    <w:rsid w:val="003165E0"/>
    <w:rsid w:val="00352FE7"/>
    <w:rsid w:val="00390373"/>
    <w:rsid w:val="00397BB1"/>
    <w:rsid w:val="003B4C50"/>
    <w:rsid w:val="003F4A65"/>
    <w:rsid w:val="004173F8"/>
    <w:rsid w:val="00457C90"/>
    <w:rsid w:val="00501242"/>
    <w:rsid w:val="00556A43"/>
    <w:rsid w:val="005E63A5"/>
    <w:rsid w:val="005F23E9"/>
    <w:rsid w:val="0060592C"/>
    <w:rsid w:val="00614383"/>
    <w:rsid w:val="00720287"/>
    <w:rsid w:val="0073749F"/>
    <w:rsid w:val="00737A2C"/>
    <w:rsid w:val="00817628"/>
    <w:rsid w:val="0089532E"/>
    <w:rsid w:val="009105E3"/>
    <w:rsid w:val="00922136"/>
    <w:rsid w:val="00966D79"/>
    <w:rsid w:val="00A272D3"/>
    <w:rsid w:val="00A55ED7"/>
    <w:rsid w:val="00AD4E0B"/>
    <w:rsid w:val="00AD5736"/>
    <w:rsid w:val="00B56ED2"/>
    <w:rsid w:val="00B65D8D"/>
    <w:rsid w:val="00B87DB2"/>
    <w:rsid w:val="00BC27EB"/>
    <w:rsid w:val="00BE4023"/>
    <w:rsid w:val="00C6757D"/>
    <w:rsid w:val="00C855A5"/>
    <w:rsid w:val="00CD4F21"/>
    <w:rsid w:val="00CF2688"/>
    <w:rsid w:val="00D33060"/>
    <w:rsid w:val="00D87BB6"/>
    <w:rsid w:val="00DA0783"/>
    <w:rsid w:val="00E067F7"/>
    <w:rsid w:val="00E22C71"/>
    <w:rsid w:val="00E72ED1"/>
    <w:rsid w:val="00EB38DB"/>
    <w:rsid w:val="00EC57F5"/>
    <w:rsid w:val="00ED0842"/>
    <w:rsid w:val="00EF03A2"/>
    <w:rsid w:val="00FC02B5"/>
    <w:rsid w:val="00FF0A3F"/>
    <w:rsid w:val="053C0EAE"/>
    <w:rsid w:val="1582027C"/>
    <w:rsid w:val="225B663D"/>
    <w:rsid w:val="287C4762"/>
    <w:rsid w:val="3B6C0EC4"/>
    <w:rsid w:val="48686D2E"/>
    <w:rsid w:val="4EA063E7"/>
    <w:rsid w:val="50761A29"/>
    <w:rsid w:val="58E32E16"/>
    <w:rsid w:val="5F314225"/>
    <w:rsid w:val="6B954BE6"/>
    <w:rsid w:val="6CA27D60"/>
    <w:rsid w:val="6CBB33F0"/>
    <w:rsid w:val="6CF40B0B"/>
    <w:rsid w:val="7154421F"/>
    <w:rsid w:val="74156441"/>
    <w:rsid w:val="77ED331B"/>
    <w:rsid w:val="7D2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629</Words>
  <Characters>3589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2021-10-22T01:59:00Z</dcterms:created>
  <dc:creator>lenovo</dc:creator>
  <cp:lastModifiedBy>HCN</cp:lastModifiedBy>
  <cp:lastPrinted>2021-11-16T08:46:00Z</cp:lastPrinted>
  <dcterms:modified xsi:type="dcterms:W3CDTF">2022-01-11T08:03:41Z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6F334B4D19F649C781BB8980544FDEB7</vt:lpwstr>
  </property>
</Properties>
</file>