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武汉经开区</w:t>
      </w:r>
      <w:r>
        <w:rPr>
          <w:rFonts w:hint="eastAsia" w:ascii="黑体" w:hAnsi="黑体" w:eastAsia="黑体"/>
          <w:sz w:val="36"/>
          <w:szCs w:val="36"/>
          <w:lang w:eastAsia="zh-CN"/>
        </w:rPr>
        <w:t>应急管理局</w:t>
      </w:r>
      <w:r>
        <w:rPr>
          <w:rFonts w:hint="eastAsia" w:ascii="黑体" w:hAnsi="黑体" w:eastAsia="黑体"/>
          <w:sz w:val="36"/>
          <w:szCs w:val="36"/>
        </w:rPr>
        <w:t>政务公开标准事项目录</w:t>
      </w:r>
    </w:p>
    <w:p>
      <w:pPr>
        <w:jc w:val="center"/>
        <w:rPr>
          <w:rFonts w:ascii="黑体" w:hAnsi="黑体" w:eastAsia="黑体"/>
          <w:sz w:val="36"/>
          <w:szCs w:val="36"/>
        </w:rPr>
      </w:pPr>
    </w:p>
    <w:p/>
    <w:tbl>
      <w:tblPr>
        <w:tblStyle w:val="5"/>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3427"/>
        <w:gridCol w:w="2190"/>
        <w:gridCol w:w="1605"/>
        <w:gridCol w:w="1215"/>
        <w:gridCol w:w="1836"/>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42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9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0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1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3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center"/>
              <w:rPr>
                <w:rFonts w:ascii="Times New Roman" w:hAnsi="Times New Roman" w:eastAsia="黑体"/>
                <w:color w:val="000000"/>
                <w:kern w:val="0"/>
                <w:sz w:val="15"/>
                <w:szCs w:val="15"/>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427" w:type="dxa"/>
            <w:vMerge w:val="continue"/>
            <w:vAlign w:val="center"/>
          </w:tcPr>
          <w:p>
            <w:pPr>
              <w:widowControl/>
              <w:jc w:val="center"/>
              <w:rPr>
                <w:rFonts w:ascii="黑体" w:hAnsi="宋体" w:eastAsia="黑体" w:cs="宋体"/>
                <w:color w:val="000000"/>
                <w:kern w:val="0"/>
                <w:sz w:val="22"/>
              </w:rPr>
            </w:pPr>
          </w:p>
        </w:tc>
        <w:tc>
          <w:tcPr>
            <w:tcW w:w="2190" w:type="dxa"/>
            <w:vMerge w:val="continue"/>
            <w:vAlign w:val="center"/>
          </w:tcPr>
          <w:p>
            <w:pPr>
              <w:widowControl/>
              <w:jc w:val="center"/>
              <w:rPr>
                <w:rFonts w:ascii="黑体" w:hAnsi="宋体" w:eastAsia="黑体" w:cs="宋体"/>
                <w:color w:val="000000"/>
                <w:kern w:val="0"/>
                <w:sz w:val="22"/>
              </w:rPr>
            </w:pPr>
          </w:p>
        </w:tc>
        <w:tc>
          <w:tcPr>
            <w:tcW w:w="1605" w:type="dxa"/>
            <w:vMerge w:val="continue"/>
            <w:vAlign w:val="center"/>
          </w:tcPr>
          <w:p>
            <w:pPr>
              <w:widowControl/>
              <w:jc w:val="center"/>
              <w:rPr>
                <w:rFonts w:ascii="黑体" w:hAnsi="宋体" w:eastAsia="黑体" w:cs="宋体"/>
                <w:color w:val="000000"/>
                <w:kern w:val="0"/>
                <w:sz w:val="22"/>
              </w:rPr>
            </w:pPr>
          </w:p>
        </w:tc>
        <w:tc>
          <w:tcPr>
            <w:tcW w:w="1215" w:type="dxa"/>
            <w:vMerge w:val="continue"/>
            <w:vAlign w:val="center"/>
          </w:tcPr>
          <w:p>
            <w:pPr>
              <w:widowControl/>
              <w:jc w:val="center"/>
              <w:rPr>
                <w:rFonts w:ascii="黑体" w:hAnsi="宋体" w:eastAsia="黑体" w:cs="宋体"/>
                <w:color w:val="000000"/>
                <w:kern w:val="0"/>
                <w:sz w:val="22"/>
              </w:rPr>
            </w:pPr>
          </w:p>
        </w:tc>
        <w:tc>
          <w:tcPr>
            <w:tcW w:w="1836" w:type="dxa"/>
            <w:vMerge w:val="continue"/>
            <w:vAlign w:val="center"/>
          </w:tcPr>
          <w:p>
            <w:pPr>
              <w:widowControl/>
              <w:jc w:val="center"/>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综合政务</w:t>
            </w: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文件</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rPr>
              <w:t>本单位制发的行政文件</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w:t>
            </w:r>
          </w:p>
        </w:tc>
        <w:tc>
          <w:tcPr>
            <w:tcW w:w="900" w:type="dxa"/>
            <w:vMerge w:val="continue"/>
            <w:shd w:val="clear" w:color="auto" w:fill="auto"/>
            <w:vAlign w:val="center"/>
          </w:tcPr>
          <w:p>
            <w:pPr>
              <w:spacing w:line="240" w:lineRule="exact"/>
              <w:jc w:val="center"/>
              <w:rPr>
                <w:rFonts w:ascii="仿宋_GB2312" w:hAnsi="宋体"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决策预公开</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决策草案、征集时限、反馈渠道等</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《关于全面推进政务公开工作的意见》</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15"/>
                <w:szCs w:val="15"/>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w:t>
            </w:r>
          </w:p>
        </w:tc>
        <w:tc>
          <w:tcPr>
            <w:tcW w:w="900" w:type="dxa"/>
            <w:vMerge w:val="continue"/>
            <w:shd w:val="clear" w:color="auto" w:fill="auto"/>
            <w:vAlign w:val="center"/>
          </w:tcPr>
          <w:p>
            <w:pPr>
              <w:spacing w:line="240" w:lineRule="exact"/>
              <w:jc w:val="center"/>
              <w:rPr>
                <w:rFonts w:ascii="仿宋_GB2312" w:hAnsi="宋体"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政策解读</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政策措施的背景依据、目标任务、主要内容、涉及范围、执行标准，以及注意事项、关键词诠释、惠民利民举措、新旧政策差异等</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《武汉市人民政府政策文件解读实施方案》</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政策公布之后三日内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4</w:t>
            </w:r>
          </w:p>
        </w:tc>
        <w:tc>
          <w:tcPr>
            <w:tcW w:w="900" w:type="dxa"/>
            <w:vMerge w:val="continue"/>
            <w:shd w:val="clear" w:color="auto" w:fill="auto"/>
            <w:vAlign w:val="center"/>
          </w:tcPr>
          <w:p>
            <w:pPr>
              <w:spacing w:line="240" w:lineRule="exact"/>
              <w:jc w:val="center"/>
              <w:rPr>
                <w:rFonts w:ascii="仿宋_GB2312" w:hAnsi="宋体"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政策执行和落实情况</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执行措施、实施步骤、责任分工、监督方式，根据工作进展公布取得成效、后续举措</w:t>
            </w:r>
          </w:p>
        </w:tc>
        <w:tc>
          <w:tcPr>
            <w:tcW w:w="2190" w:type="dxa"/>
          </w:tcPr>
          <w:p>
            <w:pPr>
              <w:spacing w:line="240" w:lineRule="exact"/>
              <w:jc w:val="center"/>
            </w:pPr>
            <w:r>
              <w:rPr>
                <w:rFonts w:hint="eastAsia" w:ascii="仿宋_GB2312" w:hAnsi="Times New Roman" w:eastAsia="仿宋_GB2312"/>
                <w:sz w:val="18"/>
                <w:szCs w:val="18"/>
              </w:rPr>
              <w:t>《关于全面推进政务公开工作的意见》</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5</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机构职能</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主要职责、机构设置、办公地址、办公时间、联系方式、负责人姓名、领导分工</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6</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政府信息公开工作年度报告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主动公开、依申请公开情况，因政府信息公开被申请行政复议、提起行政诉讼的情况，存在的主要问题及改进情况，以及其他需要报告的事项</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《中华人民共和国政府信息公开条例》《中华人民共和国政府信息公开工作年度报告格式》</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每年1月31日前公开公布</w:t>
            </w: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7</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财政预算、决算信息</w:t>
            </w:r>
          </w:p>
        </w:tc>
        <w:tc>
          <w:tcPr>
            <w:tcW w:w="887"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部门预算</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收支总体情况表：①部门收支总体情况表。②部门收入总体情况表。③部门支出总体情况表。</w:t>
            </w:r>
          </w:p>
        </w:tc>
        <w:tc>
          <w:tcPr>
            <w:tcW w:w="2190" w:type="dxa"/>
          </w:tcPr>
          <w:p>
            <w:pPr>
              <w:spacing w:line="240" w:lineRule="exact"/>
              <w:jc w:val="center"/>
            </w:pPr>
            <w:r>
              <w:rPr>
                <w:rFonts w:hint="eastAsia" w:ascii="仿宋_GB2312" w:hAnsi="Times New Roman" w:eastAsia="仿宋_GB2312"/>
                <w:sz w:val="18"/>
                <w:szCs w:val="18"/>
              </w:rPr>
              <w:t>《预算法》《中华人民共和国政府信息公开条例》《财政部关于印发&lt;地方预决算公开操作规程的通知&gt;》等法律法规和文件规定</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本级政府财政部门批复后20日内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8</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190" w:type="dxa"/>
          </w:tcPr>
          <w:p>
            <w:pPr>
              <w:spacing w:line="240" w:lineRule="exact"/>
              <w:jc w:val="center"/>
            </w:pPr>
          </w:p>
        </w:tc>
        <w:tc>
          <w:tcPr>
            <w:tcW w:w="1605" w:type="dxa"/>
          </w:tcPr>
          <w:p>
            <w:pPr>
              <w:spacing w:line="240" w:lineRule="exact"/>
              <w:jc w:val="center"/>
              <w:rPr>
                <w:rFonts w:ascii="仿宋_GB2312" w:hAnsi="Times New Roman"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9</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一般公共预算支出情况表公开到功能分类项级科目。一般公共预算基本支出表公开到经济分类款级科目。</w:t>
            </w:r>
          </w:p>
        </w:tc>
        <w:tc>
          <w:tcPr>
            <w:tcW w:w="2190" w:type="dxa"/>
          </w:tcPr>
          <w:p>
            <w:pPr>
              <w:spacing w:line="240" w:lineRule="exact"/>
              <w:jc w:val="center"/>
            </w:pPr>
          </w:p>
        </w:tc>
        <w:tc>
          <w:tcPr>
            <w:tcW w:w="1605" w:type="dxa"/>
          </w:tcPr>
          <w:p>
            <w:pPr>
              <w:spacing w:line="240" w:lineRule="exact"/>
              <w:jc w:val="center"/>
              <w:rPr>
                <w:rFonts w:ascii="仿宋_GB2312" w:hAnsi="Times New Roman"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10</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190" w:type="dxa"/>
          </w:tcPr>
          <w:p>
            <w:pPr>
              <w:spacing w:line="240" w:lineRule="exact"/>
              <w:jc w:val="center"/>
            </w:pPr>
          </w:p>
        </w:tc>
        <w:tc>
          <w:tcPr>
            <w:tcW w:w="1605" w:type="dxa"/>
          </w:tcPr>
          <w:p>
            <w:pPr>
              <w:spacing w:line="240" w:lineRule="exact"/>
              <w:jc w:val="center"/>
              <w:rPr>
                <w:rFonts w:ascii="仿宋_GB2312" w:hAnsi="Times New Roman"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11</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190" w:type="dxa"/>
          </w:tcPr>
          <w:p>
            <w:pPr>
              <w:spacing w:line="240" w:lineRule="exact"/>
              <w:jc w:val="center"/>
            </w:pPr>
          </w:p>
        </w:tc>
        <w:tc>
          <w:tcPr>
            <w:tcW w:w="1605" w:type="dxa"/>
          </w:tcPr>
          <w:p>
            <w:pPr>
              <w:spacing w:line="240" w:lineRule="exact"/>
              <w:jc w:val="center"/>
              <w:rPr>
                <w:rFonts w:ascii="仿宋_GB2312"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12</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部门决算</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收支总体情况表：①部门收支总体情况表。②部门收入总体情况表。③部门支出总体情况表。</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《预算法》《中华人民共和国政府信息公开条例》《财政部关于印发&lt;地方预决算公开操作规程的通知&gt;》等法律法规和文件规定</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本级政府财政部门批复后20日内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13</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190" w:type="dxa"/>
          </w:tcPr>
          <w:p>
            <w:pPr>
              <w:spacing w:line="240" w:lineRule="exact"/>
              <w:jc w:val="center"/>
              <w:rPr>
                <w:rFonts w:ascii="仿宋_GB2312" w:hAnsi="Times New Roman" w:eastAsia="仿宋_GB2312"/>
                <w:sz w:val="18"/>
                <w:szCs w:val="18"/>
              </w:rPr>
            </w:pPr>
          </w:p>
        </w:tc>
        <w:tc>
          <w:tcPr>
            <w:tcW w:w="1605" w:type="dxa"/>
          </w:tcPr>
          <w:p>
            <w:pPr>
              <w:jc w:val="center"/>
              <w:rPr>
                <w:rFonts w:ascii="仿宋_GB2312" w:hAnsi="Times New Roman"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Times New Roman"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14</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一般公共预算支出情况表公开到功能分类项级科目。一般公共预算基本支出表公开到经济分类款级科目。</w:t>
            </w:r>
          </w:p>
        </w:tc>
        <w:tc>
          <w:tcPr>
            <w:tcW w:w="2190" w:type="dxa"/>
          </w:tcPr>
          <w:p>
            <w:pPr>
              <w:spacing w:line="240" w:lineRule="exact"/>
              <w:jc w:val="center"/>
              <w:rPr>
                <w:rFonts w:ascii="仿宋_GB2312" w:hAnsi="Times New Roman" w:eastAsia="仿宋_GB2312"/>
                <w:sz w:val="18"/>
                <w:szCs w:val="18"/>
              </w:rPr>
            </w:pPr>
          </w:p>
        </w:tc>
        <w:tc>
          <w:tcPr>
            <w:tcW w:w="1605" w:type="dxa"/>
          </w:tcPr>
          <w:p>
            <w:pPr>
              <w:jc w:val="center"/>
              <w:rPr>
                <w:rFonts w:ascii="仿宋_GB2312" w:hAnsi="Times New Roman" w:eastAsia="仿宋_GB2312"/>
                <w:sz w:val="18"/>
                <w:szCs w:val="18"/>
              </w:rP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Times New Roman"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15</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190" w:type="dxa"/>
          </w:tcPr>
          <w:p>
            <w:pPr>
              <w:spacing w:line="240" w:lineRule="exact"/>
              <w:jc w:val="center"/>
            </w:pPr>
          </w:p>
        </w:tc>
        <w:tc>
          <w:tcPr>
            <w:tcW w:w="1605" w:type="dxa"/>
          </w:tcPr>
          <w:p>
            <w:pPr>
              <w:jc w:val="cente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16</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190" w:type="dxa"/>
          </w:tcPr>
          <w:p>
            <w:pPr>
              <w:spacing w:line="240" w:lineRule="exact"/>
              <w:jc w:val="center"/>
            </w:pPr>
          </w:p>
        </w:tc>
        <w:tc>
          <w:tcPr>
            <w:tcW w:w="1605" w:type="dxa"/>
          </w:tcPr>
          <w:p>
            <w:pPr>
              <w:jc w:val="center"/>
            </w:pPr>
          </w:p>
        </w:tc>
        <w:tc>
          <w:tcPr>
            <w:tcW w:w="1215" w:type="dxa"/>
          </w:tcPr>
          <w:p>
            <w:pPr>
              <w:spacing w:line="240" w:lineRule="exact"/>
              <w:jc w:val="center"/>
              <w:rPr>
                <w:rFonts w:ascii="仿宋_GB2312" w:hAnsi="Times New Roman" w:eastAsia="仿宋_GB2312"/>
                <w:sz w:val="18"/>
                <w:szCs w:val="18"/>
              </w:rPr>
            </w:pP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eastAsia="zh-CN"/>
              </w:rPr>
            </w:pPr>
            <w:r>
              <w:rPr>
                <w:rFonts w:hint="eastAsia" w:ascii="仿宋_GB2312" w:hAnsi="宋体" w:eastAsia="仿宋_GB2312" w:cs="仿宋_GB2312"/>
                <w:i w:val="0"/>
                <w:iCs w:val="0"/>
                <w:color w:val="000000"/>
                <w:kern w:val="0"/>
                <w:sz w:val="18"/>
                <w:szCs w:val="18"/>
                <w:u w:val="none"/>
                <w:lang w:val="en-US" w:eastAsia="zh-CN" w:bidi="ar"/>
              </w:rPr>
              <w:t>17</w:t>
            </w:r>
          </w:p>
        </w:tc>
        <w:tc>
          <w:tcPr>
            <w:tcW w:w="900" w:type="dxa"/>
            <w:vMerge w:val="continue"/>
            <w:shd w:val="clear" w:color="auto" w:fill="auto"/>
            <w:vAlign w:val="center"/>
          </w:tcPr>
          <w:p>
            <w:pPr>
              <w:spacing w:line="240" w:lineRule="exact"/>
              <w:jc w:val="center"/>
              <w:rPr>
                <w:rFonts w:hint="eastAsia" w:ascii="仿宋_GB2312" w:hAnsi="Times New Roman" w:eastAsia="仿宋_GB2312"/>
                <w:sz w:val="18"/>
                <w:szCs w:val="18"/>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行政事业性收费</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本部门组织的相关考试，如执法资格考试类。</w:t>
            </w:r>
          </w:p>
        </w:tc>
        <w:tc>
          <w:tcPr>
            <w:tcW w:w="2190" w:type="dxa"/>
          </w:tcPr>
          <w:p>
            <w:pPr>
              <w:spacing w:line="240" w:lineRule="exact"/>
              <w:jc w:val="center"/>
              <w:rPr>
                <w:rFonts w:hint="eastAsia" w:ascii="仿宋_GB2312" w:hAnsi="Times New Roman" w:eastAsia="仿宋_GB2312"/>
                <w:sz w:val="18"/>
                <w:szCs w:val="18"/>
              </w:rPr>
            </w:pPr>
          </w:p>
        </w:tc>
        <w:tc>
          <w:tcPr>
            <w:tcW w:w="1605" w:type="dxa"/>
          </w:tcPr>
          <w:p>
            <w:pPr>
              <w:jc w:val="center"/>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10</w:t>
            </w:r>
            <w:r>
              <w:rPr>
                <w:rFonts w:hint="eastAsia" w:ascii="仿宋_GB2312" w:hAnsi="Times New Roman" w:eastAsia="仿宋_GB2312"/>
                <w:sz w:val="18"/>
                <w:szCs w:val="18"/>
              </w:rPr>
              <w:t>个工作日</w:t>
            </w:r>
          </w:p>
        </w:tc>
        <w:tc>
          <w:tcPr>
            <w:tcW w:w="1215" w:type="dxa"/>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hint="eastAsia" w:ascii="仿宋_GB2312" w:hAnsi="宋体" w:eastAsia="仿宋_GB2312"/>
                <w:sz w:val="18"/>
                <w:szCs w:val="18"/>
              </w:rPr>
            </w:pP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18</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政府采购</w:t>
            </w: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公开招标公告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和采购代理机构的名称、地址和联系方法，采购项目的名称、数量、简要规格描述或项目基本概况介绍，采购项目预算金额，采购项目需要落实的政府采购政策，投标人的资格要求，获取招标文件的时间、地点、方式及招标文件售价，投标截止时间、开标时间及地点，采购项目联系人姓名和电话。</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《国务院办公厅关于推进公共资源配置领域政府信息公开的意见》《政府采购货物和服务招标投标管理办法》《财政部关于做好政府采购信息公开工作的通知》</w:t>
            </w:r>
          </w:p>
        </w:tc>
        <w:tc>
          <w:tcPr>
            <w:tcW w:w="1605" w:type="dxa"/>
          </w:tcPr>
          <w:p>
            <w:pPr>
              <w:jc w:val="center"/>
              <w:rPr>
                <w:rFonts w:ascii="仿宋_GB2312" w:hAnsi="Times New Roman" w:eastAsia="仿宋_GB2312"/>
                <w:sz w:val="18"/>
                <w:szCs w:val="18"/>
              </w:rPr>
            </w:pPr>
            <w:r>
              <w:rPr>
                <w:rFonts w:hint="eastAsia" w:ascii="仿宋_GB2312" w:hAnsi="Times New Roman" w:eastAsia="仿宋_GB2312"/>
                <w:sz w:val="18"/>
                <w:szCs w:val="18"/>
              </w:rPr>
              <w:t>5个工作日</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hint="eastAsia" w:ascii="仿宋_GB2312" w:hAnsi="宋体" w:eastAsia="仿宋_GB2312"/>
                <w:sz w:val="18"/>
                <w:szCs w:val="18"/>
                <w:lang w:val="en-US" w:eastAsia="zh-CN"/>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19</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邀请招标资格预审公告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和采购代理机构的名称、地址和联系方法；采购项目名称、数量、简要规格描述或项目基本概况介绍；采购项目预算金额；采购项目需要落实的政府采购政策；投标人的资格要求，以及审查标准、方法；获取资格预审文件的时间、地点、方式；投标人应当提供的资格预审申请文件的组成和格式；提交资格预审申请文件的截止时间及资格审查日期、地点；采购项目联系人姓名和电话。</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《国务院办公厅关于推进公共资源配置领域政府信息公开的意见》《政府采购货物和服务招标投标管理办法》《财政部关于做好政府采购信息公开工作的通知》</w:t>
            </w:r>
          </w:p>
        </w:tc>
        <w:tc>
          <w:tcPr>
            <w:tcW w:w="1605" w:type="dxa"/>
          </w:tcPr>
          <w:p>
            <w:pPr>
              <w:jc w:val="center"/>
              <w:rPr>
                <w:rFonts w:ascii="仿宋_GB2312" w:hAnsi="Times New Roman" w:eastAsia="仿宋_GB2312"/>
                <w:sz w:val="18"/>
                <w:szCs w:val="18"/>
              </w:rPr>
            </w:pPr>
            <w:r>
              <w:rPr>
                <w:rFonts w:hint="eastAsia" w:ascii="仿宋_GB2312" w:hAnsi="Times New Roman" w:eastAsia="仿宋_GB2312"/>
                <w:sz w:val="18"/>
                <w:szCs w:val="18"/>
              </w:rPr>
              <w:t>5个工作日</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20</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竞争性谈判公告、竞争性磋商公告和询价公告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《国务院办公厅关于推进公共资源配置领域政府信息公开的意见》《财政部关于做好政府采购信息公开工作的通知》</w:t>
            </w:r>
          </w:p>
        </w:tc>
        <w:tc>
          <w:tcPr>
            <w:tcW w:w="1605" w:type="dxa"/>
          </w:tcPr>
          <w:p>
            <w:pPr>
              <w:jc w:val="center"/>
              <w:rPr>
                <w:rFonts w:ascii="仿宋_GB2312" w:hAnsi="Times New Roman" w:eastAsia="仿宋_GB2312"/>
                <w:sz w:val="18"/>
                <w:szCs w:val="18"/>
              </w:rPr>
            </w:pPr>
            <w:r>
              <w:rPr>
                <w:rFonts w:hint="eastAsia" w:ascii="仿宋_GB2312" w:hAnsi="Times New Roman" w:eastAsia="仿宋_GB2312"/>
                <w:sz w:val="18"/>
                <w:szCs w:val="18"/>
              </w:rPr>
              <w:t>3个工作日</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21</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中标（成交）结果公告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采购文件随中标（成交）结果公告发布。</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《国务院办公厅关于推进公共资源配置领域政府信息公开的意见》《财政部关于做好政府采购信息公开工作的通知》</w:t>
            </w:r>
          </w:p>
        </w:tc>
        <w:tc>
          <w:tcPr>
            <w:tcW w:w="1605" w:type="dxa"/>
          </w:tcPr>
          <w:p>
            <w:pPr>
              <w:jc w:val="center"/>
              <w:rPr>
                <w:rFonts w:ascii="仿宋_GB2312" w:hAnsi="Times New Roman" w:eastAsia="仿宋_GB2312"/>
                <w:sz w:val="18"/>
                <w:szCs w:val="18"/>
              </w:rPr>
            </w:pPr>
            <w:r>
              <w:rPr>
                <w:rFonts w:hint="eastAsia" w:ascii="仿宋_GB2312" w:hAnsi="Times New Roman" w:eastAsia="仿宋_GB2312"/>
                <w:sz w:val="18"/>
                <w:szCs w:val="18"/>
              </w:rPr>
              <w:t>1个工作日</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22</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单一来源公示</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《国务院办公厅关于推进公共资源配置领域政府信息公开的意见》《财政部关于做好政府采购信息公开工作的通知》</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及时公开，公示期限不少于5个工作日</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23</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采购信息更正公告</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采购人和采购代理机构名称、地址、联系方式，原公告的采购项目名称及首次公告日期，更正事项、内容及日期，采购项目联系人和电话。</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《国务院办公厅关于推进公共资源配置领域政府信息公开的意见》《财政部关于做好政府采购信息公开工作的通知》</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与更正事项公告期限一致</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24</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采购合同</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政府采购合同（合同中涉及到国家秘密、商业秘密的除外）</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《国务院办公厅关于推进公共资源配置领域政府信息公开的意见》《财政部关于做好政府采购信息公开工作的通知》</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合同签订之日起2个工作日内公告</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办公室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湖北省政府采购网</w:t>
            </w:r>
            <w:r>
              <w:rPr>
                <w:rFonts w:hint="eastAsia" w:ascii="仿宋_GB2312" w:hAnsi="宋体" w:eastAsia="仿宋_GB2312"/>
                <w:sz w:val="18"/>
                <w:szCs w:val="18"/>
                <w:lang w:val="en-US" w:eastAsia="zh-CN"/>
              </w:rPr>
              <w:t>/</w:t>
            </w:r>
            <w:r>
              <w:rPr>
                <w:rFonts w:hint="eastAsia" w:ascii="仿宋_GB2312" w:hAnsi="Times New Roman"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25</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重点工作</w:t>
            </w: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规划计划</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全区电子政务、数字政府、智慧城市以及大数据产业的发展规划、年度计划等</w:t>
            </w:r>
          </w:p>
        </w:tc>
        <w:tc>
          <w:tcPr>
            <w:tcW w:w="2190" w:type="dxa"/>
          </w:tcPr>
          <w:p>
            <w:pPr>
              <w:spacing w:line="240" w:lineRule="exact"/>
              <w:jc w:val="center"/>
            </w:pP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26</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项目建设</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项目批准和实施情况</w:t>
            </w:r>
          </w:p>
        </w:tc>
        <w:tc>
          <w:tcPr>
            <w:tcW w:w="2190" w:type="dxa"/>
          </w:tcPr>
          <w:p>
            <w:pPr>
              <w:spacing w:line="240" w:lineRule="exact"/>
              <w:jc w:val="center"/>
            </w:pP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ascii="仿宋_GB2312" w:hAnsi="宋体" w:eastAsia="仿宋_GB2312"/>
                <w:sz w:val="18"/>
                <w:szCs w:val="18"/>
              </w:rPr>
            </w:pP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27</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应急管理</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全区政务网络、门户网站、大数据等信息系统的安全保障和应急处置工作，包括但不限于应急预案、预警信息，监督检查情况</w:t>
            </w:r>
          </w:p>
        </w:tc>
        <w:tc>
          <w:tcPr>
            <w:tcW w:w="2190" w:type="dxa"/>
          </w:tcPr>
          <w:p>
            <w:pPr>
              <w:spacing w:line="240" w:lineRule="exact"/>
              <w:jc w:val="center"/>
            </w:pP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28</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网群工作</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网上群众工作平台案（事）件的办理情况</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《关于做好市长专线办件信息公开工作的通知》</w:t>
            </w:r>
          </w:p>
        </w:tc>
        <w:tc>
          <w:tcPr>
            <w:tcW w:w="1605" w:type="dxa"/>
          </w:tcPr>
          <w:p>
            <w:pPr>
              <w:jc w:val="center"/>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29</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网站工作年度报表</w:t>
            </w:r>
          </w:p>
        </w:tc>
        <w:tc>
          <w:tcPr>
            <w:tcW w:w="3427"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年度信息发布总数和各栏目发布数、用户总访问量、服务事项数和受理量、网民留言办理情况，以及平台建设、开设专题、新媒体传播、创新发展和机制保障等情况，</w:t>
            </w:r>
          </w:p>
        </w:tc>
        <w:tc>
          <w:tcPr>
            <w:tcW w:w="2190"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《国务院办公厅关于印发政府网站发展指引的通知》</w:t>
            </w:r>
          </w:p>
          <w:p>
            <w:pPr>
              <w:spacing w:line="240" w:lineRule="exact"/>
              <w:jc w:val="center"/>
              <w:rPr>
                <w:rFonts w:ascii="仿宋_GB2312" w:hAnsi="Times New Roman" w:eastAsia="仿宋_GB2312"/>
                <w:sz w:val="18"/>
                <w:szCs w:val="18"/>
              </w:rPr>
            </w:pPr>
          </w:p>
        </w:tc>
        <w:tc>
          <w:tcPr>
            <w:tcW w:w="160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每年1月31日前公开</w:t>
            </w:r>
          </w:p>
        </w:tc>
        <w:tc>
          <w:tcPr>
            <w:tcW w:w="1215" w:type="dxa"/>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eastAsia="zh-CN"/>
              </w:rPr>
            </w:pPr>
            <w:r>
              <w:rPr>
                <w:rFonts w:hint="eastAsia" w:ascii="仿宋_GB2312" w:hAnsi="宋体" w:eastAsia="仿宋_GB2312" w:cs="仿宋_GB2312"/>
                <w:i w:val="0"/>
                <w:iCs w:val="0"/>
                <w:color w:val="000000"/>
                <w:kern w:val="0"/>
                <w:sz w:val="18"/>
                <w:szCs w:val="18"/>
                <w:u w:val="none"/>
                <w:lang w:val="en-US" w:eastAsia="zh-CN" w:bidi="ar"/>
              </w:rPr>
              <w:t>30</w:t>
            </w:r>
          </w:p>
        </w:tc>
        <w:tc>
          <w:tcPr>
            <w:tcW w:w="900" w:type="dxa"/>
            <w:shd w:val="clear" w:color="auto" w:fill="auto"/>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eastAsia="zh-CN"/>
              </w:rPr>
              <w:t>行政许可</w:t>
            </w:r>
            <w:r>
              <w:rPr>
                <w:rFonts w:hint="eastAsia" w:ascii="仿宋_GB2312" w:hAnsi="Times New Roman" w:eastAsia="仿宋_GB2312"/>
                <w:sz w:val="18"/>
                <w:szCs w:val="18"/>
                <w:lang w:val="en-US" w:eastAsia="zh-CN"/>
              </w:rPr>
              <w:t>/服务</w:t>
            </w: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eastAsia="zh-CN"/>
              </w:rPr>
              <w:t>行政许可</w:t>
            </w:r>
            <w:r>
              <w:rPr>
                <w:rFonts w:hint="eastAsia" w:ascii="仿宋_GB2312" w:hAnsi="Times New Roman" w:eastAsia="仿宋_GB2312"/>
                <w:sz w:val="18"/>
                <w:szCs w:val="18"/>
                <w:lang w:val="en-US" w:eastAsia="zh-CN"/>
              </w:rPr>
              <w:t>/服务</w:t>
            </w:r>
          </w:p>
        </w:tc>
        <w:tc>
          <w:tcPr>
            <w:tcW w:w="3427" w:type="dxa"/>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eastAsia="zh-CN"/>
              </w:rPr>
              <w:t>涉及行政许可、服务的内容。</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实时公开</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eastAsia="宋体" w:cs="Times New Roman"/>
                <w:kern w:val="2"/>
                <w:sz w:val="30"/>
                <w:szCs w:val="30"/>
                <w:lang w:val="en-US" w:eastAsia="zh-CN" w:bidi="ar-SA"/>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eastAsia="zh-CN"/>
              </w:rPr>
            </w:pPr>
            <w:r>
              <w:rPr>
                <w:rFonts w:hint="eastAsia" w:ascii="仿宋_GB2312" w:hAnsi="宋体" w:eastAsia="仿宋_GB2312" w:cs="仿宋_GB2312"/>
                <w:i w:val="0"/>
                <w:iCs w:val="0"/>
                <w:color w:val="000000"/>
                <w:kern w:val="0"/>
                <w:sz w:val="18"/>
                <w:szCs w:val="18"/>
                <w:u w:val="none"/>
                <w:lang w:val="en-US" w:eastAsia="zh-CN" w:bidi="ar"/>
              </w:rPr>
              <w:t>31</w:t>
            </w:r>
          </w:p>
        </w:tc>
        <w:tc>
          <w:tcPr>
            <w:tcW w:w="900" w:type="dxa"/>
            <w:vMerge w:val="restart"/>
            <w:shd w:val="clear" w:color="auto" w:fill="auto"/>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eastAsia="zh-CN"/>
              </w:rPr>
              <w:t>行政执法、处罚、</w:t>
            </w:r>
            <w:r>
              <w:rPr>
                <w:rFonts w:hint="eastAsia" w:ascii="仿宋_GB2312" w:hAnsi="Times New Roman" w:eastAsia="仿宋_GB2312"/>
                <w:sz w:val="18"/>
                <w:szCs w:val="18"/>
                <w:lang w:val="en-US" w:eastAsia="zh-CN"/>
              </w:rPr>
              <w:t>强制</w:t>
            </w: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行政执法</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涉及执法检查的信息</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215" w:type="dxa"/>
            <w:vAlign w:val="top"/>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eastAsia="zh-CN"/>
              </w:rPr>
            </w:pPr>
            <w:r>
              <w:rPr>
                <w:rFonts w:hint="eastAsia" w:ascii="仿宋_GB2312" w:hAnsi="宋体" w:eastAsia="仿宋_GB2312" w:cs="仿宋_GB2312"/>
                <w:i w:val="0"/>
                <w:iCs w:val="0"/>
                <w:color w:val="000000"/>
                <w:kern w:val="0"/>
                <w:sz w:val="18"/>
                <w:szCs w:val="18"/>
                <w:u w:val="none"/>
                <w:lang w:val="en-US" w:eastAsia="zh-CN" w:bidi="ar"/>
              </w:rPr>
              <w:t>32</w:t>
            </w:r>
          </w:p>
        </w:tc>
        <w:tc>
          <w:tcPr>
            <w:tcW w:w="900" w:type="dxa"/>
            <w:vMerge w:val="continue"/>
            <w:shd w:val="clear" w:color="auto" w:fill="auto"/>
            <w:vAlign w:val="center"/>
          </w:tcPr>
          <w:p>
            <w:pPr>
              <w:spacing w:line="240" w:lineRule="exact"/>
              <w:jc w:val="center"/>
              <w:rPr>
                <w:rFonts w:hint="default" w:ascii="仿宋_GB2312" w:hAnsi="Times New Roman" w:eastAsia="仿宋_GB2312"/>
                <w:sz w:val="18"/>
                <w:szCs w:val="18"/>
                <w:lang w:val="en-US" w:eastAsia="zh-CN"/>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处罚或者强制信息公示</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处罚或者强制信息统计。</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实时公开</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eastAsia="zh-CN"/>
              </w:rPr>
            </w:pPr>
            <w:r>
              <w:rPr>
                <w:rFonts w:hint="eastAsia" w:ascii="仿宋_GB2312" w:hAnsi="宋体" w:eastAsia="仿宋_GB2312" w:cs="仿宋_GB2312"/>
                <w:i w:val="0"/>
                <w:iCs w:val="0"/>
                <w:color w:val="000000"/>
                <w:kern w:val="0"/>
                <w:sz w:val="18"/>
                <w:szCs w:val="18"/>
                <w:u w:val="none"/>
                <w:lang w:val="en-US" w:eastAsia="zh-CN" w:bidi="ar"/>
              </w:rPr>
              <w:t>33</w:t>
            </w:r>
          </w:p>
        </w:tc>
        <w:tc>
          <w:tcPr>
            <w:tcW w:w="900" w:type="dxa"/>
            <w:vMerge w:val="restart"/>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公益事业建设</w:t>
            </w:r>
          </w:p>
        </w:tc>
        <w:tc>
          <w:tcPr>
            <w:tcW w:w="887" w:type="dxa"/>
            <w:shd w:val="clear" w:color="auto" w:fill="auto"/>
            <w:vAlign w:val="center"/>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扶贫</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有关区应急管理局扶贫建设情况。</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《国务院扶贫办综合司关于印发扶贫领域基层政务公开标准指引的通知》</w:t>
            </w:r>
          </w:p>
        </w:tc>
        <w:tc>
          <w:tcPr>
            <w:tcW w:w="1605" w:type="dxa"/>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34</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社会保障</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预防事故灾害或者灾后重建等信息。</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35</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安全生产</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有关安全生产检查、督查、整改等通知文件。</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w:t>
            </w:r>
          </w:p>
        </w:tc>
        <w:tc>
          <w:tcPr>
            <w:tcW w:w="1215" w:type="dxa"/>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相关科室</w:t>
            </w:r>
          </w:p>
        </w:tc>
        <w:tc>
          <w:tcPr>
            <w:tcW w:w="1836" w:type="dxa"/>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36</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突发公共事件</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涉及全区安全生产事故的统计数据和区事故调查报告</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37</w:t>
            </w:r>
          </w:p>
        </w:tc>
        <w:tc>
          <w:tcPr>
            <w:tcW w:w="900" w:type="dxa"/>
            <w:vMerge w:val="continue"/>
            <w:shd w:val="clear" w:color="auto" w:fill="auto"/>
            <w:vAlign w:val="center"/>
          </w:tcPr>
          <w:p>
            <w:pPr>
              <w:spacing w:line="240" w:lineRule="exact"/>
              <w:jc w:val="center"/>
              <w:rPr>
                <w:rFonts w:ascii="仿宋_GB2312" w:hAnsi="Times New Roman" w:eastAsia="仿宋_GB2312"/>
                <w:sz w:val="18"/>
                <w:szCs w:val="18"/>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救灾救助</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涉及全区安全风险形势分析研判内容。</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sz w:val="30"/>
                <w:szCs w:val="30"/>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38</w:t>
            </w:r>
          </w:p>
        </w:tc>
        <w:tc>
          <w:tcPr>
            <w:tcW w:w="900" w:type="dxa"/>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人事任免、录用</w:t>
            </w: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招考录用</w:t>
            </w:r>
          </w:p>
        </w:tc>
        <w:tc>
          <w:tcPr>
            <w:tcW w:w="3427"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人事任免、招聘录用等</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w:t>
            </w:r>
            <w:r>
              <w:rPr>
                <w:rFonts w:hint="eastAsia" w:ascii="仿宋_GB2312" w:hAnsi="Times New Roman" w:eastAsia="仿宋_GB2312"/>
                <w:sz w:val="18"/>
                <w:szCs w:val="18"/>
                <w:lang w:val="en-US" w:eastAsia="zh-CN"/>
              </w:rPr>
              <w:t>7</w:t>
            </w:r>
            <w:r>
              <w:rPr>
                <w:rFonts w:hint="eastAsia" w:ascii="仿宋_GB2312" w:hAnsi="Times New Roman" w:eastAsia="仿宋_GB2312"/>
                <w:sz w:val="18"/>
                <w:szCs w:val="18"/>
              </w:rPr>
              <w:t>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eastAsia="宋体" w:cs="Times New Roman"/>
                <w:kern w:val="2"/>
                <w:sz w:val="30"/>
                <w:szCs w:val="30"/>
                <w:lang w:val="en-US" w:eastAsia="zh-CN" w:bidi="ar-SA"/>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rPr>
            </w:pPr>
            <w:r>
              <w:rPr>
                <w:rFonts w:hint="eastAsia" w:ascii="仿宋_GB2312" w:hAnsi="宋体" w:eastAsia="仿宋_GB2312" w:cs="仿宋_GB2312"/>
                <w:i w:val="0"/>
                <w:iCs w:val="0"/>
                <w:color w:val="000000"/>
                <w:kern w:val="0"/>
                <w:sz w:val="18"/>
                <w:szCs w:val="18"/>
                <w:u w:val="none"/>
                <w:lang w:val="en-US" w:eastAsia="zh-CN" w:bidi="ar"/>
              </w:rPr>
              <w:t>39</w:t>
            </w:r>
          </w:p>
        </w:tc>
        <w:tc>
          <w:tcPr>
            <w:tcW w:w="900" w:type="dxa"/>
            <w:vMerge w:val="restart"/>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其他主动公开内容</w:t>
            </w: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双随机一公开</w:t>
            </w:r>
          </w:p>
        </w:tc>
        <w:tc>
          <w:tcPr>
            <w:tcW w:w="3427" w:type="dxa"/>
          </w:tcPr>
          <w:p>
            <w:pPr>
              <w:spacing w:line="240" w:lineRule="exact"/>
              <w:jc w:val="center"/>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涉及“双随机一公开”的企业信息公示</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eastAsia="宋体" w:cs="Times New Roman"/>
                <w:kern w:val="2"/>
                <w:sz w:val="30"/>
                <w:szCs w:val="30"/>
                <w:lang w:val="en-US" w:eastAsia="zh-CN" w:bidi="ar-SA"/>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eastAsia" w:ascii="仿宋_GB2312" w:hAnsi="Times New Roman" w:eastAsia="仿宋_GB2312"/>
                <w:sz w:val="18"/>
                <w:szCs w:val="18"/>
              </w:rPr>
            </w:pPr>
            <w:r>
              <w:rPr>
                <w:rFonts w:hint="eastAsia" w:ascii="仿宋_GB2312" w:hAnsi="宋体" w:eastAsia="仿宋_GB2312" w:cs="仿宋_GB2312"/>
                <w:i w:val="0"/>
                <w:iCs w:val="0"/>
                <w:color w:val="000000"/>
                <w:kern w:val="0"/>
                <w:sz w:val="18"/>
                <w:szCs w:val="18"/>
                <w:u w:val="none"/>
                <w:lang w:val="en-US" w:eastAsia="zh-CN" w:bidi="ar"/>
              </w:rPr>
              <w:t>40</w:t>
            </w:r>
          </w:p>
        </w:tc>
        <w:tc>
          <w:tcPr>
            <w:tcW w:w="900" w:type="dxa"/>
            <w:vMerge w:val="continue"/>
            <w:shd w:val="clear" w:color="auto" w:fill="auto"/>
            <w:vAlign w:val="center"/>
          </w:tcPr>
          <w:p>
            <w:pPr>
              <w:spacing w:line="240" w:lineRule="exact"/>
              <w:jc w:val="center"/>
              <w:rPr>
                <w:rFonts w:hint="eastAsia" w:ascii="仿宋_GB2312" w:hAnsi="Times New Roman" w:eastAsia="仿宋_GB2312"/>
                <w:sz w:val="18"/>
                <w:szCs w:val="18"/>
                <w:lang w:eastAsia="zh-CN"/>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建议提案办理</w:t>
            </w:r>
          </w:p>
        </w:tc>
        <w:tc>
          <w:tcPr>
            <w:tcW w:w="3427" w:type="dxa"/>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中央、省市涉及提案、议题的回复</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eastAsia="宋体" w:cs="Times New Roman"/>
                <w:kern w:val="2"/>
                <w:sz w:val="30"/>
                <w:szCs w:val="30"/>
                <w:lang w:val="en-US" w:eastAsia="zh-CN" w:bidi="ar-SA"/>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keepNext w:val="0"/>
              <w:keepLines w:val="0"/>
              <w:widowControl/>
              <w:suppressLineNumbers w:val="0"/>
              <w:jc w:val="center"/>
              <w:textAlignment w:val="center"/>
              <w:rPr>
                <w:rFonts w:hint="default" w:ascii="仿宋_GB2312" w:hAnsi="Times New Roman" w:eastAsia="仿宋_GB2312"/>
                <w:sz w:val="18"/>
                <w:szCs w:val="18"/>
                <w:lang w:val="en-US"/>
              </w:rPr>
            </w:pPr>
            <w:r>
              <w:rPr>
                <w:rFonts w:hint="eastAsia" w:ascii="仿宋_GB2312" w:hAnsi="宋体" w:eastAsia="仿宋_GB2312" w:cs="仿宋_GB2312"/>
                <w:i w:val="0"/>
                <w:iCs w:val="0"/>
                <w:color w:val="000000"/>
                <w:kern w:val="0"/>
                <w:sz w:val="18"/>
                <w:szCs w:val="18"/>
                <w:u w:val="none"/>
                <w:lang w:val="en-US" w:eastAsia="zh-CN" w:bidi="ar"/>
              </w:rPr>
              <w:t>41</w:t>
            </w:r>
          </w:p>
        </w:tc>
        <w:tc>
          <w:tcPr>
            <w:tcW w:w="900" w:type="dxa"/>
            <w:vMerge w:val="continue"/>
            <w:shd w:val="clear" w:color="auto" w:fill="auto"/>
            <w:vAlign w:val="center"/>
          </w:tcPr>
          <w:p>
            <w:pPr>
              <w:spacing w:line="240" w:lineRule="exact"/>
              <w:jc w:val="center"/>
              <w:rPr>
                <w:rFonts w:hint="eastAsia" w:ascii="仿宋_GB2312" w:hAnsi="Times New Roman" w:eastAsia="仿宋_GB2312"/>
                <w:sz w:val="18"/>
                <w:szCs w:val="18"/>
                <w:lang w:eastAsia="zh-CN"/>
              </w:rPr>
            </w:pPr>
          </w:p>
        </w:tc>
        <w:tc>
          <w:tcPr>
            <w:tcW w:w="887" w:type="dxa"/>
            <w:shd w:val="clear" w:color="auto" w:fill="auto"/>
            <w:vAlign w:val="center"/>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“四办”事项清单</w:t>
            </w:r>
          </w:p>
        </w:tc>
        <w:tc>
          <w:tcPr>
            <w:tcW w:w="3427" w:type="dxa"/>
          </w:tcPr>
          <w:p>
            <w:pPr>
              <w:spacing w:line="240" w:lineRule="exact"/>
              <w:jc w:val="center"/>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涉及</w:t>
            </w:r>
            <w:r>
              <w:rPr>
                <w:rFonts w:hint="eastAsia" w:ascii="仿宋_GB2312" w:hAnsi="Times New Roman" w:eastAsia="仿宋_GB2312"/>
                <w:sz w:val="18"/>
                <w:szCs w:val="18"/>
                <w:lang w:eastAsia="zh-CN"/>
              </w:rPr>
              <w:t>危险化学品生产企业安全生产许可证的办事指南</w:t>
            </w:r>
          </w:p>
        </w:tc>
        <w:tc>
          <w:tcPr>
            <w:tcW w:w="2190" w:type="dxa"/>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中华人民共和国政府信息公开条例》</w:t>
            </w:r>
          </w:p>
        </w:tc>
        <w:tc>
          <w:tcPr>
            <w:tcW w:w="160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w:t>
            </w:r>
          </w:p>
        </w:tc>
        <w:tc>
          <w:tcPr>
            <w:tcW w:w="1215" w:type="dxa"/>
            <w:vAlign w:val="top"/>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相关科室</w:t>
            </w:r>
          </w:p>
        </w:tc>
        <w:tc>
          <w:tcPr>
            <w:tcW w:w="1836" w:type="dxa"/>
            <w:vAlign w:val="top"/>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区政府门户网站</w:t>
            </w:r>
          </w:p>
        </w:tc>
        <w:tc>
          <w:tcPr>
            <w:tcW w:w="540" w:type="dxa"/>
            <w:shd w:val="clear" w:color="auto" w:fill="auto"/>
            <w:vAlign w:val="center"/>
          </w:tcPr>
          <w:p>
            <w:pPr>
              <w:spacing w:line="240" w:lineRule="exact"/>
              <w:jc w:val="center"/>
              <w:rPr>
                <w:rFonts w:hint="eastAsia" w:ascii="Times New Roman" w:hAnsi="Times New Roman" w:eastAsia="宋体" w:cs="Times New Roman"/>
                <w:kern w:val="2"/>
                <w:sz w:val="30"/>
                <w:szCs w:val="30"/>
                <w:lang w:val="en-US" w:eastAsia="zh-CN" w:bidi="ar-SA"/>
              </w:rPr>
            </w:pPr>
            <w:r>
              <w:rPr>
                <w:rFonts w:hint="eastAsia" w:ascii="Times New Roman" w:hAnsi="Times New Roman"/>
                <w:sz w:val="30"/>
                <w:szCs w:val="30"/>
              </w:rPr>
              <w:t>√</w:t>
            </w:r>
          </w:p>
        </w:tc>
        <w:tc>
          <w:tcPr>
            <w:tcW w:w="720" w:type="dxa"/>
            <w:shd w:val="clear" w:color="auto" w:fill="auto"/>
            <w:vAlign w:val="center"/>
          </w:tcPr>
          <w:p>
            <w:pPr>
              <w:spacing w:line="240" w:lineRule="exact"/>
              <w:jc w:val="center"/>
              <w:rPr>
                <w:rFonts w:ascii="Times New Roman" w:hAnsi="Times New Roman"/>
                <w:sz w:val="30"/>
                <w:szCs w:val="30"/>
              </w:rPr>
            </w:pPr>
          </w:p>
        </w:tc>
        <w:tc>
          <w:tcPr>
            <w:tcW w:w="540" w:type="dxa"/>
            <w:shd w:val="clear" w:color="auto" w:fill="auto"/>
            <w:vAlign w:val="center"/>
          </w:tcPr>
          <w:p>
            <w:pPr>
              <w:spacing w:line="240" w:lineRule="exact"/>
              <w:jc w:val="center"/>
              <w:rPr>
                <w:rFonts w:ascii="Times New Roman" w:hAnsi="Times New Roman"/>
                <w:sz w:val="30"/>
                <w:szCs w:val="30"/>
              </w:rPr>
            </w:pPr>
          </w:p>
        </w:tc>
        <w:tc>
          <w:tcPr>
            <w:tcW w:w="736" w:type="dxa"/>
            <w:shd w:val="clear" w:color="auto" w:fill="auto"/>
            <w:vAlign w:val="center"/>
          </w:tcPr>
          <w:p>
            <w:pPr>
              <w:spacing w:line="240" w:lineRule="exact"/>
              <w:jc w:val="center"/>
              <w:rPr>
                <w:rFonts w:ascii="Times New Roman" w:hAnsi="Times New Roman"/>
                <w:sz w:val="30"/>
                <w:szCs w:val="30"/>
              </w:rPr>
            </w:pPr>
          </w:p>
        </w:tc>
      </w:tr>
    </w:tbl>
    <w:p>
      <w:pPr>
        <w:rPr>
          <w:rFonts w:hint="eastAsia"/>
        </w:rPr>
      </w:pPr>
    </w:p>
    <w:p>
      <w:pPr>
        <w:rPr>
          <w:rFonts w:hint="eastAsia"/>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5224D8-3FE4-421E-A335-E51AA04B978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B129E8E-BFD7-4C5B-BF10-1B16B98A33B8}"/>
  </w:font>
  <w:font w:name="方正仿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50"/>
    <w:rsid w:val="00025E8D"/>
    <w:rsid w:val="000944B6"/>
    <w:rsid w:val="001158D3"/>
    <w:rsid w:val="0016610D"/>
    <w:rsid w:val="00174A3B"/>
    <w:rsid w:val="002103E3"/>
    <w:rsid w:val="0023053B"/>
    <w:rsid w:val="002A10A1"/>
    <w:rsid w:val="002B2A1B"/>
    <w:rsid w:val="002E5686"/>
    <w:rsid w:val="002E6AA9"/>
    <w:rsid w:val="00390373"/>
    <w:rsid w:val="00397BB1"/>
    <w:rsid w:val="003B4C50"/>
    <w:rsid w:val="003F4A65"/>
    <w:rsid w:val="004173F8"/>
    <w:rsid w:val="00457C90"/>
    <w:rsid w:val="00501242"/>
    <w:rsid w:val="005E63A5"/>
    <w:rsid w:val="005F23E9"/>
    <w:rsid w:val="00614383"/>
    <w:rsid w:val="0073749F"/>
    <w:rsid w:val="00737A2C"/>
    <w:rsid w:val="00817628"/>
    <w:rsid w:val="0089532E"/>
    <w:rsid w:val="009105E3"/>
    <w:rsid w:val="00966D79"/>
    <w:rsid w:val="00A272D3"/>
    <w:rsid w:val="00A55ED7"/>
    <w:rsid w:val="00AD4E0B"/>
    <w:rsid w:val="00B56ED2"/>
    <w:rsid w:val="00B65D8D"/>
    <w:rsid w:val="00B87DB2"/>
    <w:rsid w:val="00BC27EB"/>
    <w:rsid w:val="00BE4023"/>
    <w:rsid w:val="00C6757D"/>
    <w:rsid w:val="00C855A5"/>
    <w:rsid w:val="00CD4F21"/>
    <w:rsid w:val="00CF2688"/>
    <w:rsid w:val="00D33060"/>
    <w:rsid w:val="00DA0783"/>
    <w:rsid w:val="00E067F7"/>
    <w:rsid w:val="00E22C71"/>
    <w:rsid w:val="00E72ED1"/>
    <w:rsid w:val="00EB38DB"/>
    <w:rsid w:val="00EC57F5"/>
    <w:rsid w:val="00ED0842"/>
    <w:rsid w:val="00EF03A2"/>
    <w:rsid w:val="00FC02B5"/>
    <w:rsid w:val="00FF0A3F"/>
    <w:rsid w:val="05DE06B5"/>
    <w:rsid w:val="0A7A7CBC"/>
    <w:rsid w:val="0AE0656B"/>
    <w:rsid w:val="1DF06926"/>
    <w:rsid w:val="211E55DB"/>
    <w:rsid w:val="21E27009"/>
    <w:rsid w:val="22EA0E40"/>
    <w:rsid w:val="2D426CD5"/>
    <w:rsid w:val="2F3B034A"/>
    <w:rsid w:val="2F754F65"/>
    <w:rsid w:val="39B7091D"/>
    <w:rsid w:val="4C94117F"/>
    <w:rsid w:val="68E06312"/>
    <w:rsid w:val="6F79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648</Words>
  <Characters>3697</Characters>
  <Lines>30</Lines>
  <Paragraphs>8</Paragraphs>
  <TotalTime>1</TotalTime>
  <ScaleCrop>false</ScaleCrop>
  <LinksUpToDate>false</LinksUpToDate>
  <CharactersWithSpaces>4337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2021-10-22T01:59:00Z</dcterms:created>
  <dc:creator>lenovo</dc:creator>
  <cp:lastModifiedBy>HCN</cp:lastModifiedBy>
  <dcterms:modified xsi:type="dcterms:W3CDTF">2022-01-11T07:50:02Z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F3B0D5224B7B4705A1A24B4700698C76</vt:lpwstr>
  </property>
</Properties>
</file>